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30" type="#_x0000_t202" style="position:absolute;margin-left:85.05pt;margin-top:713.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45466</w:t>
                  </w:r>
                  <w:r>
                    <w:rPr>
                      <w:lang w:val="en-US"/>
                    </w:rPr>
                    <w:fldChar w:fldCharType="end"/>
                  </w:r>
                  <w:r>
                    <w:rPr>
                      <w:lang w:val="en-US"/>
                    </w:rPr>
                    <w:t xml:space="preserve">   (R)    </w:t>
                  </w:r>
                  <w:r>
                    <w:t>110304    110304</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1283"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pPr>
            <w:r>
              <w:t>Distr.</w:t>
            </w:r>
          </w:p>
          <w:p w:rsidR="00000000" w:rsidRDefault="00000000">
            <w:pPr>
              <w:spacing w:line="216" w:lineRule="auto"/>
            </w:pPr>
            <w:r>
              <w:fldChar w:fldCharType="begin">
                <w:ffData>
                  <w:name w:val="ПолеСоСписком1"/>
                  <w:enabled/>
                  <w:calcOnExit w:val="0"/>
                  <w:ddList>
                    <w:listEntry w:val="GENERAL"/>
                    <w:listEntry w:val="LIMITED"/>
                    <w:listEntry w:val="RESTRICTED"/>
                  </w:ddList>
                </w:ffData>
              </w:fldChar>
            </w:r>
            <w:bookmarkStart w:id="3" w:name="ПолеСоСписком1"/>
            <w:r>
              <w:instrText xml:space="preserve"> FORMDROPDOWN </w:instrText>
            </w:r>
            <w:r>
              <w:fldChar w:fldCharType="end"/>
            </w:r>
            <w:bookmarkEnd w:id="3"/>
          </w:p>
          <w:p w:rsidR="00000000" w:rsidRDefault="00000000">
            <w:pPr>
              <w:spacing w:line="216" w:lineRule="auto"/>
            </w:pPr>
          </w:p>
          <w:p w:rsidR="00000000" w:rsidRDefault="00000000">
            <w:pPr>
              <w:spacing w:line="216" w:lineRule="auto"/>
            </w:pPr>
            <w:fldSimple w:instr=" FILLIN  &quot;Введите символ документа&quot; \* MERGEFORMAT ">
              <w:r>
                <w:t>E/1990/5/Add.61</w:t>
              </w:r>
            </w:fldSimple>
          </w:p>
          <w:p w:rsidR="00000000" w:rsidRDefault="00000000">
            <w:pPr>
              <w:spacing w:line="216" w:lineRule="auto"/>
            </w:pPr>
            <w:fldSimple w:instr=" FILLIN  &quot;Введите дату документа&quot; \* MERGEFORMAT ">
              <w:r>
                <w:t>26 November 2003</w:t>
              </w:r>
            </w:fldSimple>
          </w:p>
          <w:p w:rsidR="00000000" w:rsidRDefault="00000000">
            <w:pPr>
              <w:spacing w:line="216" w:lineRule="auto"/>
            </w:pPr>
          </w:p>
          <w:p w:rsidR="00000000" w:rsidRDefault="00000000">
            <w:pPr>
              <w:spacing w:line="216" w:lineRule="auto"/>
            </w:pPr>
            <w:r>
              <w:t>RUSSIAN</w:t>
            </w:r>
          </w:p>
          <w:p w:rsidR="00000000" w:rsidRDefault="00000000">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instrText xml:space="preserve"> FORMDROPDOWN </w:instrText>
            </w:r>
            <w:r>
              <w:fldChar w:fldCharType="end"/>
            </w:r>
            <w:bookmarkEnd w:id="4"/>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2004 года</w:t>
      </w:r>
    </w:p>
    <w:p w:rsidR="00000000" w:rsidRDefault="00000000"/>
    <w:p w:rsidR="00000000" w:rsidRDefault="00000000"/>
    <w:p w:rsidR="00000000" w:rsidRDefault="00000000"/>
    <w:p w:rsidR="00000000" w:rsidRDefault="00000000"/>
    <w:p w:rsidR="00000000" w:rsidRDefault="00000000"/>
    <w:p w:rsidR="00000000" w:rsidRDefault="00000000">
      <w:pPr>
        <w:jc w:val="center"/>
      </w:pPr>
      <w: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pPr>
    </w:p>
    <w:p w:rsidR="00000000" w:rsidRDefault="00000000">
      <w:pPr>
        <w:jc w:val="center"/>
        <w:rPr>
          <w:u w:val="single"/>
        </w:rPr>
      </w:pPr>
      <w:r>
        <w:rPr>
          <w:u w:val="single"/>
        </w:rPr>
        <w:t>Первоначальные доклады, представленные государствами-участниками</w:t>
      </w:r>
    </w:p>
    <w:p w:rsidR="00000000" w:rsidRDefault="00000000">
      <w:pPr>
        <w:jc w:val="center"/>
      </w:pPr>
      <w:r>
        <w:rPr>
          <w:u w:val="single"/>
        </w:rPr>
        <w:t>в соответствии со статьями 16 и 17 Пакта</w:t>
      </w:r>
      <w:r>
        <w:rPr>
          <w:rStyle w:val="FootnoteReference"/>
        </w:rPr>
        <w:footnoteReference w:customMarkFollows="1" w:id="1"/>
        <w:t>*</w:t>
      </w:r>
    </w:p>
    <w:p w:rsidR="00000000" w:rsidRDefault="00000000">
      <w:pPr>
        <w:jc w:val="center"/>
      </w:pPr>
    </w:p>
    <w:p w:rsidR="00000000" w:rsidRDefault="00000000">
      <w:pPr>
        <w:jc w:val="center"/>
      </w:pPr>
      <w:r>
        <w:rPr>
          <w:u w:val="single"/>
        </w:rPr>
        <w:t>Добавление</w:t>
      </w:r>
    </w:p>
    <w:p w:rsidR="00000000" w:rsidRDefault="00000000">
      <w:pPr>
        <w:jc w:val="center"/>
      </w:pPr>
    </w:p>
    <w:p w:rsidR="00000000" w:rsidRDefault="00000000">
      <w:pPr>
        <w:jc w:val="center"/>
      </w:pPr>
      <w:r>
        <w:t>СЕРБИЯ И ЧЕРНОГОРИЯ</w:t>
      </w:r>
    </w:p>
    <w:p w:rsidR="00000000" w:rsidRDefault="00000000">
      <w:pPr>
        <w:jc w:val="center"/>
      </w:pPr>
    </w:p>
    <w:p w:rsidR="00000000" w:rsidRDefault="00000000">
      <w:pPr>
        <w:jc w:val="right"/>
      </w:pPr>
      <w:r>
        <w:t>[10 октября 2003 года]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567"/>
          <w:tab w:val="clear" w:pos="1134"/>
          <w:tab w:val="clear" w:pos="1701"/>
          <w:tab w:val="clear" w:pos="2268"/>
          <w:tab w:val="clear" w:pos="6237"/>
          <w:tab w:val="center" w:pos="8039"/>
          <w:tab w:val="center" w:pos="9122"/>
        </w:tabs>
        <w:spacing w:line="240" w:lineRule="auto"/>
      </w:pPr>
      <w:r>
        <w:tab/>
      </w:r>
      <w:r>
        <w:rPr>
          <w:u w:val="single"/>
        </w:rPr>
        <w:t>Пункты</w:t>
      </w:r>
      <w:r>
        <w:tab/>
      </w:r>
      <w:r>
        <w:rPr>
          <w:u w:val="single"/>
        </w:rPr>
        <w:t>Стр</w:t>
      </w:r>
      <w:r>
        <w:t>.</w:t>
      </w:r>
    </w:p>
    <w:p w:rsidR="00000000" w:rsidRDefault="00000000">
      <w:pPr>
        <w:tabs>
          <w:tab w:val="clear" w:pos="567"/>
          <w:tab w:val="clear" w:pos="1134"/>
          <w:tab w:val="clear" w:pos="1701"/>
          <w:tab w:val="clear" w:pos="2268"/>
          <w:tab w:val="clear" w:pos="6237"/>
          <w:tab w:val="center" w:pos="8039"/>
          <w:tab w:val="center" w:pos="9122"/>
        </w:tabs>
        <w:spacing w:line="240" w:lineRule="auto"/>
      </w:pPr>
    </w:p>
    <w:p w:rsidR="00000000" w:rsidRDefault="00000000">
      <w:pPr>
        <w:tabs>
          <w:tab w:val="clear" w:pos="1701"/>
          <w:tab w:val="clear" w:pos="2268"/>
          <w:tab w:val="clear" w:pos="6237"/>
          <w:tab w:val="right" w:leader="dot" w:pos="7293"/>
          <w:tab w:val="decimal" w:pos="8040"/>
          <w:tab w:val="center" w:pos="9122"/>
        </w:tabs>
        <w:rPr>
          <w:lang w:val="en-US"/>
        </w:rPr>
      </w:pPr>
      <w:r>
        <w:t xml:space="preserve">Введение </w:t>
      </w:r>
      <w:r>
        <w:tab/>
      </w:r>
      <w:r>
        <w:tab/>
      </w:r>
      <w:r>
        <w:tab/>
        <w:t>1 – 7</w:t>
      </w:r>
      <w:r>
        <w:tab/>
      </w:r>
      <w:r>
        <w:rPr>
          <w:lang w:val="en-US"/>
        </w:rPr>
        <w:t>5</w:t>
      </w:r>
    </w:p>
    <w:p w:rsidR="00000000" w:rsidRDefault="00000000">
      <w:pPr>
        <w:tabs>
          <w:tab w:val="clear" w:pos="1701"/>
          <w:tab w:val="clear" w:pos="2268"/>
          <w:tab w:val="clear" w:pos="6237"/>
          <w:tab w:val="right" w:leader="dot" w:pos="7293"/>
          <w:tab w:val="decimal" w:pos="8040"/>
          <w:tab w:val="center" w:pos="9122"/>
        </w:tabs>
        <w:spacing w:line="240" w:lineRule="auto"/>
      </w:pPr>
    </w:p>
    <w:p w:rsidR="00000000" w:rsidRDefault="00000000">
      <w:pPr>
        <w:tabs>
          <w:tab w:val="clear" w:pos="1134"/>
          <w:tab w:val="clear" w:pos="1701"/>
          <w:tab w:val="clear" w:pos="2268"/>
          <w:tab w:val="clear" w:pos="6237"/>
          <w:tab w:val="right" w:leader="dot" w:pos="7293"/>
          <w:tab w:val="decimal" w:pos="8040"/>
          <w:tab w:val="center" w:pos="9122"/>
        </w:tabs>
        <w:spacing w:line="240" w:lineRule="auto"/>
      </w:pPr>
      <w:r>
        <w:t xml:space="preserve">ЧАСТЬ </w:t>
      </w:r>
      <w:proofErr w:type="spellStart"/>
      <w:r>
        <w:t>I</w:t>
      </w:r>
      <w:proofErr w:type="spellEnd"/>
      <w:r>
        <w:t>:</w:t>
      </w:r>
    </w:p>
    <w:p w:rsidR="00000000" w:rsidRDefault="00000000">
      <w:pPr>
        <w:tabs>
          <w:tab w:val="clear" w:pos="1134"/>
          <w:tab w:val="clear" w:pos="1701"/>
          <w:tab w:val="clear" w:pos="2268"/>
          <w:tab w:val="clear" w:pos="6237"/>
          <w:tab w:val="right" w:leader="dot" w:pos="7293"/>
          <w:tab w:val="decimal" w:pos="8040"/>
          <w:tab w:val="center" w:pos="9122"/>
        </w:tabs>
        <w:jc w:val="center"/>
      </w:pPr>
    </w:p>
    <w:p w:rsidR="00000000" w:rsidRDefault="00000000">
      <w:pPr>
        <w:tabs>
          <w:tab w:val="clear" w:pos="1134"/>
          <w:tab w:val="clear" w:pos="1701"/>
          <w:tab w:val="clear" w:pos="2268"/>
          <w:tab w:val="clear" w:pos="6237"/>
          <w:tab w:val="right" w:leader="dot" w:pos="7293"/>
          <w:tab w:val="decimal" w:pos="8040"/>
          <w:tab w:val="center" w:pos="9122"/>
        </w:tabs>
      </w:pPr>
      <w:r>
        <w:t xml:space="preserve">ПЕРВОНАЧАЛЬНЫЙ ДОКЛАД ОБ ОСУЩЕСТВЛЕНИИ </w:t>
      </w:r>
    </w:p>
    <w:p w:rsidR="00000000" w:rsidRDefault="00000000">
      <w:pPr>
        <w:tabs>
          <w:tab w:val="clear" w:pos="1134"/>
          <w:tab w:val="clear" w:pos="1701"/>
          <w:tab w:val="clear" w:pos="2268"/>
          <w:tab w:val="clear" w:pos="6237"/>
          <w:tab w:val="right" w:leader="dot" w:pos="7293"/>
          <w:tab w:val="decimal" w:pos="8040"/>
          <w:tab w:val="center" w:pos="9122"/>
        </w:tabs>
      </w:pPr>
      <w:r>
        <w:t xml:space="preserve">МЕЖДУНАРОДНОГО ПАКТА ОБ ЭКОНОМИЧЕСКИХ, </w:t>
      </w:r>
    </w:p>
    <w:p w:rsidR="00000000" w:rsidRDefault="00000000">
      <w:pPr>
        <w:tabs>
          <w:tab w:val="clear" w:pos="1134"/>
          <w:tab w:val="clear" w:pos="1701"/>
          <w:tab w:val="clear" w:pos="2268"/>
          <w:tab w:val="clear" w:pos="6237"/>
          <w:tab w:val="right" w:leader="dot" w:pos="7293"/>
          <w:tab w:val="decimal" w:pos="8040"/>
          <w:tab w:val="center" w:pos="9122"/>
        </w:tabs>
      </w:pPr>
      <w:r>
        <w:t xml:space="preserve">СОЦИАЛЬНЫХ И КУЛЬТУРНЫХ ПРАВАХ В СОЮЗНОЙ </w:t>
      </w:r>
    </w:p>
    <w:p w:rsidR="00000000" w:rsidRDefault="00000000">
      <w:pPr>
        <w:tabs>
          <w:tab w:val="clear" w:pos="1134"/>
          <w:tab w:val="clear" w:pos="1701"/>
          <w:tab w:val="clear" w:pos="2268"/>
          <w:tab w:val="clear" w:pos="6237"/>
          <w:tab w:val="right" w:leader="dot" w:pos="7293"/>
          <w:tab w:val="decimal" w:pos="8040"/>
          <w:tab w:val="center" w:pos="9122"/>
        </w:tabs>
      </w:pPr>
      <w:r>
        <w:t>РЕСПУБЛИКЕ ЮГОСЛАВИИ И РЕСПУБЛИКЕ СЕРБИИ</w:t>
      </w:r>
    </w:p>
    <w:p w:rsidR="00000000" w:rsidRDefault="00000000">
      <w:pPr>
        <w:tabs>
          <w:tab w:val="clear" w:pos="1134"/>
          <w:tab w:val="clear" w:pos="1701"/>
          <w:tab w:val="clear" w:pos="2268"/>
          <w:tab w:val="clear" w:pos="6237"/>
          <w:tab w:val="right" w:leader="dot" w:pos="7293"/>
          <w:tab w:val="decimal" w:pos="8040"/>
          <w:tab w:val="center" w:pos="9122"/>
        </w:tabs>
      </w:pPr>
      <w:r>
        <w:t xml:space="preserve">ЗА ПЕРИОД 1990–2002 ГОДОВ </w:t>
      </w:r>
      <w:r>
        <w:tab/>
      </w:r>
      <w:r>
        <w:tab/>
        <w:t>8 – 449</w:t>
      </w:r>
      <w:r>
        <w:tab/>
        <w:t>6</w:t>
      </w:r>
    </w:p>
    <w:p w:rsidR="00000000" w:rsidRDefault="00000000">
      <w:pPr>
        <w:tabs>
          <w:tab w:val="clear" w:pos="1134"/>
          <w:tab w:val="clear" w:pos="1701"/>
          <w:tab w:val="clear" w:pos="2268"/>
          <w:tab w:val="clear" w:pos="6237"/>
          <w:tab w:val="right" w:leader="dot" w:pos="7293"/>
          <w:tab w:val="decimal" w:pos="8040"/>
          <w:tab w:val="center" w:pos="9122"/>
        </w:tabs>
      </w:pP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 </w:t>
      </w:r>
      <w:r>
        <w:tab/>
      </w:r>
      <w:r>
        <w:tab/>
        <w:t>8 – 9</w:t>
      </w:r>
      <w:r>
        <w:tab/>
      </w:r>
      <w:r>
        <w:rPr>
          <w:lang w:val="en-US"/>
        </w:rPr>
        <w:t>6</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2 </w:t>
      </w:r>
      <w:r>
        <w:tab/>
      </w:r>
      <w:r>
        <w:tab/>
        <w:t>10 – 12</w:t>
      </w:r>
      <w:r>
        <w:tab/>
      </w:r>
      <w:r>
        <w:rPr>
          <w:lang w:val="en-US"/>
        </w:rPr>
        <w:t>7</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3 </w:t>
      </w:r>
      <w:r>
        <w:tab/>
      </w:r>
      <w:r>
        <w:tab/>
        <w:t>13 – 21</w:t>
      </w:r>
      <w:r>
        <w:tab/>
      </w:r>
      <w:r>
        <w:rPr>
          <w:lang w:val="en-US"/>
        </w:rPr>
        <w:t>8</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4 </w:t>
      </w:r>
      <w:r>
        <w:tab/>
      </w:r>
      <w:r>
        <w:tab/>
        <w:t>22 – 24</w:t>
      </w:r>
      <w:r>
        <w:tab/>
      </w:r>
      <w:r>
        <w:rPr>
          <w:lang w:val="en-US"/>
        </w:rPr>
        <w:t>10</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5 </w:t>
      </w:r>
      <w:r>
        <w:tab/>
      </w:r>
      <w:r>
        <w:tab/>
        <w:t>25 – 27</w:t>
      </w:r>
      <w:r>
        <w:tab/>
      </w:r>
      <w:r>
        <w:rPr>
          <w:lang w:val="en-US"/>
        </w:rPr>
        <w:t>11</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6 </w:t>
      </w:r>
      <w:r>
        <w:tab/>
      </w:r>
      <w:r>
        <w:tab/>
        <w:t>28 – 60</w:t>
      </w:r>
      <w:r>
        <w:tab/>
      </w:r>
      <w:r>
        <w:rPr>
          <w:lang w:val="en-US"/>
        </w:rPr>
        <w:t>12</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7 </w:t>
      </w:r>
      <w:r>
        <w:tab/>
      </w:r>
      <w:r>
        <w:tab/>
        <w:t>61 – 117</w:t>
      </w:r>
      <w:r>
        <w:tab/>
      </w:r>
      <w:r>
        <w:rPr>
          <w:lang w:val="en-US"/>
        </w:rPr>
        <w:t>21</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8 </w:t>
      </w:r>
      <w:r>
        <w:tab/>
      </w:r>
      <w:r>
        <w:tab/>
        <w:t>118 – 145</w:t>
      </w:r>
      <w:r>
        <w:tab/>
      </w:r>
      <w:r>
        <w:rPr>
          <w:lang w:val="en-US"/>
        </w:rPr>
        <w:t>36</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9 </w:t>
      </w:r>
      <w:r>
        <w:tab/>
      </w:r>
      <w:r>
        <w:tab/>
        <w:t>146 – 200</w:t>
      </w:r>
      <w:r>
        <w:tab/>
      </w:r>
      <w:r>
        <w:rPr>
          <w:lang w:val="en-US"/>
        </w:rPr>
        <w:t>42</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10 </w:t>
      </w:r>
      <w:r>
        <w:tab/>
      </w:r>
      <w:r>
        <w:tab/>
        <w:t>201 – 233</w:t>
      </w:r>
      <w:r>
        <w:tab/>
      </w:r>
      <w:r>
        <w:rPr>
          <w:lang w:val="en-US"/>
        </w:rPr>
        <w:t>58</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11 </w:t>
      </w:r>
      <w:r>
        <w:tab/>
      </w:r>
      <w:r>
        <w:tab/>
        <w:t>234 – 256</w:t>
      </w:r>
      <w:r>
        <w:tab/>
      </w:r>
      <w:r>
        <w:rPr>
          <w:lang w:val="en-US"/>
        </w:rPr>
        <w:t>65</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12 </w:t>
      </w:r>
      <w:r>
        <w:tab/>
      </w:r>
      <w:r>
        <w:tab/>
        <w:t>257 – 332</w:t>
      </w:r>
      <w:r>
        <w:tab/>
      </w:r>
      <w:r>
        <w:rPr>
          <w:lang w:val="en-US"/>
        </w:rPr>
        <w:t>72</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13 </w:t>
      </w:r>
      <w:r>
        <w:tab/>
      </w:r>
      <w:r>
        <w:tab/>
        <w:t>333 – 404</w:t>
      </w:r>
      <w:r>
        <w:tab/>
      </w:r>
      <w:r>
        <w:rPr>
          <w:lang w:val="en-US"/>
        </w:rPr>
        <w:t>97</w:t>
      </w:r>
    </w:p>
    <w:p w:rsidR="00000000" w:rsidRDefault="00000000">
      <w:pPr>
        <w:tabs>
          <w:tab w:val="clear" w:pos="1134"/>
          <w:tab w:val="clear" w:pos="1701"/>
          <w:tab w:val="clear" w:pos="2268"/>
          <w:tab w:val="clear" w:pos="6237"/>
          <w:tab w:val="right" w:leader="dot" w:pos="7293"/>
          <w:tab w:val="center" w:pos="8040"/>
          <w:tab w:val="center" w:pos="9122"/>
        </w:tabs>
        <w:rPr>
          <w:lang w:val="en-US"/>
        </w:rPr>
      </w:pPr>
      <w:r>
        <w:t xml:space="preserve">Статья 14 </w:t>
      </w:r>
      <w:r>
        <w:tab/>
      </w:r>
      <w:r>
        <w:tab/>
        <w:t>405</w:t>
      </w:r>
      <w:r>
        <w:tab/>
      </w:r>
      <w:r>
        <w:rPr>
          <w:lang w:val="en-US"/>
        </w:rPr>
        <w:t>126</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15 </w:t>
      </w:r>
      <w:r>
        <w:tab/>
      </w:r>
      <w:r>
        <w:tab/>
        <w:t>406 – 449</w:t>
      </w:r>
      <w:r>
        <w:tab/>
      </w:r>
      <w:r>
        <w:rPr>
          <w:lang w:val="en-US"/>
        </w:rPr>
        <w:t>126</w:t>
      </w:r>
    </w:p>
    <w:p w:rsidR="00000000" w:rsidRDefault="00000000">
      <w:pPr>
        <w:tabs>
          <w:tab w:val="clear" w:pos="1134"/>
          <w:tab w:val="clear" w:pos="1701"/>
          <w:tab w:val="clear" w:pos="2268"/>
          <w:tab w:val="clear" w:pos="6237"/>
          <w:tab w:val="right" w:leader="dot" w:pos="7293"/>
          <w:tab w:val="decimal" w:pos="8040"/>
          <w:tab w:val="center" w:pos="9122"/>
        </w:tabs>
      </w:pPr>
    </w:p>
    <w:p w:rsidR="00000000" w:rsidRDefault="00000000">
      <w:pPr>
        <w:tabs>
          <w:tab w:val="clear" w:pos="1134"/>
          <w:tab w:val="clear" w:pos="1701"/>
          <w:tab w:val="clear" w:pos="2268"/>
          <w:tab w:val="clear" w:pos="6237"/>
          <w:tab w:val="right" w:leader="dot" w:pos="7293"/>
          <w:tab w:val="decimal" w:pos="8040"/>
          <w:tab w:val="center" w:pos="9122"/>
        </w:tabs>
      </w:pPr>
      <w:r>
        <w:t xml:space="preserve">ЧАСТЬ </w:t>
      </w:r>
      <w:proofErr w:type="spellStart"/>
      <w:r>
        <w:t>II</w:t>
      </w:r>
      <w:proofErr w:type="spellEnd"/>
      <w:r>
        <w:t>:</w:t>
      </w:r>
    </w:p>
    <w:p w:rsidR="00000000" w:rsidRDefault="00000000">
      <w:pPr>
        <w:tabs>
          <w:tab w:val="clear" w:pos="1134"/>
          <w:tab w:val="clear" w:pos="1701"/>
          <w:tab w:val="clear" w:pos="2268"/>
          <w:tab w:val="clear" w:pos="6237"/>
          <w:tab w:val="right" w:leader="dot" w:pos="7293"/>
          <w:tab w:val="decimal" w:pos="8040"/>
          <w:tab w:val="center" w:pos="9122"/>
        </w:tabs>
        <w:jc w:val="center"/>
      </w:pPr>
    </w:p>
    <w:p w:rsidR="00000000" w:rsidRDefault="00000000">
      <w:pPr>
        <w:tabs>
          <w:tab w:val="clear" w:pos="1134"/>
          <w:tab w:val="clear" w:pos="1701"/>
          <w:tab w:val="clear" w:pos="2268"/>
          <w:tab w:val="clear" w:pos="6237"/>
          <w:tab w:val="right" w:leader="dot" w:pos="7293"/>
          <w:tab w:val="decimal" w:pos="8040"/>
          <w:tab w:val="center" w:pos="9122"/>
        </w:tabs>
      </w:pPr>
      <w:r>
        <w:t xml:space="preserve">ПЕРВОНАЧАЛЬНЫЙ ДОКЛАД ОБ ОСУЩЕСТВЛЕНИИ </w:t>
      </w:r>
    </w:p>
    <w:p w:rsidR="00000000" w:rsidRDefault="00000000">
      <w:pPr>
        <w:tabs>
          <w:tab w:val="clear" w:pos="1134"/>
          <w:tab w:val="clear" w:pos="1701"/>
          <w:tab w:val="clear" w:pos="2268"/>
          <w:tab w:val="clear" w:pos="6237"/>
          <w:tab w:val="right" w:leader="dot" w:pos="7293"/>
          <w:tab w:val="decimal" w:pos="8040"/>
          <w:tab w:val="center" w:pos="9122"/>
        </w:tabs>
      </w:pPr>
      <w:r>
        <w:t xml:space="preserve">МЕЖДУНАРОДНОГО ПАКТА ОБ ЭКОНОМИЧЕСКИХ, </w:t>
      </w:r>
    </w:p>
    <w:p w:rsidR="00000000" w:rsidRDefault="00000000">
      <w:pPr>
        <w:tabs>
          <w:tab w:val="clear" w:pos="1134"/>
          <w:tab w:val="clear" w:pos="1701"/>
          <w:tab w:val="clear" w:pos="2268"/>
          <w:tab w:val="clear" w:pos="6237"/>
          <w:tab w:val="right" w:leader="dot" w:pos="7293"/>
          <w:tab w:val="decimal" w:pos="8040"/>
          <w:tab w:val="center" w:pos="9122"/>
        </w:tabs>
      </w:pPr>
      <w:r>
        <w:t>СОЦИАЛЬНЫХ И КУЛЬТУРНЫХ ПРАВАХ В РЕСПУБЛИКЕ</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ЧЕРНОГОРИИ ЗА ПЕРИОД 1990–2002 ГОДОВ</w:t>
      </w:r>
      <w:r>
        <w:tab/>
      </w:r>
      <w:r>
        <w:tab/>
        <w:t>450 – 771</w:t>
      </w:r>
      <w:r>
        <w:tab/>
      </w:r>
      <w:r>
        <w:rPr>
          <w:lang w:val="en-US"/>
        </w:rPr>
        <w:t>135</w:t>
      </w:r>
    </w:p>
    <w:p w:rsidR="00000000" w:rsidRDefault="00000000">
      <w:pPr>
        <w:tabs>
          <w:tab w:val="clear" w:pos="1134"/>
          <w:tab w:val="clear" w:pos="1701"/>
          <w:tab w:val="clear" w:pos="2268"/>
          <w:tab w:val="clear" w:pos="6237"/>
          <w:tab w:val="right" w:leader="dot" w:pos="7293"/>
          <w:tab w:val="decimal" w:pos="8040"/>
          <w:tab w:val="center" w:pos="9122"/>
        </w:tabs>
      </w:pP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 </w:t>
      </w:r>
      <w:r>
        <w:tab/>
      </w:r>
      <w:r>
        <w:tab/>
        <w:t>450 – 480</w:t>
      </w:r>
      <w:r>
        <w:tab/>
      </w:r>
      <w:r>
        <w:rPr>
          <w:lang w:val="en-US"/>
        </w:rPr>
        <w:t>135</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2 </w:t>
      </w:r>
      <w:r>
        <w:tab/>
      </w:r>
      <w:r>
        <w:tab/>
        <w:t>481 – 482</w:t>
      </w:r>
      <w:r>
        <w:tab/>
      </w:r>
      <w:r>
        <w:rPr>
          <w:lang w:val="en-US"/>
        </w:rPr>
        <w:t>139</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3 </w:t>
      </w:r>
      <w:r>
        <w:tab/>
      </w:r>
      <w:r>
        <w:tab/>
        <w:t>483 – 500</w:t>
      </w:r>
      <w:r>
        <w:tab/>
      </w:r>
      <w:r>
        <w:rPr>
          <w:lang w:val="en-US"/>
        </w:rPr>
        <w:t>143</w:t>
      </w:r>
    </w:p>
    <w:p w:rsidR="00000000" w:rsidRDefault="00000000">
      <w:pPr>
        <w:tabs>
          <w:tab w:val="decimal" w:pos="8040"/>
        </w:tabs>
        <w:spacing w:line="240" w:lineRule="auto"/>
        <w:jc w:val="center"/>
      </w:pPr>
      <w:r>
        <w:t>СОДЕРЖАНИЕ (</w:t>
      </w:r>
      <w:r>
        <w:rPr>
          <w:u w:val="single"/>
        </w:rPr>
        <w:t>продолжение</w:t>
      </w:r>
      <w:r>
        <w:t>)</w:t>
      </w:r>
    </w:p>
    <w:p w:rsidR="00000000" w:rsidRDefault="00000000">
      <w:pPr>
        <w:tabs>
          <w:tab w:val="decimal" w:pos="8040"/>
        </w:tabs>
        <w:spacing w:line="240" w:lineRule="auto"/>
        <w:jc w:val="center"/>
      </w:pPr>
    </w:p>
    <w:p w:rsidR="00000000" w:rsidRDefault="00000000">
      <w:pPr>
        <w:tabs>
          <w:tab w:val="clear" w:pos="567"/>
          <w:tab w:val="clear" w:pos="1134"/>
          <w:tab w:val="clear" w:pos="1701"/>
          <w:tab w:val="clear" w:pos="2268"/>
          <w:tab w:val="clear" w:pos="6237"/>
          <w:tab w:val="center" w:pos="8040"/>
          <w:tab w:val="center" w:pos="9122"/>
        </w:tabs>
        <w:spacing w:line="240" w:lineRule="auto"/>
      </w:pPr>
      <w:r>
        <w:tab/>
      </w:r>
      <w:r>
        <w:rPr>
          <w:u w:val="single"/>
        </w:rPr>
        <w:t>Пункты</w:t>
      </w:r>
      <w:r>
        <w:tab/>
      </w:r>
      <w:r>
        <w:rPr>
          <w:u w:val="single"/>
        </w:rPr>
        <w:t>Стр</w:t>
      </w:r>
      <w:r>
        <w:t>.</w:t>
      </w:r>
    </w:p>
    <w:p w:rsidR="00000000" w:rsidRDefault="00000000">
      <w:pPr>
        <w:tabs>
          <w:tab w:val="clear" w:pos="1134"/>
          <w:tab w:val="clear" w:pos="1701"/>
          <w:tab w:val="clear" w:pos="2268"/>
          <w:tab w:val="clear" w:pos="6237"/>
          <w:tab w:val="right" w:leader="dot" w:pos="7293"/>
          <w:tab w:val="decimal" w:pos="8040"/>
          <w:tab w:val="center" w:pos="9122"/>
        </w:tabs>
      </w:pP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4 </w:t>
      </w:r>
      <w:r>
        <w:tab/>
      </w:r>
      <w:r>
        <w:tab/>
        <w:t>501 – 502</w:t>
      </w:r>
      <w:r>
        <w:tab/>
      </w:r>
      <w:r>
        <w:rPr>
          <w:lang w:val="en-US"/>
        </w:rPr>
        <w:t>148</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5 </w:t>
      </w:r>
      <w:r>
        <w:tab/>
      </w:r>
      <w:r>
        <w:tab/>
        <w:t>503 – 504</w:t>
      </w:r>
      <w:r>
        <w:tab/>
      </w:r>
      <w:r>
        <w:rPr>
          <w:lang w:val="en-US"/>
        </w:rPr>
        <w:t>148</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6 </w:t>
      </w:r>
      <w:r>
        <w:tab/>
      </w:r>
      <w:r>
        <w:tab/>
        <w:t>505 – 528</w:t>
      </w:r>
      <w:r>
        <w:tab/>
      </w:r>
      <w:r>
        <w:rPr>
          <w:lang w:val="en-US"/>
        </w:rPr>
        <w:t>149</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7 </w:t>
      </w:r>
      <w:r>
        <w:tab/>
      </w:r>
      <w:r>
        <w:tab/>
        <w:t>529 – 560</w:t>
      </w:r>
      <w:r>
        <w:tab/>
      </w:r>
      <w:r>
        <w:rPr>
          <w:lang w:val="en-US"/>
        </w:rPr>
        <w:t>154</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8 </w:t>
      </w:r>
      <w:r>
        <w:tab/>
      </w:r>
      <w:r>
        <w:tab/>
        <w:t>561 – 575</w:t>
      </w:r>
      <w:r>
        <w:tab/>
      </w:r>
      <w:r>
        <w:rPr>
          <w:lang w:val="en-US"/>
        </w:rPr>
        <w:t>160</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9 </w:t>
      </w:r>
      <w:r>
        <w:tab/>
      </w:r>
      <w:r>
        <w:tab/>
        <w:t>576 – 595</w:t>
      </w:r>
      <w:r>
        <w:tab/>
      </w:r>
      <w:r>
        <w:rPr>
          <w:lang w:val="en-US"/>
        </w:rPr>
        <w:t>163</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10 </w:t>
      </w:r>
      <w:r>
        <w:tab/>
      </w:r>
      <w:r>
        <w:tab/>
        <w:t>596 – 605</w:t>
      </w:r>
      <w:r>
        <w:tab/>
      </w:r>
      <w:r>
        <w:rPr>
          <w:lang w:val="en-US"/>
        </w:rPr>
        <w:t>167</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11 </w:t>
      </w:r>
      <w:r>
        <w:tab/>
      </w:r>
      <w:r>
        <w:tab/>
        <w:t>606 – 625</w:t>
      </w:r>
      <w:r>
        <w:tab/>
      </w:r>
      <w:r>
        <w:rPr>
          <w:lang w:val="en-US"/>
        </w:rPr>
        <w:t>168</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Статья 12 </w:t>
      </w:r>
      <w:r>
        <w:tab/>
      </w:r>
      <w:r>
        <w:tab/>
        <w:t>626 – 728</w:t>
      </w:r>
      <w:r>
        <w:tab/>
      </w:r>
      <w:r>
        <w:rPr>
          <w:lang w:val="en-US"/>
        </w:rPr>
        <w:t>172</w:t>
      </w:r>
    </w:p>
    <w:p w:rsidR="00000000" w:rsidRDefault="00000000">
      <w:pPr>
        <w:tabs>
          <w:tab w:val="clear" w:pos="1134"/>
          <w:tab w:val="clear" w:pos="1701"/>
          <w:tab w:val="clear" w:pos="2268"/>
          <w:tab w:val="clear" w:pos="6237"/>
          <w:tab w:val="right" w:leader="dot" w:pos="7293"/>
          <w:tab w:val="decimal" w:pos="8040"/>
          <w:tab w:val="center" w:pos="9122"/>
        </w:tabs>
        <w:rPr>
          <w:lang w:val="en-US"/>
        </w:rPr>
      </w:pPr>
      <w:r>
        <w:t xml:space="preserve">Статьи 13, 14 и 15 </w:t>
      </w:r>
      <w:r>
        <w:tab/>
      </w:r>
      <w:r>
        <w:tab/>
        <w:t>729 – 771</w:t>
      </w:r>
      <w:r>
        <w:tab/>
      </w:r>
      <w:r>
        <w:rPr>
          <w:lang w:val="en-US"/>
        </w:rPr>
        <w:t>200</w:t>
      </w:r>
    </w:p>
    <w:p w:rsidR="00000000" w:rsidRDefault="00000000">
      <w:pPr>
        <w:tabs>
          <w:tab w:val="clear" w:pos="1134"/>
          <w:tab w:val="clear" w:pos="1701"/>
          <w:tab w:val="clear" w:pos="2268"/>
          <w:tab w:val="clear" w:pos="6237"/>
          <w:tab w:val="right" w:leader="dot" w:pos="7293"/>
          <w:tab w:val="decimal" w:pos="8040"/>
          <w:tab w:val="center" w:pos="9122"/>
        </w:tabs>
      </w:pPr>
    </w:p>
    <w:p w:rsidR="00000000" w:rsidRDefault="00000000">
      <w:pPr>
        <w:pageBreakBefore/>
        <w:jc w:val="center"/>
        <w:rPr>
          <w:b/>
          <w:bCs/>
        </w:rPr>
      </w:pPr>
      <w:r>
        <w:rPr>
          <w:b/>
          <w:bCs/>
        </w:rPr>
        <w:t>СОКРАЩЕНИЯ</w:t>
      </w:r>
    </w:p>
    <w:p w:rsidR="00000000" w:rsidRDefault="00000000">
      <w:pPr>
        <w:jc w:val="center"/>
        <w:rPr>
          <w:b/>
          <w:bCs/>
        </w:rPr>
      </w:pPr>
    </w:p>
    <w:tbl>
      <w:tblPr>
        <w:tblW w:w="0" w:type="auto"/>
        <w:tblCellMar>
          <w:left w:w="0" w:type="dxa"/>
          <w:bottom w:w="227" w:type="dxa"/>
          <w:right w:w="0" w:type="dxa"/>
        </w:tblCellMar>
        <w:tblLook w:val="0000" w:firstRow="0" w:lastRow="0" w:firstColumn="0" w:lastColumn="0" w:noHBand="0" w:noVBand="0"/>
      </w:tblPr>
      <w:tblGrid>
        <w:gridCol w:w="1425"/>
        <w:gridCol w:w="7940"/>
      </w:tblGrid>
      <w:tr w:rsidR="00000000">
        <w:tblPrEx>
          <w:tblCellMar>
            <w:top w:w="0" w:type="dxa"/>
          </w:tblCellMar>
        </w:tblPrEx>
        <w:tc>
          <w:tcPr>
            <w:tcW w:w="1425" w:type="dxa"/>
          </w:tcPr>
          <w:p w:rsidR="00000000" w:rsidRDefault="00000000">
            <w:proofErr w:type="spellStart"/>
            <w:r>
              <w:t>БДИПЧ</w:t>
            </w:r>
            <w:proofErr w:type="spellEnd"/>
          </w:p>
        </w:tc>
        <w:tc>
          <w:tcPr>
            <w:tcW w:w="7940" w:type="dxa"/>
          </w:tcPr>
          <w:p w:rsidR="00000000" w:rsidRDefault="00000000">
            <w:r>
              <w:t>Бюро по демократическим институтам и правам человека (Организация по безопасности и сотрудничеству в Европе)</w:t>
            </w:r>
          </w:p>
        </w:tc>
      </w:tr>
      <w:tr w:rsidR="00000000">
        <w:tblPrEx>
          <w:tblCellMar>
            <w:top w:w="0" w:type="dxa"/>
          </w:tblCellMar>
        </w:tblPrEx>
        <w:tc>
          <w:tcPr>
            <w:tcW w:w="1425" w:type="dxa"/>
          </w:tcPr>
          <w:p w:rsidR="00000000" w:rsidRDefault="00000000">
            <w:proofErr w:type="spellStart"/>
            <w:r>
              <w:t>ВПЛ</w:t>
            </w:r>
            <w:proofErr w:type="spellEnd"/>
          </w:p>
        </w:tc>
        <w:tc>
          <w:tcPr>
            <w:tcW w:w="7940" w:type="dxa"/>
          </w:tcPr>
          <w:p w:rsidR="00000000" w:rsidRDefault="00000000">
            <w:r>
              <w:t>Внутренние перемещенные лица</w:t>
            </w:r>
          </w:p>
        </w:tc>
      </w:tr>
      <w:tr w:rsidR="00000000">
        <w:tblPrEx>
          <w:tblCellMar>
            <w:top w:w="0" w:type="dxa"/>
          </w:tblCellMar>
        </w:tblPrEx>
        <w:tc>
          <w:tcPr>
            <w:tcW w:w="1425" w:type="dxa"/>
          </w:tcPr>
          <w:p w:rsidR="00000000" w:rsidRDefault="00000000">
            <w:r>
              <w:t>ЕС</w:t>
            </w:r>
          </w:p>
        </w:tc>
        <w:tc>
          <w:tcPr>
            <w:tcW w:w="7940" w:type="dxa"/>
          </w:tcPr>
          <w:p w:rsidR="00000000" w:rsidRDefault="00000000">
            <w:r>
              <w:t>Европейский союз</w:t>
            </w:r>
          </w:p>
        </w:tc>
      </w:tr>
      <w:tr w:rsidR="00000000">
        <w:tblPrEx>
          <w:tblCellMar>
            <w:top w:w="0" w:type="dxa"/>
          </w:tblCellMar>
        </w:tblPrEx>
        <w:tc>
          <w:tcPr>
            <w:tcW w:w="1425" w:type="dxa"/>
          </w:tcPr>
          <w:p w:rsidR="00000000" w:rsidRDefault="00000000">
            <w:proofErr w:type="spellStart"/>
            <w:r>
              <w:t>ЕЭК</w:t>
            </w:r>
            <w:proofErr w:type="spellEnd"/>
            <w:r>
              <w:t xml:space="preserve"> ООН</w:t>
            </w:r>
          </w:p>
        </w:tc>
        <w:tc>
          <w:tcPr>
            <w:tcW w:w="7940" w:type="dxa"/>
          </w:tcPr>
          <w:p w:rsidR="00000000" w:rsidRDefault="00000000">
            <w:r>
              <w:t>Европейская экономическая комиссия Организации Объединенных Наций</w:t>
            </w:r>
          </w:p>
        </w:tc>
      </w:tr>
      <w:tr w:rsidR="00000000">
        <w:tblPrEx>
          <w:tblCellMar>
            <w:top w:w="0" w:type="dxa"/>
          </w:tblCellMar>
        </w:tblPrEx>
        <w:tc>
          <w:tcPr>
            <w:tcW w:w="1425" w:type="dxa"/>
          </w:tcPr>
          <w:p w:rsidR="00000000" w:rsidRDefault="00000000">
            <w:r>
              <w:t>МВФ</w:t>
            </w:r>
          </w:p>
        </w:tc>
        <w:tc>
          <w:tcPr>
            <w:tcW w:w="7940" w:type="dxa"/>
          </w:tcPr>
          <w:p w:rsidR="00000000" w:rsidRDefault="00000000">
            <w:r>
              <w:t>Международный валютный фонд</w:t>
            </w:r>
          </w:p>
        </w:tc>
      </w:tr>
      <w:tr w:rsidR="00000000">
        <w:tblPrEx>
          <w:tblCellMar>
            <w:top w:w="0" w:type="dxa"/>
          </w:tblCellMar>
        </w:tblPrEx>
        <w:tc>
          <w:tcPr>
            <w:tcW w:w="1425" w:type="dxa"/>
          </w:tcPr>
          <w:p w:rsidR="00000000" w:rsidRDefault="00000000">
            <w:proofErr w:type="spellStart"/>
            <w:r>
              <w:t>MISC</w:t>
            </w:r>
            <w:proofErr w:type="spellEnd"/>
          </w:p>
        </w:tc>
        <w:tc>
          <w:tcPr>
            <w:tcW w:w="7940" w:type="dxa"/>
          </w:tcPr>
          <w:p w:rsidR="00000000" w:rsidRDefault="00000000">
            <w:r>
              <w:t>Обследование с применением методологии многофакторной гнездовой выборки (Детский фонд Организации Объединенных Наций)</w:t>
            </w:r>
          </w:p>
        </w:tc>
      </w:tr>
      <w:tr w:rsidR="00000000">
        <w:tblPrEx>
          <w:tblCellMar>
            <w:top w:w="0" w:type="dxa"/>
          </w:tblCellMar>
        </w:tblPrEx>
        <w:tc>
          <w:tcPr>
            <w:tcW w:w="1425" w:type="dxa"/>
          </w:tcPr>
          <w:p w:rsidR="00000000" w:rsidRDefault="00000000">
            <w:proofErr w:type="spellStart"/>
            <w:r>
              <w:t>ММР</w:t>
            </w:r>
            <w:proofErr w:type="spellEnd"/>
          </w:p>
        </w:tc>
        <w:tc>
          <w:tcPr>
            <w:tcW w:w="7940" w:type="dxa"/>
          </w:tcPr>
          <w:p w:rsidR="00000000" w:rsidRDefault="00000000">
            <w:r>
              <w:t>Министерство по вопросам международного развития, Соединенное Королевство Великобритании и Северной Ирландии</w:t>
            </w:r>
          </w:p>
        </w:tc>
      </w:tr>
      <w:tr w:rsidR="00000000">
        <w:tblPrEx>
          <w:tblCellMar>
            <w:top w:w="0" w:type="dxa"/>
          </w:tblCellMar>
        </w:tblPrEx>
        <w:tc>
          <w:tcPr>
            <w:tcW w:w="1425" w:type="dxa"/>
          </w:tcPr>
          <w:p w:rsidR="00000000" w:rsidRDefault="00000000">
            <w:proofErr w:type="spellStart"/>
            <w:r>
              <w:t>ПРООН</w:t>
            </w:r>
            <w:proofErr w:type="spellEnd"/>
          </w:p>
        </w:tc>
        <w:tc>
          <w:tcPr>
            <w:tcW w:w="7940" w:type="dxa"/>
          </w:tcPr>
          <w:p w:rsidR="00000000" w:rsidRDefault="00000000">
            <w:r>
              <w:t>Программа развития Организации Объединенных Наций</w:t>
            </w:r>
          </w:p>
        </w:tc>
      </w:tr>
      <w:tr w:rsidR="00000000">
        <w:tblPrEx>
          <w:tblCellMar>
            <w:top w:w="0" w:type="dxa"/>
          </w:tblCellMar>
        </w:tblPrEx>
        <w:tc>
          <w:tcPr>
            <w:tcW w:w="1425" w:type="dxa"/>
          </w:tcPr>
          <w:p w:rsidR="00000000" w:rsidRDefault="00000000">
            <w:proofErr w:type="spellStart"/>
            <w:r>
              <w:t>РГГР</w:t>
            </w:r>
            <w:proofErr w:type="spellEnd"/>
          </w:p>
        </w:tc>
        <w:tc>
          <w:tcPr>
            <w:tcW w:w="7940" w:type="dxa"/>
          </w:tcPr>
          <w:p w:rsidR="00000000" w:rsidRDefault="00000000">
            <w:r>
              <w:t xml:space="preserve">Рабочая группа по вопросам </w:t>
            </w:r>
            <w:proofErr w:type="spellStart"/>
            <w:r>
              <w:t>гендерного</w:t>
            </w:r>
            <w:proofErr w:type="spellEnd"/>
            <w:r>
              <w:t xml:space="preserve"> равенства, Пакт стабильности - для Юго-Восточной Европы</w:t>
            </w:r>
          </w:p>
        </w:tc>
      </w:tr>
      <w:tr w:rsidR="00000000">
        <w:tblPrEx>
          <w:tblCellMar>
            <w:top w:w="0" w:type="dxa"/>
          </w:tblCellMar>
        </w:tblPrEx>
        <w:tc>
          <w:tcPr>
            <w:tcW w:w="1425" w:type="dxa"/>
          </w:tcPr>
          <w:p w:rsidR="00000000" w:rsidRDefault="00000000">
            <w:r>
              <w:t>СРЮ</w:t>
            </w:r>
          </w:p>
        </w:tc>
        <w:tc>
          <w:tcPr>
            <w:tcW w:w="7940" w:type="dxa"/>
          </w:tcPr>
          <w:p w:rsidR="00000000" w:rsidRDefault="00000000">
            <w:r>
              <w:t>Союзная Республика Югославия</w:t>
            </w:r>
          </w:p>
        </w:tc>
      </w:tr>
      <w:tr w:rsidR="00000000">
        <w:tblPrEx>
          <w:tblCellMar>
            <w:top w:w="0" w:type="dxa"/>
          </w:tblCellMar>
        </w:tblPrEx>
        <w:tc>
          <w:tcPr>
            <w:tcW w:w="1425" w:type="dxa"/>
          </w:tcPr>
          <w:p w:rsidR="00000000" w:rsidRDefault="00000000">
            <w:proofErr w:type="spellStart"/>
            <w:r>
              <w:t>ФАО</w:t>
            </w:r>
            <w:proofErr w:type="spellEnd"/>
          </w:p>
        </w:tc>
        <w:tc>
          <w:tcPr>
            <w:tcW w:w="7940" w:type="dxa"/>
          </w:tcPr>
          <w:p w:rsidR="00000000" w:rsidRDefault="00000000">
            <w:r>
              <w:t>Продовольственная и сельскохозяйственная организация Объединенных Наций</w:t>
            </w:r>
          </w:p>
        </w:tc>
      </w:tr>
      <w:tr w:rsidR="00000000">
        <w:tblPrEx>
          <w:tblCellMar>
            <w:top w:w="0" w:type="dxa"/>
          </w:tblCellMar>
        </w:tblPrEx>
        <w:tc>
          <w:tcPr>
            <w:tcW w:w="1425" w:type="dxa"/>
          </w:tcPr>
          <w:p w:rsidR="00000000" w:rsidRDefault="00000000">
            <w:proofErr w:type="spellStart"/>
            <w:r>
              <w:t>ФРПР</w:t>
            </w:r>
            <w:proofErr w:type="spellEnd"/>
          </w:p>
        </w:tc>
        <w:tc>
          <w:tcPr>
            <w:tcW w:w="7940" w:type="dxa"/>
          </w:tcPr>
          <w:p w:rsidR="00000000" w:rsidRDefault="00000000">
            <w:r>
              <w:t>Фонд разработки политики и развития людских ресурсов (Всемирный банк)</w:t>
            </w:r>
          </w:p>
        </w:tc>
      </w:tr>
      <w:tr w:rsidR="00000000">
        <w:tblPrEx>
          <w:tblCellMar>
            <w:top w:w="0" w:type="dxa"/>
          </w:tblCellMar>
        </w:tblPrEx>
        <w:tc>
          <w:tcPr>
            <w:tcW w:w="1425" w:type="dxa"/>
          </w:tcPr>
          <w:p w:rsidR="00000000" w:rsidRDefault="00000000">
            <w:proofErr w:type="spellStart"/>
            <w:r>
              <w:t>ЮНЕП</w:t>
            </w:r>
            <w:proofErr w:type="spellEnd"/>
          </w:p>
        </w:tc>
        <w:tc>
          <w:tcPr>
            <w:tcW w:w="7940" w:type="dxa"/>
          </w:tcPr>
          <w:p w:rsidR="00000000" w:rsidRDefault="00000000">
            <w:r>
              <w:t xml:space="preserve">Программа по окружающей среде Организации Объединенных Наций </w:t>
            </w:r>
          </w:p>
        </w:tc>
      </w:tr>
      <w:tr w:rsidR="00000000">
        <w:tblPrEx>
          <w:tblCellMar>
            <w:top w:w="0" w:type="dxa"/>
          </w:tblCellMar>
        </w:tblPrEx>
        <w:tc>
          <w:tcPr>
            <w:tcW w:w="1425" w:type="dxa"/>
          </w:tcPr>
          <w:p w:rsidR="00000000" w:rsidRDefault="00000000">
            <w:proofErr w:type="spellStart"/>
            <w:r>
              <w:t>ЮНИДО</w:t>
            </w:r>
            <w:proofErr w:type="spellEnd"/>
          </w:p>
        </w:tc>
        <w:tc>
          <w:tcPr>
            <w:tcW w:w="7940" w:type="dxa"/>
          </w:tcPr>
          <w:p w:rsidR="00000000" w:rsidRDefault="00000000">
            <w:r>
              <w:t xml:space="preserve">Организация Объединенных Наций по промышленному развитию </w:t>
            </w:r>
          </w:p>
        </w:tc>
      </w:tr>
      <w:tr w:rsidR="00000000">
        <w:tblPrEx>
          <w:tblCellMar>
            <w:top w:w="0" w:type="dxa"/>
          </w:tblCellMar>
        </w:tblPrEx>
        <w:tc>
          <w:tcPr>
            <w:tcW w:w="1425" w:type="dxa"/>
          </w:tcPr>
          <w:p w:rsidR="00000000" w:rsidRDefault="00000000">
            <w:proofErr w:type="spellStart"/>
            <w:r>
              <w:t>ЮНКТАД</w:t>
            </w:r>
            <w:proofErr w:type="spellEnd"/>
          </w:p>
        </w:tc>
        <w:tc>
          <w:tcPr>
            <w:tcW w:w="7940" w:type="dxa"/>
          </w:tcPr>
          <w:p w:rsidR="00000000" w:rsidRDefault="00000000">
            <w:r>
              <w:t xml:space="preserve">Конференция по торговле и развитию Организации Объединенных Наций </w:t>
            </w:r>
          </w:p>
        </w:tc>
      </w:tr>
      <w:tr w:rsidR="00000000">
        <w:tblPrEx>
          <w:tblCellMar>
            <w:top w:w="0" w:type="dxa"/>
          </w:tblCellMar>
        </w:tblPrEx>
        <w:tc>
          <w:tcPr>
            <w:tcW w:w="1425" w:type="dxa"/>
          </w:tcPr>
          <w:p w:rsidR="00000000" w:rsidRDefault="00000000">
            <w:proofErr w:type="spellStart"/>
            <w:r>
              <w:t>ЮНОПС</w:t>
            </w:r>
            <w:proofErr w:type="spellEnd"/>
          </w:p>
        </w:tc>
        <w:tc>
          <w:tcPr>
            <w:tcW w:w="7940" w:type="dxa"/>
          </w:tcPr>
          <w:p w:rsidR="00000000" w:rsidRDefault="00000000">
            <w:r>
              <w:t>Управление Организации Объединенных Наций по обслуживанию проектов</w:t>
            </w:r>
          </w:p>
        </w:tc>
      </w:tr>
    </w:tbl>
    <w:p w:rsidR="00000000" w:rsidRDefault="00000000"/>
    <w:p w:rsidR="00000000" w:rsidRDefault="00000000">
      <w:pPr>
        <w:pageBreakBefore/>
        <w:jc w:val="center"/>
        <w:rPr>
          <w:b/>
          <w:bCs/>
        </w:rPr>
      </w:pPr>
      <w:r>
        <w:rPr>
          <w:b/>
          <w:bCs/>
        </w:rPr>
        <w:t>Введение</w:t>
      </w:r>
    </w:p>
    <w:p w:rsidR="00000000" w:rsidRDefault="00000000">
      <w:pPr>
        <w:jc w:val="center"/>
        <w:rPr>
          <w:b/>
          <w:bCs/>
        </w:rPr>
      </w:pPr>
    </w:p>
    <w:p w:rsidR="00000000" w:rsidRDefault="00000000">
      <w:r>
        <w:t>1.</w:t>
      </w:r>
      <w:r>
        <w:tab/>
        <w:t>Первоначальный доклад об осуществлении Международного пакта об экономических, социальных и культурных правах за отчетный период 1990–2002 годов относится к Союзной Республике Югославии, которая прекратила свое существование 4 февраля 2003 года, когда на основе Исходных положений развития отношений между Сербией и Черногорией от 4 марта 2002 года Палата федерации приняла Конституционную хартию Государственного союза Сербии и Черногории.  Неотъемлемой частью Конституционной хартии является Хартия прав человека и национальных меньшинств и гражданских свобод, принятая 28 февраля 2003 года.</w:t>
      </w:r>
    </w:p>
    <w:p w:rsidR="00000000" w:rsidRDefault="00000000"/>
    <w:p w:rsidR="00000000" w:rsidRDefault="00000000">
      <w:r>
        <w:t>2.</w:t>
      </w:r>
      <w:r>
        <w:tab/>
        <w:t>Согласно Конституционной хартии, новое государство - правопреемник Союзной Республики Югославии именуется Сербия и Черногория.  Оно основано на принципе равенства двух государств-членов </w:t>
      </w:r>
      <w:r>
        <w:noBreakHyphen/>
        <w:t xml:space="preserve"> Сербии и Черногории (статьи 1 и 2).  Территория Сербии и Черногории состоит из территорий государств-членов;  граница государственного союза является незыблемой, при этом граница между государства-членами не подлежит изменению, кроме как по взаимному согласию (статья 6).  Государство Сербия включает автономный край Воеводина, а также автономный край Косово и Метохия, который в соответствии с положениями резолюции 1244 (1999) Совета Безопасности в настоящее время находится под управлением международного сообщества (решение о промульгировании Конституционной хартии государственного союза Сербии и Черногории).</w:t>
      </w:r>
    </w:p>
    <w:p w:rsidR="00000000" w:rsidRDefault="00000000"/>
    <w:p w:rsidR="00000000" w:rsidRDefault="00000000">
      <w:r>
        <w:t>3.</w:t>
      </w:r>
      <w:r>
        <w:tab/>
        <w:t>Сербия и Черногория выступают как единый субъект международного права, и его государства-члены могут являться членами международных глобальных и региональных организаций, членство в которых не обусловливается международной правосубъектностью (статья 14).</w:t>
      </w:r>
    </w:p>
    <w:p w:rsidR="00000000" w:rsidRDefault="00000000"/>
    <w:p w:rsidR="00000000" w:rsidRDefault="00000000">
      <w:r>
        <w:t>4.</w:t>
      </w:r>
      <w:r>
        <w:tab/>
        <w:t>Органами нового государства являются:  парламент Сербии и Черногории (однопалатный парламент, состоящий из 126 членов:  91 от Сербии и 35 от Черногории);  президент Сербии и Черногории (избирается на четыре года);  Совет министров (министр иностранных дел, министр обороны, министр международных экономических отношений, министр внутренних экономических отношений и министр по защите прав человека и национальных меньшинств);  Суд Сербии и Черногории (постановления Суда являются юридически обязывающими и не подлежат обжалованию, при этом Суд правомочен отменять принятые государственными органами законы, а также иные правила и положения, которые противоречат Конституционной хартии  и законам Сербии и Черногории).  Сербия и Черногория имеют вооруженные силы, которые находятся под демократическим и гражданским контролем (статья 54).</w:t>
      </w:r>
    </w:p>
    <w:p w:rsidR="00000000" w:rsidRDefault="00000000"/>
    <w:p w:rsidR="00000000" w:rsidRDefault="00000000">
      <w:r>
        <w:t>5.</w:t>
      </w:r>
      <w:r>
        <w:tab/>
        <w:t>С учетом того, что первоначальный доклад об осуществлении Международного пакта об экономических, социальных и культурных правах охватывает отчетный период 1990</w:t>
      </w:r>
      <w:r>
        <w:noBreakHyphen/>
        <w:t>2002 годов и включает информацию, относящуюся к Союзной Республике Югославии, в тексте с целью облегчения его восприятия в основном сохранено это название страны.</w:t>
      </w:r>
    </w:p>
    <w:p w:rsidR="00000000" w:rsidRDefault="00000000"/>
    <w:p w:rsidR="00000000" w:rsidRDefault="00000000">
      <w:r>
        <w:t>6.</w:t>
      </w:r>
      <w:r>
        <w:tab/>
        <w:t>Кроме того, в соответствии с соглашением о компетентных органах республик-членов (в настоящее время государств-членов) Сербии и Черногории доклад состоит из двух частей.  Первая часть касается Союзной Республики Югославии и Республики Сербии и компетентных союзных органов (многие из которых прекратили свое существование с принятием Конституционной хартии), а также органов Республики Сербии, которые принимали участие в его разработке.  Вторая часть доклада посвящена исключительно Черногории и была подготовлена соответствующими органами Черногории.</w:t>
      </w:r>
    </w:p>
    <w:p w:rsidR="00000000" w:rsidRDefault="00000000"/>
    <w:p w:rsidR="00000000" w:rsidRDefault="00000000">
      <w:pPr>
        <w:keepLines/>
      </w:pPr>
      <w:r>
        <w:t>7.</w:t>
      </w:r>
      <w:r>
        <w:tab/>
        <w:t xml:space="preserve">Бывшая Союзная Республика Югославия или нынешний союз Сербии и Черногории расположена на юго-востоке европейского континента в центральной части Балканского полуострова и занимает площадь 102 173 </w:t>
      </w:r>
      <w:proofErr w:type="spellStart"/>
      <w:r>
        <w:t>к</w:t>
      </w:r>
      <w:r>
        <w:rPr>
          <w:color w:val="000000"/>
        </w:rPr>
        <w:t>м</w:t>
      </w:r>
      <w:r>
        <w:rPr>
          <w:color w:val="000000"/>
          <w:vertAlign w:val="superscript"/>
        </w:rPr>
        <w:t>2</w:t>
      </w:r>
      <w:proofErr w:type="spellEnd"/>
      <w:r>
        <w:t xml:space="preserve">.  С географической точки зрения Союзная Республика Югославия является балканским, </w:t>
      </w:r>
      <w:proofErr w:type="spellStart"/>
      <w:r>
        <w:t>центральноевропейским</w:t>
      </w:r>
      <w:proofErr w:type="spellEnd"/>
      <w:r>
        <w:t xml:space="preserve">, средиземноморским и </w:t>
      </w:r>
      <w:proofErr w:type="spellStart"/>
      <w:r>
        <w:t>придунайским</w:t>
      </w:r>
      <w:proofErr w:type="spellEnd"/>
      <w:r>
        <w:t xml:space="preserve"> государством.  Она граничит с восьмью государствами:  Венгрией, Румынией, Болгарией, Албанией, Италией, Боснией и Герцеговиной и Хорватией.</w:t>
      </w:r>
    </w:p>
    <w:p w:rsidR="00000000" w:rsidRDefault="00000000"/>
    <w:p w:rsidR="00000000" w:rsidRDefault="00000000">
      <w:pPr>
        <w:jc w:val="center"/>
        <w:rPr>
          <w:b/>
          <w:bCs/>
        </w:rPr>
      </w:pPr>
      <w:r>
        <w:rPr>
          <w:b/>
          <w:bCs/>
        </w:rPr>
        <w:t>ЧАСТЬ 1</w:t>
      </w:r>
    </w:p>
    <w:p w:rsidR="00000000" w:rsidRDefault="00000000">
      <w:pPr>
        <w:jc w:val="center"/>
        <w:rPr>
          <w:b/>
          <w:bCs/>
        </w:rPr>
      </w:pPr>
    </w:p>
    <w:p w:rsidR="00000000" w:rsidRDefault="00000000">
      <w:pPr>
        <w:jc w:val="center"/>
        <w:rPr>
          <w:b/>
          <w:bCs/>
        </w:rPr>
      </w:pPr>
      <w:r>
        <w:rPr>
          <w:b/>
          <w:bCs/>
        </w:rPr>
        <w:t>ПЕРВОНАЧАЛЬНЫЙ ДОКЛАД ОБ ОСУЩЕСТВЛЕНИИ МЕЖДУНАРОДНОГО ПАКТА ОБ ЭКОНОМИЧЕСКИХ, СОЦИАЛЬНЫХ И КУЛЬТУРНЫХ ПРАВАХ В СОЮЗНОЙ РЕСПУБЛИКЕ ЮГОСЛАВИИ И РЕСПУБЛИКЕ СЕРБИИ ЗА ПЕРИОД 1990</w:t>
      </w:r>
      <w:r>
        <w:rPr>
          <w:b/>
          <w:bCs/>
        </w:rPr>
        <w:noBreakHyphen/>
        <w:t>2002 ГОДОВ</w:t>
      </w:r>
    </w:p>
    <w:p w:rsidR="00000000" w:rsidRDefault="00000000">
      <w:pPr>
        <w:jc w:val="center"/>
        <w:rPr>
          <w:b/>
          <w:bCs/>
        </w:rPr>
      </w:pPr>
    </w:p>
    <w:p w:rsidR="00000000" w:rsidRDefault="00000000">
      <w:pPr>
        <w:jc w:val="center"/>
        <w:rPr>
          <w:b/>
          <w:bCs/>
        </w:rPr>
      </w:pPr>
      <w:r>
        <w:rPr>
          <w:b/>
          <w:bCs/>
        </w:rPr>
        <w:t>Статья 1</w:t>
      </w:r>
    </w:p>
    <w:p w:rsidR="00000000" w:rsidRDefault="00000000">
      <w:pPr>
        <w:jc w:val="center"/>
      </w:pPr>
    </w:p>
    <w:p w:rsidR="00000000" w:rsidRDefault="00000000">
      <w:pPr>
        <w:rPr>
          <w:b/>
          <w:bCs/>
        </w:rPr>
      </w:pPr>
      <w:r>
        <w:rPr>
          <w:b/>
          <w:bCs/>
        </w:rPr>
        <w:t>Право на самоопределение</w:t>
      </w:r>
    </w:p>
    <w:p w:rsidR="00000000" w:rsidRDefault="00000000">
      <w:pPr>
        <w:jc w:val="center"/>
        <w:rPr>
          <w:b/>
          <w:bCs/>
        </w:rPr>
      </w:pPr>
    </w:p>
    <w:p w:rsidR="00000000" w:rsidRDefault="00000000">
      <w:r>
        <w:t>8.</w:t>
      </w:r>
      <w:r>
        <w:tab/>
        <w:t>Конституция Союзной Республики Югославии не содержала никаких эксплицитных положений о праве на самоопределение.  Вместе с тем статья 48 гарантировала представителям национальных меньшинств право беспрепятственно устанавливать и поддерживать взаимные связи в Союзной Республике Югославии и за ее пределами с представителями своей нации в других государствах и участвовать в неправительственных организациях, но не в ущерб Союзной Республике Югославии или входящими в ее состав союзным республикам.</w:t>
      </w:r>
    </w:p>
    <w:p w:rsidR="00000000" w:rsidRDefault="00000000"/>
    <w:p w:rsidR="00000000" w:rsidRDefault="00000000">
      <w:r>
        <w:t>9.</w:t>
      </w:r>
      <w:r>
        <w:tab/>
        <w:t xml:space="preserve">В отличие от Конституции Союзной Республики Югославии Конституционная хартия Сербии и Черногории в статье 60 четко гарантирует право на самоопределение.  Согласно положениям этой статьи, по истечении трехлетнего периода государства-члены вправе инициировать процедуру изменения государственного статуса, т.е. выхода из государственного союза.  Такое решение принимается после принятия закона о референдумах и проведения референдума государством-членом с соблюдением </w:t>
      </w:r>
      <w:proofErr w:type="spellStart"/>
      <w:r>
        <w:t>международно</w:t>
      </w:r>
      <w:proofErr w:type="spellEnd"/>
      <w:r>
        <w:t xml:space="preserve"> принятых демократических норм.  Кроме того, в данной статье также говорится о том, что в случае выхода государства Черногория из государственного союза международные документы, относящиеся к Союзной Республике Югославии, в частности резолюция 1244 (1999) Совета безопасности, будут относиться и в полной мере применяться к государству Сербия как к ее правопреемнику.  Государство-член, использующее право выхода, не унаследует качества международной правосубъектности, и все нерешенные вопросы будут регулироваться отдельно между государством-правопреемником и государством, которое стало независимым.  В том случае, если оба государства объявляют на референдуме, что они выступают за изменение государственного статуса, т.е. за независимость, все нерешенные вопросы подлежат регулированию в рамках процедуры правопреемства, как это было сделано в случае бывшей Социалистической Федеративной Республикой Югославией.</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rPr>
          <w:b/>
          <w:bCs/>
        </w:rPr>
      </w:pPr>
      <w:r>
        <w:rPr>
          <w:b/>
          <w:bCs/>
        </w:rPr>
        <w:t>Осуществление признаваемых в Пакте прав</w:t>
      </w:r>
    </w:p>
    <w:p w:rsidR="00000000" w:rsidRDefault="00000000">
      <w:pPr>
        <w:jc w:val="center"/>
        <w:rPr>
          <w:b/>
          <w:bCs/>
        </w:rPr>
      </w:pPr>
    </w:p>
    <w:p w:rsidR="00000000" w:rsidRDefault="00000000">
      <w:r>
        <w:t>10.</w:t>
      </w:r>
      <w:r>
        <w:tab/>
        <w:t>Согласно Конституции, Союзная Республика Югославия являлась суверенным государством, основанным на равноправии граждан и равноправии республик-членов (статья 1).  Его граждане были равноправными независимо от национальной принадлежности, расы, пола, языка, вероисповедания, политических или других убеждений, образования, социального происхождения, имущественного положения и иных свойств личности (статья 20).</w:t>
      </w:r>
    </w:p>
    <w:p w:rsidR="00000000" w:rsidRDefault="00000000"/>
    <w:p w:rsidR="00000000" w:rsidRDefault="00000000">
      <w:r>
        <w:t>11.</w:t>
      </w:r>
      <w:r>
        <w:tab/>
        <w:t>Вместе с тем в Конституционной хартии государственного союза Сербии и Черногории закреплено, что государство Сербия и Черногория основано на равноправии государств-членов (статья 2), а Хартия прав человека и прав национальных меньшинств и гражданских свобод запрещает дискриминацию по широкому перечню признаков (статья 3).</w:t>
      </w:r>
    </w:p>
    <w:p w:rsidR="00000000" w:rsidRDefault="00000000"/>
    <w:p w:rsidR="00000000" w:rsidRDefault="00000000">
      <w:r>
        <w:t>12.</w:t>
      </w:r>
      <w:r>
        <w:tab/>
        <w:t xml:space="preserve">Целям укрепления общего принципа недискриминации также служила статья 50 Конституции Союзной Республики Югославии, в которой объявлялись антиконституционными и наказуемыми всякое разжигание и подстрекательство к национальному, расовому, религиозному или иному неравноправию, равно как и возбуждение, разжигание национальной, расовой, религиозной и иной враждебности и нетерпимости.  В Хартии прав человека и прав национальных меньшинств и гражданских свобод принято это положение, а также закреплено, что указанные деяния запрещены и являются наказуемыми (статья 51).  </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rPr>
          <w:b/>
          <w:bCs/>
        </w:rPr>
      </w:pPr>
      <w:r>
        <w:rPr>
          <w:b/>
          <w:bCs/>
        </w:rPr>
        <w:t>Ратифицированные международные договоры</w:t>
      </w:r>
    </w:p>
    <w:p w:rsidR="00000000" w:rsidRDefault="00000000">
      <w:pPr>
        <w:jc w:val="center"/>
        <w:rPr>
          <w:b/>
          <w:bCs/>
        </w:rPr>
      </w:pPr>
    </w:p>
    <w:p w:rsidR="00000000" w:rsidRDefault="00000000">
      <w:r>
        <w:t>13.</w:t>
      </w:r>
      <w:r>
        <w:tab/>
        <w:t>В своем заявлении о правопреемстве от 12 марта 2001 года Сербия и Черногория объявили, что они продолжают свое членство во всех иных конвенциях о правах женщин, депозитарием которых является Генеральный секретарь Организации Объединенных Наций.  Сербия и Черногория является Стороной Конвенции о ликвидации всех форм дискриминации в отношении женщин.  Сербия и Черногория ратифицировала Факультативный протокол к этой Конвенции в декабре 2002 года.</w:t>
      </w:r>
    </w:p>
    <w:p w:rsidR="00000000" w:rsidRDefault="00000000"/>
    <w:p w:rsidR="00000000" w:rsidRDefault="00000000">
      <w:r>
        <w:t>14.</w:t>
      </w:r>
      <w:r>
        <w:tab/>
        <w:t>Кроме того, Сербия и Черногория является Стороной Конвенции МОТ № 111 (о дискриминации в области труда и занятости) (1958 год) и Конвенции МОТ № 100 (о равном вознаграждении мужчин и женщин за труд) (1951 год).</w:t>
      </w:r>
    </w:p>
    <w:p w:rsidR="00000000" w:rsidRDefault="00000000"/>
    <w:p w:rsidR="00000000" w:rsidRDefault="00000000">
      <w:pPr>
        <w:rPr>
          <w:b/>
          <w:bCs/>
        </w:rPr>
      </w:pPr>
      <w:r>
        <w:rPr>
          <w:b/>
          <w:bCs/>
        </w:rPr>
        <w:t>Положение женщин в Союзной Республике Югославии</w:t>
      </w:r>
    </w:p>
    <w:p w:rsidR="00000000" w:rsidRDefault="00000000">
      <w:pPr>
        <w:jc w:val="center"/>
        <w:rPr>
          <w:b/>
          <w:bCs/>
        </w:rPr>
      </w:pPr>
    </w:p>
    <w:p w:rsidR="00000000" w:rsidRDefault="00000000">
      <w:r>
        <w:t>15.</w:t>
      </w:r>
      <w:r>
        <w:tab/>
        <w:t>Женщины составляют 52% от общей численности совершеннолетнего населения Союзной Республики Югославии.  Поскольку имеются данные, указывающие на неравноправие женщин во многих сферах жизни, представляется необходимым создать механизмы на всех уровнях для осуществления контроля и создания условий для реализации права на равные возможности и права на равенство между мужчинами и женщинами.</w:t>
      </w:r>
    </w:p>
    <w:p w:rsidR="00000000" w:rsidRDefault="00000000"/>
    <w:p w:rsidR="00000000" w:rsidRDefault="00000000">
      <w:r>
        <w:rPr>
          <w:b/>
          <w:bCs/>
        </w:rPr>
        <w:t>Женщины и образование</w:t>
      </w:r>
    </w:p>
    <w:p w:rsidR="00000000" w:rsidRDefault="00000000"/>
    <w:p w:rsidR="00000000" w:rsidRDefault="00000000">
      <w:r>
        <w:t>16.</w:t>
      </w:r>
      <w:r>
        <w:tab/>
        <w:t xml:space="preserve">В сфере образования в контексте </w:t>
      </w:r>
      <w:proofErr w:type="spellStart"/>
      <w:r>
        <w:t>гендерного</w:t>
      </w:r>
      <w:proofErr w:type="spellEnd"/>
      <w:r>
        <w:t xml:space="preserve"> равенства произошли кардинальные позитивные изменения.  Прогресс был достигнут на всех ступенях образования, в частности в высшей школе.  Обеспечение равных возможностей в области образования для детей обоих полов способствует дальнейшему повышению уровня образования женщин.  На определенных ступенях женщины сравнялись по уровню образования с мужчинами (например, согласно данным переписи 1991 года, программу начального образования завершили </w:t>
      </w:r>
      <w:proofErr w:type="spellStart"/>
      <w:r>
        <w:t>18,4%</w:t>
      </w:r>
      <w:proofErr w:type="spellEnd"/>
      <w:r>
        <w:t xml:space="preserve"> мужчин и 24,3% женщин в центральной Сербии и 24,8% мужчин и 25,7% женщин в </w:t>
      </w:r>
      <w:proofErr w:type="spellStart"/>
      <w:r>
        <w:t>Воеводине</w:t>
      </w:r>
      <w:proofErr w:type="spellEnd"/>
      <w:r>
        <w:t>);  вместе с тем среди неграмотного населения женщин по</w:t>
      </w:r>
      <w:r>
        <w:noBreakHyphen/>
        <w:t xml:space="preserve">прежнему больше, что обусловлено прежде всего отсутствием в прошлом образовательных возможностей для женщин старших поколений.  </w:t>
      </w:r>
    </w:p>
    <w:p w:rsidR="00000000" w:rsidRDefault="00000000"/>
    <w:p w:rsidR="00000000" w:rsidRDefault="00000000">
      <w:r>
        <w:t>17.</w:t>
      </w:r>
      <w:r>
        <w:tab/>
        <w:t xml:space="preserve">От поколения к поколению женщины догоняли мужчин и в некоторых случаях даже перегоняли их, в частности в области высшего образования.  В 1991 году, когда проводилась перепись, в группе населения от 35 до 39 лет число женщин с высшим образованием (в Воеводине 10,9%, в центральной Сербии </w:t>
      </w:r>
      <w:proofErr w:type="spellStart"/>
      <w:r>
        <w:t>13,1%</w:t>
      </w:r>
      <w:proofErr w:type="spellEnd"/>
      <w:r>
        <w:t xml:space="preserve">) было приблизительно равно числу мужчин, имевших высшее образование (в Воеводине 11,4%, в центральной Сербии 14,4%).  В более молодых возрастных категориях доля женщин была выше.  К примеру, в возрастной группе от 30 до 34 лет 13,1% женщин в Воеводине и 14,6% женщин в центральной Сербии закончили высшее учебное заведение или университет.  В этой возрастной группе женщины обогнали мужчин в Воеводине, где доля мужчин, окончивших вузы, составила 11,9%, а в центральной Сербии процентная доля женщин была практически равна доле мужчин, составившей </w:t>
      </w:r>
      <w:proofErr w:type="spellStart"/>
      <w:r>
        <w:t>14,7%</w:t>
      </w:r>
      <w:proofErr w:type="spellEnd"/>
      <w:r>
        <w:t xml:space="preserve">.  В более молодых возрастных группах разница в образовании изменялась от поколения к поколению в пользу женщин.  Среди женщин в возрасте от 25 до 29 лет 12,8% в Воеводине имели высшее или университетское образование (по сравнению с 7,6% среди мужчин), а в центральной Сербии это соотношение составило 13,8% к 10,0% в пользу женщин.  </w:t>
      </w:r>
    </w:p>
    <w:p w:rsidR="00000000" w:rsidRDefault="00000000"/>
    <w:p w:rsidR="00000000" w:rsidRDefault="00000000">
      <w:r>
        <w:t>18.</w:t>
      </w:r>
      <w:r>
        <w:tab/>
        <w:t xml:space="preserve">Одновременно с этим в 90-х годах наблюдалась тенденция к росту из поколения в поколение численности мужчин и женщин, поступающих в высшие учебные заведения и университеты.  В 1994-95 учебном году доля женщин среди учащихся вузов и университетов составила 31%.  В 1998 году доля женщин среди выпускников вузов и университетов достигла </w:t>
      </w:r>
      <w:proofErr w:type="spellStart"/>
      <w:r>
        <w:t>60%</w:t>
      </w:r>
      <w:proofErr w:type="spellEnd"/>
      <w:r>
        <w:t xml:space="preserve">:  </w:t>
      </w:r>
      <w:proofErr w:type="spellStart"/>
      <w:r>
        <w:t>63,4%</w:t>
      </w:r>
      <w:proofErr w:type="spellEnd"/>
      <w:r>
        <w:t xml:space="preserve"> в Воеводине и 58,4% в центральной Сербии.  В 1999 году доля женщин среди выпускников высших учебных заведений и университетов составила 59%, а в 2000 году - </w:t>
      </w:r>
      <w:proofErr w:type="spellStart"/>
      <w:r>
        <w:t>58%</w:t>
      </w:r>
      <w:proofErr w:type="spellEnd"/>
      <w:r>
        <w:rPr>
          <w:rStyle w:val="FootnoteReference"/>
        </w:rPr>
        <w:footnoteReference w:id="2"/>
      </w:r>
      <w:r>
        <w:t>.</w:t>
      </w:r>
    </w:p>
    <w:p w:rsidR="00000000" w:rsidRDefault="00000000"/>
    <w:p w:rsidR="00000000" w:rsidRDefault="00000000">
      <w:r>
        <w:t>19.</w:t>
      </w:r>
      <w:r>
        <w:tab/>
        <w:t xml:space="preserve">В 1998 году доля женщин среди учащихся по специализации составила 61%, в 1999 году - 63%, а в 2000 году - 60%.  В 1998 году доля женщин среди учащихся на получение звания магистра наук была равна </w:t>
      </w:r>
      <w:proofErr w:type="spellStart"/>
      <w:r>
        <w:t>45%</w:t>
      </w:r>
      <w:proofErr w:type="spellEnd"/>
      <w:r>
        <w:t>, в 1999 году - 47% и в 2000 году - 47%, а доля женщин в докторантурах за вышеуказанные годы достигла соответственно 37%, 40% и 58%</w:t>
      </w:r>
      <w:r>
        <w:rPr>
          <w:rStyle w:val="FootnoteReference"/>
        </w:rPr>
        <w:footnoteReference w:id="3"/>
      </w:r>
      <w:r>
        <w:t xml:space="preserve">.  </w:t>
      </w:r>
    </w:p>
    <w:p w:rsidR="00000000" w:rsidRDefault="00000000"/>
    <w:p w:rsidR="00000000" w:rsidRDefault="00000000">
      <w:r>
        <w:rPr>
          <w:b/>
          <w:bCs/>
        </w:rPr>
        <w:t>Женщины на рынке труда и на руководящих постах</w:t>
      </w:r>
    </w:p>
    <w:p w:rsidR="00000000" w:rsidRDefault="00000000"/>
    <w:p w:rsidR="00000000" w:rsidRDefault="00000000">
      <w:r>
        <w:t>20.</w:t>
      </w:r>
      <w:r>
        <w:tab/>
        <w:t xml:space="preserve">Согласно многим показателям, на рынке труда отношение к женщинам также является иным, чем к мужчинам.  На женщин приходится </w:t>
      </w:r>
      <w:proofErr w:type="spellStart"/>
      <w:r>
        <w:t>бо</w:t>
      </w:r>
      <w:r>
        <w:rPr>
          <w:rFonts w:ascii="Tahoma" w:hAnsi="Tahoma" w:cs="Tahoma"/>
        </w:rPr>
        <w:t></w:t>
      </w:r>
      <w:r>
        <w:t>льшая</w:t>
      </w:r>
      <w:proofErr w:type="spellEnd"/>
      <w:r>
        <w:t xml:space="preserve"> часть безработных, причем процентная доля безработных женщин значительно выше доли женщин в общей численности взрослого населения.</w:t>
      </w:r>
    </w:p>
    <w:p w:rsidR="00000000" w:rsidRDefault="00000000"/>
    <w:p w:rsidR="00000000" w:rsidRDefault="00000000">
      <w:r>
        <w:t>21.</w:t>
      </w:r>
      <w:r>
        <w:tab/>
        <w:t xml:space="preserve">Процентная доля женщин, занимающих руководящие посты, значительно ниже по сравнению с этим показателем среди мужчин даже в тех сферах профессиональной деятельности, где женщины составляют около </w:t>
      </w:r>
      <w:proofErr w:type="spellStart"/>
      <w:r>
        <w:t>70%</w:t>
      </w:r>
      <w:proofErr w:type="spellEnd"/>
      <w:r>
        <w:t xml:space="preserve"> занятых.</w:t>
      </w:r>
    </w:p>
    <w:p w:rsidR="00000000" w:rsidRDefault="00000000"/>
    <w:p w:rsidR="00000000" w:rsidRDefault="00000000">
      <w:pPr>
        <w:jc w:val="center"/>
      </w:pPr>
      <w:r>
        <w:rPr>
          <w:b/>
          <w:bCs/>
        </w:rPr>
        <w:t>Статья 4</w:t>
      </w:r>
    </w:p>
    <w:p w:rsidR="00000000" w:rsidRDefault="00000000">
      <w:pPr>
        <w:jc w:val="center"/>
      </w:pPr>
    </w:p>
    <w:p w:rsidR="00000000" w:rsidRDefault="00000000">
      <w:pPr>
        <w:pStyle w:val="Heading1"/>
        <w:rPr>
          <w:bCs/>
        </w:rPr>
      </w:pPr>
      <w:r>
        <w:rPr>
          <w:bCs/>
        </w:rPr>
        <w:t>Ограничение предусмотренных Пактом прав и свобод</w:t>
      </w:r>
    </w:p>
    <w:p w:rsidR="00000000" w:rsidRDefault="00000000"/>
    <w:p w:rsidR="00000000" w:rsidRDefault="00000000">
      <w:r>
        <w:t>22.</w:t>
      </w:r>
      <w:r>
        <w:tab/>
        <w:t>Конституция Союзной Республики Югославии предусматривала, что свобода и права человека и гражданина осуществляются, а обязанности исполняются на основе Конституции (пункт 1, статья 67).  Законом может быть предписан порядок осуществления некоторых свобод и прав человека и гражданина, как это предусмотрено Конституцией или когда это необходимо для их осуществления (статья 67).</w:t>
      </w:r>
    </w:p>
    <w:p w:rsidR="00000000" w:rsidRDefault="00000000"/>
    <w:p w:rsidR="00000000" w:rsidRDefault="00000000">
      <w:r>
        <w:t>23.</w:t>
      </w:r>
      <w:r>
        <w:tab/>
        <w:t>В сравнении с положениями Конституции Союзной Республики Югославии Хартия прав человека и прав национальных меньшинств и гражданских свобод государственного союза Сербии и Черногории предусматривает более широкие гарантии прав и свобод, признаваемых в Пакте, и в этом контексте устанавливает, что гарантированные права человека и права меньшинств осуществляются непосредственно в соответствии с Конституционной хартией государственного союза Сербии и Черногории.  Они, в частности, регулируются, обеспечиваются и охраняются конституциями, законами и политикой государств-членов (статья 2).  Кроме того, права, гарантированные общепринятыми нормами международного права, а также международными договорами, действующими в государственном союзе, истолковываются таким образом, чтобы содействовать укреплению ценностей открытого и демократического общества в соответствии с действующими международными гарантиями прав человека и меньшинств и практикой международных органов, контролирующих их осуществление (статья 10).</w:t>
      </w:r>
    </w:p>
    <w:p w:rsidR="00000000" w:rsidRDefault="00000000"/>
    <w:p w:rsidR="00000000" w:rsidRDefault="00000000">
      <w:r>
        <w:t>24.</w:t>
      </w:r>
      <w:r>
        <w:tab/>
        <w:t>В Хартии прав человека и прав национальных меньшинств и гражданских свобод закреплено, что права человека и меньшинств могут ограничиваться лишь на основе ограничений, предусмотренных в Конституционной хартии государственного союза Сербии и Черногории, конституций государств-членов и общеприменимого законодательства, которое содержит конкретную ссылку на положение, разрешающее такое ограничение.  Кроме того, при ограничении прав человека и прав меньшинств, а также толковании этих ограничений все государственные органы должны учитывать существо конкретного права, подлежащего ограничению, важность цели ограничения, характер и степень ограничения, взаимосвязь между ограничением и его целью, а также наличие возможности достижения поставленной цели без использования ограничительных мер.  Ограничение не должно затрагивать существа гарантируемого права (статья 5).</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rPr>
          <w:b/>
          <w:bCs/>
        </w:rPr>
      </w:pPr>
      <w:r>
        <w:rPr>
          <w:b/>
          <w:bCs/>
        </w:rPr>
        <w:t>Запрещение ограничений основных прав человека под предлогом того, что они не признаются в Пакте или признаются в нем в меньшем объеме</w:t>
      </w:r>
    </w:p>
    <w:p w:rsidR="00000000" w:rsidRDefault="00000000">
      <w:pPr>
        <w:jc w:val="center"/>
        <w:rPr>
          <w:b/>
          <w:bCs/>
        </w:rPr>
      </w:pPr>
    </w:p>
    <w:p w:rsidR="00000000" w:rsidRDefault="00000000">
      <w:r>
        <w:t>25.</w:t>
      </w:r>
      <w:r>
        <w:tab/>
        <w:t>Посредством пунктов 1 и 2 статьи 16 и пункта 2 статьи 124 в своей Конституции Союзная Республика Югославия взяла на себя обязательство гарантировать соблюдение статьи 5 Международного пакта об экономических, социальных и культурных правах.  Она ясно заявила о том, что будет добросовестно выполнять обязательства, закрепленные в международных договорах, участником которых она является, и что такие международные договоры, включая общепризнанные нормы международного права, являются составной частью внутригосударственного права (статья 16).</w:t>
      </w:r>
    </w:p>
    <w:p w:rsidR="00000000" w:rsidRDefault="00000000"/>
    <w:p w:rsidR="00000000" w:rsidRDefault="00000000">
      <w:r>
        <w:t>26.</w:t>
      </w:r>
      <w:r>
        <w:tab/>
        <w:t>Союзный конституционный суд принимал решения по вопросу о соответствии законов, иных предписаний и общих актов не только Конституции Союзной Республики Югославии, но и ратифицированным и промульгированным международным договорам (подпункт 2 пункта 1, статья 124), при этом международные договоры имели преимущественную силу по сравнению с национальными законами.</w:t>
      </w:r>
    </w:p>
    <w:p w:rsidR="00000000" w:rsidRDefault="00000000"/>
    <w:p w:rsidR="00000000" w:rsidRDefault="00000000">
      <w:r>
        <w:t>27.</w:t>
      </w:r>
      <w:r>
        <w:tab/>
        <w:t>В Хартии прав человека и прав национальных меньшинств и гражданских свобод закреплен принцип, не допускающий какого бы то ни было ограничения прав человека и прав меньшинств, гарантированных общепризнанными нормами международного права, международными договорами, действующими в государственном союзе и законами, а также иным действующим законодательством под предлогом того, что они не гарантируются Хартией прав человека и прав национальных меньшинств и гражданских свобод или гарантируются ею в меньшей степени (статья 8).</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28.</w:t>
      </w:r>
      <w:r>
        <w:tab/>
        <w:t>Ратифицированные международные договоры включают Конвенцию МОТ № 19 о равноправии граждан страны и иностранцев в области возмещения трудящимся при несчастных случаях (1925 год), Конвенцию МОТ № 48 о сохранении пенсионных прав мигрантов (1935 год), Конвенцию МОТ № 105 об упразднении принудительного труда (1957 год), Конвенцию МОТ № 122 о политике в области занятости (1964 год), Конвенцию МОТ № 111 о дискриминации в области труда и занятий (1958 год), Международную конвенцию о ликвидации всех форм расовой дискриминации и Факультативный протокол к Конвенции о ликвидации всех форм расовой дискриминации в отношении женщин.</w:t>
      </w:r>
    </w:p>
    <w:p w:rsidR="00000000" w:rsidRDefault="00000000"/>
    <w:p w:rsidR="00000000" w:rsidRDefault="00000000">
      <w:pPr>
        <w:jc w:val="center"/>
        <w:rPr>
          <w:b/>
          <w:bCs/>
        </w:rPr>
      </w:pPr>
      <w:r>
        <w:rPr>
          <w:b/>
          <w:bCs/>
        </w:rPr>
        <w:t>А.</w:t>
      </w:r>
      <w:r>
        <w:rPr>
          <w:b/>
          <w:bCs/>
        </w:rPr>
        <w:tab/>
        <w:t>Свобода труда и право на трудоустройство на равных условиях</w:t>
      </w:r>
    </w:p>
    <w:p w:rsidR="00000000" w:rsidRDefault="00000000">
      <w:pPr>
        <w:jc w:val="center"/>
      </w:pPr>
    </w:p>
    <w:p w:rsidR="00000000" w:rsidRDefault="00000000">
      <w:r>
        <w:t>29.</w:t>
      </w:r>
      <w:r>
        <w:tab/>
        <w:t xml:space="preserve">Положения Конвенции МОТ № 111 о дискриминации (в области труда и занятий) полностью включены в югославское законодательство.  Конституция Союзной Республики Югославии и Конституция Республики Сербии гарантируют право на труд и участие в экономической деятельности, а также свободу выбора занятий и трудоустройства на равный условиях.  Право на труд, свобода трудоустройства на равных условиях, а также защита трудящихся от всех форм дискриминации гарантируются и обеспечиваются на практике Законом об основах трудовых отношений </w:t>
      </w:r>
      <w:r>
        <w:rPr>
          <w:i/>
          <w:iCs/>
        </w:rPr>
        <w:t>(Официальный вестник Союзной Республики Югославии</w:t>
      </w:r>
      <w:r>
        <w:t>, № 29/96), Законом о труде Республики Сербии (</w:t>
      </w:r>
      <w:r>
        <w:rPr>
          <w:i/>
          <w:iCs/>
        </w:rPr>
        <w:t>Официальный вестник Республики Сербии</w:t>
      </w:r>
      <w:r>
        <w:t>, № 70/2001 и 73/2001) и Законом о занятости и осуществлении прав безработных лиц (</w:t>
      </w:r>
      <w:r>
        <w:rPr>
          <w:i/>
          <w:iCs/>
        </w:rPr>
        <w:t>Официальный вестник Республики Сербии</w:t>
      </w:r>
      <w:r>
        <w:t>, № 22/92, 73/92, 82/92, 67/93, 34/94, 52/96, 46/98 и 29/2001).</w:t>
      </w:r>
    </w:p>
    <w:p w:rsidR="00000000" w:rsidRDefault="00000000"/>
    <w:p w:rsidR="00000000" w:rsidRDefault="00000000">
      <w:r>
        <w:t>30.</w:t>
      </w:r>
      <w:r>
        <w:tab/>
        <w:t>Надзор за выполнением норм и правил в области трудовых отношений в Республике относятся к компетенции трудовой инспекции, учрежденной при министерстве труда и занятости Республики Сербии.  Контроль за выполнением положений Союзного закона об основах трудовых отношений не был организован на союзном уровне;  на практике он осуществлялся трудовой инспекцией Республики Сербии путем контроля за выполнением правил, регулирующих сферу трудовых отношений в Республике (которые включали положения Союзного закона об основе трудовых отношений).</w:t>
      </w:r>
    </w:p>
    <w:p w:rsidR="00000000" w:rsidRDefault="00000000"/>
    <w:p w:rsidR="00000000" w:rsidRDefault="00000000">
      <w:pPr>
        <w:keepLines/>
      </w:pPr>
      <w:r>
        <w:t>31.</w:t>
      </w:r>
      <w:r>
        <w:tab/>
        <w:t>Хартия прав человека и прав национальных меньшинств и гражданских свобод гарантирует право на труд в соответствии с законом (статья 40).  В положениях указанной статьи закреплено, что государства-члены создают условия, в которых каждый может обеспечить себя средствами к существованию за счет своей работы, каждый имеет право на свободный выбор занятий, справедливые и адекватные условия труда и, в частности, справедливое вознаграждение за свой труд.  Вместе с тем в отличие от Конституции СРЮ Конституционная хартия более не предусматривает условий, согласно которым трудовые отношения могут быть прекращены вопреки желанию работника.</w:t>
      </w:r>
    </w:p>
    <w:p w:rsidR="00000000" w:rsidRDefault="00000000"/>
    <w:p w:rsidR="00000000" w:rsidRDefault="00000000">
      <w:pPr>
        <w:jc w:val="center"/>
        <w:rPr>
          <w:b/>
          <w:bCs/>
        </w:rPr>
      </w:pPr>
      <w:r>
        <w:rPr>
          <w:b/>
          <w:bCs/>
        </w:rPr>
        <w:t>В.</w:t>
      </w:r>
      <w:r>
        <w:rPr>
          <w:b/>
          <w:bCs/>
        </w:rPr>
        <w:tab/>
        <w:t>Гендерное равенство</w:t>
      </w:r>
    </w:p>
    <w:p w:rsidR="00000000" w:rsidRDefault="00000000">
      <w:pPr>
        <w:jc w:val="center"/>
      </w:pPr>
    </w:p>
    <w:p w:rsidR="00000000" w:rsidRDefault="00000000">
      <w:r>
        <w:t>32.</w:t>
      </w:r>
      <w:r>
        <w:tab/>
        <w:t xml:space="preserve">Данные, отражающие осуществление принципа гендерного равенства на практике, указывают на то, что процентная доля женщин от общего количества занятых в период 1992-2002 годов была несколько выше.  В среднем этот показатель за последние 11 лет составлял 41,55%.  По сравнению с 1992 годом этот показатель возрос на 8%. </w:t>
      </w:r>
    </w:p>
    <w:p w:rsidR="00000000" w:rsidRDefault="00000000"/>
    <w:p w:rsidR="00000000" w:rsidRDefault="00000000">
      <w:r>
        <w:t>33.</w:t>
      </w:r>
      <w:r>
        <w:tab/>
        <w:t xml:space="preserve">В среднем в период 1992-2002 годов доля безработных женщин составляла 55,45% от общей численности безработных.  За тот же период средняя процентная доля женщин, которые трудоустроились через Бюро труда, составляла 52,3%.  Тенденции занятости, трудоустройства и заключения трудовых соглашений, согласно данным Бюро труда и данным о безработице, указывают на линейное увеличение количества женщин, при постоянном увеличении процентной доли женщин, ищущих работу через Бюро труда.  Согласно статистическим данным, доля женщин с университетским образованием в общем количестве безработных лиц, закончивших колледж или университет, составляла 58,2%.  Около 57% безработных женщин находились в поисках работы более двух лет;  этот показатель был несколько ниже (50%) для безработных мужчин.  </w:t>
      </w:r>
    </w:p>
    <w:p w:rsidR="00000000" w:rsidRDefault="00000000"/>
    <w:p w:rsidR="00000000" w:rsidRDefault="00000000">
      <w:r>
        <w:t>34.</w:t>
      </w:r>
      <w:r>
        <w:tab/>
        <w:t>В среднем женщинам требовалось больше времени, чем мужчинам для трудоустройства, причем безработных среди женщин было больше практически на всех ступенях образования.  Это обусловлено не только культурными стереотипами и положением женщин в обществе, но и выбором профессий, менее востребованных на рынке труда.  О выборе женщинами рода занятий свидетельствует тот факт, что в образовании, текстильной промышленности, культуре и здравоохранении женщин работало больше, чем мужчин.</w:t>
      </w:r>
    </w:p>
    <w:p w:rsidR="00000000" w:rsidRDefault="00000000"/>
    <w:p w:rsidR="00000000" w:rsidRDefault="00000000">
      <w:r>
        <w:t>35.</w:t>
      </w:r>
      <w:r>
        <w:tab/>
        <w:t>Несколько более высокая процентная доля женщин от общего числа лиц, ищущих работу через Бюро труда, объясняется более низкой инициативностью женщин в поисках работы, что обусловлено социально-культурными факторами, а также деятельностью Бюро труда.  Несмотря на то, что в целом Бюро труда не имело каких-либо специальных программ или дополнительных финансовых стимулов для обеспечения занятости женщин, их участие в определенных программах было более активным по сравнению с мужчинами.</w:t>
      </w:r>
    </w:p>
    <w:p w:rsidR="00000000" w:rsidRDefault="00000000"/>
    <w:p w:rsidR="00000000" w:rsidRDefault="00000000">
      <w:r>
        <w:t>36.</w:t>
      </w:r>
      <w:r>
        <w:tab/>
        <w:t>На практике встречаются случаи ограничения права на труд в контексте принципа неукоснительного соблюдения принципа гендерного равенства.  Это, в частности, относится к предоставлению работодателю юридической возможности выбирать и нанимать человека в соответствии с установленными самим работодателем критериями.  Хотя мужчины и женщины с юридической точки зрения являются полностью равноправными (в соответствии с законом и другими нормами, коллективными трудовыми соглашениями и т.д.), на практике дело не всегда обстоит таким образом.  В этой связи практика показывает, что некоторые работодатели не соблюдают в полной мере принцип гендерного равенства, в особенности в том, что касается ограничений в отношении возраста в традиционно женских профессиях, а также таких прав, как право на отпуск по беременности и родам и уходу за ребенком.</w:t>
      </w:r>
    </w:p>
    <w:p w:rsidR="00000000" w:rsidRDefault="00000000"/>
    <w:p w:rsidR="00000000" w:rsidRDefault="00000000">
      <w:pPr>
        <w:jc w:val="center"/>
        <w:rPr>
          <w:b/>
          <w:bCs/>
        </w:rPr>
      </w:pPr>
      <w:r>
        <w:rPr>
          <w:b/>
          <w:bCs/>
        </w:rPr>
        <w:t>С.</w:t>
      </w:r>
      <w:r>
        <w:rPr>
          <w:b/>
          <w:bCs/>
        </w:rPr>
        <w:tab/>
        <w:t>Соблюдение принципа недискриминации в сфере занятости</w:t>
      </w:r>
    </w:p>
    <w:p w:rsidR="00000000" w:rsidRDefault="00000000">
      <w:pPr>
        <w:jc w:val="center"/>
      </w:pPr>
    </w:p>
    <w:p w:rsidR="00000000" w:rsidRDefault="00000000">
      <w:r>
        <w:t>37.</w:t>
      </w:r>
      <w:r>
        <w:tab/>
        <w:t>Что касается принципа равенства в сфере занятости, реальные данные показывают, что в отношении национальности, расы, языка, религии, политических или иных убеждений, образования, социальной принадлежности, имущественного или иного личного статуса этот принцип неукоснительно соблюдается, т.е. дискриминация в контексте осуществления прав на занятость по этим признакам отсутствует.</w:t>
      </w:r>
    </w:p>
    <w:p w:rsidR="00000000" w:rsidRDefault="00000000"/>
    <w:p w:rsidR="00000000" w:rsidRDefault="00000000">
      <w:r>
        <w:t>38.</w:t>
      </w:r>
      <w:r>
        <w:tab/>
        <w:t>Несмотря на то, что в общих правилах Бюро труда предусмотренный размер субсидий для трудоустройства инвалидов в два раза превышает размер субсидий для трудоустройства безработных лиц, т.е. инвалиды с точки зрения перспектив трудоустройства находятся в более привилегированном положении, работодатели не считают эти меры достаточными и принимают на работу инвалидов неохотно.</w:t>
      </w:r>
    </w:p>
    <w:p w:rsidR="00000000" w:rsidRDefault="00000000"/>
    <w:p w:rsidR="00000000" w:rsidRDefault="00000000">
      <w:r>
        <w:t>39.</w:t>
      </w:r>
      <w:r>
        <w:tab/>
        <w:t xml:space="preserve">Министерство труда и занятости Республики Сербии подготовило проект закона о занятости и страховании от безработицы, направленный на регулирование этих вопросов в соответствии с международными конвенциями, рекомендациями Европейского союза и современными нормами европейского законодательства.  Этот законопроект предусматривает принцип свободы выбора, равный доступ к занятости и равное обращение, согласно которому лицу, ищущему работу, предоставляется равный доступ к рабочим местам и обеспечивается равное обращение в рамках процедуры трудоустройства независимо от расы, цвета кожи, пола, национальности, религии, политических или иных взглядов и убеждений, социального статуса или происхождения, имущественного, гражданского или семейного статуса, возраста, членства в профессиональном союзе, ассоциации или политической организации, состояния здоровья, если оно соответствует профессиональным требованиям, или любого иного признака, который может служить основой для дискриминации или неравного обращения с лицами, отличительные признаки которых не влияют на качество выполнения служебных обязанностей.  Кроме того, этот законопроект предусматривает выплату работодателем штрафа в том случае, если его отказ принять кого-либо на работу носит дискриминационный характер.  </w:t>
      </w:r>
    </w:p>
    <w:p w:rsidR="00000000" w:rsidRDefault="00000000"/>
    <w:p w:rsidR="00000000" w:rsidRDefault="00000000">
      <w:r>
        <w:t>40.</w:t>
      </w:r>
      <w:r>
        <w:tab/>
        <w:t>С целью полной интеграции инвалидов в рынок труда разрабатывается проект закона о занятости инвалидов, который будет опираться на концепцию права на труд и перевод понятия инвалидности из медицинской плоскости в плоскость прав человека.  Закон будет предусматривать специальный режим защиты лиц с ограниченной трудоспособностью, запрет на дискриминацию инвалидов в сфере занятости, адаптацию рабочих мест с учетом потребностей лиц с ограниченной трудоспособностью, а также обязательство принимать на работу инвалидов во всех компаниях.  Инвалиды могут, при прочих равных условиях, иметь доступ ко всем видам работы и профессиональной подготовки, если они способны выполнять соответствующую работу.  Кроме того, инвалиды включаются в программы по обеспечению занятости и профессиональной подготовки прежде всего на основе принципа интеграции, т.е. вместе с лицами, не имеющими ограничений по трудоспособности, и если они могут найти работу на открытом рынке труда, то они трудоустраиваются в компаниях для профессиональной подготовки и занятости лиц, имеющих инвалидность.</w:t>
      </w:r>
    </w:p>
    <w:p w:rsidR="00000000" w:rsidRDefault="00000000"/>
    <w:p w:rsidR="00000000" w:rsidRDefault="00000000">
      <w:r>
        <w:t>41.</w:t>
      </w:r>
      <w:r>
        <w:tab/>
        <w:t>В соответствии с подпунктом 2 пункта 1 статьи 72 Закона о территориально-пространственном планировании министр городского планирования уполномочен предписывать условия для планирования и проектирования средств, необходимых для безопасного передвижения детей, пожилых лиц, лиц, утративших трудоспособность, и инвалидов.  Пользуясь своими полномочиями, министр разработал правила, регулирующие эти вопросы (</w:t>
      </w:r>
      <w:r>
        <w:rPr>
          <w:i/>
          <w:iCs/>
        </w:rPr>
        <w:t>Официальный вестник законов Республики Сербии</w:t>
      </w:r>
      <w:r>
        <w:t>, № 18/1997).</w:t>
      </w:r>
    </w:p>
    <w:p w:rsidR="00000000" w:rsidRDefault="00000000"/>
    <w:p w:rsidR="00000000" w:rsidRDefault="00000000">
      <w:r>
        <w:t>42.</w:t>
      </w:r>
      <w:r>
        <w:tab/>
        <w:t xml:space="preserve">Вопрос для инвалидов о доступности городских пространств, общественных мест и объектов социальной инфраструктуры должен решаться в соответствии с положениями Закона о территориально-пространственном планировании населенных пунктов и Закона о строительстве специальных средств, однако указанные вопросы затрагиваются лишь в нескольких положениях этих законов.  </w:t>
      </w:r>
    </w:p>
    <w:p w:rsidR="00000000" w:rsidRDefault="00000000"/>
    <w:p w:rsidR="00000000" w:rsidRDefault="00000000">
      <w:pPr>
        <w:keepLines/>
      </w:pPr>
      <w:r>
        <w:t>43.</w:t>
      </w:r>
      <w:r>
        <w:tab/>
        <w:t>Французская гуманитарная организация "</w:t>
      </w:r>
      <w:proofErr w:type="spellStart"/>
      <w:r>
        <w:t>Хэндикеп</w:t>
      </w:r>
      <w:proofErr w:type="spellEnd"/>
      <w:r>
        <w:t xml:space="preserve"> </w:t>
      </w:r>
      <w:proofErr w:type="spellStart"/>
      <w:r>
        <w:t>интернешнл</w:t>
      </w:r>
      <w:proofErr w:type="spellEnd"/>
      <w:r>
        <w:t>" инициировала проект под названием "Инвалиды и среда, в которой они живут".  В результате осуществления данного проекта была подготовлена монография, из которой взяты приведенные ниже данные.  В рамках проекта были выявлены следующие проблемы:</w:t>
      </w:r>
    </w:p>
    <w:p w:rsidR="00000000" w:rsidRDefault="00000000"/>
    <w:p w:rsidR="00000000" w:rsidRDefault="00000000">
      <w:pPr>
        <w:ind w:left="1134" w:hanging="1134"/>
      </w:pPr>
      <w:r>
        <w:tab/>
        <w:t>-</w:t>
      </w:r>
      <w:r>
        <w:tab/>
        <w:t>ограниченное и недостаточное участие инвалидов в деятельности и процессе принятия решений во всех сферах социальной жизни, в особенности в областях, касающихся жизни инвалидов;</w:t>
      </w:r>
    </w:p>
    <w:p w:rsidR="00000000" w:rsidRDefault="00000000">
      <w:pPr>
        <w:ind w:left="1134" w:hanging="1134"/>
      </w:pPr>
    </w:p>
    <w:p w:rsidR="00000000" w:rsidRDefault="00000000">
      <w:pPr>
        <w:ind w:left="1134" w:hanging="1134"/>
      </w:pPr>
      <w:r>
        <w:tab/>
        <w:t>-</w:t>
      </w:r>
      <w:r>
        <w:tab/>
        <w:t>в сфере образования многие дети-инвалиды исключаются из школьной жизни или помещаются в специальные учреждения, в которых отсутствуют оптимальные возможности для нормальной социальной интеграции;</w:t>
      </w:r>
    </w:p>
    <w:p w:rsidR="00000000" w:rsidRDefault="00000000">
      <w:pPr>
        <w:ind w:left="1134" w:hanging="1134"/>
      </w:pPr>
    </w:p>
    <w:p w:rsidR="00000000" w:rsidRDefault="00000000">
      <w:pPr>
        <w:ind w:left="1134" w:hanging="1134"/>
      </w:pPr>
      <w:r>
        <w:tab/>
        <w:t>-</w:t>
      </w:r>
      <w:r>
        <w:tab/>
        <w:t>в сфере занятости уровень безработицы среди инвалидов намного превышает аналогичный показатель среди других групп населения;</w:t>
      </w:r>
    </w:p>
    <w:p w:rsidR="00000000" w:rsidRDefault="00000000">
      <w:pPr>
        <w:ind w:left="1134" w:hanging="1134"/>
      </w:pPr>
    </w:p>
    <w:p w:rsidR="00000000" w:rsidRDefault="00000000">
      <w:pPr>
        <w:ind w:left="1134" w:hanging="1134"/>
      </w:pPr>
      <w:r>
        <w:tab/>
        <w:t>-</w:t>
      </w:r>
      <w:r>
        <w:tab/>
        <w:t>значительное число инвалидов лишены возможности участвовать в общественной жизни из-за ограниченного доступа к транспортным услугам, общественным, медицинским, культурным, религиозным, спортивным и иным учреждениям и объектам социальной инфраструктуры;</w:t>
      </w:r>
    </w:p>
    <w:p w:rsidR="00000000" w:rsidRDefault="00000000">
      <w:pPr>
        <w:ind w:left="1134" w:hanging="1134"/>
      </w:pPr>
    </w:p>
    <w:p w:rsidR="00000000" w:rsidRDefault="00000000">
      <w:pPr>
        <w:ind w:left="1134" w:hanging="1134"/>
      </w:pPr>
      <w:r>
        <w:tab/>
        <w:t>-</w:t>
      </w:r>
      <w:r>
        <w:tab/>
        <w:t>для многих инвалидов соответствующая адаптация жилого помещения является дорогостоящей и выходит за рамки их возможностей;  и</w:t>
      </w:r>
    </w:p>
    <w:p w:rsidR="00000000" w:rsidRDefault="00000000">
      <w:pPr>
        <w:ind w:left="1134" w:hanging="1134"/>
      </w:pPr>
    </w:p>
    <w:p w:rsidR="00000000" w:rsidRDefault="00000000">
      <w:pPr>
        <w:ind w:left="1134" w:hanging="1134"/>
      </w:pPr>
      <w:r>
        <w:tab/>
        <w:t>-</w:t>
      </w:r>
      <w:r>
        <w:tab/>
        <w:t>значительное число инвалидов сталкиваются с серьезными экономическими трудностями, начиная с элементарной поддержки.</w:t>
      </w:r>
    </w:p>
    <w:p w:rsidR="00000000" w:rsidRDefault="00000000">
      <w:pPr>
        <w:ind w:left="1134" w:hanging="1134"/>
      </w:pPr>
    </w:p>
    <w:p w:rsidR="00000000" w:rsidRDefault="00000000">
      <w:pPr>
        <w:spacing w:line="216" w:lineRule="auto"/>
        <w:ind w:left="1134" w:hanging="1134"/>
        <w:jc w:val="center"/>
        <w:rPr>
          <w:b/>
          <w:bCs/>
        </w:rPr>
      </w:pPr>
      <w:r>
        <w:rPr>
          <w:b/>
          <w:bCs/>
        </w:rPr>
        <w:t>Таблица 1</w:t>
      </w:r>
    </w:p>
    <w:p w:rsidR="00000000" w:rsidRDefault="00000000">
      <w:pPr>
        <w:spacing w:line="216" w:lineRule="auto"/>
        <w:ind w:left="1134" w:hanging="1134"/>
        <w:jc w:val="center"/>
      </w:pPr>
    </w:p>
    <w:p w:rsidR="00000000" w:rsidRDefault="00000000">
      <w:pPr>
        <w:spacing w:line="216" w:lineRule="auto"/>
        <w:ind w:left="1134" w:hanging="1134"/>
        <w:jc w:val="center"/>
        <w:rPr>
          <w:b/>
          <w:bCs/>
        </w:rPr>
      </w:pPr>
      <w:r>
        <w:rPr>
          <w:b/>
          <w:bCs/>
        </w:rPr>
        <w:t xml:space="preserve">Положение в области занятости </w:t>
      </w:r>
      <w:proofErr w:type="spellStart"/>
      <w:r>
        <w:rPr>
          <w:b/>
          <w:bCs/>
        </w:rPr>
        <w:t>респондентов-инвалидов</w:t>
      </w:r>
      <w:proofErr w:type="spellEnd"/>
      <w:r>
        <w:rPr>
          <w:b/>
          <w:bCs/>
        </w:rPr>
        <w:t xml:space="preserve"> (в процентах)</w:t>
      </w:r>
    </w:p>
    <w:p w:rsidR="00000000" w:rsidRDefault="00000000">
      <w:pPr>
        <w:spacing w:line="216" w:lineRule="auto"/>
        <w:ind w:left="1134" w:hanging="1134"/>
        <w:jc w:val="center"/>
        <w:rPr>
          <w:b/>
          <w:bC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026"/>
        <w:gridCol w:w="2544"/>
      </w:tblGrid>
      <w:tr w:rsidR="00000000">
        <w:tblPrEx>
          <w:tblCellMar>
            <w:top w:w="0" w:type="dxa"/>
            <w:bottom w:w="0" w:type="dxa"/>
          </w:tblCellMar>
        </w:tblPrEx>
        <w:tc>
          <w:tcPr>
            <w:tcW w:w="7027" w:type="dxa"/>
          </w:tcPr>
          <w:p w:rsidR="00000000" w:rsidRDefault="00000000">
            <w:pPr>
              <w:tabs>
                <w:tab w:val="clear" w:pos="1134"/>
                <w:tab w:val="left" w:pos="374"/>
              </w:tabs>
            </w:pPr>
            <w:r>
              <w:t>Лицо, живущее на пособие</w:t>
            </w:r>
          </w:p>
        </w:tc>
        <w:tc>
          <w:tcPr>
            <w:tcW w:w="2544" w:type="dxa"/>
          </w:tcPr>
          <w:p w:rsidR="00000000" w:rsidRDefault="00000000">
            <w:pPr>
              <w:tabs>
                <w:tab w:val="clear" w:pos="1134"/>
                <w:tab w:val="clear" w:pos="2268"/>
                <w:tab w:val="left" w:pos="374"/>
              </w:tabs>
              <w:ind w:right="940"/>
              <w:jc w:val="right"/>
            </w:pPr>
            <w:r>
              <w:t>35</w:t>
            </w:r>
          </w:p>
        </w:tc>
      </w:tr>
      <w:tr w:rsidR="00000000">
        <w:tblPrEx>
          <w:tblCellMar>
            <w:top w:w="0" w:type="dxa"/>
            <w:bottom w:w="0" w:type="dxa"/>
          </w:tblCellMar>
        </w:tblPrEx>
        <w:tc>
          <w:tcPr>
            <w:tcW w:w="7027" w:type="dxa"/>
          </w:tcPr>
          <w:p w:rsidR="00000000" w:rsidRDefault="00000000">
            <w:pPr>
              <w:tabs>
                <w:tab w:val="clear" w:pos="1134"/>
                <w:tab w:val="left" w:pos="374"/>
              </w:tabs>
            </w:pPr>
            <w:r>
              <w:t xml:space="preserve">Имеет работу </w:t>
            </w:r>
            <w:r>
              <w:noBreakHyphen/>
              <w:t xml:space="preserve"> работает в специально адаптированных условиях</w:t>
            </w:r>
          </w:p>
        </w:tc>
        <w:tc>
          <w:tcPr>
            <w:tcW w:w="2544" w:type="dxa"/>
          </w:tcPr>
          <w:p w:rsidR="00000000" w:rsidRDefault="00000000">
            <w:pPr>
              <w:tabs>
                <w:tab w:val="clear" w:pos="1134"/>
                <w:tab w:val="clear" w:pos="2268"/>
                <w:tab w:val="left" w:pos="374"/>
              </w:tabs>
              <w:ind w:right="940"/>
              <w:jc w:val="right"/>
            </w:pPr>
            <w:r>
              <w:t>1</w:t>
            </w:r>
          </w:p>
        </w:tc>
      </w:tr>
      <w:tr w:rsidR="00000000">
        <w:tblPrEx>
          <w:tblCellMar>
            <w:top w:w="0" w:type="dxa"/>
            <w:bottom w:w="0" w:type="dxa"/>
          </w:tblCellMar>
        </w:tblPrEx>
        <w:tc>
          <w:tcPr>
            <w:tcW w:w="7027" w:type="dxa"/>
          </w:tcPr>
          <w:p w:rsidR="00000000" w:rsidRDefault="00000000">
            <w:pPr>
              <w:tabs>
                <w:tab w:val="clear" w:pos="1134"/>
                <w:tab w:val="left" w:pos="374"/>
              </w:tabs>
            </w:pPr>
            <w:r>
              <w:t xml:space="preserve">Имеет работу </w:t>
            </w:r>
            <w:r>
              <w:noBreakHyphen/>
              <w:t xml:space="preserve"> работает в частной или государственной фирме</w:t>
            </w:r>
          </w:p>
        </w:tc>
        <w:tc>
          <w:tcPr>
            <w:tcW w:w="2544" w:type="dxa"/>
          </w:tcPr>
          <w:p w:rsidR="00000000" w:rsidRDefault="00000000">
            <w:pPr>
              <w:tabs>
                <w:tab w:val="clear" w:pos="1134"/>
                <w:tab w:val="clear" w:pos="2268"/>
                <w:tab w:val="left" w:pos="374"/>
              </w:tabs>
              <w:ind w:right="940"/>
              <w:jc w:val="right"/>
            </w:pPr>
            <w:r>
              <w:t>1</w:t>
            </w:r>
          </w:p>
        </w:tc>
      </w:tr>
      <w:tr w:rsidR="00000000">
        <w:tblPrEx>
          <w:tblCellMar>
            <w:top w:w="0" w:type="dxa"/>
            <w:bottom w:w="0" w:type="dxa"/>
          </w:tblCellMar>
        </w:tblPrEx>
        <w:tc>
          <w:tcPr>
            <w:tcW w:w="7027" w:type="dxa"/>
          </w:tcPr>
          <w:p w:rsidR="00000000" w:rsidRDefault="00000000">
            <w:pPr>
              <w:tabs>
                <w:tab w:val="clear" w:pos="1134"/>
                <w:tab w:val="left" w:pos="374"/>
              </w:tabs>
            </w:pPr>
            <w:r>
              <w:t xml:space="preserve">Имеет работу </w:t>
            </w:r>
            <w:r>
              <w:noBreakHyphen/>
              <w:t xml:space="preserve"> работает в НПО, ассоциации инвалидов и т.д.</w:t>
            </w:r>
          </w:p>
        </w:tc>
        <w:tc>
          <w:tcPr>
            <w:tcW w:w="2544" w:type="dxa"/>
          </w:tcPr>
          <w:p w:rsidR="00000000" w:rsidRDefault="00000000">
            <w:pPr>
              <w:tabs>
                <w:tab w:val="clear" w:pos="1134"/>
                <w:tab w:val="clear" w:pos="2268"/>
                <w:tab w:val="left" w:pos="374"/>
              </w:tabs>
              <w:ind w:right="940"/>
              <w:jc w:val="right"/>
            </w:pPr>
            <w:r>
              <w:t>10</w:t>
            </w:r>
          </w:p>
        </w:tc>
      </w:tr>
      <w:tr w:rsidR="00000000">
        <w:tblPrEx>
          <w:tblCellMar>
            <w:top w:w="0" w:type="dxa"/>
            <w:bottom w:w="0" w:type="dxa"/>
          </w:tblCellMar>
        </w:tblPrEx>
        <w:tc>
          <w:tcPr>
            <w:tcW w:w="7027" w:type="dxa"/>
          </w:tcPr>
          <w:p w:rsidR="00000000" w:rsidRDefault="00000000">
            <w:pPr>
              <w:tabs>
                <w:tab w:val="clear" w:pos="1134"/>
                <w:tab w:val="left" w:pos="374"/>
              </w:tabs>
            </w:pPr>
            <w:r>
              <w:t>Самостоятельная занятость</w:t>
            </w:r>
          </w:p>
        </w:tc>
        <w:tc>
          <w:tcPr>
            <w:tcW w:w="2544" w:type="dxa"/>
          </w:tcPr>
          <w:p w:rsidR="00000000" w:rsidRDefault="00000000">
            <w:pPr>
              <w:tabs>
                <w:tab w:val="clear" w:pos="1134"/>
                <w:tab w:val="clear" w:pos="2268"/>
                <w:tab w:val="left" w:pos="374"/>
              </w:tabs>
              <w:ind w:right="940"/>
              <w:jc w:val="right"/>
            </w:pPr>
            <w:r>
              <w:t>1</w:t>
            </w:r>
          </w:p>
        </w:tc>
      </w:tr>
      <w:tr w:rsidR="00000000">
        <w:tblPrEx>
          <w:tblCellMar>
            <w:top w:w="0" w:type="dxa"/>
            <w:bottom w:w="0" w:type="dxa"/>
          </w:tblCellMar>
        </w:tblPrEx>
        <w:tc>
          <w:tcPr>
            <w:tcW w:w="7027" w:type="dxa"/>
          </w:tcPr>
          <w:p w:rsidR="00000000" w:rsidRDefault="00000000">
            <w:pPr>
              <w:tabs>
                <w:tab w:val="clear" w:pos="1134"/>
                <w:tab w:val="left" w:pos="374"/>
              </w:tabs>
            </w:pPr>
            <w:r>
              <w:t>Пенсионер</w:t>
            </w:r>
          </w:p>
        </w:tc>
        <w:tc>
          <w:tcPr>
            <w:tcW w:w="2544" w:type="dxa"/>
          </w:tcPr>
          <w:p w:rsidR="00000000" w:rsidRDefault="00000000">
            <w:pPr>
              <w:tabs>
                <w:tab w:val="clear" w:pos="1134"/>
                <w:tab w:val="clear" w:pos="2268"/>
                <w:tab w:val="left" w:pos="374"/>
              </w:tabs>
              <w:ind w:right="940"/>
              <w:jc w:val="right"/>
            </w:pPr>
            <w:r>
              <w:t>36</w:t>
            </w:r>
          </w:p>
        </w:tc>
      </w:tr>
      <w:tr w:rsidR="00000000">
        <w:tblPrEx>
          <w:tblCellMar>
            <w:top w:w="0" w:type="dxa"/>
            <w:bottom w:w="0" w:type="dxa"/>
          </w:tblCellMar>
        </w:tblPrEx>
        <w:tc>
          <w:tcPr>
            <w:tcW w:w="7027" w:type="dxa"/>
          </w:tcPr>
          <w:p w:rsidR="00000000" w:rsidRDefault="00000000">
            <w:pPr>
              <w:tabs>
                <w:tab w:val="clear" w:pos="1134"/>
                <w:tab w:val="left" w:pos="374"/>
              </w:tabs>
            </w:pPr>
            <w:r>
              <w:t xml:space="preserve">Безработный </w:t>
            </w:r>
            <w:r>
              <w:noBreakHyphen/>
              <w:t xml:space="preserve"> не ищет работу</w:t>
            </w:r>
          </w:p>
        </w:tc>
        <w:tc>
          <w:tcPr>
            <w:tcW w:w="2544" w:type="dxa"/>
          </w:tcPr>
          <w:p w:rsidR="00000000" w:rsidRDefault="00000000">
            <w:pPr>
              <w:tabs>
                <w:tab w:val="clear" w:pos="1134"/>
                <w:tab w:val="clear" w:pos="2268"/>
                <w:tab w:val="left" w:pos="374"/>
              </w:tabs>
              <w:ind w:right="940"/>
              <w:jc w:val="right"/>
            </w:pPr>
            <w:r>
              <w:t>7</w:t>
            </w:r>
          </w:p>
        </w:tc>
      </w:tr>
      <w:tr w:rsidR="00000000">
        <w:tblPrEx>
          <w:tblCellMar>
            <w:top w:w="0" w:type="dxa"/>
            <w:bottom w:w="0" w:type="dxa"/>
          </w:tblCellMar>
        </w:tblPrEx>
        <w:tc>
          <w:tcPr>
            <w:tcW w:w="7027" w:type="dxa"/>
          </w:tcPr>
          <w:p w:rsidR="00000000" w:rsidRDefault="00000000">
            <w:pPr>
              <w:tabs>
                <w:tab w:val="clear" w:pos="1134"/>
                <w:tab w:val="left" w:pos="374"/>
              </w:tabs>
            </w:pPr>
            <w:r>
              <w:t xml:space="preserve">Безработный </w:t>
            </w:r>
            <w:r>
              <w:noBreakHyphen/>
              <w:t xml:space="preserve"> зарегистрирован в бюро трудоустройства</w:t>
            </w:r>
          </w:p>
        </w:tc>
        <w:tc>
          <w:tcPr>
            <w:tcW w:w="2544" w:type="dxa"/>
          </w:tcPr>
          <w:p w:rsidR="00000000" w:rsidRDefault="00000000">
            <w:pPr>
              <w:tabs>
                <w:tab w:val="clear" w:pos="1134"/>
                <w:tab w:val="clear" w:pos="2268"/>
                <w:tab w:val="left" w:pos="374"/>
              </w:tabs>
              <w:ind w:right="940"/>
              <w:jc w:val="right"/>
            </w:pPr>
            <w:r>
              <w:t>6</w:t>
            </w:r>
          </w:p>
        </w:tc>
      </w:tr>
      <w:tr w:rsidR="00000000">
        <w:tblPrEx>
          <w:tblCellMar>
            <w:top w:w="0" w:type="dxa"/>
            <w:bottom w:w="0" w:type="dxa"/>
          </w:tblCellMar>
        </w:tblPrEx>
        <w:tc>
          <w:tcPr>
            <w:tcW w:w="7027" w:type="dxa"/>
          </w:tcPr>
          <w:p w:rsidR="00000000" w:rsidRDefault="00000000">
            <w:pPr>
              <w:tabs>
                <w:tab w:val="clear" w:pos="1134"/>
                <w:tab w:val="left" w:pos="374"/>
              </w:tabs>
            </w:pPr>
            <w:r>
              <w:t>Прочее</w:t>
            </w:r>
          </w:p>
        </w:tc>
        <w:tc>
          <w:tcPr>
            <w:tcW w:w="2544" w:type="dxa"/>
          </w:tcPr>
          <w:p w:rsidR="00000000" w:rsidRDefault="00000000">
            <w:pPr>
              <w:tabs>
                <w:tab w:val="clear" w:pos="1134"/>
                <w:tab w:val="clear" w:pos="2268"/>
                <w:tab w:val="left" w:pos="374"/>
              </w:tabs>
              <w:ind w:right="940"/>
              <w:jc w:val="right"/>
            </w:pPr>
            <w:r>
              <w:t>3</w:t>
            </w:r>
          </w:p>
        </w:tc>
      </w:tr>
    </w:tbl>
    <w:p w:rsidR="00000000" w:rsidRDefault="00000000"/>
    <w:p w:rsidR="00000000" w:rsidRDefault="00000000">
      <w:r>
        <w:t>44.</w:t>
      </w:r>
      <w:r>
        <w:tab/>
        <w:t xml:space="preserve">Из небольшого числа занятых инвалидов </w:t>
      </w:r>
      <w:proofErr w:type="spellStart"/>
      <w:r>
        <w:t>33%</w:t>
      </w:r>
      <w:proofErr w:type="spellEnd"/>
      <w:r>
        <w:t xml:space="preserve"> считают, что их рабочие места оснащены техническими приспособлениями с учетом их индивидуальных потребностей, однако </w:t>
      </w:r>
      <w:proofErr w:type="spellStart"/>
      <w:r>
        <w:t>40%</w:t>
      </w:r>
      <w:proofErr w:type="spellEnd"/>
      <w:r>
        <w:t xml:space="preserve"> считают, что выполняемая ими работа не соответствует их индивидуальным возможностям с точки зрения времени начала и продолжительности рабочего дня, функциональных обязанностей и перерывов на отдых.</w:t>
      </w:r>
    </w:p>
    <w:p w:rsidR="00000000" w:rsidRDefault="00000000"/>
    <w:p w:rsidR="00000000" w:rsidRDefault="00000000">
      <w:r>
        <w:t>45.</w:t>
      </w:r>
      <w:r>
        <w:tab/>
        <w:t xml:space="preserve">Уровень образования инвалидов в Республике Сербии соответствует уровню образования населения в целом.  Половина </w:t>
      </w:r>
      <w:proofErr w:type="spellStart"/>
      <w:r>
        <w:t>респондентов</w:t>
      </w:r>
      <w:proofErr w:type="spellEnd"/>
      <w:r>
        <w:t xml:space="preserve"> не имеет никакого образования, </w:t>
      </w:r>
      <w:proofErr w:type="spellStart"/>
      <w:r>
        <w:t>49%</w:t>
      </w:r>
      <w:proofErr w:type="spellEnd"/>
      <w:r>
        <w:t> </w:t>
      </w:r>
      <w:r>
        <w:noBreakHyphen/>
        <w:t xml:space="preserve"> имеют незаконченное начальное или среднее образование, одна треть имеет законченное среднее образование.  Как и среди всего населения, </w:t>
      </w:r>
      <w:proofErr w:type="spellStart"/>
      <w:r>
        <w:t>6%</w:t>
      </w:r>
      <w:proofErr w:type="spellEnd"/>
      <w:r>
        <w:t xml:space="preserve"> </w:t>
      </w:r>
      <w:proofErr w:type="spellStart"/>
      <w:r>
        <w:t>респондентов</w:t>
      </w:r>
      <w:proofErr w:type="spellEnd"/>
      <w:r>
        <w:t xml:space="preserve"> указали, что имеют </w:t>
      </w:r>
      <w:proofErr w:type="spellStart"/>
      <w:r>
        <w:t>послесреднее</w:t>
      </w:r>
      <w:proofErr w:type="spellEnd"/>
      <w:r>
        <w:t xml:space="preserve"> или высшее образование, а </w:t>
      </w:r>
      <w:proofErr w:type="spellStart"/>
      <w:r>
        <w:t>11%</w:t>
      </w:r>
      <w:proofErr w:type="spellEnd"/>
      <w:r>
        <w:t xml:space="preserve"> </w:t>
      </w:r>
      <w:proofErr w:type="spellStart"/>
      <w:r>
        <w:t>респондентов</w:t>
      </w:r>
      <w:proofErr w:type="spellEnd"/>
      <w:r>
        <w:t xml:space="preserve"> закончили специализированные школы.  В отношении доступа к образовательным учреждениям лишь </w:t>
      </w:r>
      <w:proofErr w:type="spellStart"/>
      <w:r>
        <w:t>15%</w:t>
      </w:r>
      <w:proofErr w:type="spellEnd"/>
      <w:r>
        <w:t xml:space="preserve"> отметили, что они не имеют к ним доступа, главным образом по причине состояния здоровья.</w:t>
      </w:r>
    </w:p>
    <w:p w:rsidR="00000000" w:rsidRDefault="00000000"/>
    <w:p w:rsidR="00000000" w:rsidRDefault="00000000">
      <w:r>
        <w:t>46.</w:t>
      </w:r>
      <w:r>
        <w:tab/>
        <w:t xml:space="preserve">Анализ доступности государственных служб и объектов социальной инфраструктуры выявил неудовлетворительное положение в этой сфере, что неблагоприятно влияет на качество жизни лиц с моторными нарушениями в их каждодневной деятельности.  Средства общественного транспорта являются недоступными для </w:t>
      </w:r>
      <w:proofErr w:type="spellStart"/>
      <w:r>
        <w:t>52%</w:t>
      </w:r>
      <w:proofErr w:type="spellEnd"/>
      <w:r>
        <w:t xml:space="preserve"> </w:t>
      </w:r>
      <w:proofErr w:type="spellStart"/>
      <w:r>
        <w:t>респондентов</w:t>
      </w:r>
      <w:proofErr w:type="spellEnd"/>
      <w:r>
        <w:t xml:space="preserve">, магазины - для </w:t>
      </w:r>
      <w:proofErr w:type="spellStart"/>
      <w:r>
        <w:t>53%</w:t>
      </w:r>
      <w:proofErr w:type="spellEnd"/>
      <w:r>
        <w:t xml:space="preserve">, общественные телефоны-автоматы - для </w:t>
      </w:r>
      <w:proofErr w:type="spellStart"/>
      <w:r>
        <w:t>37%</w:t>
      </w:r>
      <w:proofErr w:type="spellEnd"/>
      <w:r>
        <w:t xml:space="preserve"> и другие государственные учреждения, такие, как почтовые отделения и/или органы городской администрации и полиции - для </w:t>
      </w:r>
      <w:proofErr w:type="spellStart"/>
      <w:r>
        <w:t>35%</w:t>
      </w:r>
      <w:proofErr w:type="spellEnd"/>
      <w:r>
        <w:t xml:space="preserve">.  Еще хуже обстоят дела в отношении культурно-зрелищных и спортивных объектов.  Кинотеатры доступны лишь для </w:t>
      </w:r>
      <w:proofErr w:type="spellStart"/>
      <w:r>
        <w:t>20%</w:t>
      </w:r>
      <w:proofErr w:type="spellEnd"/>
      <w:r>
        <w:t xml:space="preserve"> лиц, имеющих ограниченные возможности передвижения, библиотеки - для </w:t>
      </w:r>
      <w:proofErr w:type="spellStart"/>
      <w:r>
        <w:t>17%</w:t>
      </w:r>
      <w:proofErr w:type="spellEnd"/>
      <w:r>
        <w:t xml:space="preserve">, театры - для </w:t>
      </w:r>
      <w:proofErr w:type="spellStart"/>
      <w:r>
        <w:t>12%</w:t>
      </w:r>
      <w:proofErr w:type="spellEnd"/>
      <w:r>
        <w:t xml:space="preserve"> и спортивные клубы - для </w:t>
      </w:r>
      <w:proofErr w:type="spellStart"/>
      <w:r>
        <w:t>11%</w:t>
      </w:r>
      <w:proofErr w:type="spellEnd"/>
      <w:r>
        <w:rPr>
          <w:rStyle w:val="FootnoteReference"/>
        </w:rPr>
        <w:footnoteReference w:id="4"/>
      </w:r>
      <w:r>
        <w:t>.</w:t>
      </w:r>
    </w:p>
    <w:p w:rsidR="00000000" w:rsidRDefault="00000000"/>
    <w:p w:rsidR="00000000" w:rsidRDefault="00000000">
      <w:r>
        <w:t>47.</w:t>
      </w:r>
      <w:r>
        <w:tab/>
        <w:t xml:space="preserve">В рамках процесса реформ сектор социальной защиты и поддержки предоставления альтернативных </w:t>
      </w:r>
      <w:proofErr w:type="spellStart"/>
      <w:r>
        <w:t>неинституциональных</w:t>
      </w:r>
      <w:proofErr w:type="spellEnd"/>
      <w:r>
        <w:t xml:space="preserve"> услуг министерство социального обеспечения Республики Сербии в 2002 году уделило особое внимание потребностям инвалидов.  В дополнение к правовым реформам министерство приняло меры по стимулированию деятельности ассоциаций и организаций инвалидов с особым вниманием к ассоциациям и организациям на местном уровне.  С этой целью в мае 2002 года был объявлен открытый конкурс на финансирование программ и деятельности, направленных на решение конкретных проблем жизнедеятельности инвалидов и организацию кампаний и программ по их </w:t>
      </w:r>
      <w:proofErr w:type="spellStart"/>
      <w:r>
        <w:t>реинтеграции</w:t>
      </w:r>
      <w:proofErr w:type="spellEnd"/>
      <w:r>
        <w:t xml:space="preserve"> в общество.  Из полученных предложений министерство отобрало для финансирования 122 проекта, на реализацию которых были выделены средства в размере 25 376 850 динаров.</w:t>
      </w:r>
    </w:p>
    <w:p w:rsidR="00000000" w:rsidRDefault="00000000"/>
    <w:p w:rsidR="00000000" w:rsidRDefault="00000000">
      <w:r>
        <w:t>48.</w:t>
      </w:r>
      <w:r>
        <w:tab/>
        <w:t>В соответствии с Законом о льготах для слепых и лиц, имеющих физические нарушения, министерство возмещает стоимость проезда в общественном транспорте через текущие счета предприятий автомобильного, железнодорожного, водного и воздушного транспорта (6 абонементов на проезд для инвалида с сопровождающим).  За 10 месяцев 2002 года на эти цели была выделена сумма в размере 4 700 000 динаров.  Также в 2002 году было выделено 6 530 000 динаров на цели финансирования медико-социальной экспертизы и покрытия части расходов на закупку оборудования для десяти республиканских федераций (ассоциации и организации инвалидов).</w:t>
      </w:r>
    </w:p>
    <w:p w:rsidR="00000000" w:rsidRDefault="00000000"/>
    <w:p w:rsidR="00000000" w:rsidRDefault="00000000">
      <w:r>
        <w:t>49.</w:t>
      </w:r>
      <w:r>
        <w:tab/>
        <w:t>В 2002 году на закупку компьютеров для нужд 230 ассоциаций и организаций инвалидов в Республике Сербии была выделена сумма в размере 11 150 000 динаров.</w:t>
      </w:r>
    </w:p>
    <w:p w:rsidR="00000000" w:rsidRDefault="00000000"/>
    <w:p w:rsidR="00000000" w:rsidRDefault="00000000">
      <w:pPr>
        <w:jc w:val="center"/>
        <w:rPr>
          <w:b/>
          <w:bCs/>
        </w:rPr>
      </w:pPr>
      <w:r>
        <w:rPr>
          <w:b/>
          <w:bCs/>
          <w:lang w:val="en-US"/>
        </w:rPr>
        <w:t>D</w:t>
      </w:r>
      <w:r>
        <w:rPr>
          <w:b/>
          <w:bCs/>
        </w:rPr>
        <w:t>.</w:t>
      </w:r>
      <w:r>
        <w:rPr>
          <w:b/>
          <w:bCs/>
        </w:rPr>
        <w:tab/>
        <w:t>Запрещение принудительного труда</w:t>
      </w:r>
    </w:p>
    <w:p w:rsidR="00000000" w:rsidRDefault="00000000">
      <w:pPr>
        <w:jc w:val="center"/>
      </w:pPr>
    </w:p>
    <w:p w:rsidR="00000000" w:rsidRDefault="00000000">
      <w:r>
        <w:t>50.</w:t>
      </w:r>
      <w:r>
        <w:tab/>
        <w:t>Свобода труда является одним из конституционно гарантируемых прав и регулируется в соответствии с нормами, устанавливающими право на труд.  Положения статьи 54 Конституции Союзной Республики Югославии гарантировали свободу выбора занятий и трудоустройства.  Кроме того, в этой статье предусматривалось, что трудовые отношения могут быть прекращены против воли работника только на условиях и в порядке, определенном законом и коллективным соглашением.  В третьем абзаце данной статьи однозначно запрещается принудительный труд.  Аналогичные положения содержатся в Конституции Республики Сербии.</w:t>
      </w:r>
    </w:p>
    <w:p w:rsidR="00000000" w:rsidRDefault="00000000"/>
    <w:p w:rsidR="00000000" w:rsidRDefault="00000000">
      <w:r>
        <w:t>51.</w:t>
      </w:r>
      <w:r>
        <w:tab/>
        <w:t xml:space="preserve">Хартия прав человека и прав национальных меньшинств и гражданских свобод гарантирует право на свободу выбора работы (пункт 2 статьи 40), однако не содержит однозначного положения, запрещающего принудительный труд. </w:t>
      </w:r>
    </w:p>
    <w:p w:rsidR="00000000" w:rsidRDefault="00000000"/>
    <w:p w:rsidR="00000000" w:rsidRDefault="00000000">
      <w:r>
        <w:t>52.</w:t>
      </w:r>
      <w:r>
        <w:tab/>
        <w:t>Положения, касающиеся запрещения принудительного труда или свободы труда, являются результатом обязательств страны, которые, помимо соответствующих документов Организации Объединенных Наций, вытекают из положений ратифицированной Конвенции МОТ № 29 о принудительном труде (1930 год) с учетом того, что Конвенция МОТ № 105 об упразднении принудительного труда (1957 год) пока еще не ратифицирована данной страной</w:t>
      </w:r>
      <w:r>
        <w:rPr>
          <w:rStyle w:val="FootnoteReference"/>
        </w:rPr>
        <w:footnoteReference w:id="5"/>
      </w:r>
      <w:r>
        <w:t>), а также Рекомендации МОТ № 35 о косвенном принуждении к труду и Рекомендации МОТ № 36 о регламентации принудительного труда.  Некоторые обязательства вытекают также из Рекомендации МОТ № 46 о постепенном упразднении вербовки.</w:t>
      </w:r>
    </w:p>
    <w:p w:rsidR="00000000" w:rsidRDefault="00000000"/>
    <w:p w:rsidR="00000000" w:rsidRDefault="00000000">
      <w:r>
        <w:t>53.</w:t>
      </w:r>
      <w:r>
        <w:tab/>
        <w:t>В свете вышеуказанных международных документов можно проанализировать комплекс норм Закона об основах трудовых отношений, которые регулируют порядок установления трудовых взаимоотношений, определяют трудовые взаимоотношения, возможности перехода работника к другому работодателю, продолжительность отпуска, разрешенное время отсутствия работника на рабочем месте, продолжительность рабочего дня, а также условия, при которых возможна сверхурочная работа и изменение рабочего графика.</w:t>
      </w:r>
    </w:p>
    <w:p w:rsidR="00000000" w:rsidRDefault="00000000"/>
    <w:p w:rsidR="00000000" w:rsidRDefault="00000000">
      <w:r>
        <w:t>54.</w:t>
      </w:r>
      <w:r>
        <w:tab/>
        <w:t>Определение трудовых отношений само по себе не содержит четких положений о добровольном характере трудовых отношений, однако это однозначно вытекает из соответствующих конституционных положений и договорной концепции трудовых отношений, которая устанавливается указанным законом.</w:t>
      </w:r>
    </w:p>
    <w:p w:rsidR="00000000" w:rsidRDefault="00000000"/>
    <w:p w:rsidR="00000000" w:rsidRDefault="00000000">
      <w:r>
        <w:t>55.</w:t>
      </w:r>
      <w:r>
        <w:tab/>
        <w:t>Согласно пункту 1 статьи 20 Закона об основах трудовых отношений устанавливается (факультативная) возможность увеличения продолжительности рабочего дня сверх нормальной (сверхурочная работа) на условиях, установленных законом или коллективным договором, при этом также устанавливается еженедельная максимальная продолжительность сверхурочной работы (до 10 часов в неделю).  В виде исключения в пункте 2 оговариваются также случаи, когда работник обязан исполнять свои функции даже в течение времени, превышающего установленное максимальное время сверхурочной работы (в случае стихийных бедствий и в других случаях, предусмотренных законодательством Республики).  В Законе точно определяется время, в течение которого разрешена сверхурочная работа, а также количество рабочих часов.  В каждом отдельном случае работодатель (руководитель) обязан принять решение об установлении сверхурочного графика (пункт 3 статьи 20).  За несоблюдение норм сверхурочной работы предусмотрены санкции, как за нарушение трудового законодательства (на работодателя или ответственное лицо налагается штраф).  В случае сверхурочной работы работник имеет право на увеличение вознаграждения, размер которого устанавливается в законодательстве Республики, трудовом соглашении или контракте о найме.</w:t>
      </w:r>
    </w:p>
    <w:p w:rsidR="00000000" w:rsidRDefault="00000000"/>
    <w:p w:rsidR="00000000" w:rsidRDefault="00000000">
      <w:r>
        <w:t>56.</w:t>
      </w:r>
      <w:r>
        <w:tab/>
        <w:t>В силу специфических особенностей деятельности в некоторых секторах, которые подробно не разъясняются, - притом что в Законе устанавливаются условия, при которых они считаются таковыми, - в ряде секторов (например, строительстве, сельском хозяйстве и общественном питании) имеется возможность изменения режима рабочего времени путем увеличения времени работы за пределами нормальной продолжительности рабочего времени в течение одной части года, и сокращения рабочего времени в течение другой его части, обеспечивая при этом, чтобы суммарное рабочее время работника в среднем за год не превышало его общей нормальной продолжительности рабочего времени.  Такое изменение режима рабочего времени регулируется положениями статьи 23 данного Закона, а также соответствующими положениями трудового законодательства Республики.</w:t>
      </w:r>
    </w:p>
    <w:p w:rsidR="00000000" w:rsidRDefault="00000000"/>
    <w:p w:rsidR="00000000" w:rsidRDefault="00000000">
      <w:r>
        <w:t>57.</w:t>
      </w:r>
      <w:r>
        <w:tab/>
        <w:t>Защита от принудительного труда обеспечивается также положениями уголовного законодательства.  В уголовном законодательстве Республики устанавливается ряд уголовных правонарушений в сфере трудовых отношений.  Так, к примеру, в статье 86 Уголовного кодекса Республики Сербии как уголовное преступление квалифицируется нарушение трудовых прав, хотя это положение и носит общий характер.  В этой статье говорится о том, что лицо, преднамеренно не соблюдающее положения законов, иных норм, коллективных соглашений и других общих законов, регулирующих сферу трудовых отношений, наказывается штрафом или лишением свободы на срок до одного года.</w:t>
      </w:r>
    </w:p>
    <w:p w:rsidR="00000000" w:rsidRDefault="00000000"/>
    <w:p w:rsidR="00000000" w:rsidRDefault="00000000">
      <w:pPr>
        <w:jc w:val="center"/>
        <w:rPr>
          <w:b/>
          <w:bCs/>
        </w:rPr>
      </w:pPr>
      <w:r>
        <w:rPr>
          <w:b/>
          <w:bCs/>
        </w:rPr>
        <w:t>Е.</w:t>
      </w:r>
      <w:r>
        <w:rPr>
          <w:b/>
          <w:bCs/>
        </w:rPr>
        <w:tab/>
        <w:t xml:space="preserve">Право иностранцев на работу </w:t>
      </w:r>
    </w:p>
    <w:p w:rsidR="00000000" w:rsidRDefault="00000000">
      <w:pPr>
        <w:jc w:val="center"/>
        <w:rPr>
          <w:b/>
          <w:bCs/>
        </w:rPr>
      </w:pPr>
    </w:p>
    <w:p w:rsidR="00000000" w:rsidRDefault="00000000">
      <w:r>
        <w:t>58.</w:t>
      </w:r>
      <w:r>
        <w:tab/>
        <w:t>В положениях статьи 8 Закона об основах трудовых отношений предусмотрено, что иностранные граждане и лица без гражданства имеют право поступать на работу в соответствии с условиями статьи 7 указанного Закона, т.е. на тех же условиях, что и граждане данной страны.</w:t>
      </w:r>
    </w:p>
    <w:p w:rsidR="00000000" w:rsidRDefault="00000000"/>
    <w:p w:rsidR="00000000" w:rsidRDefault="00000000">
      <w:r>
        <w:t>59.</w:t>
      </w:r>
      <w:r>
        <w:tab/>
        <w:t>Союзная Республика Югославия подписала Конвенции МОТ № 19, 48, 97 и 43.</w:t>
      </w:r>
    </w:p>
    <w:p w:rsidR="00000000" w:rsidRDefault="00000000"/>
    <w:p w:rsidR="00000000" w:rsidRDefault="00000000">
      <w:r>
        <w:t>60.</w:t>
      </w:r>
      <w:r>
        <w:tab/>
        <w:t>В положениях Закона о порядке заключения трудовых соглашений с иностранными гражданами (</w:t>
      </w:r>
      <w:r>
        <w:rPr>
          <w:i/>
          <w:iCs/>
        </w:rPr>
        <w:t>Официальный вестник СФРЮ</w:t>
      </w:r>
      <w:r>
        <w:t xml:space="preserve">, № 11/78 и 64/89 и </w:t>
      </w:r>
      <w:r>
        <w:rPr>
          <w:i/>
          <w:iCs/>
        </w:rPr>
        <w:t>Официальный вестник СРЮ</w:t>
      </w:r>
      <w:r>
        <w:t xml:space="preserve">, № 42/92, 24/94 и 28/96) предусмотрено, что иностранный гражданин может заключить контракт о найме на работу в Союзной Республике Югославии, если ему был предоставлено разрешение на постоянное или временное проживание в стране, и право на заключение договора о найме агентством Республики Сербии, ведающим вопросами занятости (статья 2).  Закон предусматривает случаи, когда иностранец может приниматься на работу без объявления открытого конкурса.  Предусматривается возможность создания работодателем рабочих мест, которые могут занимать граждане иностранных государств.  При принятии Закона надлежащее внимание было уделено международным нормам, действующим в этой области, как основному принципу равного обращения с иностранцами, т.е. их </w:t>
      </w:r>
      <w:proofErr w:type="spellStart"/>
      <w:r>
        <w:t>недискриминации</w:t>
      </w:r>
      <w:proofErr w:type="spellEnd"/>
      <w:r>
        <w:t xml:space="preserve"> в отношении внутренней рабочей силы.  Кроме того, ведется работа по обновлению и заключению многочисленных двусторонних межгосударственных соглашений о социальной безопасности с другими государствами, которые позволят обеспечить для иностранных граждан равные права с гражданами страны пребывания в области социального страхования.  Таким образом, в Союзной Республике Югославии в значительной степени обеспечивается свобода передвижения и проживания иностранной рабочей силы.</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pStyle w:val="10"/>
        <w:jc w:val="left"/>
        <w:rPr>
          <w:bCs/>
        </w:rPr>
      </w:pPr>
      <w:r>
        <w:rPr>
          <w:bCs/>
        </w:rPr>
        <w:t>а)</w:t>
      </w:r>
      <w:r>
        <w:rPr>
          <w:bCs/>
        </w:rPr>
        <w:tab/>
        <w:t>Ратифицированные международные договоры</w:t>
      </w:r>
    </w:p>
    <w:p w:rsidR="00000000" w:rsidRDefault="00000000">
      <w:pPr>
        <w:jc w:val="center"/>
      </w:pPr>
    </w:p>
    <w:p w:rsidR="00000000" w:rsidRDefault="00000000">
      <w:r>
        <w:t>61.</w:t>
      </w:r>
      <w:r>
        <w:tab/>
        <w:t>Международные договоры в области труда, ратифицированные Сербией и Черногорией, включают Конвенцию МОТ № 14 о еженедельном отдыхе на промышленных предприятиях (1921 год);  Конвенцию МОТ № 81 об инспекции труда в промышленности и торговле (1947 год);  Конвенцию МОТ № 89 о ночном труде женщин в промышленности (пересмотренную в 1948 году);  Конвенцию МОТ № 90 о ночном труде подростков в промышленности (пересмотренную в 1948 году);  Конвенцию МОТ № 100 о равном вознаграждении мужчин и женщин за труд (1951 год);  Конвенцию МОТ № 106 о еженедельном отдыхе в торговле и учреждениях (1957 год);  Конвенцию МОТ № 129 об инспекции труда в сельском хозяйстве (1969 год);  Конвенцию МОТ № 131 об установлении минимальной заработной платы (1970 год);  Конвенцию МОТ № 132 об оплачиваемых отпусках (1970 год);  Конвенцию МОТ № 140 об оплачиваемых учебных отпусках (1974 год) и Конвенцию МОТ № 155 о безопасности и гигиене труда (1981 год).</w:t>
      </w:r>
    </w:p>
    <w:p w:rsidR="00000000" w:rsidRDefault="00000000"/>
    <w:p w:rsidR="00000000" w:rsidRDefault="00000000">
      <w:pPr>
        <w:rPr>
          <w:b/>
          <w:bCs/>
        </w:rPr>
      </w:pPr>
      <w:r>
        <w:rPr>
          <w:b/>
          <w:bCs/>
          <w:lang w:val="en-US"/>
        </w:rPr>
        <w:t>b</w:t>
      </w:r>
      <w:r>
        <w:rPr>
          <w:b/>
          <w:bCs/>
        </w:rPr>
        <w:t>)</w:t>
      </w:r>
      <w:r>
        <w:rPr>
          <w:b/>
          <w:bCs/>
        </w:rPr>
        <w:tab/>
        <w:t>Заработная плата, компенсация заработной платы и другие выплаты</w:t>
      </w:r>
    </w:p>
    <w:p w:rsidR="00000000" w:rsidRDefault="00000000">
      <w:pPr>
        <w:jc w:val="center"/>
      </w:pPr>
    </w:p>
    <w:p w:rsidR="00000000" w:rsidRDefault="00000000">
      <w:r>
        <w:t>62.</w:t>
      </w:r>
      <w:r>
        <w:tab/>
        <w:t>Работник имеет право на соответствующую заработную плату, размер которой устанавливается на основании законодательства, общего закона или трудового соглашения.</w:t>
      </w:r>
    </w:p>
    <w:p w:rsidR="00000000" w:rsidRDefault="00000000"/>
    <w:p w:rsidR="00000000" w:rsidRDefault="00000000">
      <w:r>
        <w:t>63.</w:t>
      </w:r>
      <w:r>
        <w:tab/>
        <w:t xml:space="preserve">Работнику гарантируется право на равную оплату за равный труд или труд равной ценности. </w:t>
      </w:r>
    </w:p>
    <w:p w:rsidR="00000000" w:rsidRDefault="00000000"/>
    <w:p w:rsidR="00000000" w:rsidRDefault="00000000">
      <w:r>
        <w:t>64.</w:t>
      </w:r>
      <w:r>
        <w:tab/>
        <w:t>Заработная плата работника складывается из следующих составляющих:</w:t>
      </w:r>
    </w:p>
    <w:p w:rsidR="00000000" w:rsidRDefault="00000000"/>
    <w:p w:rsidR="00000000" w:rsidRDefault="00000000">
      <w:pPr>
        <w:ind w:left="1134" w:hanging="1134"/>
      </w:pPr>
      <w:r>
        <w:tab/>
        <w:t>-</w:t>
      </w:r>
      <w:r>
        <w:tab/>
        <w:t>заработной платы, причитающейся работнику за выполненную работу и отработанное рабочее время;</w:t>
      </w:r>
    </w:p>
    <w:p w:rsidR="00000000" w:rsidRDefault="00000000">
      <w:pPr>
        <w:ind w:left="1134" w:hanging="1134"/>
      </w:pPr>
    </w:p>
    <w:p w:rsidR="00000000" w:rsidRDefault="00000000">
      <w:pPr>
        <w:ind w:left="1134" w:hanging="1134"/>
      </w:pPr>
      <w:r>
        <w:tab/>
        <w:t>-</w:t>
      </w:r>
      <w:r>
        <w:tab/>
        <w:t xml:space="preserve">надбавок к заработной плате;  </w:t>
      </w:r>
    </w:p>
    <w:p w:rsidR="00000000" w:rsidRDefault="00000000">
      <w:pPr>
        <w:ind w:left="1134" w:hanging="1134"/>
      </w:pPr>
    </w:p>
    <w:p w:rsidR="00000000" w:rsidRDefault="00000000">
      <w:pPr>
        <w:ind w:left="1134" w:hanging="1134"/>
      </w:pPr>
      <w:r>
        <w:tab/>
        <w:t>-</w:t>
      </w:r>
      <w:r>
        <w:tab/>
        <w:t>доплат к заработной плате;  и</w:t>
      </w:r>
    </w:p>
    <w:p w:rsidR="00000000" w:rsidRDefault="00000000">
      <w:pPr>
        <w:ind w:left="1134" w:hanging="1134"/>
      </w:pPr>
    </w:p>
    <w:p w:rsidR="00000000" w:rsidRDefault="00000000">
      <w:pPr>
        <w:ind w:left="1134" w:hanging="1134"/>
      </w:pPr>
      <w:r>
        <w:tab/>
        <w:t>-</w:t>
      </w:r>
      <w:r>
        <w:tab/>
        <w:t>других выплат, связанных с работой.</w:t>
      </w:r>
    </w:p>
    <w:p w:rsidR="00000000" w:rsidRDefault="00000000">
      <w:pPr>
        <w:ind w:left="1134" w:hanging="1134"/>
      </w:pPr>
    </w:p>
    <w:p w:rsidR="00000000" w:rsidRDefault="00000000">
      <w:r>
        <w:t>65.</w:t>
      </w:r>
      <w:r>
        <w:tab/>
        <w:t>Компенсация расходов на служебные командировки и проезд, материальная помощь, премиальные по случаю юбилеев и пособия в связи с выходом на пенсию не считаются заработной платой.</w:t>
      </w:r>
    </w:p>
    <w:p w:rsidR="00000000" w:rsidRDefault="00000000"/>
    <w:p w:rsidR="00000000" w:rsidRDefault="00000000">
      <w:r>
        <w:t>66.</w:t>
      </w:r>
      <w:r>
        <w:tab/>
        <w:t>Элементы исчисления заработной платы в законе не определяются.  Они устанавливаются в общем нормативном акте или трудовом договоре.</w:t>
      </w:r>
    </w:p>
    <w:p w:rsidR="00000000" w:rsidRDefault="00000000"/>
    <w:p w:rsidR="00000000" w:rsidRDefault="00000000">
      <w:r>
        <w:t>67.</w:t>
      </w:r>
      <w:r>
        <w:tab/>
        <w:t>Согласно нормам, действовавшим до вступления в силу Закона о труде, заработная плата определялась стоимостью выполненной работы, выработкой, количеством отработанного рабочего времени, обеспечением питания (субсидируемая предприятием организация горячего питания) и отпускными и полевыми надбавками.</w:t>
      </w:r>
    </w:p>
    <w:p w:rsidR="00000000" w:rsidRDefault="00000000"/>
    <w:p w:rsidR="00000000" w:rsidRDefault="00000000">
      <w:r>
        <w:t>68.</w:t>
      </w:r>
      <w:r>
        <w:tab/>
        <w:t>Работник имеет право на надбавку к заработной плате в соответствии с общим законом или трудовым договором за:  сверхурочную работу;  работу в праздничные и выходные дни, которые являются нерабочими днями;  работу в ночное время и сменную работу.</w:t>
      </w:r>
    </w:p>
    <w:p w:rsidR="00000000" w:rsidRDefault="00000000"/>
    <w:p w:rsidR="00000000" w:rsidRDefault="00000000">
      <w:r>
        <w:t>69.</w:t>
      </w:r>
      <w:r>
        <w:tab/>
        <w:t>В общем законе или трудовом договоре могут быть предусмотрены иные случаи, в которых работник имеет право на надбавку к заработной плате.</w:t>
      </w:r>
    </w:p>
    <w:p w:rsidR="00000000" w:rsidRDefault="00000000"/>
    <w:p w:rsidR="00000000" w:rsidRDefault="00000000">
      <w:r>
        <w:t>70.</w:t>
      </w:r>
      <w:r>
        <w:tab/>
        <w:t>Заработная плата выплачивается работнику не реже одного раза в месяц в день, установленный в общем законе или трудовом договоре.</w:t>
      </w:r>
    </w:p>
    <w:p w:rsidR="00000000" w:rsidRDefault="00000000"/>
    <w:p w:rsidR="00000000" w:rsidRDefault="00000000">
      <w:r>
        <w:t>71.</w:t>
      </w:r>
      <w:r>
        <w:tab/>
        <w:t>Заработная плата выплачивается только наличными, за исключением случаев заключения трудового договора с членами домашнего хозяйства, в каковом случае заработная плата может частично выплачиваться натурой.</w:t>
      </w:r>
    </w:p>
    <w:p w:rsidR="00000000" w:rsidRDefault="00000000"/>
    <w:p w:rsidR="00000000" w:rsidRDefault="00000000">
      <w:r>
        <w:t>72.</w:t>
      </w:r>
      <w:r>
        <w:tab/>
        <w:t>Работник имеет право на получение минимальной заработной платы за выполнение трудовой нормы и работу в течение полного рабочего дня.  Минимальный размер оплаты труда устанавливается по соглашению между правительством Республики Сербии и соответствующим репрезентативным профессиональным союзом и соответствующей репрезентативной ассоциацией работодателей, организованными на территории Республики Сербии в соответствии с законодательством.  Если предусмотренное в пункте 2 данной статьи соглашение не удается достичь в течение 10 дней с момента начала переговоров, минимальный размер оплаты труда устанавливается правительством Сербии.</w:t>
      </w:r>
    </w:p>
    <w:p w:rsidR="00000000" w:rsidRDefault="00000000"/>
    <w:p w:rsidR="00000000" w:rsidRDefault="00000000">
      <w:r>
        <w:t>73.</w:t>
      </w:r>
      <w:r>
        <w:tab/>
        <w:t>При исчислении минимального размера оплаты труда принимается во внимание следующее:  стоимость жизни, физические и социальные потребности работника и его семьи, уровень безработицы, колебания занятости на рынке труда и общий уровень экономического развития Республики.</w:t>
      </w:r>
    </w:p>
    <w:p w:rsidR="00000000" w:rsidRDefault="00000000"/>
    <w:p w:rsidR="00000000" w:rsidRDefault="00000000">
      <w:r>
        <w:t>74.</w:t>
      </w:r>
      <w:r>
        <w:tab/>
        <w:t>Минимальный размер оплаты труда устанавливается на почасовой основе на период не менее шести месяцев.</w:t>
      </w:r>
    </w:p>
    <w:p w:rsidR="00000000" w:rsidRDefault="00000000"/>
    <w:p w:rsidR="00000000" w:rsidRDefault="00000000">
      <w:r>
        <w:t>75.</w:t>
      </w:r>
      <w:r>
        <w:tab/>
        <w:t xml:space="preserve">Работник имеет право на компенсацию заработной платы:  </w:t>
      </w:r>
    </w:p>
    <w:p w:rsidR="00000000" w:rsidRDefault="00000000"/>
    <w:p w:rsidR="00000000" w:rsidRDefault="00000000">
      <w:r>
        <w:tab/>
        <w:t>-</w:t>
      </w:r>
      <w:r>
        <w:tab/>
        <w:t>в случае болезни в размере 65% от размера заработной платы;  и</w:t>
      </w:r>
    </w:p>
    <w:p w:rsidR="00000000" w:rsidRDefault="00000000"/>
    <w:p w:rsidR="00000000" w:rsidRDefault="00000000">
      <w:pPr>
        <w:ind w:left="1134" w:hanging="1134"/>
      </w:pPr>
      <w:r>
        <w:tab/>
        <w:t>-</w:t>
      </w:r>
      <w:r>
        <w:tab/>
        <w:t>профессионального заболевания или производственной травмы, отпуска, нерабочих и праздничных дней и оплачиваемого отпуска в размере 100% от заработной платы.</w:t>
      </w:r>
    </w:p>
    <w:p w:rsidR="00000000" w:rsidRDefault="00000000">
      <w:pPr>
        <w:ind w:left="1134" w:hanging="1134"/>
      </w:pPr>
    </w:p>
    <w:p w:rsidR="00000000" w:rsidRDefault="00000000">
      <w:r>
        <w:t>76.</w:t>
      </w:r>
      <w:r>
        <w:tab/>
        <w:t>В общем нормативно-правовом акте или трудовом договоре могут оговариваться иные случаи, в которых работник имеет право на компенсацию заработной платы.  Работник имеет право на возмещение расходов на проезд к месту работы и расходов в связи со служебными командировками внутри страны в размере, устанавливаемом в общем нормативном акте или трудовом договоре.  Работник имеет право на возмещение расходов в связи со служебными командировками за рубеж.  Эти вопросы регулировались аналогичным образом и в предыдущий период.</w:t>
      </w:r>
    </w:p>
    <w:p w:rsidR="00000000" w:rsidRDefault="00000000"/>
    <w:p w:rsidR="00000000" w:rsidRDefault="00000000">
      <w:pPr>
        <w:pStyle w:val="11"/>
        <w:jc w:val="left"/>
        <w:rPr>
          <w:b/>
          <w:bCs/>
          <w:u w:val="none"/>
        </w:rPr>
      </w:pPr>
      <w:r>
        <w:rPr>
          <w:b/>
          <w:bCs/>
          <w:u w:val="none"/>
        </w:rPr>
        <w:t>с)</w:t>
      </w:r>
      <w:r>
        <w:rPr>
          <w:b/>
          <w:bCs/>
          <w:u w:val="none"/>
        </w:rPr>
        <w:tab/>
        <w:t>Нормирование продолжительности рабочего времени</w:t>
      </w:r>
    </w:p>
    <w:p w:rsidR="00000000" w:rsidRDefault="00000000">
      <w:pPr>
        <w:pStyle w:val="11"/>
        <w:rPr>
          <w:u w:val="none"/>
        </w:rPr>
      </w:pPr>
    </w:p>
    <w:p w:rsidR="00000000" w:rsidRDefault="00000000">
      <w:r>
        <w:t>77.</w:t>
      </w:r>
      <w:r>
        <w:tab/>
        <w:t>В Конституции Союзной Республики Югославии предусматривалось, что работники имеют право на нормирование продолжительности рабочего времени, ежедневный и еженедельный отдых и на оплачиваемый ежегодный отпуск в соответствии с законом и/или коллективным договором.  Эти права являются неотъемлемыми правами каждого трудящегося.</w:t>
      </w:r>
    </w:p>
    <w:p w:rsidR="00000000" w:rsidRDefault="00000000"/>
    <w:p w:rsidR="00000000" w:rsidRDefault="00000000">
      <w:r>
        <w:t>78.</w:t>
      </w:r>
      <w:r>
        <w:tab/>
        <w:t>В Союзном законе об основных принципах труда и в Законе о труде Республики Сербия установлена 40-часовая рабочая неделя, которая считается полным рабочим временем.  Продолжительность рабочей недели лица в возрасте моложе 18 лет не должна превышать 35 часов.</w:t>
      </w:r>
    </w:p>
    <w:p w:rsidR="00000000" w:rsidRDefault="00000000"/>
    <w:p w:rsidR="00000000" w:rsidRDefault="00000000">
      <w:r>
        <w:t>79.</w:t>
      </w:r>
      <w:r>
        <w:tab/>
        <w:t>При постоянной или временной занятости может быть заключен договор на неполное рабочее время.  При неполном рабочем времени работник имеет право на обязательное социальное страхование и пользуется всеми трудовыми правами пропорционально отработанному времени.</w:t>
      </w:r>
    </w:p>
    <w:p w:rsidR="00000000" w:rsidRDefault="00000000"/>
    <w:p w:rsidR="00000000" w:rsidRDefault="00000000">
      <w:r>
        <w:t>80.</w:t>
      </w:r>
      <w:r>
        <w:tab/>
        <w:t>Работник, работающий неполный рабочий день для одного работодателя, может заключить трудовой договор на оставшуюся часть своего рабочего времени с другим работодателем и обеспечить таким образом полную занятость.</w:t>
      </w:r>
    </w:p>
    <w:p w:rsidR="00000000" w:rsidRDefault="00000000"/>
    <w:p w:rsidR="00000000" w:rsidRDefault="00000000">
      <w:pPr>
        <w:pStyle w:val="11"/>
        <w:jc w:val="left"/>
        <w:rPr>
          <w:b/>
          <w:bCs/>
          <w:u w:val="none"/>
        </w:rPr>
      </w:pPr>
      <w:r>
        <w:rPr>
          <w:b/>
          <w:bCs/>
          <w:u w:val="none"/>
        </w:rPr>
        <w:t>d)</w:t>
      </w:r>
      <w:r>
        <w:rPr>
          <w:b/>
          <w:bCs/>
          <w:u w:val="none"/>
        </w:rPr>
        <w:tab/>
        <w:t>Сокращенная продолжительность рабочего времени</w:t>
      </w:r>
    </w:p>
    <w:p w:rsidR="00000000" w:rsidRDefault="00000000">
      <w:pPr>
        <w:pStyle w:val="11"/>
        <w:rPr>
          <w:u w:val="none"/>
        </w:rPr>
      </w:pPr>
    </w:p>
    <w:p w:rsidR="00000000" w:rsidRDefault="00000000">
      <w:r>
        <w:t>81.</w:t>
      </w:r>
      <w:r>
        <w:tab/>
        <w:t>В Законе о труде предусмотрена сокращенная продолжительность рабочего времени.  В нем указано, что трудящиеся, занятые на работах с вредными и опасными условиями труда, определяемыми в законодательстве или общем нормативном акте, которые, несмотря на применение средств и мер коллективной и индивидуальной охраны и гигиены труда, создают угрозу для здоровья, имеют право на сокращение продолжительности рабочего времени пропорционально степени воздействия производственных рисков на здоровье и работоспособность работника максимум на 10 часов в неделю (на работах с повышенной опасностью).</w:t>
      </w:r>
    </w:p>
    <w:p w:rsidR="00000000" w:rsidRDefault="00000000"/>
    <w:p w:rsidR="00000000" w:rsidRDefault="00000000">
      <w:r>
        <w:t>82.</w:t>
      </w:r>
      <w:r>
        <w:tab/>
        <w:t>Сокращенное рабочее время устанавливается по результатам экспертного анализа.  Работник, занятый неполное рабочее время, пользуется всеми правами работника, занятого полное рабочее время.</w:t>
      </w:r>
    </w:p>
    <w:p w:rsidR="00000000" w:rsidRDefault="00000000"/>
    <w:p w:rsidR="00000000" w:rsidRDefault="00000000">
      <w:pPr>
        <w:pStyle w:val="16"/>
        <w:jc w:val="left"/>
        <w:rPr>
          <w:b/>
          <w:bCs/>
        </w:rPr>
      </w:pPr>
      <w:r>
        <w:rPr>
          <w:b/>
          <w:bCs/>
        </w:rPr>
        <w:t>е)</w:t>
      </w:r>
      <w:r>
        <w:rPr>
          <w:b/>
          <w:bCs/>
        </w:rPr>
        <w:tab/>
        <w:t>Сверхурочная работа</w:t>
      </w:r>
    </w:p>
    <w:p w:rsidR="00000000" w:rsidRDefault="00000000">
      <w:pPr>
        <w:pStyle w:val="16"/>
      </w:pPr>
    </w:p>
    <w:p w:rsidR="00000000" w:rsidRDefault="00000000">
      <w:r>
        <w:t>83.</w:t>
      </w:r>
      <w:r>
        <w:tab/>
        <w:t>По инициативе работодателя работнику может вменяться в обязанность выполнять работу за пределами нормальной продолжительности рабочего времени в случае наступления форс-мажорных обстоятельств, непредвиденного увеличения объема работы и в иных случаях возникновения необходимости выполнения незапланированной работы в течение установленного срока.  Сверхурочные работы не должны превышать для работника четырех часов в течение суток и более 240 часов в течение календарного года.</w:t>
      </w:r>
    </w:p>
    <w:p w:rsidR="00000000" w:rsidRDefault="00000000"/>
    <w:p w:rsidR="00000000" w:rsidRDefault="00000000">
      <w:pPr>
        <w:pStyle w:val="16"/>
        <w:jc w:val="left"/>
        <w:rPr>
          <w:b/>
          <w:bCs/>
        </w:rPr>
      </w:pPr>
      <w:r>
        <w:rPr>
          <w:b/>
          <w:bCs/>
        </w:rPr>
        <w:t>f)</w:t>
      </w:r>
      <w:r>
        <w:rPr>
          <w:b/>
          <w:bCs/>
        </w:rPr>
        <w:tab/>
        <w:t>Изменение режима рабочего времени</w:t>
      </w:r>
    </w:p>
    <w:p w:rsidR="00000000" w:rsidRDefault="00000000">
      <w:pPr>
        <w:pStyle w:val="16"/>
      </w:pPr>
    </w:p>
    <w:p w:rsidR="00000000" w:rsidRDefault="00000000">
      <w:r>
        <w:t>84.</w:t>
      </w:r>
      <w:r>
        <w:tab/>
        <w:t>Работодатель может изменять режим рабочего времени, если это необходимо в силу характера деятельности, организации работы, необходимости более рационального использования средств производства, повышения эффективности использования рабочего времени и завершения работы в установленные сроки.</w:t>
      </w:r>
    </w:p>
    <w:p w:rsidR="00000000" w:rsidRDefault="00000000"/>
    <w:p w:rsidR="00000000" w:rsidRDefault="00000000">
      <w:r>
        <w:t>85.</w:t>
      </w:r>
      <w:r>
        <w:tab/>
        <w:t>Изменение режима рабочего времени осуществляется таким образом, чтобы суммарное рабочее время работника в течение календарного года в среднем не превышало полного нормального рабочего времени.  Изменение режима рабочего времени лиц моложе 18 лет запрещено.  Работодатель имеет право изменить график работы работника</w:t>
      </w:r>
      <w:r>
        <w:noBreakHyphen/>
        <w:t>женщины в период беременности и работника с ребенком в возрасте до трех лет или ребенком с серьезными психическими и физическими нарушениями только при условии получения от работника письменного согласия.</w:t>
      </w:r>
    </w:p>
    <w:p w:rsidR="00000000" w:rsidRDefault="00000000"/>
    <w:p w:rsidR="00000000" w:rsidRDefault="00000000">
      <w:pPr>
        <w:rPr>
          <w:b/>
          <w:bCs/>
        </w:rPr>
      </w:pPr>
      <w:proofErr w:type="spellStart"/>
      <w:r>
        <w:rPr>
          <w:b/>
          <w:bCs/>
        </w:rPr>
        <w:t>g</w:t>
      </w:r>
      <w:proofErr w:type="spellEnd"/>
      <w:r>
        <w:rPr>
          <w:b/>
          <w:bCs/>
        </w:rPr>
        <w:t xml:space="preserve">) </w:t>
      </w:r>
      <w:r>
        <w:rPr>
          <w:b/>
          <w:bCs/>
        </w:rPr>
        <w:tab/>
        <w:t>Работа в ночное время</w:t>
      </w:r>
    </w:p>
    <w:p w:rsidR="00000000" w:rsidRDefault="00000000">
      <w:pPr>
        <w:jc w:val="center"/>
        <w:rPr>
          <w:b/>
          <w:bCs/>
        </w:rPr>
      </w:pPr>
    </w:p>
    <w:p w:rsidR="00000000" w:rsidRDefault="00000000">
      <w:r>
        <w:t>86.</w:t>
      </w:r>
      <w:r>
        <w:tab/>
        <w:t>Работой в ночное время считается работа, выполняемая с 22 час. 00 мин. до 6 час. 00 мин. следующих суток.  При организации работы посменно график сменности должен обеспечивать, чтобы работник не работал непрерывно в ночную смену в течение более одной рабочей недели.  Работа в ночную смену более одной рабочей недели разрешается только с письменного согласия работника.</w:t>
      </w:r>
    </w:p>
    <w:p w:rsidR="00000000" w:rsidRDefault="00000000"/>
    <w:p w:rsidR="00000000" w:rsidRDefault="00000000">
      <w:pPr>
        <w:rPr>
          <w:b/>
          <w:bCs/>
        </w:rPr>
      </w:pPr>
      <w:proofErr w:type="spellStart"/>
      <w:r>
        <w:rPr>
          <w:b/>
          <w:bCs/>
        </w:rPr>
        <w:t>h</w:t>
      </w:r>
      <w:proofErr w:type="spellEnd"/>
      <w:r>
        <w:rPr>
          <w:b/>
          <w:bCs/>
        </w:rPr>
        <w:t>)</w:t>
      </w:r>
      <w:r>
        <w:rPr>
          <w:b/>
          <w:bCs/>
        </w:rPr>
        <w:tab/>
        <w:t>Отпуск и отдых</w:t>
      </w:r>
    </w:p>
    <w:p w:rsidR="00000000" w:rsidRDefault="00000000">
      <w:pPr>
        <w:jc w:val="center"/>
        <w:rPr>
          <w:b/>
          <w:bCs/>
        </w:rPr>
      </w:pPr>
    </w:p>
    <w:p w:rsidR="00000000" w:rsidRDefault="00000000">
      <w:r>
        <w:t>87.</w:t>
      </w:r>
      <w:r>
        <w:tab/>
        <w:t>Конституция Союзной Республики Югославии гарантировала работникам право на еженедельный отдых в соответствии с законом и/или коллективным договором (статья 56).  В Законе об основах трудовых отношениях предусматривалось право работника на еженедельный отдых в течение 24 часов.  При необходимости выхода на работу в еженедельный выходной день работнику в порядке компенсации должен предоставляться день отдыха в течение следующей недели (статья 28).  Согласно Закону о труде Республики Сербии, работник имеет право на еженедельный отдых в течение не менее 24 часов в конце недели, и в случае привлечения к работе в выходной день работнику в порядке компенсации должен предоставляться выходной день в течение рабочего дня на следующей неделе.</w:t>
      </w:r>
    </w:p>
    <w:p w:rsidR="00000000" w:rsidRDefault="00000000"/>
    <w:p w:rsidR="00000000" w:rsidRDefault="00000000">
      <w:r>
        <w:t>88.</w:t>
      </w:r>
      <w:r>
        <w:tab/>
        <w:t>Помимо еженедельного отдыха, работник имеет право на оплачиваемый отпуск.  Согласно положениям Закона об основах трудовых отношений, работнику не может быть отказано в праве на отпуск продолжительностью не менее 18 рабочих дней, при этом работник не может отказаться от этого права.  Закон о труде Республики Сербии содержит более подробные положения на этот счет, в которых закреплено, что работник, впервые принятый на работу или не работавший в течение более пяти рабочих дней, получает право на оплачиваемый отпуск по истечении шести месяцев непрерывной производственной деятельности.  Находясь в отпуске, работник имеет право на сохранение заработка в размере причитающегося ему оклада за отпускной месяц.  При невозможности использования работником его отпуска по вине работодателя работник имеет право на денежную компенсацию в размере заработка, который был бы им получен в течение отпускного месяца.  В Законе оговаривается лишь минимальная продолжительность отпуска и не устанавливается его максимальная продолжительность.  Вместе с тем на практике зачастую используются отпуска продолжительностью более 18 рабочих дней на основе применения критериев определения продолжительности отпуска, предусмотренных в Законе и коллективных договорах.  В основном, отпуска продолжительностью 18 дней предоставляются лишь работникам в начальный период занятости, т.е. работникам, имеющим небольшой стаж работы.</w:t>
      </w:r>
    </w:p>
    <w:p w:rsidR="00000000" w:rsidRDefault="00000000"/>
    <w:p w:rsidR="00000000" w:rsidRDefault="00000000">
      <w:r>
        <w:t>89.</w:t>
      </w:r>
      <w:r>
        <w:tab/>
        <w:t xml:space="preserve">В дополнение к ежегодному отпуску работник имеет право на отдых в течение календарного года продолжительностью до пяти рабочих дней в случаях, предусмотренных законом, общим нормативным актом или трудовым договором.  В случае приостановления работы не по вине работника в течение не более 45 дней за календарный год работник имеет право на компенсацию заработной платы в размере </w:t>
      </w:r>
      <w:proofErr w:type="spellStart"/>
      <w:r>
        <w:t>45%</w:t>
      </w:r>
      <w:proofErr w:type="spellEnd"/>
      <w:r>
        <w:t xml:space="preserve"> от его заработка за указанный период.  Работник имеет право на денежную компенсацию в размере заработка, который был бы им получен при работе в праздничный день, который не является рабочим днем.  При привлечении к работе в праздничный нерабочий день работник имеет право на надбавку к заработной плате.</w:t>
      </w:r>
    </w:p>
    <w:p w:rsidR="00000000" w:rsidRDefault="00000000"/>
    <w:p w:rsidR="00000000" w:rsidRDefault="00000000">
      <w:pPr>
        <w:rPr>
          <w:b/>
          <w:bCs/>
        </w:rPr>
      </w:pPr>
      <w:proofErr w:type="spellStart"/>
      <w:r>
        <w:rPr>
          <w:b/>
          <w:bCs/>
        </w:rPr>
        <w:t>i</w:t>
      </w:r>
      <w:proofErr w:type="spellEnd"/>
      <w:r>
        <w:rPr>
          <w:b/>
          <w:bCs/>
        </w:rPr>
        <w:t xml:space="preserve">) </w:t>
      </w:r>
      <w:r>
        <w:rPr>
          <w:b/>
          <w:bCs/>
        </w:rPr>
        <w:tab/>
        <w:t>Охрана труда</w:t>
      </w:r>
    </w:p>
    <w:p w:rsidR="00000000" w:rsidRDefault="00000000">
      <w:pPr>
        <w:jc w:val="center"/>
        <w:rPr>
          <w:b/>
          <w:bCs/>
        </w:rPr>
      </w:pPr>
    </w:p>
    <w:p w:rsidR="00000000" w:rsidRDefault="00000000">
      <w:r>
        <w:t>90.</w:t>
      </w:r>
      <w:r>
        <w:tab/>
        <w:t>Конституция Союзной Республики Югославии гарантировала трудящимся право на охрану труда</w:t>
      </w:r>
      <w:r>
        <w:rPr>
          <w:rStyle w:val="FootnoteReference"/>
        </w:rPr>
        <w:footnoteReference w:id="6"/>
      </w:r>
      <w:r>
        <w:t xml:space="preserve"> в соответствии с законом (пункт 2 статьи 56 Конституции).</w:t>
      </w:r>
    </w:p>
    <w:p w:rsidR="00000000" w:rsidRDefault="00000000"/>
    <w:p w:rsidR="00000000" w:rsidRDefault="00000000">
      <w:r>
        <w:t>91.</w:t>
      </w:r>
      <w:r>
        <w:tab/>
        <w:t>Конституция Республики Сербии предусматривает, что "работники имеют право на охрану труда в соответствии с законом" (пункт 2 статьи 38).  Кроме того, в положениях Конституции, в частности в подпункте 4 пункта 1 статьи 72 раздела о правах и обязанностях, устанавливается, что Республика Сербия осуществляет соответствующее регулирование и создает систему охраны труда.</w:t>
      </w:r>
    </w:p>
    <w:p w:rsidR="00000000" w:rsidRDefault="00000000"/>
    <w:p w:rsidR="00000000" w:rsidRDefault="00000000">
      <w:r>
        <w:t>92.</w:t>
      </w:r>
      <w:r>
        <w:tab/>
        <w:t>В целях обеспечения общей охраны труда разработана национальная политика в области охраны, безопасности и гигиены труда, которая действует во всех секторах экономической деятельности применительно ко всем работникам, занятым в этих секторах.  Установлен комплекс мер по осуществлению этой политики.  Реализация положений законов и норм обеспечивается с помощью системы специальных инспекций.  На уровне предприятий предусмотрены меры, направленные на обеспечение функционирования системы охраны труда за счет выполнения определенных требований работодателями и за счет сотрудничества между работодателями и работниками, т.е. их представителями в соответствующей компании.</w:t>
      </w:r>
    </w:p>
    <w:p w:rsidR="00000000" w:rsidRDefault="00000000"/>
    <w:p w:rsidR="00000000" w:rsidRDefault="00000000">
      <w:r>
        <w:t>93.</w:t>
      </w:r>
      <w:r>
        <w:tab/>
        <w:t>Специальная защита обеспечивается с помощью следующих мер:  а)  применения норм, относящихся к рискам, связанным с использованием опасных для жизни и вредных для здоровья материалов (производственных материалов) и машин;  и  </w:t>
      </w:r>
      <w:r>
        <w:rPr>
          <w:lang w:val="en-US"/>
        </w:rPr>
        <w:t>b</w:t>
      </w:r>
      <w:r>
        <w:t xml:space="preserve">)  применения норм, касающихся рисков, связанных с определенными видами деятельности, или выполнением определенных видов работ.  Первый вид защиты касается, к примеру, защиты здоровья при использовании содержащего свинец </w:t>
      </w:r>
      <w:proofErr w:type="spellStart"/>
      <w:r>
        <w:t>отбеливателя</w:t>
      </w:r>
      <w:proofErr w:type="spellEnd"/>
      <w:r>
        <w:t xml:space="preserve"> в лакокрасочном производстве, бензола, канцерогенных веществ и соединений при работе с асбестом, а также защиты от вредного воздействия химических технологий, включая защиту оборудования и защиту от профессиональных рисков, связанных с условиями труда.  Этот тип защиты предполагает также защиту работников на рабочем месте и касается санитарной гигиены труда.  К этому типу защиты относятся также меры социальной защиты за счет организации социальных служб и создания условий благоприятных для работы и жизни.  Второй тип защиты труда касается защиты моряков, рыбаков, условий работы в гостиничном хозяйстве, ресторанах и аналогичных им учреждениям.</w:t>
      </w:r>
    </w:p>
    <w:p w:rsidR="00000000" w:rsidRDefault="00000000"/>
    <w:p w:rsidR="00000000" w:rsidRDefault="00000000">
      <w:pPr>
        <w:rPr>
          <w:b/>
          <w:bCs/>
        </w:rPr>
      </w:pPr>
      <w:proofErr w:type="spellStart"/>
      <w:r>
        <w:rPr>
          <w:b/>
          <w:bCs/>
        </w:rPr>
        <w:t>j</w:t>
      </w:r>
      <w:proofErr w:type="spellEnd"/>
      <w:r>
        <w:rPr>
          <w:b/>
          <w:bCs/>
        </w:rPr>
        <w:t xml:space="preserve">) </w:t>
      </w:r>
      <w:r>
        <w:rPr>
          <w:b/>
          <w:bCs/>
        </w:rPr>
        <w:tab/>
        <w:t>Законы, регулирующие охрану труда</w:t>
      </w:r>
    </w:p>
    <w:p w:rsidR="00000000" w:rsidRDefault="00000000"/>
    <w:p w:rsidR="00000000" w:rsidRDefault="00000000">
      <w:r>
        <w:t>94.</w:t>
      </w:r>
      <w:r>
        <w:tab/>
        <w:t>Союзная Республика Югославия ратифицировала 17 конвенций в области охраны труда.  Эти конвенции регулируют три области:  технику безопасности, гигиену труда и социальную защиту.</w:t>
      </w:r>
    </w:p>
    <w:p w:rsidR="00000000" w:rsidRDefault="00000000"/>
    <w:p w:rsidR="00000000" w:rsidRDefault="00000000">
      <w:r>
        <w:t>95.</w:t>
      </w:r>
      <w:r>
        <w:tab/>
        <w:t>Согласно действующим законам, право на охрану труда является по своей сути правом, получаемым работниками в связи с работой.  В Законе об основах трудовых отношений (</w:t>
      </w:r>
      <w:r>
        <w:rPr>
          <w:i/>
          <w:iCs/>
        </w:rPr>
        <w:t>Официальный вестник Союзной Республики Югославии</w:t>
      </w:r>
      <w:r>
        <w:t>, № 29/96) закреплено, что "работник пользуется правом на […] охрану труда" (статья 3), тогда как положения статей 33 и 34 этого Закона содержат основные принципы организации безопасного труда работника.  "Работодатель обязан обеспечить необходимые условия для охраны труда в соответствии с действующим законодательством и предписанными мерами и нормами в области охраны труда" (пункт 1, статья 33).  "Работодатель обязан проинформировать работника об угрожающих жизни и здоровью рисках на его рабочем месте и его правах и обязанностях, касающихся охраны труда и условий работы" (пункт 1, статья 44).</w:t>
      </w:r>
    </w:p>
    <w:p w:rsidR="00000000" w:rsidRDefault="00000000"/>
    <w:p w:rsidR="00000000" w:rsidRDefault="00000000">
      <w:r>
        <w:t>96.</w:t>
      </w:r>
      <w:r>
        <w:tab/>
        <w:t>В Законе о трудовых отношениях (</w:t>
      </w:r>
      <w:r>
        <w:rPr>
          <w:i/>
          <w:iCs/>
        </w:rPr>
        <w:t>Официальный вестник Республики Сербии</w:t>
      </w:r>
      <w:r>
        <w:t>, № 55/96) с учетом вышеуказанных положений Закона об основах трудовых отношений предусматривается, что к работе, связанной с повышенным риском получения травмы или профессионального или иного заболевания, "допускаются только лица, которые наряду с условиями, установленными в коллективном договоре, соответствуют данной работе по критериям, касающимся состояния здоровья, работоспособности и возраста" (статья 73).</w:t>
      </w:r>
    </w:p>
    <w:p w:rsidR="00000000" w:rsidRDefault="00000000"/>
    <w:p w:rsidR="00000000" w:rsidRDefault="00000000">
      <w:r>
        <w:t>97.</w:t>
      </w:r>
      <w:r>
        <w:tab/>
        <w:t>На все категории работников распространяется система техники безопасности и гигиены труда на рабочем месте.  Вопросы охраны труда военнослужащих и вольнонаемных гражданских лиц в вооруженных силах Югославии регулируются отдельными нормативными актами.</w:t>
      </w:r>
    </w:p>
    <w:p w:rsidR="00000000" w:rsidRDefault="00000000"/>
    <w:p w:rsidR="00000000" w:rsidRDefault="00000000">
      <w:r>
        <w:t>98.</w:t>
      </w:r>
      <w:r>
        <w:tab/>
        <w:t>Согласно положениям вышеуказанных норм и правил, в целях обеспечения охраны жизни и здоровья работников работодатель обязан обеспечить необходимые условия для охраны труда, при этом работник также обязан выполнять требования норм и правил безопасности труда в целях сохранения своей работоспособности, здоровья и жизни.</w:t>
      </w:r>
    </w:p>
    <w:p w:rsidR="00000000" w:rsidRDefault="00000000"/>
    <w:p w:rsidR="00000000" w:rsidRDefault="00000000">
      <w:r>
        <w:t>99.</w:t>
      </w:r>
      <w:r>
        <w:tab/>
        <w:t>Непринятие работодателем мер в области охраны труда и защиты здоровья карается как мелкое уголовное или экономическое правонарушение.  Инспекция труда запрещает работу в местах, связанных с опасностью для жизни и здоровья работников, до устранения выявленных факторов опасности.</w:t>
      </w:r>
    </w:p>
    <w:p w:rsidR="00000000" w:rsidRDefault="00000000"/>
    <w:p w:rsidR="00000000" w:rsidRDefault="00000000">
      <w:r>
        <w:t>100.</w:t>
      </w:r>
      <w:r>
        <w:tab/>
        <w:t>На основе положений Конституции Союзной Республики Югославии, Конституции Республики Сербии, Закона об основах трудовых отношений и Закона о трудовых отношениях система охраны труда в Республике Сербии регулируется Законом об охране труда.  В положениях этого закона предусматриваются:</w:t>
      </w:r>
    </w:p>
    <w:p w:rsidR="00000000" w:rsidRDefault="00000000"/>
    <w:p w:rsidR="00000000" w:rsidRDefault="00000000">
      <w:r>
        <w:tab/>
        <w:t>а)</w:t>
      </w:r>
      <w:r>
        <w:tab/>
        <w:t>права и обязанности работников в отношении выполнения норм охраны труда;  и</w:t>
      </w:r>
    </w:p>
    <w:p w:rsidR="00000000" w:rsidRDefault="00000000"/>
    <w:p w:rsidR="00000000" w:rsidRDefault="00000000">
      <w:r>
        <w:tab/>
      </w:r>
      <w:r>
        <w:rPr>
          <w:lang w:val="en-US"/>
        </w:rPr>
        <w:t>b</w:t>
      </w:r>
      <w:r>
        <w:t>)</w:t>
      </w:r>
      <w:r>
        <w:tab/>
        <w:t>права и обязанности предприятий и всех иных форм организованного труда в отношении обеспечения и соблюдения безопасности труда.  Положения Закона также действуют применительно к работникам, занятым в административных органах, органах территориальных автономий и местного самоуправления, если в другом законе не предусмотрено иное.</w:t>
      </w:r>
    </w:p>
    <w:p w:rsidR="00000000" w:rsidRDefault="00000000"/>
    <w:p w:rsidR="00000000" w:rsidRDefault="00000000">
      <w:r>
        <w:t>101.</w:t>
      </w:r>
      <w:r>
        <w:tab/>
        <w:t>Закон об охране труда содержит подробные положения, регулирующие следующие аспекты:</w:t>
      </w:r>
    </w:p>
    <w:p w:rsidR="00000000" w:rsidRDefault="00000000"/>
    <w:p w:rsidR="00000000" w:rsidRDefault="00000000">
      <w:r>
        <w:tab/>
        <w:t>а)</w:t>
      </w:r>
      <w:r>
        <w:tab/>
        <w:t>право на охрану труда;</w:t>
      </w:r>
    </w:p>
    <w:p w:rsidR="00000000" w:rsidRDefault="00000000"/>
    <w:p w:rsidR="00000000" w:rsidRDefault="00000000">
      <w:r>
        <w:tab/>
      </w:r>
      <w:r>
        <w:rPr>
          <w:lang w:val="en-US"/>
        </w:rPr>
        <w:t>b</w:t>
      </w:r>
      <w:r>
        <w:t>)</w:t>
      </w:r>
      <w:r>
        <w:tab/>
        <w:t>обеспечение охраны труда, которая предполагает (включает):</w:t>
      </w:r>
    </w:p>
    <w:p w:rsidR="00000000" w:rsidRDefault="00000000"/>
    <w:p w:rsidR="00000000" w:rsidRDefault="00000000">
      <w:pPr>
        <w:numPr>
          <w:ilvl w:val="0"/>
          <w:numId w:val="3"/>
        </w:numPr>
        <w:tabs>
          <w:tab w:val="clear" w:pos="1701"/>
          <w:tab w:val="left" w:pos="1683"/>
        </w:tabs>
        <w:ind w:left="1683" w:hanging="561"/>
      </w:pPr>
      <w:r>
        <w:t>использование превентивных мер защиты при строительстве зданий и сооружений и производстве инструментов и оснастки, производстве индивидуальных средств защиты и оборудования и производстве и использовании ядовитых веществ;</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периодические контроль и проверку;</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производственную среду с особыми условиями работы;</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организацию мер в области охраны труда;</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обучение работников безопасным методам и приемам труда;</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оказание первой помощи и проведение спасательных работ;  и</w:t>
      </w:r>
    </w:p>
    <w:p w:rsidR="00000000" w:rsidRDefault="00000000">
      <w:pPr>
        <w:tabs>
          <w:tab w:val="clear" w:pos="1701"/>
          <w:tab w:val="left" w:pos="1683"/>
        </w:tabs>
        <w:ind w:left="495"/>
      </w:pPr>
    </w:p>
    <w:p w:rsidR="00000000" w:rsidRDefault="00000000">
      <w:pPr>
        <w:numPr>
          <w:ilvl w:val="0"/>
          <w:numId w:val="3"/>
        </w:numPr>
        <w:tabs>
          <w:tab w:val="clear" w:pos="1701"/>
          <w:tab w:val="left" w:pos="1683"/>
        </w:tabs>
        <w:ind w:left="1683" w:hanging="561"/>
      </w:pPr>
      <w:r>
        <w:t>ведение соответствующей документации;</w:t>
      </w:r>
    </w:p>
    <w:p w:rsidR="00000000" w:rsidRDefault="00000000">
      <w:pPr>
        <w:tabs>
          <w:tab w:val="clear" w:pos="1701"/>
          <w:tab w:val="left" w:pos="1683"/>
        </w:tabs>
        <w:ind w:left="495"/>
      </w:pPr>
    </w:p>
    <w:p w:rsidR="00000000" w:rsidRDefault="00000000">
      <w:pPr>
        <w:tabs>
          <w:tab w:val="clear" w:pos="1701"/>
          <w:tab w:val="left" w:pos="1683"/>
        </w:tabs>
      </w:pPr>
      <w:r>
        <w:tab/>
        <w:t>с)</w:t>
      </w:r>
      <w:r>
        <w:tab/>
        <w:t>права, обязанности и функции в области обеспечения и выполнения требований охраны труда;</w:t>
      </w:r>
    </w:p>
    <w:p w:rsidR="00000000" w:rsidRDefault="00000000">
      <w:pPr>
        <w:tabs>
          <w:tab w:val="clear" w:pos="1701"/>
          <w:tab w:val="left" w:pos="1683"/>
        </w:tabs>
      </w:pPr>
    </w:p>
    <w:p w:rsidR="00000000" w:rsidRDefault="00000000">
      <w:pPr>
        <w:tabs>
          <w:tab w:val="clear" w:pos="1701"/>
          <w:tab w:val="left" w:pos="1683"/>
        </w:tabs>
      </w:pPr>
      <w:r>
        <w:tab/>
      </w:r>
      <w:r>
        <w:rPr>
          <w:lang w:val="en-US"/>
        </w:rPr>
        <w:t>d</w:t>
      </w:r>
      <w:r>
        <w:t>)</w:t>
      </w:r>
      <w:r>
        <w:tab/>
        <w:t>надзор;  и</w:t>
      </w:r>
    </w:p>
    <w:p w:rsidR="00000000" w:rsidRDefault="00000000">
      <w:pPr>
        <w:tabs>
          <w:tab w:val="clear" w:pos="1701"/>
          <w:tab w:val="left" w:pos="1683"/>
        </w:tabs>
      </w:pPr>
    </w:p>
    <w:p w:rsidR="00000000" w:rsidRDefault="00000000">
      <w:pPr>
        <w:tabs>
          <w:tab w:val="clear" w:pos="1701"/>
          <w:tab w:val="left" w:pos="1683"/>
        </w:tabs>
      </w:pPr>
      <w:r>
        <w:tab/>
      </w:r>
      <w:proofErr w:type="spellStart"/>
      <w:r>
        <w:t>е</w:t>
      </w:r>
      <w:proofErr w:type="spellEnd"/>
      <w:r>
        <w:t>)</w:t>
      </w:r>
      <w:r>
        <w:tab/>
        <w:t>положения об уголовной ответственности.</w:t>
      </w:r>
    </w:p>
    <w:p w:rsidR="00000000" w:rsidRDefault="00000000">
      <w:pPr>
        <w:tabs>
          <w:tab w:val="clear" w:pos="1701"/>
          <w:tab w:val="left" w:pos="1683"/>
        </w:tabs>
      </w:pPr>
    </w:p>
    <w:p w:rsidR="00000000" w:rsidRDefault="00000000">
      <w:pPr>
        <w:tabs>
          <w:tab w:val="clear" w:pos="1701"/>
          <w:tab w:val="left" w:pos="1683"/>
        </w:tabs>
      </w:pPr>
      <w:r>
        <w:t>102.</w:t>
      </w:r>
      <w:r>
        <w:tab/>
        <w:t>До 23 января 2001 года вопросы охраны труда входили в ведение министерства по делам труда и ветеранов Республики Сербии, а после 24 января 2001 года на основании положений Закона о внесении поправок в Закон о министерствах эти вопросы были переданы в компетенцию министерства труда и занятости Республики Сербии.</w:t>
      </w:r>
    </w:p>
    <w:p w:rsidR="00000000" w:rsidRDefault="00000000">
      <w:pPr>
        <w:tabs>
          <w:tab w:val="clear" w:pos="1701"/>
          <w:tab w:val="left" w:pos="1683"/>
        </w:tabs>
      </w:pPr>
    </w:p>
    <w:p w:rsidR="00000000" w:rsidRDefault="00000000">
      <w:pPr>
        <w:tabs>
          <w:tab w:val="clear" w:pos="1701"/>
          <w:tab w:val="left" w:pos="1683"/>
        </w:tabs>
      </w:pPr>
      <w:r>
        <w:t>103.</w:t>
      </w:r>
      <w:r>
        <w:tab/>
        <w:t>Министерство труда и занятости включает в качестве самостоятельных организационных единиц Департамент инспекции труда и Департамент труда.</w:t>
      </w:r>
    </w:p>
    <w:p w:rsidR="00000000" w:rsidRDefault="00000000">
      <w:pPr>
        <w:tabs>
          <w:tab w:val="clear" w:pos="1701"/>
          <w:tab w:val="left" w:pos="1683"/>
        </w:tabs>
      </w:pPr>
    </w:p>
    <w:p w:rsidR="00000000" w:rsidRDefault="00000000">
      <w:pPr>
        <w:keepLines/>
        <w:tabs>
          <w:tab w:val="clear" w:pos="1701"/>
          <w:tab w:val="left" w:pos="1683"/>
        </w:tabs>
      </w:pPr>
      <w:r>
        <w:t>104.</w:t>
      </w:r>
      <w:r>
        <w:tab/>
        <w:t>Трудовые инспекторы в Департаменте инспекции труда министерства труда и занятости осуществляют надзор за осуществлением положений Закона о трудовых отношениях, Закона об охране труда, Закона о предприятиях и Закона о частных предпринимателях, а также других норм и правил в области охраны труда и трудовых отношений, коллективных договоров, общих законов и трудовых договоров.</w:t>
      </w:r>
    </w:p>
    <w:p w:rsidR="00000000" w:rsidRDefault="00000000">
      <w:pPr>
        <w:tabs>
          <w:tab w:val="clear" w:pos="1701"/>
          <w:tab w:val="left" w:pos="1683"/>
        </w:tabs>
      </w:pPr>
    </w:p>
    <w:p w:rsidR="00000000" w:rsidRDefault="00000000">
      <w:pPr>
        <w:tabs>
          <w:tab w:val="clear" w:pos="1701"/>
          <w:tab w:val="left" w:pos="1683"/>
        </w:tabs>
      </w:pPr>
      <w:r>
        <w:t>105.</w:t>
      </w:r>
      <w:r>
        <w:tab/>
        <w:t>Инспекция труда в структуре вышеуказанного Департамента инспекции труда ежегодно отчитывается перед компетентными союзными органами по ситуации в области охраны труда в Республике Сербии, которые в свою очередь представляют сводный доклад Международной организации труда.</w:t>
      </w:r>
    </w:p>
    <w:p w:rsidR="00000000" w:rsidRDefault="00000000">
      <w:pPr>
        <w:tabs>
          <w:tab w:val="clear" w:pos="1701"/>
          <w:tab w:val="left" w:pos="1683"/>
        </w:tabs>
      </w:pPr>
    </w:p>
    <w:p w:rsidR="00000000" w:rsidRDefault="00000000">
      <w:pPr>
        <w:tabs>
          <w:tab w:val="clear" w:pos="1701"/>
          <w:tab w:val="left" w:pos="1683"/>
        </w:tabs>
      </w:pPr>
      <w:r>
        <w:t>106.</w:t>
      </w:r>
      <w:r>
        <w:tab/>
        <w:t>С точки зрения организационного подчинения Инспекция труда Республики Сербии с 1992 года входит в структуру Департамента инспекции труда при министерстве труда и занятости Республики Сербии и подразделяется на отдел инспекций труда по охране труда и отдел инспекций труда по трудовым отношениям.</w:t>
      </w:r>
    </w:p>
    <w:p w:rsidR="00000000" w:rsidRDefault="00000000">
      <w:pPr>
        <w:tabs>
          <w:tab w:val="clear" w:pos="1701"/>
          <w:tab w:val="left" w:pos="1683"/>
        </w:tabs>
      </w:pPr>
    </w:p>
    <w:p w:rsidR="00000000" w:rsidRDefault="00000000">
      <w:pPr>
        <w:tabs>
          <w:tab w:val="clear" w:pos="1701"/>
          <w:tab w:val="left" w:pos="1683"/>
        </w:tabs>
      </w:pPr>
      <w:r>
        <w:t>107.</w:t>
      </w:r>
      <w:r>
        <w:tab/>
        <w:t>Контроль за осуществлением мер в области охраны труда на территории Республики Сербии осуществляют в общей сложности 167 инспекторов, при этом 106 инспекторов осуществляют надзор за соблюдением положений Закона о трудовых отношениях и Закона о труде.</w:t>
      </w:r>
    </w:p>
    <w:p w:rsidR="00000000" w:rsidRDefault="00000000">
      <w:pPr>
        <w:tabs>
          <w:tab w:val="clear" w:pos="1701"/>
          <w:tab w:val="left" w:pos="1683"/>
        </w:tabs>
      </w:pPr>
    </w:p>
    <w:p w:rsidR="00000000" w:rsidRDefault="00000000">
      <w:pPr>
        <w:tabs>
          <w:tab w:val="clear" w:pos="1701"/>
          <w:tab w:val="left" w:pos="1683"/>
        </w:tabs>
      </w:pPr>
      <w:r>
        <w:t>108.</w:t>
      </w:r>
      <w:r>
        <w:tab/>
        <w:t>Количество инспекторов, работающих на территории Республики Сербии, является недостаточным с учетом количества контролируемых объектов и численности трудящихся, работающих у нанимателей.  Следует также отметить, что инспекторы не имеют надлежащего технического оснащения для эффективного выполнения своих контролирующих функций.</w:t>
      </w:r>
    </w:p>
    <w:p w:rsidR="00000000" w:rsidRDefault="00000000">
      <w:pPr>
        <w:tabs>
          <w:tab w:val="clear" w:pos="1701"/>
          <w:tab w:val="left" w:pos="1683"/>
        </w:tabs>
      </w:pPr>
    </w:p>
    <w:p w:rsidR="00000000" w:rsidRDefault="00000000">
      <w:r>
        <w:t>109.</w:t>
      </w:r>
      <w:r>
        <w:tab/>
        <w:t xml:space="preserve">Свои усилия инспекционная служба направляет на улучшение условий труда за счет принятия мер в области охраны труда и осуществления положений Закона об охране труда и Закона о труде.  В интересах решения этой задачи в среднем в год проводятся 13 736 инспекций и еще 39 062 инспекции </w:t>
      </w:r>
      <w:r>
        <w:noBreakHyphen/>
        <w:t xml:space="preserve"> в целях проверки условий для выдачи разрешений на ведение хозяйственной деятельности.  Согласно положению Закона о предприятиях и Закона о частных предпринимателях, предприниматель не может начать хозяйственную деятельность до того, как надзорный орган по охране труда не убедится в выполнении требований мер по охране труда в отношении объектов, установок и машин.</w:t>
      </w:r>
    </w:p>
    <w:p w:rsidR="00000000" w:rsidRDefault="00000000"/>
    <w:p w:rsidR="00000000" w:rsidRDefault="00000000">
      <w:r>
        <w:t>110.</w:t>
      </w:r>
      <w:r>
        <w:tab/>
        <w:t>Каждому работодателю вменяется в обязанность назначить сотрудника или службу, которой будет поручено решение задач в области охраны труда.</w:t>
      </w:r>
    </w:p>
    <w:p w:rsidR="00000000" w:rsidRDefault="00000000"/>
    <w:p w:rsidR="00000000" w:rsidRDefault="00000000">
      <w:r>
        <w:t>111.</w:t>
      </w:r>
      <w:r>
        <w:tab/>
        <w:t>В Республике Сербии имеется соответствующее учреждение в системе высшего образования - факультет охраны труда, который готовит специалистов в этой области.</w:t>
      </w:r>
    </w:p>
    <w:p w:rsidR="00000000" w:rsidRDefault="00000000"/>
    <w:p w:rsidR="00000000" w:rsidRDefault="00000000">
      <w:r>
        <w:t>112.</w:t>
      </w:r>
      <w:r>
        <w:tab/>
        <w:t>С целью дальнейшего улучшения положения в области охраны труда и внедрения международных и европейских стандартов в этой области в 2002 году был подготовлен текст нового закона об охране труда и защите здоровья работников.  Текст этого закона будет соответствовать положениям конвенций и  рекомендаций МОТ и директив Европейского союза.</w:t>
      </w:r>
    </w:p>
    <w:p w:rsidR="00000000" w:rsidRDefault="00000000"/>
    <w:p w:rsidR="00000000" w:rsidRDefault="00000000">
      <w:r>
        <w:t>113.</w:t>
      </w:r>
      <w:r>
        <w:tab/>
        <w:t>Красноречивым свидетельством важности, которую правительство Республики Сербии придает этой области, служит создание отдельного органа - Совета по охране труда.</w:t>
      </w:r>
    </w:p>
    <w:p w:rsidR="00000000" w:rsidRDefault="00000000"/>
    <w:p w:rsidR="00000000" w:rsidRDefault="00000000">
      <w:pPr>
        <w:rPr>
          <w:b/>
          <w:bCs/>
        </w:rPr>
      </w:pPr>
      <w:r>
        <w:rPr>
          <w:b/>
          <w:bCs/>
          <w:lang w:val="en-US"/>
        </w:rPr>
        <w:t>k</w:t>
      </w:r>
      <w:r>
        <w:rPr>
          <w:b/>
          <w:bCs/>
        </w:rPr>
        <w:t>)</w:t>
      </w:r>
      <w:r>
        <w:rPr>
          <w:b/>
          <w:bCs/>
        </w:rPr>
        <w:tab/>
        <w:t>Совет по охране труда</w:t>
      </w:r>
    </w:p>
    <w:p w:rsidR="00000000" w:rsidRDefault="00000000">
      <w:pPr>
        <w:jc w:val="center"/>
        <w:rPr>
          <w:b/>
          <w:bCs/>
        </w:rPr>
      </w:pPr>
    </w:p>
    <w:p w:rsidR="00000000" w:rsidRDefault="00000000">
      <w:r>
        <w:t>114.</w:t>
      </w:r>
      <w:r>
        <w:tab/>
        <w:t>3 июля 2001 года правительство Республики Сербии учредило Совет по охране труда в качестве национального консультативного органа, в состав которого входят представители:  правительства;  работодателей;  профессиональных союзов;  технических, научных и образовательных учреждений;  и ассоциаций по охране труда.  К основным задачам Совета относятся:  разработка национальной программы и стратегии в области охраны труда;  и выработка рекомендаций для правительства в отношении принятия национальных норм в области охраны труда на основе международных норм в этой области.</w:t>
      </w:r>
    </w:p>
    <w:p w:rsidR="00000000" w:rsidRDefault="00000000"/>
    <w:p w:rsidR="00000000" w:rsidRDefault="00000000">
      <w:r>
        <w:t>115.</w:t>
      </w:r>
      <w:r>
        <w:tab/>
        <w:t xml:space="preserve">В качестве основных постулатов этой программы используются принципы, содержащиеся в конвенциях МОТ и Организации Объединенных Наций и Рамочной директиве Европейского союза, в частности:  </w:t>
      </w:r>
    </w:p>
    <w:p w:rsidR="00000000" w:rsidRDefault="00000000"/>
    <w:p w:rsidR="00000000" w:rsidRDefault="00000000">
      <w:pPr>
        <w:ind w:left="1134" w:hanging="1134"/>
      </w:pPr>
      <w:r>
        <w:tab/>
        <w:t>-</w:t>
      </w:r>
      <w:r>
        <w:tab/>
        <w:t>первичная профилактика и безопасная технология;</w:t>
      </w:r>
    </w:p>
    <w:p w:rsidR="00000000" w:rsidRDefault="00000000">
      <w:pPr>
        <w:ind w:left="1134" w:hanging="1134"/>
      </w:pPr>
    </w:p>
    <w:p w:rsidR="00000000" w:rsidRDefault="00000000">
      <w:pPr>
        <w:ind w:left="1134" w:hanging="1134"/>
      </w:pPr>
      <w:r>
        <w:tab/>
        <w:t>-</w:t>
      </w:r>
      <w:r>
        <w:tab/>
        <w:t>создание оптимальных производственных условий;</w:t>
      </w:r>
    </w:p>
    <w:p w:rsidR="00000000" w:rsidRDefault="00000000">
      <w:pPr>
        <w:ind w:left="1134" w:hanging="1134"/>
      </w:pPr>
    </w:p>
    <w:p w:rsidR="00000000" w:rsidRDefault="00000000">
      <w:pPr>
        <w:ind w:left="1134" w:hanging="1134"/>
      </w:pPr>
      <w:r>
        <w:tab/>
        <w:t>-</w:t>
      </w:r>
      <w:r>
        <w:tab/>
        <w:t>интеграция всех мер и деятельности в области охраны труда и здоровья и их включение в производственно-технологические процессы в качестве неотъемлемой части ведения хозяйственной деятельности;</w:t>
      </w:r>
    </w:p>
    <w:p w:rsidR="00000000" w:rsidRDefault="00000000">
      <w:pPr>
        <w:ind w:left="1134" w:hanging="1134"/>
      </w:pPr>
    </w:p>
    <w:p w:rsidR="00000000" w:rsidRDefault="00000000">
      <w:pPr>
        <w:ind w:left="1134" w:hanging="1134"/>
      </w:pPr>
      <w:r>
        <w:tab/>
        <w:t>-</w:t>
      </w:r>
      <w:r>
        <w:tab/>
        <w:t>принцип трехстороннего участия;</w:t>
      </w:r>
    </w:p>
    <w:p w:rsidR="00000000" w:rsidRDefault="00000000">
      <w:pPr>
        <w:ind w:left="1134" w:hanging="1134"/>
      </w:pPr>
    </w:p>
    <w:p w:rsidR="00000000" w:rsidRDefault="00000000">
      <w:pPr>
        <w:ind w:left="1134" w:hanging="1134"/>
      </w:pPr>
      <w:r>
        <w:tab/>
        <w:t>-</w:t>
      </w:r>
      <w:r>
        <w:tab/>
        <w:t>сотрудничество между работниками и работодателями на равноправной основе;</w:t>
      </w:r>
    </w:p>
    <w:p w:rsidR="00000000" w:rsidRDefault="00000000">
      <w:pPr>
        <w:ind w:left="1134" w:hanging="1134"/>
      </w:pPr>
    </w:p>
    <w:p w:rsidR="00000000" w:rsidRDefault="00000000">
      <w:pPr>
        <w:ind w:left="1134" w:hanging="1134"/>
      </w:pPr>
      <w:r>
        <w:tab/>
        <w:t>-</w:t>
      </w:r>
      <w:r>
        <w:tab/>
        <w:t>право работников участвовать в процессе принятия решений в области охраны и гигиены труда;</w:t>
      </w:r>
    </w:p>
    <w:p w:rsidR="00000000" w:rsidRDefault="00000000">
      <w:pPr>
        <w:ind w:left="1134" w:hanging="1134"/>
      </w:pPr>
    </w:p>
    <w:p w:rsidR="00000000" w:rsidRDefault="00000000">
      <w:pPr>
        <w:ind w:left="1134" w:hanging="1134"/>
      </w:pPr>
      <w:r>
        <w:tab/>
        <w:t>-</w:t>
      </w:r>
      <w:r>
        <w:tab/>
        <w:t>право работников на своевременное получение точной информации и транспарентность в процессах принятия решений;  и</w:t>
      </w:r>
    </w:p>
    <w:p w:rsidR="00000000" w:rsidRDefault="00000000">
      <w:pPr>
        <w:ind w:left="1134" w:hanging="1134"/>
      </w:pPr>
    </w:p>
    <w:p w:rsidR="00000000" w:rsidRDefault="00000000">
      <w:pPr>
        <w:ind w:left="1134" w:hanging="1134"/>
      </w:pPr>
      <w:r>
        <w:tab/>
        <w:t>-</w:t>
      </w:r>
      <w:r>
        <w:tab/>
        <w:t>непрерывный контроль и совершенствование системы охраны и гигиены труда.</w:t>
      </w:r>
    </w:p>
    <w:p w:rsidR="00000000" w:rsidRDefault="00000000">
      <w:pPr>
        <w:ind w:left="1134" w:hanging="1134"/>
      </w:pPr>
    </w:p>
    <w:p w:rsidR="00000000" w:rsidRDefault="00000000">
      <w:r>
        <w:t>116.</w:t>
      </w:r>
      <w:r>
        <w:tab/>
        <w:t>В работе Совета по охране труда также принимает участие неправительственная организация "Югославская федерация охраны труда".  Эта организация представляет собой неправительственную, независимую и некоммерческую организацию, учрежденную в целях развития деятельности, направленной на поощрение охраны и улучшение условий труда на производстве.  Членами Федерации являются ассоциации, предприятия, учреждения и физические лица.</w:t>
      </w:r>
    </w:p>
    <w:p w:rsidR="00000000" w:rsidRDefault="00000000"/>
    <w:p w:rsidR="00000000" w:rsidRDefault="00000000">
      <w:r>
        <w:t>117.</w:t>
      </w:r>
      <w:r>
        <w:tab/>
        <w:t>Содержащаяся в приведенных ниже таблицах информация показывает, что количество несчастных случаев, особенно со смертельным исходом, существенно сократилось, что, несомненно, является результатом принятия мер в области охраны труда.  Если в 1992 году произошло 156 смертельных несчастных случаев, то в 1997 году их количество снизилось до 44.  Наибольшее количество несчастных случаев со смертельным исходом происходит в промышленности и горнодобывающем секторе.  Следует отметить, что несчастный случай, произошедший с работником по пути на работу и по возвращении с работы и/или в служебной командировке рассматривается как несчастный случай на производстве.  По сути бо</w:t>
      </w:r>
      <w:r>
        <w:rPr>
          <w:rFonts w:ascii="Tahoma" w:hAnsi="Tahoma" w:cs="Tahoma"/>
        </w:rPr>
        <w:t></w:t>
      </w:r>
      <w:r>
        <w:t>льшая часть несчастных случаев на производстве имела место в дорожно-транспортных авариях при проезде на работу и возвращении с работы и в служебных командировках (см. таблицы 2, 3 и 4 ниже).</w:t>
      </w:r>
    </w:p>
    <w:p w:rsidR="00000000" w:rsidRDefault="00000000"/>
    <w:p w:rsidR="00000000" w:rsidRDefault="00000000">
      <w:pPr>
        <w:pStyle w:val="BodyText"/>
        <w:spacing w:line="288" w:lineRule="auto"/>
        <w:jc w:val="center"/>
        <w:rPr>
          <w:sz w:val="24"/>
          <w:szCs w:val="20"/>
          <w:lang w:val="ru-RU"/>
        </w:rPr>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pPr>
    </w:p>
    <w:p w:rsidR="00000000" w:rsidRDefault="00000000">
      <w:pPr>
        <w:pStyle w:val="BodyText"/>
        <w:spacing w:line="288" w:lineRule="auto"/>
        <w:jc w:val="center"/>
        <w:rPr>
          <w:b/>
          <w:bCs/>
          <w:sz w:val="24"/>
          <w:szCs w:val="20"/>
          <w:lang w:val="ru-RU"/>
        </w:rPr>
      </w:pPr>
      <w:r>
        <w:rPr>
          <w:b/>
          <w:bCs/>
          <w:sz w:val="24"/>
          <w:szCs w:val="20"/>
          <w:lang w:val="ru-RU"/>
        </w:rPr>
        <w:t>Таблица 2</w:t>
      </w:r>
    </w:p>
    <w:p w:rsidR="00000000" w:rsidRDefault="00000000">
      <w:pPr>
        <w:pStyle w:val="BodyText"/>
        <w:jc w:val="center"/>
        <w:rPr>
          <w:b/>
          <w:bCs/>
          <w:sz w:val="24"/>
          <w:lang w:val="ru-RU"/>
        </w:rPr>
      </w:pPr>
      <w:r>
        <w:rPr>
          <w:b/>
          <w:bCs/>
          <w:sz w:val="24"/>
          <w:szCs w:val="20"/>
          <w:lang w:val="ru-RU"/>
        </w:rPr>
        <w:t xml:space="preserve">Несчастные случаи на производстве в Республике Сербии в разбивке по отраслям экономики за период </w:t>
      </w:r>
      <w:r>
        <w:rPr>
          <w:b/>
          <w:bCs/>
          <w:sz w:val="24"/>
          <w:lang w:val="ru-RU"/>
        </w:rPr>
        <w:t>1993-1997 годов</w:t>
      </w:r>
    </w:p>
    <w:p w:rsidR="00000000" w:rsidRDefault="00000000">
      <w:pPr>
        <w:pStyle w:val="BodyText"/>
        <w:jc w:val="center"/>
        <w:rPr>
          <w:lang w:val="ru-RU"/>
        </w:rPr>
      </w:pPr>
    </w:p>
    <w:tbl>
      <w:tblPr>
        <w:tblW w:w="0" w:type="auto"/>
        <w:tblInd w:w="57" w:type="dxa"/>
        <w:tblBorders>
          <w:top w:val="single" w:sz="4" w:space="0" w:color="auto"/>
          <w:left w:val="single" w:sz="4" w:space="0" w:color="auto"/>
          <w:bottom w:val="single" w:sz="4" w:space="0" w:color="auto"/>
          <w:right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510"/>
        <w:gridCol w:w="5273"/>
        <w:gridCol w:w="851"/>
        <w:gridCol w:w="851"/>
        <w:gridCol w:w="851"/>
        <w:gridCol w:w="851"/>
        <w:gridCol w:w="851"/>
        <w:gridCol w:w="851"/>
        <w:gridCol w:w="851"/>
        <w:gridCol w:w="851"/>
        <w:gridCol w:w="851"/>
      </w:tblGrid>
      <w:tr w:rsidR="00000000">
        <w:trPr>
          <w:cantSplit/>
        </w:trPr>
        <w:tc>
          <w:tcPr>
            <w:tcW w:w="5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Код</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Отрасль</w:t>
            </w:r>
          </w:p>
        </w:tc>
        <w:tc>
          <w:tcPr>
            <w:tcW w:w="4255"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Всего по экономике</w:t>
            </w:r>
          </w:p>
        </w:tc>
        <w:tc>
          <w:tcPr>
            <w:tcW w:w="3404" w:type="dxa"/>
            <w:gridSpan w:val="4"/>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Индексы</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1994/93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1995/94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1996/95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1997/96</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Промышленность и горнодобывающий сектор</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12 012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13 246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15 556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16 591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12 934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77,9</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Сельское хозяйство и рыболовство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1 813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2 002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1 671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1 499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1 449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96,7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Лесная промышленность</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179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72,5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83,2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Водное хозяйство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181,8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176,7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69,8</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Строительство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2 464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2 210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2 186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1 987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1 349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98,9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67,9</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06</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Транспорт и коммуникации</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1 477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1 329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1 727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1 731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1 540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88,9</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07</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Торговля</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788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683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87,8</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08</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Общественное питание и туризм</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332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270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86,4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113,6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69,8</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09</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Ремесленно-кустарное производство и другие услуги частного сектора</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103,8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91,8</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Жилищное строительство, коммунальные услуги и другие виды деятельности, относящиеся к городскому и территиориально-пространственному планированию и населенным пунктам</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554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632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114,1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74,7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Финансовые, технические и коммерческие услуги</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304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309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259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138,1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60,6</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Образование, наука, культура и информация</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557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637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468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65,5</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Здравоохранение и социальное обеспечение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1 346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1 130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1 426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1 599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1 218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126,2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76,2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Планы, схемы и специализированные агентства</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765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809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114,8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108,2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85,1</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Прочее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38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54,6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216,7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97,4</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Всего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23</w:t>
            </w:r>
            <w:r>
              <w:rPr>
                <w:sz w:val="22"/>
                <w:lang w:val="en-US"/>
              </w:rPr>
              <w:t xml:space="preserve"> </w:t>
            </w:r>
            <w:r>
              <w:rPr>
                <w:sz w:val="22"/>
              </w:rPr>
              <w:t>528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23 749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26 940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28 195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22 200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113,4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78,73</w:t>
            </w:r>
          </w:p>
        </w:tc>
      </w:tr>
    </w:tbl>
    <w:p w:rsidR="00000000" w:rsidRDefault="00000000">
      <w:pPr>
        <w:pStyle w:val="BodyText"/>
        <w:jc w:val="center"/>
        <w:rPr>
          <w:lang w:val="ru-RU"/>
        </w:rPr>
      </w:pPr>
    </w:p>
    <w:p w:rsidR="00000000" w:rsidRDefault="00000000">
      <w:pPr>
        <w:pStyle w:val="BodyText"/>
        <w:pageBreakBefore/>
        <w:spacing w:line="288" w:lineRule="auto"/>
        <w:jc w:val="center"/>
        <w:rPr>
          <w:b/>
          <w:bCs/>
          <w:sz w:val="24"/>
          <w:szCs w:val="20"/>
          <w:lang w:val="ru-RU"/>
        </w:rPr>
      </w:pPr>
      <w:r>
        <w:rPr>
          <w:b/>
          <w:bCs/>
          <w:sz w:val="24"/>
          <w:szCs w:val="20"/>
          <w:lang w:val="ru-RU"/>
        </w:rPr>
        <w:t>Таблица 3</w:t>
      </w:r>
    </w:p>
    <w:p w:rsidR="00000000" w:rsidRDefault="00000000">
      <w:pPr>
        <w:pStyle w:val="BodyText"/>
        <w:jc w:val="center"/>
        <w:rPr>
          <w:b/>
          <w:bCs/>
          <w:sz w:val="24"/>
          <w:lang w:val="ru-RU"/>
        </w:rPr>
      </w:pPr>
      <w:r>
        <w:rPr>
          <w:b/>
          <w:bCs/>
          <w:sz w:val="24"/>
          <w:szCs w:val="20"/>
          <w:lang w:val="ru-RU"/>
        </w:rPr>
        <w:t xml:space="preserve">Несчастные случаи на производстве в Республике Сербии в разбивке по отраслям экономики за период </w:t>
      </w:r>
      <w:r>
        <w:rPr>
          <w:b/>
          <w:bCs/>
          <w:sz w:val="24"/>
          <w:lang w:val="ru-RU"/>
        </w:rPr>
        <w:t>1993-1996 годов</w:t>
      </w:r>
    </w:p>
    <w:p w:rsidR="00000000" w:rsidRDefault="00000000">
      <w:pPr>
        <w:pStyle w:val="BodyText"/>
        <w:jc w:val="center"/>
        <w:rPr>
          <w:lang w:val="ru-RU"/>
        </w:rPr>
      </w:pPr>
    </w:p>
    <w:tbl>
      <w:tblPr>
        <w:tblW w:w="0" w:type="auto"/>
        <w:tblInd w:w="57" w:type="dxa"/>
        <w:tblBorders>
          <w:top w:val="single" w:sz="4" w:space="0" w:color="auto"/>
          <w:left w:val="single" w:sz="4" w:space="0" w:color="auto"/>
          <w:bottom w:val="single" w:sz="4" w:space="0" w:color="auto"/>
          <w:right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510"/>
        <w:gridCol w:w="5273"/>
        <w:gridCol w:w="851"/>
        <w:gridCol w:w="851"/>
        <w:gridCol w:w="851"/>
        <w:gridCol w:w="851"/>
        <w:gridCol w:w="851"/>
        <w:gridCol w:w="851"/>
        <w:gridCol w:w="851"/>
        <w:gridCol w:w="851"/>
        <w:gridCol w:w="851"/>
      </w:tblGrid>
      <w:tr w:rsidR="00000000">
        <w:trPr>
          <w:cantSplit/>
        </w:trPr>
        <w:tc>
          <w:tcPr>
            <w:tcW w:w="5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Код</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Отрасль</w:t>
            </w:r>
          </w:p>
        </w:tc>
        <w:tc>
          <w:tcPr>
            <w:tcW w:w="4255"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Всего по экономике</w:t>
            </w:r>
          </w:p>
        </w:tc>
        <w:tc>
          <w:tcPr>
            <w:tcW w:w="3404" w:type="dxa"/>
            <w:gridSpan w:val="4"/>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Индексы</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1993/92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1994/93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1995/93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1996/95</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Промышленность и горнодобывающий сектор</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14 692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12 012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13 246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15 556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16 591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110,2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106,6</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Сельское хозяйство и рыболовство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658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1 813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2 022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1 671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1 499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275,5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89,7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Лесная промышленность</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234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208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179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72,5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79,2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Водное хозяйство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181,8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176,7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Строительство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3 545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2 464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2 210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2 186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1 987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98,9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90,8</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06</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Транспорт и коммуникации</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1 529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1 477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1 329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1 727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1 731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100,2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07</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Торговля</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931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788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98,7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08</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Общественное питание и туризм</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332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86,4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113,6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118,7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09</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Ремесленно-кустарное производство и другие услуги частного сектора</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309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374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315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327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342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121,0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84,2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103,8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lang w:val="ru-RU"/>
              </w:rPr>
            </w:pPr>
            <w:r>
              <w:rPr>
                <w:sz w:val="22"/>
                <w:lang w:val="ru-RU"/>
              </w:rPr>
              <w:t>104,6</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Жилищное строительство, коммунальные услуги и другие виды деятельности, относящиеся к городскому и территиориально-пространственному планированию и населенным пунктам</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554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632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114,1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109,3</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Финансовые, технические и коммерческие услуги</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269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347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304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309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129,0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87,6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138,1</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Образование, наука, культура и информация</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612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557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637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134,2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114,4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112,1</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Здравоохранение и социальное обеспечение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975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1 346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1 130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1 426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1 599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138,1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126,2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112,1</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Планы, схемы и специализированные агентства</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697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765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878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126,0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87,1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114,8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108,2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Прочее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54,6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216,7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100,0</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Всего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25 374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23 529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23 749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26 940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28 195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92,8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113,4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105,6</w:t>
            </w:r>
          </w:p>
        </w:tc>
      </w:tr>
    </w:tbl>
    <w:p w:rsidR="00000000" w:rsidRDefault="00000000">
      <w:pPr>
        <w:spacing w:line="240" w:lineRule="auto"/>
      </w:pPr>
    </w:p>
    <w:p w:rsidR="00000000" w:rsidRDefault="00000000">
      <w:pPr>
        <w:pStyle w:val="BodyText"/>
        <w:pageBreakBefore/>
        <w:spacing w:line="360" w:lineRule="auto"/>
        <w:jc w:val="center"/>
        <w:rPr>
          <w:b/>
          <w:bCs/>
          <w:sz w:val="24"/>
          <w:szCs w:val="20"/>
          <w:lang w:val="ru-RU"/>
        </w:rPr>
      </w:pPr>
      <w:r>
        <w:rPr>
          <w:b/>
          <w:bCs/>
          <w:sz w:val="24"/>
          <w:szCs w:val="20"/>
          <w:lang w:val="ru-RU"/>
        </w:rPr>
        <w:t>Таблица 4</w:t>
      </w:r>
    </w:p>
    <w:p w:rsidR="00000000" w:rsidRDefault="00000000">
      <w:pPr>
        <w:pStyle w:val="BodyText"/>
        <w:jc w:val="center"/>
        <w:rPr>
          <w:b/>
          <w:bCs/>
          <w:sz w:val="24"/>
          <w:szCs w:val="20"/>
          <w:lang w:val="ru-RU"/>
        </w:rPr>
      </w:pPr>
      <w:r>
        <w:rPr>
          <w:b/>
          <w:bCs/>
          <w:sz w:val="24"/>
          <w:szCs w:val="20"/>
          <w:lang w:val="ru-RU"/>
        </w:rPr>
        <w:t>Несчастные случаи со смертельным исходом на производстве в Республике Сербии</w:t>
      </w:r>
    </w:p>
    <w:p w:rsidR="00000000" w:rsidRDefault="00000000">
      <w:pPr>
        <w:pStyle w:val="BodyText"/>
        <w:jc w:val="center"/>
        <w:rPr>
          <w:b/>
          <w:bCs/>
          <w:sz w:val="24"/>
          <w:lang w:val="ru-RU"/>
        </w:rPr>
      </w:pPr>
      <w:r>
        <w:rPr>
          <w:b/>
          <w:bCs/>
          <w:sz w:val="24"/>
          <w:szCs w:val="20"/>
          <w:lang w:val="ru-RU"/>
        </w:rPr>
        <w:t xml:space="preserve">в разбивке по отраслям экономики за период </w:t>
      </w:r>
      <w:r>
        <w:rPr>
          <w:b/>
          <w:bCs/>
          <w:sz w:val="24"/>
          <w:lang w:val="ru-RU"/>
        </w:rPr>
        <w:t>1992-1996 годов</w:t>
      </w:r>
    </w:p>
    <w:p w:rsidR="00000000" w:rsidRDefault="00000000">
      <w:pPr>
        <w:pStyle w:val="BodyText"/>
        <w:jc w:val="center"/>
        <w:rPr>
          <w:lang w:val="ru-RU"/>
        </w:rPr>
      </w:pPr>
    </w:p>
    <w:tbl>
      <w:tblPr>
        <w:tblW w:w="13442" w:type="dxa"/>
        <w:tblInd w:w="57" w:type="dxa"/>
        <w:tblBorders>
          <w:top w:val="single" w:sz="4" w:space="0" w:color="auto"/>
          <w:left w:val="single" w:sz="4" w:space="0" w:color="auto"/>
          <w:bottom w:val="single" w:sz="4" w:space="0" w:color="auto"/>
          <w:right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510"/>
        <w:gridCol w:w="5273"/>
        <w:gridCol w:w="851"/>
        <w:gridCol w:w="851"/>
        <w:gridCol w:w="851"/>
        <w:gridCol w:w="851"/>
        <w:gridCol w:w="851"/>
        <w:gridCol w:w="851"/>
        <w:gridCol w:w="851"/>
        <w:gridCol w:w="851"/>
        <w:gridCol w:w="851"/>
      </w:tblGrid>
      <w:tr w:rsidR="00000000">
        <w:trPr>
          <w:cantSplit/>
        </w:trPr>
        <w:tc>
          <w:tcPr>
            <w:tcW w:w="5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Код</w:t>
            </w:r>
          </w:p>
        </w:tc>
        <w:tc>
          <w:tcPr>
            <w:tcW w:w="527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Отрасль</w:t>
            </w:r>
          </w:p>
        </w:tc>
        <w:tc>
          <w:tcPr>
            <w:tcW w:w="4255"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Общее количество смертельных несчастных случаев</w:t>
            </w:r>
          </w:p>
        </w:tc>
        <w:tc>
          <w:tcPr>
            <w:tcW w:w="3404"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2"/>
              </w:rPr>
            </w:pPr>
            <w:r>
              <w:rPr>
                <w:sz w:val="22"/>
              </w:rPr>
              <w:t>Индексы</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1993/92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1994/93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1995/93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1996/95</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Промышленность и горнодобывающий сектор</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48,9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127,7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159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62</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Сельское хозяйство и рыболовство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Лесная промышленность</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Водное хозяйство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Строительство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35,5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145,5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75</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06</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Транспорт и коммуникации</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87,5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64,3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89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BodyText"/>
              <w:jc w:val="center"/>
              <w:rPr>
                <w:sz w:val="22"/>
              </w:rPr>
            </w:pPr>
            <w:r>
              <w:rPr>
                <w:sz w:val="22"/>
              </w:rPr>
              <w:t>50</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07</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Торговля</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71,4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117</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08</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Общественное питание и туризм</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09</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Ремесленно-кустарное производство и другие услуги частного сектора</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10</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Государственные коммунальные службы</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133</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11</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Финансы</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75,0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12</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Образование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66,6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13</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Здравоохранение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14</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Местные общины</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15</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13,3</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80</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15</w:t>
            </w: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Прочее</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50,0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100</w:t>
            </w:r>
          </w:p>
        </w:tc>
      </w:tr>
      <w:tr w:rsidR="00000000">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p>
        </w:tc>
        <w:tc>
          <w:tcPr>
            <w:tcW w:w="527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Всего</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156</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99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68</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82</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69</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63,4</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68,7</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121</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pStyle w:val="FootnoteText"/>
              <w:jc w:val="center"/>
              <w:rPr>
                <w:sz w:val="22"/>
              </w:rPr>
            </w:pPr>
            <w:r>
              <w:rPr>
                <w:sz w:val="22"/>
              </w:rPr>
              <w:t>84</w:t>
            </w:r>
          </w:p>
        </w:tc>
      </w:tr>
    </w:tbl>
    <w:p w:rsidR="00000000" w:rsidRDefault="00000000"/>
    <w:p w:rsidR="00000000" w:rsidRDefault="00000000">
      <w:pPr>
        <w:jc w:val="center"/>
        <w:rPr>
          <w:b/>
          <w:bCs/>
        </w:rPr>
        <w:sectPr w:rsidR="00000000">
          <w:headerReference w:type="even" r:id="rId11"/>
          <w:headerReference w:type="default" r:id="rId12"/>
          <w:headerReference w:type="first" r:id="rId13"/>
          <w:pgSz w:w="16838" w:h="11906" w:orient="landscape"/>
          <w:pgMar w:top="1701" w:right="1701" w:bottom="850" w:left="1701" w:header="850" w:footer="850" w:gutter="0"/>
          <w:cols w:space="720"/>
          <w:formProt w:val="0"/>
          <w:titlePg/>
          <w:docGrid w:linePitch="107"/>
        </w:sectPr>
      </w:pPr>
    </w:p>
    <w:p w:rsidR="00000000" w:rsidRDefault="00000000">
      <w:pPr>
        <w:jc w:val="center"/>
      </w:pPr>
      <w:r>
        <w:rPr>
          <w:b/>
          <w:bCs/>
        </w:rPr>
        <w:t>Статья 8</w:t>
      </w:r>
    </w:p>
    <w:p w:rsidR="00000000" w:rsidRDefault="00000000">
      <w:pPr>
        <w:jc w:val="center"/>
      </w:pPr>
    </w:p>
    <w:p w:rsidR="00000000" w:rsidRDefault="00000000">
      <w:pPr>
        <w:rPr>
          <w:b/>
          <w:bCs/>
        </w:rPr>
      </w:pPr>
      <w:r>
        <w:rPr>
          <w:b/>
          <w:bCs/>
        </w:rPr>
        <w:t>а)</w:t>
      </w:r>
      <w:r>
        <w:rPr>
          <w:b/>
          <w:bCs/>
        </w:rPr>
        <w:tab/>
        <w:t>Ратифицированные международные договоры</w:t>
      </w:r>
    </w:p>
    <w:p w:rsidR="00000000" w:rsidRDefault="00000000">
      <w:pPr>
        <w:jc w:val="center"/>
      </w:pPr>
    </w:p>
    <w:p w:rsidR="00000000" w:rsidRDefault="00000000">
      <w:r>
        <w:t>118.</w:t>
      </w:r>
      <w:r>
        <w:tab/>
        <w:t>Ратифицированные международные договоры включают Международный пакт о гражданских и политических правах;  Конвенцию МОТ № 87 о свободе объединений и защите права объединяться в профсоюзы (1948 год);  Конвенцию МОТ № 98 о применении принципов права на объединение в профсоюзы и на ведение коллективных переговоров (1949 год);  и Конвенция МОТ № 135 о защите прав представителей работников на предприятии и предоставляемых им возможностях (1971 год).</w:t>
      </w:r>
    </w:p>
    <w:p w:rsidR="00000000" w:rsidRDefault="00000000"/>
    <w:p w:rsidR="00000000" w:rsidRDefault="00000000">
      <w:pPr>
        <w:rPr>
          <w:b/>
          <w:bCs/>
        </w:rPr>
      </w:pPr>
      <w:r>
        <w:rPr>
          <w:b/>
          <w:bCs/>
          <w:lang w:val="en-US"/>
        </w:rPr>
        <w:t>b</w:t>
      </w:r>
      <w:r>
        <w:rPr>
          <w:b/>
          <w:bCs/>
        </w:rPr>
        <w:t>)</w:t>
      </w:r>
      <w:r>
        <w:rPr>
          <w:b/>
          <w:bCs/>
        </w:rPr>
        <w:tab/>
        <w:t>Право создавать профессиональные союзы</w:t>
      </w:r>
    </w:p>
    <w:p w:rsidR="00000000" w:rsidRDefault="00000000">
      <w:pPr>
        <w:jc w:val="center"/>
      </w:pPr>
    </w:p>
    <w:p w:rsidR="00000000" w:rsidRDefault="00000000">
      <w:r>
        <w:t>119.</w:t>
      </w:r>
      <w:r>
        <w:tab/>
        <w:t>Право создавать профессиональные союзы (ассоциации) и свобода деятельности профессиональных союзов гарантируется:  Конституцией Союзной Республики Югославии;  Конституцией Республики Сербии;  Законом об основах трудовых отношений;  Законом о труде;  Законом о забастовках;  Общим коллективным договором;  и правилами о порядке регистрации профсоюзных организаций.</w:t>
      </w:r>
    </w:p>
    <w:p w:rsidR="00000000" w:rsidRDefault="00000000"/>
    <w:p w:rsidR="00000000" w:rsidRDefault="00000000">
      <w:r>
        <w:t>120.</w:t>
      </w:r>
      <w:r>
        <w:tab/>
        <w:t>Положения статьи 41 и 42 Конституции Союзной Республики Югославии гарантировали свободу объединения и деятельности в профсоюзных организациях без необходимости получения разрешения при условии регистрации в компетентных органах.  Аналогичное положение содержится в статье 44 Конституции Республики Сербии.  Согласно этому положению, запрещена любая деятельность, которая направлена на насильственное изменение конституционного строя, нарушение территориальной целостности и независимости Республики Сербии, ущемление гарантированных Конституцией свобод и прав человека и гражданина, и провоцирование и разжигание национальной, расовой и религиозной нетерпимости и ненависти.  Согласно положениям статьи 42 Конституции Союзной Республики Югославии, профессиональные представители армии и полиции не имели права на организацию профсоюзов.</w:t>
      </w:r>
    </w:p>
    <w:p w:rsidR="00000000" w:rsidRDefault="00000000"/>
    <w:p w:rsidR="00000000" w:rsidRDefault="00000000">
      <w:r>
        <w:t>121.</w:t>
      </w:r>
      <w:r>
        <w:tab/>
        <w:t>Свобода профсоюзов также закреплена в Хартии прав человека и прав национальных меньшинств и гражданских свобод (статья 32).  Аналогичные положения содержатся в Конституции Республики Сербии.  Деятельность профсоюзных организаций запрещается, если она направлена на насильственное низвержение конституционных устоев, нарушение территориальной целостности Союзной Республики Югославии, ущемление гарантированных прав и свобод человека и гражданина или разжигание национальной, расовой, религиозной и иной нетерпимости либо ненависти.</w:t>
      </w:r>
    </w:p>
    <w:p w:rsidR="00000000" w:rsidRDefault="00000000"/>
    <w:p w:rsidR="00000000" w:rsidRDefault="00000000">
      <w:r>
        <w:t>122.</w:t>
      </w:r>
      <w:r>
        <w:tab/>
        <w:t>Свобода объединения в профессиональные союзы и деятельности в них для цели защиты прав и поощрения профессиональных и экономических интересов членов профессиональных союзов гарантируются также положениями статьи 130 Закона о труде.  Профессиональный союз может быть создан без необходимости предварительного утверждения с регистрацией в реестре профсоюзов, который ведется министерством, ведающим вопросами труда, в соответствии с законодательством и иными нормами.  Профессиональный союз является независимым объединением работников, вступающих в него по своей собственной воле, и функционирует независимо в целях реализации и защиты коллективных и индивидуальных прав и интересов трудящихся (статья 5 Закона о труде).</w:t>
      </w:r>
    </w:p>
    <w:p w:rsidR="00000000" w:rsidRDefault="00000000"/>
    <w:p w:rsidR="00000000" w:rsidRDefault="00000000">
      <w:r>
        <w:t>123.</w:t>
      </w:r>
      <w:r>
        <w:tab/>
        <w:t>Работник и лицо, ищущее работу, не могут быть поставлены в менее благоприятные условия по сравнению с другими работниками на основании их членства в профессиональном союзе.</w:t>
      </w:r>
    </w:p>
    <w:p w:rsidR="00000000" w:rsidRDefault="00000000"/>
    <w:p w:rsidR="00000000" w:rsidRDefault="00000000">
      <w:r>
        <w:t>124.</w:t>
      </w:r>
      <w:r>
        <w:tab/>
        <w:t>Порядок регистрации профессиональных союзов в соответствующем реестре закреплен в правилах регистрации профессиональных союзов.  Регистрация производится на основе заявления, представляемого профессиональным союзом.  Наряду с заявлением необходимо представить учредительные документы профессионального союза и разрешение на подачу заявления.  Министерство, в ведении которого находятся вопросы труда, информирует о регистрации и выдает свидетельство о регистрации профессионального союза.  В реестре профсоюзных организаций зарегистрировано около 17 960 профессиональных союзов.</w:t>
      </w:r>
    </w:p>
    <w:p w:rsidR="00000000" w:rsidRDefault="00000000"/>
    <w:p w:rsidR="00000000" w:rsidRDefault="00000000">
      <w:r>
        <w:t>125.</w:t>
      </w:r>
      <w:r>
        <w:tab/>
        <w:t>Роспуск профессиональных союзов производится на основе следующих документов:</w:t>
      </w:r>
    </w:p>
    <w:p w:rsidR="00000000" w:rsidRDefault="00000000"/>
    <w:p w:rsidR="00000000" w:rsidRDefault="00000000">
      <w:r>
        <w:tab/>
        <w:t>а)</w:t>
      </w:r>
      <w:r>
        <w:tab/>
        <w:t>акта о прекращении деятельности профессионального союза;</w:t>
      </w:r>
    </w:p>
    <w:p w:rsidR="00000000" w:rsidRDefault="00000000"/>
    <w:p w:rsidR="00000000" w:rsidRDefault="00000000">
      <w:r>
        <w:tab/>
      </w:r>
      <w:r>
        <w:rPr>
          <w:lang w:val="en-US"/>
        </w:rPr>
        <w:t>b</w:t>
      </w:r>
      <w:r>
        <w:t>)</w:t>
      </w:r>
      <w:r>
        <w:tab/>
        <w:t>действующего судебного решения, запрещающего деятельность профессионального союза на основании положения Конституции о запрещении деятельности профессиональных союзов, направленной на насильственное изменение конституционного порядка, нарушение территориальной целостности и независимости Республики Сербии, ущемление прав человека и гражданина, гарантированных Конституцией, провоцирование и разжигание национальной, расовой и религиозной нетерпимости и ненависти;  и</w:t>
      </w:r>
    </w:p>
    <w:p w:rsidR="00000000" w:rsidRDefault="00000000">
      <w:pPr>
        <w:ind w:left="1122" w:hanging="1122"/>
      </w:pPr>
    </w:p>
    <w:p w:rsidR="00000000" w:rsidRDefault="00000000">
      <w:r>
        <w:tab/>
        <w:t>с)</w:t>
      </w:r>
      <w:r>
        <w:tab/>
        <w:t xml:space="preserve">постановления министерства, ведающего вопросами труда, в том случае, если регистрация была произведена на основе неточных данных, представленных профессиональным союзом. </w:t>
      </w:r>
    </w:p>
    <w:p w:rsidR="00000000" w:rsidRDefault="00000000"/>
    <w:p w:rsidR="00000000" w:rsidRDefault="00000000">
      <w:r>
        <w:t>126.</w:t>
      </w:r>
      <w:r>
        <w:tab/>
        <w:t>Защита представителей профессиональных союзов обеспечивается положениями общего коллективного соглашения.  Оно предусматривает, что в период выполнения своих функций при условии соблюдения закона и положений коллективного соглашения представители профессионального союза не могут быть переведены на другую менее выгодную для них работу;  не может быть принято решение об отсутствии потребности в выполняемой ими работе;  и они не могут быть поставлены в невыгодное положение каким-либо иным образом.</w:t>
      </w:r>
    </w:p>
    <w:p w:rsidR="00000000" w:rsidRDefault="00000000"/>
    <w:p w:rsidR="00000000" w:rsidRDefault="00000000">
      <w:r>
        <w:t>127.</w:t>
      </w:r>
      <w:r>
        <w:tab/>
        <w:t>Профсоюзные организации независимо определяют свою организационную структуру и методы работы своими собственными нормативными актами:  уставом и правилами процедуры.</w:t>
      </w:r>
    </w:p>
    <w:p w:rsidR="00000000" w:rsidRDefault="00000000"/>
    <w:p w:rsidR="00000000" w:rsidRDefault="00000000">
      <w:r>
        <w:t>128.</w:t>
      </w:r>
      <w:r>
        <w:tab/>
        <w:t>В Республике Сербии имеются три федерации профессиональных союзов:  Федерация профессиональных союзов Сербии;  Объединенные отраслевые профессиональные союзы "Независимость";  и Ассоциация свободных и независимых профессиональных союзов Сербии.  В дополнение к профессиональным союзам на уровне Республики существуют также профессиональные союзы в отдельных секторах промышленности или деятельности и профессиональные союзы внутри компаний.</w:t>
      </w:r>
    </w:p>
    <w:p w:rsidR="00000000" w:rsidRDefault="00000000"/>
    <w:p w:rsidR="00000000" w:rsidRDefault="00000000">
      <w:r>
        <w:t>129.</w:t>
      </w:r>
      <w:r>
        <w:tab/>
        <w:t>Профессиональные союзы могут также создаваться на союзном уровне.  Правовой базой для создания и регистрации профсоюзных организаций на союзном уровне служит Закон об учреждении гражданами ассоциаций, общественных и политических организаций, создаваемых на территории Союзной Федеративной Республики Югославии (</w:t>
      </w:r>
      <w:r>
        <w:rPr>
          <w:i/>
          <w:iCs/>
        </w:rPr>
        <w:t>Официальный вестник Союзной Федеративной Республики Югославии</w:t>
      </w:r>
      <w:r>
        <w:t xml:space="preserve">, № 42/90 и </w:t>
      </w:r>
      <w:r>
        <w:rPr>
          <w:i/>
          <w:iCs/>
        </w:rPr>
        <w:t>Официальный вестник Союзной Республики Югославии</w:t>
      </w:r>
      <w:r>
        <w:t>, № 24/94, 28/96).  Кроме того, правовой основой для регистрации профсоюзных организаций в Сербии является Закон об общественных организациях и ассоциациях граждан (</w:t>
      </w:r>
      <w:r>
        <w:rPr>
          <w:i/>
          <w:iCs/>
        </w:rPr>
        <w:t>Официальный вестник Республики Сербии</w:t>
      </w:r>
      <w:r>
        <w:t xml:space="preserve">, № 24/82 и </w:t>
      </w:r>
      <w:r>
        <w:rPr>
          <w:i/>
          <w:iCs/>
        </w:rPr>
        <w:t>Официальный вестник Республики Сербии</w:t>
      </w:r>
      <w:r>
        <w:t>, № 48/97).</w:t>
      </w:r>
    </w:p>
    <w:p w:rsidR="00000000" w:rsidRDefault="00000000"/>
    <w:p w:rsidR="00000000" w:rsidRDefault="00000000">
      <w:r>
        <w:t>130.</w:t>
      </w:r>
      <w:r>
        <w:tab/>
        <w:t xml:space="preserve">Лишь один профессиональный союз - Конфедерация независимых профессиональных союзов Югославии (КНПЮ) </w:t>
      </w:r>
      <w:r>
        <w:noBreakHyphen/>
        <w:t xml:space="preserve"> был организован на союзном уровне как конфедерация профессиональных союзов всех отраслей.  Имелся также отраслевой профессиональный союз работников административных и судебных органов на союзном уровне.</w:t>
      </w:r>
    </w:p>
    <w:p w:rsidR="00000000" w:rsidRDefault="00000000"/>
    <w:p w:rsidR="00000000" w:rsidRDefault="00000000">
      <w:r>
        <w:t>131.</w:t>
      </w:r>
      <w:r>
        <w:tab/>
        <w:t>Согласно положениям Закона о труде коллективные соглашения заключаются между работодателями или представляющими работодателей ассоциациями и представительными профессиональными союзами.  Представительство профессиональных союзов определяется следующими элементами:</w:t>
      </w:r>
    </w:p>
    <w:p w:rsidR="00000000" w:rsidRDefault="00000000"/>
    <w:p w:rsidR="00000000" w:rsidRDefault="00000000">
      <w:r>
        <w:tab/>
        <w:t>-</w:t>
      </w:r>
      <w:r>
        <w:tab/>
        <w:t>регистрацией в реестре в соответствии с законом и другими правилами;  и</w:t>
      </w:r>
    </w:p>
    <w:p w:rsidR="00000000" w:rsidRDefault="00000000"/>
    <w:p w:rsidR="00000000" w:rsidRDefault="00000000">
      <w:r>
        <w:tab/>
        <w:t>-</w:t>
      </w:r>
      <w:r>
        <w:tab/>
        <w:t>количеством членов, которое подсчитывается по числу членских билетов.</w:t>
      </w:r>
    </w:p>
    <w:p w:rsidR="00000000" w:rsidRDefault="00000000"/>
    <w:p w:rsidR="00000000" w:rsidRDefault="00000000">
      <w:r>
        <w:t>132.</w:t>
      </w:r>
      <w:r>
        <w:tab/>
        <w:t>Если ни один профессиональный союз не удовлетворяет условиям представительства, то профессиональные союзы могут создавать ассоциации, с тем чтобы иметь возможность принимать участие в заключении коллективных соглашений.</w:t>
      </w:r>
    </w:p>
    <w:p w:rsidR="00000000" w:rsidRDefault="00000000"/>
    <w:p w:rsidR="00000000" w:rsidRDefault="00000000">
      <w:pPr>
        <w:rPr>
          <w:b/>
          <w:bCs/>
        </w:rPr>
      </w:pPr>
      <w:r>
        <w:rPr>
          <w:b/>
          <w:bCs/>
        </w:rPr>
        <w:t>с)</w:t>
      </w:r>
      <w:r>
        <w:rPr>
          <w:b/>
          <w:bCs/>
        </w:rPr>
        <w:tab/>
        <w:t>Право на забастовку</w:t>
      </w:r>
    </w:p>
    <w:p w:rsidR="00000000" w:rsidRDefault="00000000">
      <w:pPr>
        <w:jc w:val="center"/>
      </w:pPr>
    </w:p>
    <w:p w:rsidR="00000000" w:rsidRDefault="00000000">
      <w:pPr>
        <w:rPr>
          <w:i/>
          <w:iCs/>
        </w:rPr>
      </w:pPr>
      <w:r>
        <w:rPr>
          <w:i/>
          <w:iCs/>
        </w:rPr>
        <w:t>Конституционные гарантии права на забастовку</w:t>
      </w:r>
    </w:p>
    <w:p w:rsidR="00000000" w:rsidRDefault="00000000"/>
    <w:p w:rsidR="00000000" w:rsidRDefault="00000000">
      <w:r>
        <w:t>133.</w:t>
      </w:r>
      <w:r>
        <w:tab/>
        <w:t>Право на забастовку полностью регулируется союзным законодательством.  Оно гарантировано Конституцией, и трудящиеся имеют право на забастовку для защиты своих профессиональных и экономических интересов.</w:t>
      </w:r>
    </w:p>
    <w:p w:rsidR="00000000" w:rsidRDefault="00000000"/>
    <w:p w:rsidR="00000000" w:rsidRDefault="00000000">
      <w:r>
        <w:t>134.</w:t>
      </w:r>
      <w:r>
        <w:tab/>
        <w:t>В дополнение к регулирующим право на забастовку нормативным положениям специального Союзного закона о забастовках (</w:t>
      </w:r>
      <w:r>
        <w:rPr>
          <w:i/>
          <w:iCs/>
        </w:rPr>
        <w:t>Официальный вестник Союзной Федеративной Республики Югославии</w:t>
      </w:r>
      <w:r>
        <w:t xml:space="preserve">, № 42/92 и </w:t>
      </w:r>
      <w:r>
        <w:rPr>
          <w:i/>
          <w:iCs/>
        </w:rPr>
        <w:t>Официальный вестник Союзной Республики Югославии</w:t>
      </w:r>
      <w:r>
        <w:t>, № 37/93 и 24/94), в Республике Сербии также действовал Закон о забастовках (</w:t>
      </w:r>
      <w:r>
        <w:rPr>
          <w:i/>
          <w:iCs/>
        </w:rPr>
        <w:t>Официальный вестник Республики Сербии</w:t>
      </w:r>
      <w:r>
        <w:t>, № 51/91, 51/92, 53/93, 67/93, 48/94) в период с 4 августа 1991 года по 27 сентября 1996 года.  Для регулирования этого вопроса Республика Черногория пользовалась союзным Законом о забастовках.</w:t>
      </w:r>
    </w:p>
    <w:p w:rsidR="00000000" w:rsidRDefault="00000000"/>
    <w:p w:rsidR="00000000" w:rsidRDefault="00000000">
      <w:r>
        <w:t>135.</w:t>
      </w:r>
      <w:r>
        <w:tab/>
        <w:t>В соответствии со статьей 1 Конституции Союзной Федеративной Республики Югославии в Законе о забастовках (</w:t>
      </w:r>
      <w:r>
        <w:rPr>
          <w:i/>
          <w:iCs/>
        </w:rPr>
        <w:t>Официальный вестник Союзной Республики Югославии</w:t>
      </w:r>
      <w:r>
        <w:t>, № 29/96) забастовка определяется как "приостановление работы трудящимися в целях защиты их профессиональных и экономических интересов на основе работы".  Трудящиеся свободно принимают решение об их участии в забастовке.  По закону все трудящиеся и все профессиональные союзы имеют право на забастовку вне зависимости от того, выполняется ли критерий представительства.  В статье 2 устанавливаются следующие виды забастовки:  забастовка во всей компании (или в ином юридическом лице, т.е. против работодателя-предпринимателя как физического лица) или в части компании;  в секторе или отрасли;  всеобщая забастовка (в государстве-члене, т.е. в Союзной Республике Югославии);  или предупредительная забастовка.</w:t>
      </w:r>
    </w:p>
    <w:p w:rsidR="00000000" w:rsidRDefault="00000000"/>
    <w:p w:rsidR="00000000" w:rsidRDefault="00000000">
      <w:r>
        <w:t>136.</w:t>
      </w:r>
      <w:r>
        <w:tab/>
        <w:t>В статье 13 закона предусматривается отдельный режим защиты организаторов и участников забастовки при условии, что забастовка проводится на законных основаниях.  Эта защита предусматривает запрещение применения процедур дисциплинарного наказания или материальной ответственности, а также запрещение прекращения трудового договора.  Во время участия в забастовке работник пользуется основными правами в сфере труда, за исключением права на заработную плату, а также правами в области социального обеспечения.</w:t>
      </w:r>
    </w:p>
    <w:p w:rsidR="00000000" w:rsidRDefault="00000000"/>
    <w:p w:rsidR="00000000" w:rsidRDefault="00000000">
      <w:r>
        <w:t>137.</w:t>
      </w:r>
      <w:r>
        <w:tab/>
        <w:t>В период с 1992 года по 1996 год, когда в дополнение к вышеуказанному союзному Закону также действовал Закон о забастовках Республики Сербии, контроль за соблюдением законодательства осуществлялся трудовой инспекцией Республики.  На основе опыта, накопленного при проведении инспекционных проверок по 111 случаям за указанный период, были сделаны определенные выводы.</w:t>
      </w:r>
    </w:p>
    <w:p w:rsidR="00000000" w:rsidRDefault="00000000"/>
    <w:p w:rsidR="00000000" w:rsidRDefault="00000000">
      <w:r>
        <w:t>138.</w:t>
      </w:r>
      <w:r>
        <w:tab/>
        <w:t xml:space="preserve">Среди видов деятельности, подлежащих контролю, почти половина указанных случаев относилась к действиям инспекторов на предприятиях, осуществляющих деятельность, подпадающую под особый правовой режим проведения забастовки (57 случаев).  В большинстве случаев речь шла о забастовках в сферах образования, здравоохранения и "деятельности, имеющей особую социальную важность" (горнодобывающая промышленность, радио и телевидение, публикация газет), за которыми следовала пищевая промышленность.  Это свидетельствует о правовом охвате широкого спектра таких видов деятельности, причем дополнительные условия, разрешающие проведение забастовки, являются весьма жесткими.  </w:t>
      </w:r>
    </w:p>
    <w:p w:rsidR="00000000" w:rsidRDefault="00000000"/>
    <w:p w:rsidR="00000000" w:rsidRDefault="00000000">
      <w:r>
        <w:t>139.</w:t>
      </w:r>
      <w:r>
        <w:tab/>
        <w:t>Хотя в ходе проведения инспекционных проверок инспекторы не предпринимали попыток вникать в содержание требований забастовщиков, а оценивали лишь то, носят ли эти требования экономический характер (т.е. касались ли они осуществления прав и свобод в сфере труда и социальных условий трудящихся) или какой-либо иной, прежде всего политический, характер, анализ этих случаев позволяет сделать косвенный вывод о том, что количество требований, носивших исключительно политический характер, было крайне незначительным.  Содержание других требований забастовщиков было весьма разнообразным.  Как правило, выдвигалось несколько требований.  В половине рассмотренных случаев требования забастовщиков касались выплаты заработной платы или минимальной оплаты труда, в других случаях речь шла об иных выплатах на основе работы, жалобах на условия работы и осуществлении коллективных прав, вытекающих из работы, связанных в первую очередь с соблюдением профсоюзных прав и прав представителей трудящихся в профессиональных союзах или членов забастовочного комитета.  Интересно отметить, что в ряде случаев забастовщики требовали смены или отставки руководства компании.  Требования также касались изменения формы собственности:  отмены сделок по незаконной продаже помещений компании, требования в отношении отделения части компании или несогласия с изменением статуса.</w:t>
      </w:r>
    </w:p>
    <w:p w:rsidR="00000000" w:rsidRDefault="00000000"/>
    <w:p w:rsidR="00000000" w:rsidRDefault="00000000">
      <w:r>
        <w:t>140.</w:t>
      </w:r>
      <w:r>
        <w:tab/>
        <w:t>Что касается количества забастовщиков, то в большинстве случаев забастовки охватывали не отдельные предприятия или подразделения, а всю компанию.  Забастовки также часто проводились в масштабах всей отрасли или сектора, в большинстве случаев в сфере образования и здравоохранения.</w:t>
      </w:r>
    </w:p>
    <w:p w:rsidR="00000000" w:rsidRDefault="00000000"/>
    <w:p w:rsidR="00000000" w:rsidRDefault="00000000">
      <w:r>
        <w:t>141.</w:t>
      </w:r>
      <w:r>
        <w:tab/>
        <w:t>После отмены Закона о забастовках Республики Сербии в 1997 году союзная инспекционная служба осуществляла надзор за выполнением положений Союзного закона о забастовках 1996 года.</w:t>
      </w:r>
    </w:p>
    <w:p w:rsidR="00000000" w:rsidRDefault="00000000"/>
    <w:p w:rsidR="00000000" w:rsidRDefault="00000000">
      <w:pPr>
        <w:rPr>
          <w:i/>
          <w:iCs/>
        </w:rPr>
      </w:pPr>
      <w:r>
        <w:rPr>
          <w:i/>
          <w:iCs/>
        </w:rPr>
        <w:t>Ограничение права на забастовку</w:t>
      </w:r>
    </w:p>
    <w:p w:rsidR="00000000" w:rsidRDefault="00000000">
      <w:pPr>
        <w:rPr>
          <w:b/>
          <w:bCs/>
        </w:rPr>
      </w:pPr>
    </w:p>
    <w:p w:rsidR="00000000" w:rsidRDefault="00000000">
      <w:r>
        <w:t>142.</w:t>
      </w:r>
      <w:r>
        <w:tab/>
        <w:t>В Законе о забастовках определяются условия организации забастовок в целом (так называемый общий правовой режим забастовки).  В нем также устанавливаются дополнительные ограничительные условия в отношении организации и проведения забастовок, затрагивающих виды деятельности, представляющие общественный интерес, или иные виды деятельности, имеющие особую важность, которые перечисляются в Законе о забастовках (так называемый особый режим забастовки) и на которые распространяется действие положений статей 9</w:t>
      </w:r>
      <w:r>
        <w:noBreakHyphen/>
        <w:t>13 этого закона.</w:t>
      </w:r>
    </w:p>
    <w:p w:rsidR="00000000" w:rsidRDefault="00000000"/>
    <w:p w:rsidR="00000000" w:rsidRDefault="00000000">
      <w:r>
        <w:t>143.</w:t>
      </w:r>
      <w:r>
        <w:tab/>
        <w:t>Согласно общему правовому режиму забастовка может быть организована после принятия решения о проведении забастовки (такое решение может быть принято либо трудящимися, либо профессиональным союзом), о котором забастовочный комитет обязан в письменном виде уведомить работодателя (объявить забастовку) не позднее чем за пять дней до начала забастовки, или за 24 часа - в случае предупредительной забастовки.  В статье 4 перечислены элементы, которые должно содержать решение о забастовке (требования трудящихся, время начала забастовки, место сбора забастовщиков в случае, если таковое предусмотрено, и состав забастовочного комитета).  В ходе проведения забастовки социальным партнерам (сторонам в споре) вменяется в обязанность начать переговоры и попытаться урегулировать спор.</w:t>
      </w:r>
    </w:p>
    <w:p w:rsidR="00000000" w:rsidRDefault="00000000"/>
    <w:p w:rsidR="00000000" w:rsidRDefault="00000000">
      <w:r>
        <w:t>144.</w:t>
      </w:r>
      <w:r>
        <w:tab/>
        <w:t>В отличие от общего правового режима объявление о забастовке в рамках особого правового режима должно быть сделано не менее чем за десять дней до начала забастовки.  Решение о забастовке направляется большему числу людей.  В этом случае проведение забастовки возможно лишь при условии обеспечения продолжения минимально необходимых рабочих процессов (которые в основном определяются менеджером, т.е. руководителем государственной службы или частной компании) в секторах, в которых они могут быть организованы в соответствии со статьей 9 Закона.  В рамках особого правового режима также предусматривается более активная роль сторон спора в проведении переговоров с целью урегулирования конфликта, а также большее количество участников этой процедуры.</w:t>
      </w:r>
    </w:p>
    <w:p w:rsidR="00000000" w:rsidRDefault="00000000"/>
    <w:p w:rsidR="00000000" w:rsidRDefault="00000000">
      <w:pPr>
        <w:keepLines/>
      </w:pPr>
      <w:r>
        <w:t>145.</w:t>
      </w:r>
      <w:r>
        <w:tab/>
        <w:t>Таким образом, согласно статье 9 Закона о забастовках, забастовка трудящихся в секторах, представляющих общественный интерес, приостановление работы в которых может в силу характера осуществляемой деятельности поставить под угрозу жизнь и здоровье людей или вызвать значительный ущерб, может проводиться (как уже было указано) лишь при выполнении дополнительных ограничивающих условий.  Секторами, представляющими общественный интерес, согласно указанному закону, являются:  энергетика, водное хозяйство, транспорт, СМИ (радио и телевидение), почтовые и коммунальные услуги, производство основных продуктов питания, здравоохранение и ветеринарные услуги, образование, социальные учреждения по уходу за детьми и социальное обеспечение.  К категории видов деятельности, представляющих общественный интерес, также относится деятельность, имеющая особую важность для обороны и безопасности Союзной Республики Югославии (перечень таких видов деятельности определяется компетентным органом в соответствии с союзным законодательством), а также деятельность, необходимая для выполнения Союзной Республикой Югославией ее международных обязательств.  В законе также перечислены виды деятельности, приостановление которых может создать угрозу для жизни и здоровья людей и вызвать серьезный ущерб:  химическая промышленность, черная и цветная металлургия.</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rPr>
          <w:b/>
          <w:bCs/>
        </w:rPr>
      </w:pPr>
      <w:r>
        <w:rPr>
          <w:b/>
          <w:bCs/>
        </w:rPr>
        <w:t>а)</w:t>
      </w:r>
      <w:r>
        <w:rPr>
          <w:b/>
          <w:bCs/>
        </w:rPr>
        <w:tab/>
        <w:t>Ратифицированные международные договоры</w:t>
      </w:r>
    </w:p>
    <w:p w:rsidR="00000000" w:rsidRDefault="00000000">
      <w:pPr>
        <w:jc w:val="center"/>
        <w:rPr>
          <w:b/>
          <w:bCs/>
        </w:rPr>
      </w:pPr>
    </w:p>
    <w:p w:rsidR="00000000" w:rsidRDefault="00000000">
      <w:r>
        <w:t>146.</w:t>
      </w:r>
      <w:r>
        <w:tab/>
        <w:t xml:space="preserve">Союзная Республика Югославия ратифицировала десять конвенций в области социального обеспечения и значительное число специальных конвенций по вопросам социального обеспечения.  </w:t>
      </w:r>
    </w:p>
    <w:p w:rsidR="00000000" w:rsidRDefault="00000000"/>
    <w:p w:rsidR="00000000" w:rsidRDefault="00000000">
      <w:pPr>
        <w:rPr>
          <w:b/>
          <w:bCs/>
        </w:rPr>
      </w:pPr>
      <w:r>
        <w:rPr>
          <w:b/>
          <w:bCs/>
        </w:rPr>
        <w:t>b)</w:t>
      </w:r>
      <w:r>
        <w:rPr>
          <w:b/>
          <w:bCs/>
        </w:rPr>
        <w:tab/>
        <w:t>Социальная защита</w:t>
      </w:r>
    </w:p>
    <w:p w:rsidR="00000000" w:rsidRDefault="00000000">
      <w:pPr>
        <w:jc w:val="center"/>
        <w:rPr>
          <w:b/>
          <w:bCs/>
        </w:rPr>
      </w:pPr>
    </w:p>
    <w:p w:rsidR="00000000" w:rsidRDefault="00000000">
      <w:r>
        <w:t>147.</w:t>
      </w:r>
      <w:r>
        <w:tab/>
        <w:t>Конституция Союзной Республики Югославии гарантировала работникам и членам их семей социальное обеспечение, а также социальное страхование для граждан, не способных к труду и не имеющих заработка, равно как и гражданам, не имеющим средств к жизни (статья 58).</w:t>
      </w:r>
    </w:p>
    <w:p w:rsidR="00000000" w:rsidRDefault="00000000"/>
    <w:p w:rsidR="00000000" w:rsidRDefault="00000000">
      <w:r>
        <w:t>148.</w:t>
      </w:r>
      <w:r>
        <w:tab/>
        <w:t>Хартия прав человека и национальных меньшинств и гражданских свобод гарантирует социальное обеспечение и социальное страхование каждому лицу, постоянно проживающему на территории государственного союза.</w:t>
      </w:r>
    </w:p>
    <w:p w:rsidR="00000000" w:rsidRDefault="00000000"/>
    <w:p w:rsidR="00000000" w:rsidRDefault="00000000">
      <w:r>
        <w:t>149.</w:t>
      </w:r>
      <w:r>
        <w:tab/>
        <w:t>Согласно положениям Закона о социальной защите и социальном обеспечении граждан Республики Сербии (</w:t>
      </w:r>
      <w:r>
        <w:rPr>
          <w:i/>
          <w:iCs/>
        </w:rPr>
        <w:t>Официальный вестник Республики Сербии</w:t>
      </w:r>
      <w:r>
        <w:t>, № 36/91, 33/93, 67/93, 46/94, 52/96 и № 29/2001), под социальной защитой понимается организованная социальная деятельность, направленная на предоставление помощи гражданам и членам их семей, оказавшимся в состоянии, когда они нуждаются в помощи общества, а также меры по предупреждению возникновения такого положения и устранению его последствий.  Социальное обеспечение предоставляется гражданам, не способным к труду и не имеющим средств к существованию, а также гражданам и членам их семей, которые посредством их работы и на основе их работы ввиду необходимости оказания помощи родственникам, наличия имущества или имущественных прав или в силу каких</w:t>
      </w:r>
      <w:r>
        <w:noBreakHyphen/>
        <w:t>либо иных причин не способны обеспечить себя достаточными средствами для удовлетворения основных жизненных потребностей.</w:t>
      </w:r>
    </w:p>
    <w:p w:rsidR="00000000" w:rsidRDefault="00000000"/>
    <w:p w:rsidR="00000000" w:rsidRDefault="00000000">
      <w:r>
        <w:t>150.</w:t>
      </w:r>
      <w:r>
        <w:tab/>
        <w:t>В целях обеспечения прав, предусмотренных в положениях Закона о социальной защите и социальном обеспечении Республики Сербии, в стране созданы учреждения социального обеспечения.  В соответствии с законом имеются предприятия для трудовой и профессиональной подготовки, а также трудоустройства инвалидов, которые обеспечивают профессиональную подготовку и трудоустройство инвалидов.  Деятельность в области социального обеспечения может осуществляться и гражданами, а также иными учреждениями и предприятиями.</w:t>
      </w:r>
    </w:p>
    <w:p w:rsidR="00000000" w:rsidRDefault="00000000"/>
    <w:p w:rsidR="00000000" w:rsidRDefault="00000000">
      <w:pPr>
        <w:rPr>
          <w:b/>
          <w:bCs/>
        </w:rPr>
      </w:pPr>
      <w:r>
        <w:rPr>
          <w:b/>
          <w:bCs/>
          <w:lang w:val="en-US"/>
        </w:rPr>
        <w:t>c</w:t>
      </w:r>
      <w:r>
        <w:rPr>
          <w:b/>
          <w:bCs/>
        </w:rPr>
        <w:t>)</w:t>
      </w:r>
      <w:r>
        <w:rPr>
          <w:b/>
          <w:bCs/>
        </w:rPr>
        <w:tab/>
        <w:t>Права на социальное обеспечение и социальное страхование</w:t>
      </w:r>
    </w:p>
    <w:p w:rsidR="00000000" w:rsidRDefault="00000000">
      <w:pPr>
        <w:jc w:val="center"/>
        <w:rPr>
          <w:b/>
          <w:bCs/>
        </w:rPr>
      </w:pPr>
    </w:p>
    <w:p w:rsidR="00000000" w:rsidRDefault="00000000">
      <w:r>
        <w:t>151.</w:t>
      </w:r>
      <w:r>
        <w:tab/>
        <w:t>Права в области социального обеспечения и социального страхования включают:  финансовое обеспечение;  пособия на помощь и уход со стороны другого лица;  пособия в связи с профессиональным обучением;  помощь на дому, уход, помещение в специальное учреждение социальной защиты или помещение в другую семью;  услуги по социальному обеспечению;  предоставление предметов личного пользования бенефициару для целей помещения в учреждение социального обеспечения или в другую семью;  и единовременная помощь.</w:t>
      </w:r>
    </w:p>
    <w:p w:rsidR="00000000" w:rsidRDefault="00000000"/>
    <w:p w:rsidR="00000000" w:rsidRDefault="00000000">
      <w:r>
        <w:t>152.</w:t>
      </w:r>
      <w:r>
        <w:tab/>
        <w:t>Право на финансовое обеспечение, другую персональную помощь и пособия по уходу, пособия в связи с профессиональным обучением, помещение в учреждения социального обеспечения или в другую семью, а также на социальное обеспечение при осуществлении государственных полномочий являются правами общей значимости, обеспечиваемыми Республикой Сербией.  Оказание помощи на дому, помощь по уходу, обеспечение личными вещами бенефициара для целей помещения в учреждение социального обеспечения или в другую семью, разовая помощь и другие услуги по социальному обеспечению предоставляются муниципальными органами власти.  Размер помощи, оказываемой бенефициарам некоторых прав, зависит от месяца, в течение которого реализуется право на получение помощи.  Основой для установления этого права является Закон о социальной защите и социальном страховании граждан (</w:t>
      </w:r>
      <w:r>
        <w:rPr>
          <w:i/>
          <w:iCs/>
        </w:rPr>
        <w:t>Официальный вестник Республики Сербии</w:t>
      </w:r>
      <w:r>
        <w:t>, № 29/2001).</w:t>
      </w:r>
    </w:p>
    <w:p w:rsidR="00000000" w:rsidRDefault="00000000"/>
    <w:p w:rsidR="00000000" w:rsidRDefault="00000000">
      <w:r>
        <w:t>153.</w:t>
      </w:r>
      <w:r>
        <w:tab/>
      </w:r>
      <w:r>
        <w:rPr>
          <w:iCs/>
        </w:rPr>
        <w:t xml:space="preserve">Право на получение финансовой помощи </w:t>
      </w:r>
      <w:r>
        <w:t>предоставляется одинокому лицу или семье, доход которых находится ниже минимального уровня, установленного в Законе о социальной защите и социальном страховании граждан Республики Сербии.  В 2002 году правом на получение финансовой помощи пользовались 40 300 семей (93 400 человек).  Размер финансовой помощи составлял 16-32% от среднего размера заработной платы в данном муниципальном образовании за предыдущий квартал.  Размер базовой ставки не мог превышать размер пособия, предоставляемого в Республике.</w:t>
      </w:r>
    </w:p>
    <w:p w:rsidR="00000000" w:rsidRDefault="00000000"/>
    <w:p w:rsidR="00000000" w:rsidRDefault="00000000">
      <w:r>
        <w:t>154.</w:t>
      </w:r>
      <w:r>
        <w:tab/>
        <w:t>Право получения пособия на помощь и уход со стороны другого лица предоставляется лицу, которое в силу характера и степени тяжести полученного увечья или заболевания нуждается в помощи и уходе для осуществления действий, необходимых для удовлетворения основных жизненных потребностей, при условии, что указанное лицо не способно реализовать это право на иной правовой основе и не использует право на помещение в учреждение социального обеспечения.</w:t>
      </w:r>
    </w:p>
    <w:p w:rsidR="00000000" w:rsidRDefault="00000000"/>
    <w:p w:rsidR="00000000" w:rsidRDefault="00000000">
      <w:r>
        <w:t>155.</w:t>
      </w:r>
      <w:r>
        <w:tab/>
        <w:t>Необходимость в помощи и уходе определяется на основе законодательства, регулирующего вопросы пенсионного обеспечения и страхования инвалидов.  В 2002 году это пособие составляло 13% от размера заработной платы в Республике за предыдущие месяцы и было предоставлено 21 000 бенефициаров.</w:t>
      </w:r>
    </w:p>
    <w:p w:rsidR="00000000" w:rsidRDefault="00000000"/>
    <w:p w:rsidR="00000000" w:rsidRDefault="00000000">
      <w:r>
        <w:t>156.</w:t>
      </w:r>
      <w:r>
        <w:tab/>
      </w:r>
      <w:r>
        <w:rPr>
          <w:iCs/>
        </w:rPr>
        <w:t>Право на помощь в связи с трудовой подготовкой или помощь в связи с обучением и трудовой подготовкой</w:t>
      </w:r>
      <w:r>
        <w:t xml:space="preserve"> предоставляется умственно неполноценным детям и подросткам и лицам с другими нарушениями, которые в зависимости от их умственных и физических возможностей и возраста могут быть обучены выполнению работы определенного типа и не могут реализовать данное право на иной правовой основе.</w:t>
      </w:r>
    </w:p>
    <w:p w:rsidR="00000000" w:rsidRDefault="00000000"/>
    <w:p w:rsidR="00000000" w:rsidRDefault="00000000">
      <w:r>
        <w:t>157.</w:t>
      </w:r>
      <w:r>
        <w:tab/>
        <w:t>Определение инвалидности и оценка остаточной работоспособности, а также направление на трудовую подготовку осуществляются в порядке, предусмотренном в специальном законе.</w:t>
      </w:r>
    </w:p>
    <w:p w:rsidR="00000000" w:rsidRDefault="00000000"/>
    <w:p w:rsidR="00000000" w:rsidRDefault="00000000">
      <w:r>
        <w:t>158.</w:t>
      </w:r>
      <w:r>
        <w:tab/>
      </w:r>
      <w:r>
        <w:rPr>
          <w:iCs/>
        </w:rPr>
        <w:t>Право на оказание помощи на дому, персональный уход и помещение в учреждение социального обеспечения или другую семью</w:t>
      </w:r>
      <w:r>
        <w:t xml:space="preserve"> предоставляется лицам, семьи которых не могут обеспечить их социальную защиту, а также лицам, не имеющим семейного ухода, если соответствующая защита не может быть обеспечена иным образом.  Тип данного права определяется компетентным учреждением социального обеспечения на основе всесторонней оценки потребностей бенефициара и возможностей его семьи.</w:t>
      </w:r>
    </w:p>
    <w:p w:rsidR="00000000" w:rsidRDefault="00000000"/>
    <w:p w:rsidR="00000000" w:rsidRDefault="00000000">
      <w:pPr>
        <w:keepNext/>
        <w:keepLines/>
        <w:rPr>
          <w:i/>
          <w:iCs/>
        </w:rPr>
      </w:pPr>
      <w:r>
        <w:rPr>
          <w:i/>
          <w:iCs/>
        </w:rPr>
        <w:t>Помощь на дому</w:t>
      </w:r>
    </w:p>
    <w:p w:rsidR="00000000" w:rsidRDefault="00000000">
      <w:pPr>
        <w:keepNext/>
        <w:keepLines/>
      </w:pPr>
    </w:p>
    <w:p w:rsidR="00000000" w:rsidRDefault="00000000">
      <w:pPr>
        <w:keepNext/>
        <w:keepLines/>
      </w:pPr>
      <w:r>
        <w:t>159.</w:t>
      </w:r>
      <w:r>
        <w:tab/>
        <w:t>Право на помощь на дому предоставляется пожилым и немощным хронически больным лицам, не способным заботиться о себе самостоятельно.  Этот вид помощи состоит в выполнении необходимых для бенефициара функций по ведению домашнего хозяйства (уборка помещения, покупка продуктов питания и других необходимых предметов, оказание помощи в выполнении процедур личной гигиены и т.д.).  Уровень участия бенефициара и его родственников, юридически обязанных оказывать поддержку в покрытии расходов в связи с оказанием помощи на дому, определяется на основе критериев, устанавливаемых муниципальным административным органом, ведающим вопросами социального обеспечения.</w:t>
      </w:r>
    </w:p>
    <w:p w:rsidR="00000000" w:rsidRDefault="00000000"/>
    <w:p w:rsidR="00000000" w:rsidRDefault="00000000">
      <w:pPr>
        <w:rPr>
          <w:i/>
          <w:iCs/>
        </w:rPr>
      </w:pPr>
      <w:r>
        <w:rPr>
          <w:i/>
          <w:iCs/>
        </w:rPr>
        <w:t>Персональный уход</w:t>
      </w:r>
    </w:p>
    <w:p w:rsidR="00000000" w:rsidRDefault="00000000">
      <w:pPr>
        <w:rPr>
          <w:b/>
          <w:bCs/>
        </w:rPr>
      </w:pPr>
    </w:p>
    <w:p w:rsidR="00000000" w:rsidRDefault="00000000">
      <w:r>
        <w:t>160.</w:t>
      </w:r>
      <w:r>
        <w:tab/>
        <w:t>Право на персональный уход предоставляется физически и умственно неполноценным детям, детям, страдающим аутизмом, детям с бихевиористическими нарушениями, а также взрослым лицам, пользующимся правом на помещение в учреждение социального обеспечения или в другую семью в том случае, если, в зависимости от степени и типа нарушения функций и от возможностей и потребностей этих лиц или по иным причинам, данная форма социальной защиты представляется наиболее подходящей.  Это право обеспечивается за счет помещения бенефициара в соответствующее социальное учреждение, обеспечивающее ежедневный уход за ним, или образовательное учреждение, предоставляющее необходимые услуги.</w:t>
      </w:r>
    </w:p>
    <w:p w:rsidR="00000000" w:rsidRDefault="00000000"/>
    <w:p w:rsidR="00000000" w:rsidRDefault="00000000">
      <w:pPr>
        <w:rPr>
          <w:i/>
          <w:iCs/>
        </w:rPr>
      </w:pPr>
      <w:r>
        <w:rPr>
          <w:i/>
          <w:iCs/>
        </w:rPr>
        <w:t>Помещение в учреждение социального обеспечения</w:t>
      </w:r>
    </w:p>
    <w:p w:rsidR="00000000" w:rsidRDefault="00000000">
      <w:pPr>
        <w:rPr>
          <w:b/>
          <w:bCs/>
        </w:rPr>
      </w:pPr>
    </w:p>
    <w:p w:rsidR="00000000" w:rsidRDefault="00000000">
      <w:r>
        <w:t>161.</w:t>
      </w:r>
      <w:r>
        <w:tab/>
        <w:t>Социальное обеспечение реализуется за счет направления бенефициара в соответствующие учреждения, обеспечивающие удовлетворение необходимых базовых потребностей (проживание, питание, одежда, медицинское обслуживание, помощь и уход), услуги по воспитанию и образованию, обучение определенным видам трудовой деятельности и охрану здоровья в соответствии со специальными нормативными документами, а также профессиональное, культурно-развлекательное и рекреационно-реабилитационное и социальное обслуживание.</w:t>
      </w:r>
    </w:p>
    <w:p w:rsidR="00000000" w:rsidRDefault="00000000"/>
    <w:p w:rsidR="00000000" w:rsidRDefault="00000000">
      <w:r>
        <w:t>162.</w:t>
      </w:r>
      <w:r>
        <w:tab/>
        <w:t>В исключительных случаях бенефициар может быть помещен в диспансер, отвечающий установленным критериям в отношении условий проживания, а также в студенческое общежитие, в том случае если соответствующее лицо направлено на курсы профессиональной подготовки.  Указанные меры реализуются на основе соглашения о предоставлении услуг, которое заключается между центром социального обеспечения и соответствующим учреждением по получении экспертного мнения компетентного министра по социальным вопросам.</w:t>
      </w:r>
    </w:p>
    <w:p w:rsidR="00000000" w:rsidRDefault="00000000"/>
    <w:p w:rsidR="00000000" w:rsidRDefault="00000000">
      <w:r>
        <w:t>163.</w:t>
      </w:r>
      <w:r>
        <w:tab/>
        <w:t>Правом на помещение в учреждение социального обеспечения также пользуются следующие лица:</w:t>
      </w:r>
    </w:p>
    <w:p w:rsidR="00000000" w:rsidRDefault="00000000"/>
    <w:p w:rsidR="00000000" w:rsidRDefault="00000000">
      <w:pPr>
        <w:ind w:left="1134" w:hanging="1134"/>
      </w:pPr>
      <w:r>
        <w:tab/>
        <w:t>-</w:t>
      </w:r>
      <w:r>
        <w:tab/>
        <w:t>ребенок, лишенный родительского ухода, и ребенок, нормальному развитию которого мешают неблагоприятные условия в семье, до момента, когда ребенок становится способен к ведению независимой жизни, возвращается в собственную семью или помещается в приемную или иную семью, или до момента завершения школьного образования, но не более чем в течение шести месяцев после завершения школьного образования;</w:t>
      </w:r>
    </w:p>
    <w:p w:rsidR="00000000" w:rsidRDefault="00000000">
      <w:pPr>
        <w:ind w:left="1134" w:hanging="1134"/>
      </w:pPr>
    </w:p>
    <w:p w:rsidR="00000000" w:rsidRDefault="00000000">
      <w:pPr>
        <w:ind w:left="1134" w:hanging="1134"/>
      </w:pPr>
      <w:r>
        <w:tab/>
        <w:t>-</w:t>
      </w:r>
      <w:r>
        <w:tab/>
        <w:t>умственно неполноценный ребенок со средней, тяжелой и крайне тяжелой степенью умственного расстройства и/или многочисленными нарушениями психики, ребенок, страдающий аутизмом, а также физически неполноценный ребенок при отсутствии условий для его проживания в собственной семье, если имеется потребность в обеспечении такого типа;</w:t>
      </w:r>
    </w:p>
    <w:p w:rsidR="00000000" w:rsidRDefault="00000000">
      <w:pPr>
        <w:ind w:left="1134" w:hanging="1134"/>
      </w:pPr>
    </w:p>
    <w:p w:rsidR="00000000" w:rsidRDefault="00000000">
      <w:pPr>
        <w:ind w:left="1134" w:hanging="1134"/>
      </w:pPr>
      <w:r>
        <w:tab/>
        <w:t>-</w:t>
      </w:r>
      <w:r>
        <w:tab/>
        <w:t>ребенок с бихевиористическими отклонениями;</w:t>
      </w:r>
    </w:p>
    <w:p w:rsidR="00000000" w:rsidRDefault="00000000">
      <w:pPr>
        <w:ind w:left="1134" w:hanging="1134"/>
      </w:pPr>
    </w:p>
    <w:p w:rsidR="00000000" w:rsidRDefault="00000000">
      <w:pPr>
        <w:ind w:left="1134" w:hanging="1134"/>
      </w:pPr>
      <w:r>
        <w:tab/>
        <w:t>-</w:t>
      </w:r>
      <w:r>
        <w:tab/>
        <w:t>беременная женщина или одинокая мать с ребенком в возрасте не старше девяти месяцев, которая ввиду финансовых трудностей, отсутствия жилья, проблем в семье и других аналогичных обстоятельств нуждается во временном помещении в учреждение социального обеспечения;</w:t>
      </w:r>
    </w:p>
    <w:p w:rsidR="00000000" w:rsidRDefault="00000000">
      <w:pPr>
        <w:ind w:left="1134" w:hanging="1134"/>
      </w:pPr>
    </w:p>
    <w:p w:rsidR="00000000" w:rsidRDefault="00000000">
      <w:pPr>
        <w:ind w:left="1134" w:hanging="1134"/>
      </w:pPr>
      <w:r>
        <w:tab/>
        <w:t>-</w:t>
      </w:r>
      <w:r>
        <w:tab/>
        <w:t>взрослое лицо, имеющее инвалидность, с физическими и сенсорными нарушениями, лицо, страдающее от тяжелого хронического заболевания, или умственно неполноценное лицо, не способное к ведению независимой жизни в семье по причине плохого состояния здоровья, плохих социальных, жилищных или семейных условий, а также лицо с бихевиористическими отклонениями;</w:t>
      </w:r>
    </w:p>
    <w:p w:rsidR="00000000" w:rsidRDefault="00000000">
      <w:pPr>
        <w:ind w:left="1134" w:hanging="1134"/>
      </w:pPr>
    </w:p>
    <w:p w:rsidR="00000000" w:rsidRDefault="00000000">
      <w:pPr>
        <w:ind w:left="1134" w:hanging="1134"/>
      </w:pPr>
      <w:r>
        <w:tab/>
        <w:t>-</w:t>
      </w:r>
      <w:r>
        <w:tab/>
        <w:t>пенсионер или иное пожилое лицо, которое ввиду плохого состояния здоровья, неудовлетворительных социальных, жилищных или семейных условий не может проживать в семье или домашнем хозяйстве;  и</w:t>
      </w:r>
    </w:p>
    <w:p w:rsidR="00000000" w:rsidRDefault="00000000">
      <w:pPr>
        <w:ind w:left="1134" w:hanging="1134"/>
      </w:pPr>
    </w:p>
    <w:p w:rsidR="00000000" w:rsidRDefault="00000000">
      <w:pPr>
        <w:ind w:left="1134" w:hanging="1134"/>
      </w:pPr>
      <w:r>
        <w:tab/>
        <w:t>-</w:t>
      </w:r>
      <w:r>
        <w:tab/>
        <w:t>лицо, брошенное на произвол судьбы или испытывающее нужду во вре</w:t>
      </w:r>
      <w:r>
        <w:rPr>
          <w:rFonts w:ascii="Tahoma" w:hAnsi="Tahoma" w:cs="Tahoma"/>
        </w:rPr>
        <w:t></w:t>
      </w:r>
      <w:r>
        <w:t>менном размещении или надзоре по каким-либо иным причинам.</w:t>
      </w:r>
    </w:p>
    <w:p w:rsidR="00000000" w:rsidRDefault="00000000">
      <w:pPr>
        <w:ind w:left="1134" w:hanging="1134"/>
      </w:pPr>
    </w:p>
    <w:p w:rsidR="00000000" w:rsidRDefault="00000000">
      <w:pPr>
        <w:keepLines/>
      </w:pPr>
      <w:r>
        <w:t>164.</w:t>
      </w:r>
      <w:r>
        <w:tab/>
        <w:t>Помещение в учреждение социального обеспечения производится на основе решения центра социального обслуживания, которое принимается с учетом заключения и мнения соответствующей группы специалистов центра в отношении необходимости применения данной меры.</w:t>
      </w:r>
    </w:p>
    <w:p w:rsidR="00000000" w:rsidRDefault="00000000"/>
    <w:p w:rsidR="00000000" w:rsidRDefault="00000000">
      <w:pPr>
        <w:rPr>
          <w:i/>
          <w:iCs/>
        </w:rPr>
      </w:pPr>
      <w:r>
        <w:rPr>
          <w:i/>
          <w:iCs/>
        </w:rPr>
        <w:t>Право на помещение в другую семью</w:t>
      </w:r>
    </w:p>
    <w:p w:rsidR="00000000" w:rsidRDefault="00000000">
      <w:pPr>
        <w:rPr>
          <w:b/>
          <w:bCs/>
        </w:rPr>
      </w:pPr>
    </w:p>
    <w:p w:rsidR="00000000" w:rsidRDefault="00000000">
      <w:r>
        <w:t>165.</w:t>
      </w:r>
      <w:r>
        <w:tab/>
        <w:t>Правом на помещение в другую семью пользуются лица, имеющие право на помещение в учреждение социального обеспечения.  Бенефициар не может быть помещен в семью, в которой один из членов лишен родительских прав или является недееспособным;  в дисфункциональную семью;  в семью, поведение одного из членов которого является социально неприемлемым;  в семью, в которой болезнь одного из ее членов может поставить под угрозу состояние здоровья бенефициара и саму цель его помещения в эту семью;  или в материально необеспеченную семью.</w:t>
      </w:r>
    </w:p>
    <w:p w:rsidR="00000000" w:rsidRDefault="00000000"/>
    <w:p w:rsidR="00000000" w:rsidRDefault="00000000">
      <w:r>
        <w:t>166.</w:t>
      </w:r>
      <w:r>
        <w:tab/>
        <w:t>Под социальными услугами понимаются профилактические меры, диагностика, лечение и консультативно-терапевтические меры на основе имеющихся профессиональных и научных знаний, направленные на оказание помощи лицам, семьям и социальным группам для решения их жизненных проблем или помощи местным и другим общинам для их организации в целях решения социальных проблем и устранения их последствий.  Все граждане имеют право на бесплатное пользование этими услугами.</w:t>
      </w:r>
    </w:p>
    <w:p w:rsidR="00000000" w:rsidRDefault="00000000"/>
    <w:p w:rsidR="00000000" w:rsidRDefault="00000000">
      <w:r>
        <w:t>167.</w:t>
      </w:r>
      <w:r>
        <w:tab/>
        <w:t>Муниципальные власти могут предусматривать участие граждан в покрытии расходов на некоторые услуги по социальному обеспечению, предоставляемые центрами социального обслуживания, которые не носят профилактического характера и не относятся к осуществлению прав, предусмотренных в данном законе и системе правовой защиты семьи.</w:t>
      </w:r>
    </w:p>
    <w:p w:rsidR="00000000" w:rsidRDefault="00000000"/>
    <w:p w:rsidR="00000000" w:rsidRDefault="00000000">
      <w:r>
        <w:t>168.</w:t>
      </w:r>
      <w:r>
        <w:tab/>
        <w:t>Правом на единовременную помощь пользуются лица, внезапно или непредвиденно оказавшиеся в таком положении, когда им требуется социальная помощь.  Пособие по единовременной помощи может предоставляться наличными или натурой.  Размер этого пособия не может превышать среднего размера заработной платы по Республике за месяц, в течение которого производится выплата пособия.</w:t>
      </w:r>
    </w:p>
    <w:p w:rsidR="00000000" w:rsidRDefault="00000000"/>
    <w:p w:rsidR="00000000" w:rsidRDefault="00000000">
      <w:pPr>
        <w:rPr>
          <w:b/>
          <w:bCs/>
        </w:rPr>
      </w:pPr>
      <w:r>
        <w:rPr>
          <w:b/>
          <w:bCs/>
        </w:rPr>
        <w:t>d)</w:t>
      </w:r>
      <w:r>
        <w:rPr>
          <w:b/>
          <w:bCs/>
        </w:rPr>
        <w:tab/>
        <w:t>Права, связанные со страхованием пенсионеров и инвалидов</w:t>
      </w:r>
    </w:p>
    <w:p w:rsidR="00000000" w:rsidRDefault="00000000">
      <w:pPr>
        <w:jc w:val="center"/>
        <w:rPr>
          <w:b/>
          <w:bCs/>
        </w:rPr>
      </w:pPr>
    </w:p>
    <w:p w:rsidR="00000000" w:rsidRDefault="00000000">
      <w:r>
        <w:t>169.</w:t>
      </w:r>
      <w:r>
        <w:tab/>
        <w:t>Права на пенсионное обеспечение и страхование по инвалидности приобретаются и реализуются на условиях и в порядке, предусмотренных положениями Закона о базовом страховании пенсионеров и инвалидов (</w:t>
      </w:r>
      <w:r>
        <w:rPr>
          <w:i/>
          <w:iCs/>
        </w:rPr>
        <w:t>Официальный вестник Союзной Республики Югославии</w:t>
      </w:r>
      <w:r>
        <w:t>, № 30/96) и Закона о страховании пенсионеров и инвалидов Республики Сербии (№ 52/96, 46/98 и 29/2001).</w:t>
      </w:r>
    </w:p>
    <w:p w:rsidR="00000000" w:rsidRDefault="00000000"/>
    <w:p w:rsidR="00000000" w:rsidRDefault="00000000">
      <w:r>
        <w:t>170.</w:t>
      </w:r>
      <w:r>
        <w:tab/>
        <w:t>Права, связанные с пенсионным обеспечением и страхованием по инвалидности, реализуются в организациях обязательного пенсионного страхования и страхования по инвалидности, республиканских фондах пенсионного и инвалидного страхования.  Указанные фонды обеспечивают ресурсы для обязательного пенсионного страхования и страхования по инвалидности.</w:t>
      </w:r>
    </w:p>
    <w:p w:rsidR="00000000" w:rsidRDefault="00000000"/>
    <w:p w:rsidR="00000000" w:rsidRDefault="00000000">
      <w:pPr>
        <w:rPr>
          <w:i/>
          <w:iCs/>
        </w:rPr>
      </w:pPr>
      <w:r>
        <w:rPr>
          <w:i/>
          <w:iCs/>
        </w:rPr>
        <w:t>Пенсия по старости</w:t>
      </w:r>
    </w:p>
    <w:p w:rsidR="00000000" w:rsidRDefault="00000000">
      <w:pPr>
        <w:pStyle w:val="FootnoteText"/>
        <w:spacing w:line="288" w:lineRule="auto"/>
      </w:pPr>
    </w:p>
    <w:p w:rsidR="00000000" w:rsidRDefault="00000000">
      <w:r>
        <w:t>171.</w:t>
      </w:r>
      <w:r>
        <w:tab/>
        <w:t>Трудящиеся приобретают право на получение пенсии по старости по достижении 63</w:t>
      </w:r>
      <w:r>
        <w:noBreakHyphen/>
        <w:t>летнего возраста (для мужчин), 58-летнего возраста (для женщин) и при наличии не менее 20-летнего трудового стажа.  В случае, если продолжительность трудового стажа работника составляет менее 20 лет, работник приобретает право на получение пенсии по старости, если он производил отчисления в пенсионный фонд в течение 15 лет и достиг возраста 65 лет (для мужчин) или 60 лет (для женщин).  Работник приобретает право на получение пенсии по старости по достижении 40-летней выслуги лет (для мужчин), 35</w:t>
      </w:r>
      <w:r>
        <w:noBreakHyphen/>
        <w:t>летней выслуги лет (для женщин) и в возрасте не моложе 50 лет.</w:t>
      </w:r>
    </w:p>
    <w:p w:rsidR="00000000" w:rsidRDefault="00000000"/>
    <w:p w:rsidR="00000000" w:rsidRDefault="00000000">
      <w:r>
        <w:t>172.</w:t>
      </w:r>
      <w:r>
        <w:tab/>
        <w:t xml:space="preserve">Согласно положениям Закона о страховании пенсионеров и инвалидов Республики Сербии работник, завершивший свою трудовую деятельность в соответствии с республиканским законодательством и приобретающий право на получение пенсии до выполнения общих условий, касающихся реализации права на получение пенсии по старости, приобретает право на получение пенсии по старости при достижении им возраста не менее 50 лет и наличии 20-летнего трудового стажа, из которых не менее десяти лет он должен был быть занят на производствах, срок работы на которых для целей исчисления пенсионного возраста засчитывается с повышающим коэффициентом.  Работник имеет право на получении пенсии по старости в размере </w:t>
      </w:r>
      <w:proofErr w:type="spellStart"/>
      <w:r>
        <w:t>55%</w:t>
      </w:r>
      <w:proofErr w:type="spellEnd"/>
      <w:r>
        <w:t xml:space="preserve"> (для мужчин) или </w:t>
      </w:r>
      <w:proofErr w:type="spellStart"/>
      <w:r>
        <w:t>57,5%</w:t>
      </w:r>
      <w:proofErr w:type="spellEnd"/>
      <w:r>
        <w:t xml:space="preserve"> (для женщин) от базовой пенсионной ставки при 20-летней выслуге лет, при этом размер пенсионного обеспечения увеличивается на </w:t>
      </w:r>
      <w:proofErr w:type="spellStart"/>
      <w:r>
        <w:t>2,5%</w:t>
      </w:r>
      <w:proofErr w:type="spellEnd"/>
      <w:r>
        <w:t xml:space="preserve"> от базы пенсионной ставки за каждый последующий год до 30-летней выслуги лет.  При продолжительности стажа свыше 30 лет размер пенсии увеличивается на </w:t>
      </w:r>
      <w:proofErr w:type="spellStart"/>
      <w:r>
        <w:t>0,5%</w:t>
      </w:r>
      <w:proofErr w:type="spellEnd"/>
      <w:r>
        <w:t xml:space="preserve"> от базовой пенсионной ставки за каждый дополнительный год, но не может превышать </w:t>
      </w:r>
      <w:proofErr w:type="spellStart"/>
      <w:r>
        <w:t>85%</w:t>
      </w:r>
      <w:proofErr w:type="spellEnd"/>
      <w:r>
        <w:t xml:space="preserve"> от базовой пенсионной ставки. </w:t>
      </w:r>
    </w:p>
    <w:p w:rsidR="00000000" w:rsidRDefault="00000000"/>
    <w:p w:rsidR="00000000" w:rsidRDefault="00000000">
      <w:r>
        <w:t>173.</w:t>
      </w:r>
      <w:r>
        <w:tab/>
        <w:t>Размер пенсии по старости исчисляется в виде процентной доли от базовой пенсионной ставки, рассчитываемой на основе среднемесячной зарплаты или размера отчислений в пенсионный фонд в течение 10 лет, в зависимости от того, какой из этих двух показателей является более выгодным для бенефициара.  Размер заработной платы или базовой ставки страховых отчислений за предыдущие годы рассчитывается на основе среднего размера заработной платы работника на территории Республики за последний календарный год, предшествующий тому году, в который работник реализует право на получение пенсии.</w:t>
      </w:r>
    </w:p>
    <w:p w:rsidR="00000000" w:rsidRDefault="00000000"/>
    <w:p w:rsidR="00000000" w:rsidRDefault="00000000">
      <w:r>
        <w:t>174.</w:t>
      </w:r>
      <w:r>
        <w:tab/>
        <w:t xml:space="preserve">Размер пенсии по старости зависит от выслуги лет, однако не может составлять менее </w:t>
      </w:r>
      <w:proofErr w:type="spellStart"/>
      <w:r>
        <w:t>35%</w:t>
      </w:r>
      <w:proofErr w:type="spellEnd"/>
      <w:r>
        <w:t xml:space="preserve"> (для мужчин) и </w:t>
      </w:r>
      <w:proofErr w:type="spellStart"/>
      <w:r>
        <w:t>40%</w:t>
      </w:r>
      <w:proofErr w:type="spellEnd"/>
      <w:r>
        <w:t xml:space="preserve"> (для женщин) и более </w:t>
      </w:r>
      <w:proofErr w:type="spellStart"/>
      <w:r>
        <w:t>85%</w:t>
      </w:r>
      <w:proofErr w:type="spellEnd"/>
      <w:r>
        <w:t xml:space="preserve"> от базовой пенсионной ставки.  Определенный таким образом размер пенсии корректируется в течение года с учетом средней зарплаты трудящихся на территории Республики.</w:t>
      </w:r>
    </w:p>
    <w:p w:rsidR="00000000" w:rsidRDefault="00000000"/>
    <w:p w:rsidR="00000000" w:rsidRDefault="00000000">
      <w:pPr>
        <w:pStyle w:val="Heading1"/>
        <w:rPr>
          <w:b w:val="0"/>
          <w:i/>
          <w:iCs/>
        </w:rPr>
      </w:pPr>
      <w:r>
        <w:rPr>
          <w:b w:val="0"/>
          <w:i/>
          <w:iCs/>
        </w:rPr>
        <w:t>Права инвалидов</w:t>
      </w:r>
    </w:p>
    <w:p w:rsidR="00000000" w:rsidRDefault="00000000">
      <w:pPr>
        <w:pStyle w:val="Heading1"/>
        <w:rPr>
          <w:b w:val="0"/>
          <w:i/>
          <w:iCs/>
        </w:rPr>
      </w:pPr>
    </w:p>
    <w:p w:rsidR="00000000" w:rsidRDefault="00000000">
      <w:r>
        <w:t>175.</w:t>
      </w:r>
      <w:r>
        <w:tab/>
        <w:t>Права, связанные с инвалидностью, предоставляются гражданам в случае снижения или потери трудоспособности.  Лицо считается инвалидом в том случае, если оно на постоянной основе частично или полностью утратило трудоспособность на производстве в связи с изменениями состояния его здоровья, вызванными производственной травмой, профессиональным заболеванием, непроизводственной травмой или заболеваниями, которые нельзя устранить путем лечения или прохождения курса медицинской реабилитации.</w:t>
      </w:r>
    </w:p>
    <w:p w:rsidR="00000000" w:rsidRDefault="00000000"/>
    <w:p w:rsidR="00000000" w:rsidRDefault="00000000">
      <w:r>
        <w:t>176.</w:t>
      </w:r>
      <w:r>
        <w:tab/>
        <w:t xml:space="preserve">Считается, что снижение трудоспособности имеет место в том случае, когда в течение установленного рабочего времени лицо более неспособно выполнять работу, которую оно выполняло ранее, не создавая опасности для своего здоровья.  </w:t>
      </w:r>
    </w:p>
    <w:p w:rsidR="00000000" w:rsidRDefault="00000000"/>
    <w:p w:rsidR="00000000" w:rsidRDefault="00000000">
      <w:r>
        <w:t>177.</w:t>
      </w:r>
      <w:r>
        <w:tab/>
        <w:t>Застрахованное лицо, в отношении которого была подтверждена частичная нетрудоспособность, может трудиться в течение полного рабочего дня на другом рабочем месте без опасности для своего здоровья с прохождением переподготовки или дополнительной профессиональной подготовки или без таковой.  Лицо, сохранившее частичную трудоспособность, имеет право на перевод на другую подходящую работу, т.е. право на соответствующую трудовую деятельность, переподготовку или дополнительную профессиональную подготовку, в случае необходимости, а также право на получение соответствующей денежной компенсации в связи с осуществлением этих прав.  Денежная компенсация выплачивается вместо заработной платы, на которую данное лицо более не может претендовать вследствие наступления инвалидности.</w:t>
      </w:r>
    </w:p>
    <w:p w:rsidR="00000000" w:rsidRDefault="00000000"/>
    <w:p w:rsidR="00000000" w:rsidRDefault="00000000">
      <w:r>
        <w:t>178.</w:t>
      </w:r>
      <w:r>
        <w:tab/>
        <w:t>Потеря трудоспособности считается окончательной в том случае, когда застрахованное лицо полностью и на постоянной основе неспособно выполнять свою или иную другую подходящую работу и когда оно не может вновь получить возможность выполнять другую подходящую работу в течение полного рабочего времени путем прохождения переподготовки или дополнительной профессиональной подготовки, в каковом случае указанное лицо приобретает право на получение пенсии по инвалидности.</w:t>
      </w:r>
    </w:p>
    <w:p w:rsidR="00000000" w:rsidRDefault="00000000"/>
    <w:p w:rsidR="00000000" w:rsidRDefault="00000000">
      <w:r>
        <w:t>179.</w:t>
      </w:r>
      <w:r>
        <w:tab/>
        <w:t>Застрахованная женщина может по собственной инициативе получить право на пенсию по инвалидности в том же порядке, на тех же условиях и в том же размере, что и застрахованный мужчина.</w:t>
      </w:r>
    </w:p>
    <w:p w:rsidR="00000000" w:rsidRDefault="00000000"/>
    <w:p w:rsidR="00000000" w:rsidRDefault="00000000">
      <w:pPr>
        <w:pStyle w:val="Heading1"/>
        <w:rPr>
          <w:b w:val="0"/>
          <w:i/>
          <w:iCs/>
        </w:rPr>
      </w:pPr>
      <w:r>
        <w:rPr>
          <w:b w:val="0"/>
          <w:i/>
          <w:iCs/>
        </w:rPr>
        <w:t>Минимальная пенсия</w:t>
      </w:r>
    </w:p>
    <w:p w:rsidR="00000000" w:rsidRDefault="00000000">
      <w:pPr>
        <w:pStyle w:val="Heading1"/>
        <w:rPr>
          <w:b w:val="0"/>
          <w:i/>
          <w:iCs/>
        </w:rPr>
      </w:pPr>
    </w:p>
    <w:p w:rsidR="00000000" w:rsidRDefault="00000000">
      <w:r>
        <w:t>180.</w:t>
      </w:r>
      <w:r>
        <w:tab/>
        <w:t xml:space="preserve">Право на получение минимальной пенсии предоставляется застрахованному лицу, имеющему право на получение пенсии по старости или пенсии по инвалидности.  Расчет минимального размера пенсии по старости или инвалидности осуществляется на основе среднемесячной заработной платы работника на территории Республики за предыдущий год.  Минимальный размер пенсии по старости или инвалидности составляет </w:t>
      </w:r>
      <w:proofErr w:type="spellStart"/>
      <w:r>
        <w:t>20%</w:t>
      </w:r>
      <w:proofErr w:type="spellEnd"/>
      <w:r>
        <w:t xml:space="preserve"> от базовой ставки пенсии.</w:t>
      </w:r>
    </w:p>
    <w:p w:rsidR="00000000" w:rsidRDefault="00000000"/>
    <w:p w:rsidR="00000000" w:rsidRDefault="00000000">
      <w:pPr>
        <w:pStyle w:val="Heading1"/>
        <w:rPr>
          <w:b w:val="0"/>
          <w:i/>
          <w:iCs/>
        </w:rPr>
      </w:pPr>
      <w:r>
        <w:rPr>
          <w:b w:val="0"/>
          <w:i/>
          <w:iCs/>
        </w:rPr>
        <w:t>Пенсия по случаю потери кормильца</w:t>
      </w:r>
    </w:p>
    <w:p w:rsidR="00000000" w:rsidRDefault="00000000">
      <w:pPr>
        <w:pStyle w:val="Heading1"/>
        <w:rPr>
          <w:b w:val="0"/>
          <w:i/>
          <w:iCs/>
        </w:rPr>
      </w:pPr>
    </w:p>
    <w:p w:rsidR="00000000" w:rsidRDefault="00000000">
      <w:r>
        <w:t>181.</w:t>
      </w:r>
      <w:r>
        <w:tab/>
        <w:t>Пенсия по случаю потери кормильца предоставляется членам семьи:</w:t>
      </w:r>
    </w:p>
    <w:p w:rsidR="00000000" w:rsidRDefault="00000000"/>
    <w:p w:rsidR="00000000" w:rsidRDefault="00000000">
      <w:r>
        <w:tab/>
        <w:t>а)</w:t>
      </w:r>
      <w:r>
        <w:tab/>
        <w:t>умершего застрахованного лица, которое в течение не менее пяти лет своей трудовой деятельности производило отчисления в пенсионный фонд или имело пенсионный стаж не менее десяти лет, или соответствовало критериям для получения пенсии по старости или инвалидности;  или</w:t>
      </w:r>
    </w:p>
    <w:p w:rsidR="00000000" w:rsidRDefault="00000000"/>
    <w:p w:rsidR="00000000" w:rsidRDefault="00000000">
      <w:r>
        <w:tab/>
      </w:r>
      <w:proofErr w:type="spellStart"/>
      <w:r>
        <w:t>b</w:t>
      </w:r>
      <w:proofErr w:type="spellEnd"/>
      <w:r>
        <w:t>)</w:t>
      </w:r>
      <w:r>
        <w:tab/>
        <w:t>умершего лица, получавшего пенсию по старости или инвалидности или имевшего право на ее получение на основе остаточной трудоспособности.</w:t>
      </w:r>
    </w:p>
    <w:p w:rsidR="00000000" w:rsidRDefault="00000000"/>
    <w:p w:rsidR="00000000" w:rsidRDefault="00000000">
      <w:pPr>
        <w:keepLines/>
      </w:pPr>
      <w:r>
        <w:t>182.</w:t>
      </w:r>
      <w:r>
        <w:tab/>
        <w:t>Если смерть застрахованного лица наступила вследствие травмы, полученной на производстве, или профессионального заболевания, члены его семьи приобретают право на получение пособия по случаю потери кормильца вне зависимости от продолжительности времени, в течение которого умершее лицо производило отчисления в пенсионный фонд.</w:t>
      </w:r>
    </w:p>
    <w:p w:rsidR="00000000" w:rsidRDefault="00000000"/>
    <w:p w:rsidR="00000000" w:rsidRDefault="00000000">
      <w:r>
        <w:t>183.</w:t>
      </w:r>
      <w:r>
        <w:tab/>
        <w:t xml:space="preserve">Членами семьи умершего застрахованного лица считаются:  </w:t>
      </w:r>
    </w:p>
    <w:p w:rsidR="00000000" w:rsidRDefault="00000000"/>
    <w:p w:rsidR="00000000" w:rsidRDefault="00000000">
      <w:r>
        <w:tab/>
        <w:t>а)</w:t>
      </w:r>
      <w:r>
        <w:tab/>
        <w:t>супруг(а);</w:t>
      </w:r>
    </w:p>
    <w:p w:rsidR="00000000" w:rsidRDefault="00000000"/>
    <w:p w:rsidR="00000000" w:rsidRDefault="00000000">
      <w:r>
        <w:tab/>
      </w:r>
      <w:proofErr w:type="spellStart"/>
      <w:r>
        <w:t>b</w:t>
      </w:r>
      <w:proofErr w:type="spellEnd"/>
      <w:r>
        <w:t>)</w:t>
      </w:r>
      <w:r>
        <w:tab/>
        <w:t>дети (законнорожденные и незаконнорожденные или усыновленные;  дети от предыдущего брака, находящиеся на содержании застрахованного лица или правопользователя);  внуки и внучки, братья и сестры и другие дети без родителей или дети, имеющие одного или двух родителей, которые являются полностью нетрудоспособными и которые находились на содержании застрахованного лица, т.е. правопользователя;  и</w:t>
      </w:r>
    </w:p>
    <w:p w:rsidR="00000000" w:rsidRDefault="00000000"/>
    <w:p w:rsidR="00000000" w:rsidRDefault="00000000">
      <w:r>
        <w:tab/>
        <w:t>с)</w:t>
      </w:r>
      <w:r>
        <w:tab/>
        <w:t>родители (мать и отец, отчим и мачеха и приемные родители), которые находились на содержании застрахованного лица или правопользователя.</w:t>
      </w:r>
    </w:p>
    <w:p w:rsidR="00000000" w:rsidRDefault="00000000"/>
    <w:p w:rsidR="00000000" w:rsidRDefault="00000000">
      <w:r>
        <w:t>184.</w:t>
      </w:r>
      <w:r>
        <w:tab/>
        <w:t>На получение пенсии в связи с потерей кормильца может претендовать бывший(ая) супруг(а), если по решению суда ему/ей было предоставлено право на получение содержания.</w:t>
      </w:r>
    </w:p>
    <w:p w:rsidR="00000000" w:rsidRDefault="00000000"/>
    <w:p w:rsidR="00000000" w:rsidRDefault="00000000">
      <w:r>
        <w:t>185.</w:t>
      </w:r>
      <w:r>
        <w:tab/>
        <w:t>Размер пенсии в связи с потерей кормильца исчисляется на основе суммы пенсии по старости или инвалидности, которую застрахованное лицо могло бы получать или уже получало на момент смерти.  Если право на получение пенсии принадлежит лишь ближайшим родственникам (супруг(а), законнорожденные и незаконнорожденные дети, усыновленные дети и внуки и внучки) или лишь близким родственникам (отец, мать, отчим, мачеха и приемные родители, братья и сестры и родственники без родителей или дети, имеющие одного или двух родителей, которые являются нетрудоспособными и которые находились на содержании застрахованного лица, т.е. правопользователя) умершего застрахованного лица, то размер пенсии составляет:</w:t>
      </w:r>
    </w:p>
    <w:p w:rsidR="00000000" w:rsidRDefault="00000000"/>
    <w:p w:rsidR="00000000" w:rsidRDefault="00000000">
      <w:r>
        <w:tab/>
        <w:t>-</w:t>
      </w:r>
      <w:r>
        <w:tab/>
        <w:t>70% на одного родственника;</w:t>
      </w:r>
    </w:p>
    <w:p w:rsidR="00000000" w:rsidRDefault="00000000"/>
    <w:p w:rsidR="00000000" w:rsidRDefault="00000000">
      <w:r>
        <w:tab/>
        <w:t>-</w:t>
      </w:r>
      <w:r>
        <w:tab/>
        <w:t>80% на двух родственников;</w:t>
      </w:r>
    </w:p>
    <w:p w:rsidR="00000000" w:rsidRDefault="00000000"/>
    <w:p w:rsidR="00000000" w:rsidRDefault="00000000">
      <w:r>
        <w:tab/>
        <w:t>-</w:t>
      </w:r>
      <w:r>
        <w:tab/>
        <w:t>90% на двух родственников; или</w:t>
      </w:r>
    </w:p>
    <w:p w:rsidR="00000000" w:rsidRDefault="00000000"/>
    <w:p w:rsidR="00000000" w:rsidRDefault="00000000">
      <w:r>
        <w:tab/>
        <w:t>-</w:t>
      </w:r>
      <w:r>
        <w:tab/>
        <w:t>100% на четырех или более родственников.</w:t>
      </w:r>
    </w:p>
    <w:p w:rsidR="00000000" w:rsidRDefault="00000000"/>
    <w:p w:rsidR="00000000" w:rsidRDefault="00000000">
      <w:r>
        <w:t>186.</w:t>
      </w:r>
      <w:r>
        <w:tab/>
        <w:t>Если право на получение пенсии в связи с потерей кормильца получают три или более членов семьи или дети без родителей, то размер указанной пенсии не может составлять менее 40% от базовой пенсионной ставки умершего лица, или правопользователя.</w:t>
      </w:r>
    </w:p>
    <w:p w:rsidR="00000000" w:rsidRDefault="00000000"/>
    <w:p w:rsidR="00000000" w:rsidRDefault="00000000">
      <w:r>
        <w:t>187.</w:t>
      </w:r>
      <w:r>
        <w:tab/>
        <w:t>В дополнение к пенсии в связи с потерей кормильца одного родителя, дети без родителей имеют также право на получение пенсии в связи с потерей кормильца другого родителя в следующем размере:  20% от суммы пенсии по старости или инвалидности на одного ребенка, 40% - на двух детей, 60% - на трех детей и 100% - на четырех или более детей.</w:t>
      </w:r>
    </w:p>
    <w:p w:rsidR="00000000" w:rsidRDefault="00000000"/>
    <w:p w:rsidR="00000000" w:rsidRDefault="00000000">
      <w:pPr>
        <w:pStyle w:val="Heading1"/>
        <w:rPr>
          <w:b w:val="0"/>
          <w:i/>
          <w:iCs/>
        </w:rPr>
      </w:pPr>
      <w:r>
        <w:rPr>
          <w:b w:val="0"/>
          <w:i/>
          <w:iCs/>
        </w:rPr>
        <w:t>Денежная компенсация за телесные повреждения</w:t>
      </w:r>
    </w:p>
    <w:p w:rsidR="00000000" w:rsidRDefault="00000000">
      <w:pPr>
        <w:pStyle w:val="Heading1"/>
        <w:rPr>
          <w:b w:val="0"/>
          <w:i/>
          <w:iCs/>
        </w:rPr>
      </w:pPr>
    </w:p>
    <w:p w:rsidR="00000000" w:rsidRDefault="00000000">
      <w:r>
        <w:t>188.</w:t>
      </w:r>
      <w:r>
        <w:tab/>
        <w:t xml:space="preserve">Правом на получение денежной компенсации за телесные повреждения обладает лицо в случае потери, значительного повреждения или нарушения нормального функционирования отдельных органов или частей тела, что приводит к нарушению нормальной жизнедеятельности и требует </w:t>
      </w:r>
      <w:proofErr w:type="spellStart"/>
      <w:r>
        <w:t>бóльших</w:t>
      </w:r>
      <w:proofErr w:type="spellEnd"/>
      <w:r>
        <w:t xml:space="preserve"> усилий для удовлетворения жизненных потребностей, независимо от того, приводит ли это к инвалидности.  Застрахованное лицо, степень телесных повреждений которого (вызванных увечьем на производстве или профессиональным заболеванием) составляет не менее 30%, получает право на денежную компенсацию.</w:t>
      </w:r>
    </w:p>
    <w:p w:rsidR="00000000" w:rsidRDefault="00000000"/>
    <w:p w:rsidR="00000000" w:rsidRDefault="00000000">
      <w:r>
        <w:t>189.</w:t>
      </w:r>
      <w:r>
        <w:tab/>
        <w:t>Размер денежной компенсации определяется на основе среднемесячной заработной платы работника на территории Республики за предыдущий год с учетом степени тяжести телесных повреждений и в соответствии с законом.</w:t>
      </w:r>
    </w:p>
    <w:p w:rsidR="00000000" w:rsidRDefault="00000000"/>
    <w:p w:rsidR="00000000" w:rsidRDefault="00000000">
      <w:r>
        <w:t>190.</w:t>
      </w:r>
      <w:r>
        <w:tab/>
        <w:t>Факт телесных повреждений и степень их тяжести определяется компетентным федеральным органом.</w:t>
      </w:r>
    </w:p>
    <w:p w:rsidR="00000000" w:rsidRDefault="00000000"/>
    <w:p w:rsidR="00000000" w:rsidRDefault="00000000">
      <w:pPr>
        <w:pStyle w:val="10"/>
        <w:jc w:val="left"/>
        <w:rPr>
          <w:bCs/>
        </w:rPr>
      </w:pPr>
      <w:r>
        <w:rPr>
          <w:bCs/>
        </w:rPr>
        <w:t>е)</w:t>
      </w:r>
      <w:r>
        <w:rPr>
          <w:bCs/>
        </w:rPr>
        <w:tab/>
        <w:t>Реформа системы социального обеспечения</w:t>
      </w:r>
    </w:p>
    <w:p w:rsidR="00000000" w:rsidRDefault="00000000">
      <w:pPr>
        <w:pStyle w:val="10"/>
        <w:rPr>
          <w:b w:val="0"/>
          <w:i/>
          <w:iCs/>
        </w:rPr>
      </w:pPr>
    </w:p>
    <w:p w:rsidR="00000000" w:rsidRDefault="00000000">
      <w:pPr>
        <w:pStyle w:val="10"/>
        <w:jc w:val="left"/>
        <w:rPr>
          <w:b w:val="0"/>
          <w:i/>
          <w:iCs/>
        </w:rPr>
      </w:pPr>
      <w:r>
        <w:rPr>
          <w:b w:val="0"/>
          <w:i/>
          <w:iCs/>
        </w:rPr>
        <w:t>Долгосрочная стратегия укрепления социальной политики</w:t>
      </w:r>
    </w:p>
    <w:p w:rsidR="00000000" w:rsidRDefault="00000000">
      <w:pPr>
        <w:pStyle w:val="10"/>
        <w:jc w:val="left"/>
        <w:rPr>
          <w:b w:val="0"/>
          <w:i/>
          <w:iCs/>
        </w:rPr>
      </w:pPr>
    </w:p>
    <w:p w:rsidR="00000000" w:rsidRDefault="00000000">
      <w:r>
        <w:t>191.</w:t>
      </w:r>
      <w:r>
        <w:tab/>
        <w:t>Реформа системы социального обеспечения в Республике Сербии началась после изменений, произошедших в 2000 году.  В дореформенный период была разработана долгосрочная стратегия в области социальной политики и сформулированы следующие цели социальной политики:  а)  оказание помощи семьям и отдельным гражданам в обеспечении минимальной социальной помощи/социальной безопасности в целях развития механизмов сокращения масштабов бедности (с привязкой к Стратегии сокращения масштабов нищеты);  b)  разработка принципов альтернативных форм социального обеспечения и служб социальной защиты, адресованных уязвимым семьям с детьми и маргинализованным группам населения;  с)  разработка стратегий реформы пенсионной системы.</w:t>
      </w:r>
    </w:p>
    <w:p w:rsidR="00000000" w:rsidRDefault="00000000"/>
    <w:p w:rsidR="00000000" w:rsidRDefault="00000000">
      <w:r>
        <w:t>192.</w:t>
      </w:r>
      <w:r>
        <w:tab/>
        <w:t xml:space="preserve">В целях реализации прав в области социального обеспечения и социальных услуг ведется работа по созданию механизмов децентрализации, передачи полномочий, преобразования учреждений и освоения передового опыта.  Кроме того, в целях более широкого вовлечения в процесс реформ различных участников министерство социального обеспечения Республики Сербии ведет работу по группированию инициатив различных учреждений, университетов, гражданского общества и донорских агентств и их поощрению к участию в процессе преобразования системы социального обеспечения в соответствии с долгосрочной стратегией и целями социальной политики.  </w:t>
      </w:r>
    </w:p>
    <w:p w:rsidR="00000000" w:rsidRDefault="00000000"/>
    <w:p w:rsidR="00000000" w:rsidRDefault="00000000">
      <w:pPr>
        <w:pStyle w:val="Heading1"/>
        <w:rPr>
          <w:b w:val="0"/>
          <w:i/>
          <w:iCs/>
        </w:rPr>
      </w:pPr>
      <w:r>
        <w:rPr>
          <w:b w:val="0"/>
          <w:i/>
          <w:iCs/>
        </w:rPr>
        <w:t>Изменения в секторе социального обеспечения</w:t>
      </w:r>
    </w:p>
    <w:p w:rsidR="00000000" w:rsidRDefault="00000000">
      <w:pPr>
        <w:pStyle w:val="Heading1"/>
        <w:rPr>
          <w:bCs/>
        </w:rPr>
      </w:pPr>
    </w:p>
    <w:p w:rsidR="00000000" w:rsidRDefault="00000000">
      <w:r>
        <w:t>193.</w:t>
      </w:r>
      <w:r>
        <w:tab/>
        <w:t>Преобразования в системе социального обеспечения отражены в Законе о предоставлении финансовой помощи семьям с детьми (</w:t>
      </w:r>
      <w:r>
        <w:rPr>
          <w:i/>
          <w:iCs/>
        </w:rPr>
        <w:t>Официальный вестник Республики Сербии</w:t>
      </w:r>
      <w:r>
        <w:t>, № 16/2002), в текст которого были введены новые положения, предусматривающие разделение мер в области социальной и демографической политики;  более эффективное выявление малоимущих/уязвимых семей с детьми;  обеспечение реализации прав на постоянной основе;  экономию бюджетных средств за счет изменений в системе выплаты предусмотренных законом пособий (право на получение пособия на детей/семью).</w:t>
      </w:r>
    </w:p>
    <w:p w:rsidR="00000000" w:rsidRDefault="00000000"/>
    <w:p w:rsidR="00000000" w:rsidRDefault="00000000">
      <w:r>
        <w:t>194.</w:t>
      </w:r>
      <w:r>
        <w:tab/>
        <w:t>В таблице 5 показаны номинальные ставки пособий по финансовой помощи семьям с детьми, стоимость образовательных программ и пороговые значения детских пособий, установленные в ноябре 2002 года на основе инструкции по осуществлению указанного Закона.</w:t>
      </w:r>
    </w:p>
    <w:p w:rsidR="00000000" w:rsidRDefault="00000000"/>
    <w:p w:rsidR="00000000" w:rsidRDefault="00000000"/>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480"/>
        <w:gridCol w:w="5382"/>
        <w:gridCol w:w="1482"/>
        <w:gridCol w:w="2244"/>
      </w:tblGrid>
      <w:tr w:rsidR="00000000">
        <w:tblPrEx>
          <w:tblCellMar>
            <w:top w:w="0" w:type="dxa"/>
            <w:bottom w:w="0" w:type="dxa"/>
          </w:tblCellMar>
        </w:tblPrEx>
        <w:trPr>
          <w:cantSplit/>
        </w:trPr>
        <w:tc>
          <w:tcPr>
            <w:tcW w:w="9588" w:type="dxa"/>
            <w:gridSpan w:val="4"/>
            <w:tcBorders>
              <w:top w:val="nil"/>
              <w:left w:val="nil"/>
              <w:bottom w:val="single" w:sz="4" w:space="0" w:color="auto"/>
              <w:right w:val="nil"/>
            </w:tcBorders>
          </w:tcPr>
          <w:p w:rsidR="00000000" w:rsidRDefault="00000000">
            <w:pPr>
              <w:pageBreakBefore/>
              <w:spacing w:line="216" w:lineRule="auto"/>
              <w:jc w:val="center"/>
              <w:rPr>
                <w:b/>
                <w:bCs/>
              </w:rPr>
            </w:pPr>
            <w:r>
              <w:rPr>
                <w:b/>
                <w:bCs/>
              </w:rPr>
              <w:t>Таблица 5</w:t>
            </w:r>
          </w:p>
          <w:p w:rsidR="00000000" w:rsidRDefault="00000000">
            <w:pPr>
              <w:spacing w:line="216" w:lineRule="auto"/>
              <w:jc w:val="center"/>
              <w:rPr>
                <w:b/>
                <w:bCs/>
              </w:rPr>
            </w:pPr>
          </w:p>
          <w:p w:rsidR="00000000" w:rsidRDefault="00000000">
            <w:pPr>
              <w:spacing w:line="216" w:lineRule="auto"/>
              <w:jc w:val="center"/>
              <w:rPr>
                <w:b/>
                <w:bCs/>
              </w:rPr>
            </w:pPr>
            <w:r>
              <w:rPr>
                <w:b/>
                <w:bCs/>
              </w:rPr>
              <w:t>Право на пособие на детей</w:t>
            </w:r>
          </w:p>
          <w:p w:rsidR="00000000" w:rsidRDefault="00000000">
            <w:pPr>
              <w:pStyle w:val="BodyText"/>
              <w:tabs>
                <w:tab w:val="decimal" w:pos="1134"/>
              </w:tabs>
              <w:spacing w:line="216" w:lineRule="auto"/>
              <w:jc w:val="center"/>
              <w:rPr>
                <w:sz w:val="24"/>
                <w:lang w:val="ru-RU"/>
              </w:rPr>
            </w:pPr>
          </w:p>
        </w:tc>
      </w:tr>
      <w:tr w:rsidR="00000000">
        <w:tblPrEx>
          <w:tblCellMar>
            <w:top w:w="0" w:type="dxa"/>
            <w:bottom w:w="0" w:type="dxa"/>
          </w:tblCellMar>
        </w:tblPrEx>
        <w:trPr>
          <w:tblHeader/>
        </w:trPr>
        <w:tc>
          <w:tcPr>
            <w:tcW w:w="480" w:type="dxa"/>
            <w:tcBorders>
              <w:top w:val="single" w:sz="4" w:space="0" w:color="auto"/>
              <w:bottom w:val="single" w:sz="4" w:space="0" w:color="auto"/>
            </w:tcBorders>
            <w:tcMar>
              <w:bottom w:w="57" w:type="dxa"/>
            </w:tcMar>
          </w:tcPr>
          <w:p w:rsidR="00000000" w:rsidRDefault="00000000">
            <w:pPr>
              <w:pStyle w:val="BodyText"/>
              <w:spacing w:line="216" w:lineRule="auto"/>
              <w:jc w:val="center"/>
              <w:rPr>
                <w:sz w:val="24"/>
                <w:lang w:val="ru-RU"/>
              </w:rPr>
            </w:pPr>
          </w:p>
        </w:tc>
        <w:tc>
          <w:tcPr>
            <w:tcW w:w="5382" w:type="dxa"/>
            <w:tcBorders>
              <w:top w:val="single" w:sz="4" w:space="0" w:color="auto"/>
              <w:bottom w:val="single" w:sz="4" w:space="0" w:color="auto"/>
            </w:tcBorders>
            <w:tcMar>
              <w:bottom w:w="57" w:type="dxa"/>
            </w:tcMar>
            <w:vAlign w:val="center"/>
          </w:tcPr>
          <w:p w:rsidR="00000000" w:rsidRDefault="00000000">
            <w:pPr>
              <w:pStyle w:val="BodyText"/>
              <w:spacing w:line="216" w:lineRule="auto"/>
              <w:ind w:left="-774" w:firstLine="774"/>
              <w:jc w:val="center"/>
              <w:rPr>
                <w:sz w:val="24"/>
                <w:lang w:val="ru-RU"/>
              </w:rPr>
            </w:pPr>
            <w:r>
              <w:rPr>
                <w:sz w:val="24"/>
                <w:lang w:val="ru-RU"/>
              </w:rPr>
              <w:t>Номинальная сумма пособия</w:t>
            </w:r>
          </w:p>
        </w:tc>
        <w:tc>
          <w:tcPr>
            <w:tcW w:w="1482" w:type="dxa"/>
            <w:tcBorders>
              <w:top w:val="single" w:sz="4" w:space="0" w:color="auto"/>
              <w:bottom w:val="single" w:sz="4" w:space="0" w:color="auto"/>
            </w:tcBorders>
            <w:tcMar>
              <w:bottom w:w="57" w:type="dxa"/>
            </w:tcMar>
            <w:vAlign w:val="center"/>
          </w:tcPr>
          <w:p w:rsidR="00000000" w:rsidRDefault="00000000">
            <w:pPr>
              <w:pStyle w:val="BodyText"/>
              <w:spacing w:line="216" w:lineRule="auto"/>
              <w:jc w:val="center"/>
              <w:rPr>
                <w:sz w:val="24"/>
                <w:lang w:val="ru-RU"/>
              </w:rPr>
            </w:pPr>
            <w:r>
              <w:rPr>
                <w:sz w:val="24"/>
                <w:lang w:val="ru-RU"/>
              </w:rPr>
              <w:t>Обычная</w:t>
            </w:r>
          </w:p>
          <w:p w:rsidR="00000000" w:rsidRDefault="00000000">
            <w:pPr>
              <w:pStyle w:val="BodyText"/>
              <w:spacing w:line="216" w:lineRule="auto"/>
              <w:jc w:val="center"/>
              <w:rPr>
                <w:sz w:val="24"/>
                <w:lang w:val="ru-RU"/>
              </w:rPr>
            </w:pPr>
            <w:r>
              <w:rPr>
                <w:sz w:val="24"/>
                <w:lang w:val="ru-RU"/>
              </w:rPr>
              <w:t>Динары</w:t>
            </w:r>
          </w:p>
        </w:tc>
        <w:tc>
          <w:tcPr>
            <w:tcW w:w="2244" w:type="dxa"/>
            <w:tcBorders>
              <w:top w:val="single" w:sz="4" w:space="0" w:color="auto"/>
              <w:bottom w:val="single" w:sz="4" w:space="0" w:color="auto"/>
            </w:tcBorders>
            <w:tcMar>
              <w:bottom w:w="57" w:type="dxa"/>
            </w:tcMar>
            <w:vAlign w:val="center"/>
          </w:tcPr>
          <w:p w:rsidR="00000000" w:rsidRDefault="00000000">
            <w:pPr>
              <w:pStyle w:val="BodyText"/>
              <w:spacing w:line="216" w:lineRule="auto"/>
              <w:jc w:val="center"/>
              <w:rPr>
                <w:sz w:val="24"/>
                <w:lang w:val="ru-RU"/>
              </w:rPr>
            </w:pPr>
            <w:r>
              <w:rPr>
                <w:sz w:val="24"/>
                <w:lang w:val="ru-RU"/>
              </w:rPr>
              <w:t>Повышенная сумма</w:t>
            </w:r>
          </w:p>
          <w:p w:rsidR="00000000" w:rsidRDefault="00000000">
            <w:pPr>
              <w:pStyle w:val="BodyText"/>
              <w:spacing w:line="216" w:lineRule="auto"/>
              <w:jc w:val="center"/>
              <w:rPr>
                <w:sz w:val="24"/>
                <w:lang w:val="ru-RU"/>
              </w:rPr>
            </w:pPr>
            <w:r>
              <w:rPr>
                <w:sz w:val="24"/>
                <w:lang w:val="ru-RU"/>
              </w:rPr>
              <w:t>Динары</w:t>
            </w:r>
          </w:p>
        </w:tc>
      </w:tr>
      <w:tr w:rsidR="00000000">
        <w:tblPrEx>
          <w:tblCellMar>
            <w:top w:w="0" w:type="dxa"/>
            <w:bottom w:w="0" w:type="dxa"/>
          </w:tblCellMar>
        </w:tblPrEx>
        <w:tc>
          <w:tcPr>
            <w:tcW w:w="480" w:type="dxa"/>
            <w:tcBorders>
              <w:bottom w:val="nil"/>
            </w:tcBorders>
          </w:tcPr>
          <w:p w:rsidR="00000000" w:rsidRDefault="00000000">
            <w:pPr>
              <w:pStyle w:val="BodyText"/>
              <w:spacing w:line="288" w:lineRule="auto"/>
              <w:jc w:val="center"/>
              <w:rPr>
                <w:sz w:val="24"/>
              </w:rPr>
            </w:pPr>
            <w:r>
              <w:rPr>
                <w:sz w:val="24"/>
              </w:rPr>
              <w:t>1.</w:t>
            </w:r>
          </w:p>
        </w:tc>
        <w:tc>
          <w:tcPr>
            <w:tcW w:w="5382" w:type="dxa"/>
            <w:tcBorders>
              <w:bottom w:val="nil"/>
            </w:tcBorders>
          </w:tcPr>
          <w:p w:rsidR="00000000" w:rsidRDefault="00000000">
            <w:pPr>
              <w:pStyle w:val="BodyText"/>
              <w:spacing w:line="288" w:lineRule="auto"/>
              <w:jc w:val="left"/>
              <w:rPr>
                <w:sz w:val="24"/>
                <w:lang w:val="ru-RU"/>
              </w:rPr>
            </w:pPr>
            <w:r>
              <w:rPr>
                <w:sz w:val="24"/>
                <w:lang w:val="ru-RU"/>
              </w:rPr>
              <w:t>Пособия на детей</w:t>
            </w:r>
          </w:p>
        </w:tc>
        <w:tc>
          <w:tcPr>
            <w:tcW w:w="1482" w:type="dxa"/>
            <w:tcBorders>
              <w:bottom w:val="nil"/>
            </w:tcBorders>
          </w:tcPr>
          <w:p w:rsidR="00000000" w:rsidRDefault="00000000">
            <w:pPr>
              <w:pStyle w:val="BodyText"/>
              <w:tabs>
                <w:tab w:val="decimal" w:pos="851"/>
              </w:tabs>
              <w:spacing w:line="288" w:lineRule="auto"/>
              <w:jc w:val="left"/>
              <w:rPr>
                <w:sz w:val="24"/>
                <w:lang w:val="ru-RU"/>
              </w:rPr>
            </w:pPr>
            <w:r>
              <w:rPr>
                <w:sz w:val="24"/>
                <w:lang w:val="ru-RU"/>
              </w:rPr>
              <w:t>977,70</w:t>
            </w:r>
          </w:p>
        </w:tc>
        <w:tc>
          <w:tcPr>
            <w:tcW w:w="2244" w:type="dxa"/>
            <w:tcBorders>
              <w:bottom w:val="nil"/>
            </w:tcBorders>
          </w:tcPr>
          <w:p w:rsidR="00000000" w:rsidRDefault="00000000">
            <w:pPr>
              <w:pStyle w:val="BodyText"/>
              <w:tabs>
                <w:tab w:val="decimal" w:pos="1134"/>
              </w:tabs>
              <w:spacing w:line="288" w:lineRule="auto"/>
              <w:jc w:val="left"/>
              <w:rPr>
                <w:sz w:val="24"/>
                <w:lang w:val="ru-RU"/>
              </w:rPr>
            </w:pPr>
            <w:r>
              <w:rPr>
                <w:sz w:val="24"/>
                <w:lang w:val="ru-RU"/>
              </w:rPr>
              <w:t>1 271,00</w:t>
            </w: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(на первого, второго и четвертого ребенка)</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ind w:left="1512" w:hanging="1512"/>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r>
              <w:rPr>
                <w:sz w:val="24"/>
              </w:rPr>
              <w:t>2.</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Семейное пособие (с 1 декабря 2002 года)</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На второго ребенка</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54 535,00</w:t>
            </w: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На третьего ребенка</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98 164,00</w:t>
            </w: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На четвертого ребенка</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130 885,00</w:t>
            </w:r>
          </w:p>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r>
              <w:rPr>
                <w:sz w:val="24"/>
              </w:rPr>
              <w:t>3.</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Пособие по беременности и родам</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1 299,50</w:t>
            </w:r>
          </w:p>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r>
              <w:rPr>
                <w:sz w:val="24"/>
              </w:rPr>
              <w:t>4.</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Финансовая помощь матерям из числа беженцев</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1 083,00</w:t>
            </w:r>
          </w:p>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r>
              <w:rPr>
                <w:sz w:val="24"/>
              </w:rPr>
              <w:t>5.</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Помощь на приобретение приданого новорожденного (с 1 декабря 2002 года)</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rPr>
            </w:pPr>
            <w:r>
              <w:rPr>
                <w:sz w:val="24"/>
              </w:rPr>
              <w:t>4 331</w:t>
            </w:r>
            <w:r>
              <w:rPr>
                <w:sz w:val="24"/>
                <w:lang w:val="ru-RU"/>
              </w:rPr>
              <w:t>,</w:t>
            </w:r>
            <w:r>
              <w:rPr>
                <w:sz w:val="24"/>
              </w:rPr>
              <w:t>70</w:t>
            </w:r>
          </w:p>
        </w:tc>
        <w:tc>
          <w:tcPr>
            <w:tcW w:w="2244" w:type="dxa"/>
            <w:tcBorders>
              <w:top w:val="nil"/>
              <w:bottom w:val="nil"/>
            </w:tcBorders>
          </w:tcPr>
          <w:p w:rsidR="00000000" w:rsidRDefault="00000000">
            <w:pPr>
              <w:pStyle w:val="BodyText"/>
              <w:tabs>
                <w:tab w:val="decimal" w:pos="1134"/>
              </w:tabs>
              <w:spacing w:line="288" w:lineRule="auto"/>
              <w:jc w:val="left"/>
              <w:rPr>
                <w:sz w:val="24"/>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r>
              <w:rPr>
                <w:sz w:val="24"/>
              </w:rPr>
              <w:t>6.</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Рыночная стоимость в расчете на одно образовательное учреждение финансирования занятий по обучению/ воспитанию в системе дошкольного обучения в течение трех часов в день</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rPr>
              <w:t>В</w:t>
            </w:r>
            <w:r>
              <w:rPr>
                <w:sz w:val="24"/>
                <w:lang w:val="ru-RU"/>
              </w:rPr>
              <w:t xml:space="preserve"> учреждении</w:t>
            </w:r>
          </w:p>
        </w:tc>
        <w:tc>
          <w:tcPr>
            <w:tcW w:w="1482" w:type="dxa"/>
            <w:tcBorders>
              <w:top w:val="nil"/>
              <w:bottom w:val="nil"/>
            </w:tcBorders>
          </w:tcPr>
          <w:p w:rsidR="00000000" w:rsidRDefault="00000000">
            <w:pPr>
              <w:pStyle w:val="BodyText"/>
              <w:tabs>
                <w:tab w:val="decimal" w:pos="851"/>
              </w:tabs>
              <w:spacing w:line="288" w:lineRule="auto"/>
              <w:jc w:val="left"/>
              <w:rPr>
                <w:sz w:val="24"/>
              </w:rPr>
            </w:pPr>
            <w:r>
              <w:rPr>
                <w:sz w:val="24"/>
              </w:rPr>
              <w:t>14 391</w:t>
            </w:r>
            <w:r>
              <w:rPr>
                <w:sz w:val="24"/>
                <w:lang w:val="ru-RU"/>
              </w:rPr>
              <w:t>,</w:t>
            </w:r>
            <w:r>
              <w:rPr>
                <w:sz w:val="24"/>
              </w:rPr>
              <w:t>00</w:t>
            </w:r>
          </w:p>
        </w:tc>
        <w:tc>
          <w:tcPr>
            <w:tcW w:w="2244" w:type="dxa"/>
            <w:tcBorders>
              <w:top w:val="nil"/>
              <w:bottom w:val="nil"/>
            </w:tcBorders>
          </w:tcPr>
          <w:p w:rsidR="00000000" w:rsidRDefault="00000000">
            <w:pPr>
              <w:pStyle w:val="BodyText"/>
              <w:tabs>
                <w:tab w:val="decimal" w:pos="1134"/>
              </w:tabs>
              <w:spacing w:line="288" w:lineRule="auto"/>
              <w:jc w:val="left"/>
              <w:rPr>
                <w:sz w:val="24"/>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Вне учреждения</w:t>
            </w: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rPr>
              <w:t>15 191,00</w:t>
            </w:r>
          </w:p>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rPr>
            </w:pPr>
          </w:p>
        </w:tc>
      </w:tr>
      <w:tr w:rsidR="00000000">
        <w:tblPrEx>
          <w:tblCellMar>
            <w:top w:w="0" w:type="dxa"/>
            <w:bottom w:w="0" w:type="dxa"/>
          </w:tblCellMar>
        </w:tblPrEx>
        <w:trPr>
          <w:cantSplit/>
        </w:trPr>
        <w:tc>
          <w:tcPr>
            <w:tcW w:w="480" w:type="dxa"/>
            <w:tcBorders>
              <w:top w:val="nil"/>
              <w:bottom w:val="nil"/>
            </w:tcBorders>
          </w:tcPr>
          <w:p w:rsidR="00000000" w:rsidRDefault="00000000">
            <w:pPr>
              <w:pStyle w:val="BodyText"/>
              <w:spacing w:line="288" w:lineRule="auto"/>
              <w:jc w:val="center"/>
              <w:rPr>
                <w:sz w:val="24"/>
              </w:rPr>
            </w:pPr>
            <w:r>
              <w:rPr>
                <w:sz w:val="24"/>
              </w:rPr>
              <w:t>7.</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Рыночная стоимость финансирования программы обучения/воспитания детей, длительное время находящихся на излечении в медицинских учреждениях</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19 911,00</w:t>
            </w: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single" w:sz="4" w:space="0" w:color="auto"/>
            </w:tcBorders>
          </w:tcPr>
          <w:p w:rsidR="00000000" w:rsidRDefault="00000000">
            <w:pPr>
              <w:pStyle w:val="BodyText"/>
              <w:spacing w:line="288" w:lineRule="auto"/>
              <w:jc w:val="center"/>
              <w:rPr>
                <w:sz w:val="24"/>
                <w:lang w:val="ru-RU"/>
              </w:rPr>
            </w:pPr>
          </w:p>
        </w:tc>
        <w:tc>
          <w:tcPr>
            <w:tcW w:w="5382" w:type="dxa"/>
            <w:tcBorders>
              <w:top w:val="nil"/>
              <w:bottom w:val="single" w:sz="4" w:space="0" w:color="auto"/>
            </w:tcBorders>
          </w:tcPr>
          <w:p w:rsidR="00000000" w:rsidRDefault="00000000">
            <w:pPr>
              <w:pStyle w:val="BodyText"/>
              <w:spacing w:line="288" w:lineRule="auto"/>
              <w:jc w:val="left"/>
              <w:rPr>
                <w:sz w:val="24"/>
                <w:lang w:val="ru-RU"/>
              </w:rPr>
            </w:pPr>
            <w:r>
              <w:rPr>
                <w:sz w:val="24"/>
                <w:lang w:val="ru-RU"/>
              </w:rPr>
              <w:t>Пороговая сумма дохода для получения пособия на детей (с 1 декабря 2002 года)</w:t>
            </w:r>
          </w:p>
        </w:tc>
        <w:tc>
          <w:tcPr>
            <w:tcW w:w="1482" w:type="dxa"/>
            <w:tcBorders>
              <w:top w:val="nil"/>
              <w:bottom w:val="single" w:sz="4" w:space="0" w:color="auto"/>
            </w:tcBorders>
          </w:tcPr>
          <w:p w:rsidR="00000000" w:rsidRDefault="00000000">
            <w:pPr>
              <w:pStyle w:val="BodyText"/>
              <w:tabs>
                <w:tab w:val="decimal" w:pos="851"/>
              </w:tabs>
              <w:spacing w:line="288" w:lineRule="auto"/>
              <w:jc w:val="left"/>
              <w:rPr>
                <w:sz w:val="24"/>
                <w:lang w:val="ru-RU"/>
              </w:rPr>
            </w:pPr>
          </w:p>
        </w:tc>
        <w:tc>
          <w:tcPr>
            <w:tcW w:w="2244" w:type="dxa"/>
            <w:tcBorders>
              <w:top w:val="nil"/>
              <w:bottom w:val="single" w:sz="4" w:space="0" w:color="auto"/>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rPr>
          <w:cantSplit/>
        </w:trPr>
        <w:tc>
          <w:tcPr>
            <w:tcW w:w="9588" w:type="dxa"/>
            <w:gridSpan w:val="4"/>
            <w:tcBorders>
              <w:top w:val="single" w:sz="4" w:space="0" w:color="auto"/>
              <w:left w:val="nil"/>
              <w:bottom w:val="single" w:sz="4" w:space="0" w:color="auto"/>
              <w:right w:val="nil"/>
            </w:tcBorders>
          </w:tcPr>
          <w:p w:rsidR="00000000" w:rsidRDefault="00000000">
            <w:pPr>
              <w:pageBreakBefore/>
              <w:spacing w:line="216" w:lineRule="auto"/>
              <w:jc w:val="center"/>
              <w:rPr>
                <w:b/>
                <w:bCs/>
                <w:i/>
                <w:iCs/>
              </w:rPr>
            </w:pPr>
            <w:r>
              <w:rPr>
                <w:b/>
                <w:bCs/>
              </w:rPr>
              <w:t xml:space="preserve">Таблица 5 </w:t>
            </w:r>
            <w:r>
              <w:rPr>
                <w:b/>
                <w:bCs/>
                <w:i/>
                <w:iCs/>
              </w:rPr>
              <w:t>(продолжение)</w:t>
            </w:r>
          </w:p>
          <w:p w:rsidR="00000000" w:rsidRDefault="00000000">
            <w:pPr>
              <w:spacing w:line="216" w:lineRule="auto"/>
              <w:jc w:val="center"/>
            </w:pPr>
          </w:p>
        </w:tc>
      </w:tr>
      <w:tr w:rsidR="00000000">
        <w:tblPrEx>
          <w:tblCellMar>
            <w:top w:w="0" w:type="dxa"/>
            <w:bottom w:w="0" w:type="dxa"/>
          </w:tblCellMar>
        </w:tblPrEx>
        <w:trPr>
          <w:tblHeader/>
        </w:trPr>
        <w:tc>
          <w:tcPr>
            <w:tcW w:w="480" w:type="dxa"/>
            <w:tcBorders>
              <w:top w:val="single" w:sz="4" w:space="0" w:color="auto"/>
              <w:bottom w:val="single" w:sz="4" w:space="0" w:color="auto"/>
            </w:tcBorders>
            <w:tcMar>
              <w:bottom w:w="57" w:type="dxa"/>
            </w:tcMar>
          </w:tcPr>
          <w:p w:rsidR="00000000" w:rsidRDefault="00000000">
            <w:pPr>
              <w:pStyle w:val="BodyText"/>
              <w:spacing w:line="216" w:lineRule="auto"/>
              <w:jc w:val="center"/>
              <w:rPr>
                <w:sz w:val="24"/>
                <w:lang w:val="ru-RU"/>
              </w:rPr>
            </w:pPr>
          </w:p>
        </w:tc>
        <w:tc>
          <w:tcPr>
            <w:tcW w:w="5382" w:type="dxa"/>
            <w:tcBorders>
              <w:top w:val="single" w:sz="4" w:space="0" w:color="auto"/>
              <w:bottom w:val="single" w:sz="4" w:space="0" w:color="auto"/>
            </w:tcBorders>
            <w:tcMar>
              <w:bottom w:w="57" w:type="dxa"/>
            </w:tcMar>
            <w:vAlign w:val="center"/>
          </w:tcPr>
          <w:p w:rsidR="00000000" w:rsidRDefault="00000000">
            <w:pPr>
              <w:pStyle w:val="BodyText"/>
              <w:spacing w:line="216" w:lineRule="auto"/>
              <w:ind w:left="-774" w:firstLine="774"/>
              <w:jc w:val="center"/>
              <w:rPr>
                <w:sz w:val="24"/>
                <w:lang w:val="ru-RU"/>
              </w:rPr>
            </w:pPr>
            <w:r>
              <w:rPr>
                <w:sz w:val="24"/>
                <w:lang w:val="ru-RU"/>
              </w:rPr>
              <w:t>Номинальная сумма пособия</w:t>
            </w:r>
          </w:p>
        </w:tc>
        <w:tc>
          <w:tcPr>
            <w:tcW w:w="1482" w:type="dxa"/>
            <w:tcBorders>
              <w:top w:val="single" w:sz="4" w:space="0" w:color="auto"/>
              <w:bottom w:val="single" w:sz="4" w:space="0" w:color="auto"/>
            </w:tcBorders>
            <w:tcMar>
              <w:bottom w:w="57" w:type="dxa"/>
            </w:tcMar>
            <w:vAlign w:val="center"/>
          </w:tcPr>
          <w:p w:rsidR="00000000" w:rsidRDefault="00000000">
            <w:pPr>
              <w:pStyle w:val="BodyText"/>
              <w:spacing w:line="216" w:lineRule="auto"/>
              <w:jc w:val="center"/>
              <w:rPr>
                <w:sz w:val="24"/>
                <w:lang w:val="ru-RU"/>
              </w:rPr>
            </w:pPr>
            <w:r>
              <w:rPr>
                <w:sz w:val="24"/>
                <w:lang w:val="ru-RU"/>
              </w:rPr>
              <w:t>Обычная</w:t>
            </w:r>
          </w:p>
          <w:p w:rsidR="00000000" w:rsidRDefault="00000000">
            <w:pPr>
              <w:pStyle w:val="BodyText"/>
              <w:spacing w:line="216" w:lineRule="auto"/>
              <w:jc w:val="center"/>
              <w:rPr>
                <w:sz w:val="24"/>
                <w:lang w:val="ru-RU"/>
              </w:rPr>
            </w:pPr>
            <w:r>
              <w:rPr>
                <w:sz w:val="24"/>
                <w:lang w:val="ru-RU"/>
              </w:rPr>
              <w:t>Динары</w:t>
            </w:r>
          </w:p>
        </w:tc>
        <w:tc>
          <w:tcPr>
            <w:tcW w:w="2244" w:type="dxa"/>
            <w:tcBorders>
              <w:top w:val="single" w:sz="4" w:space="0" w:color="auto"/>
              <w:bottom w:val="single" w:sz="4" w:space="0" w:color="auto"/>
            </w:tcBorders>
            <w:tcMar>
              <w:bottom w:w="57" w:type="dxa"/>
            </w:tcMar>
            <w:vAlign w:val="center"/>
          </w:tcPr>
          <w:p w:rsidR="00000000" w:rsidRDefault="00000000">
            <w:pPr>
              <w:pStyle w:val="BodyText"/>
              <w:spacing w:line="216" w:lineRule="auto"/>
              <w:jc w:val="center"/>
              <w:rPr>
                <w:sz w:val="24"/>
                <w:lang w:val="ru-RU"/>
              </w:rPr>
            </w:pPr>
            <w:r>
              <w:rPr>
                <w:sz w:val="24"/>
                <w:lang w:val="ru-RU"/>
              </w:rPr>
              <w:t>Повышенная сумма</w:t>
            </w:r>
          </w:p>
          <w:p w:rsidR="00000000" w:rsidRDefault="00000000">
            <w:pPr>
              <w:pStyle w:val="BodyText"/>
              <w:spacing w:line="216" w:lineRule="auto"/>
              <w:jc w:val="center"/>
              <w:rPr>
                <w:sz w:val="24"/>
                <w:lang w:val="ru-RU"/>
              </w:rPr>
            </w:pPr>
            <w:r>
              <w:rPr>
                <w:sz w:val="24"/>
                <w:lang w:val="ru-RU"/>
              </w:rPr>
              <w:t>Динары</w:t>
            </w:r>
          </w:p>
        </w:tc>
      </w:tr>
      <w:tr w:rsidR="00000000">
        <w:tblPrEx>
          <w:tblCellMar>
            <w:top w:w="0" w:type="dxa"/>
            <w:bottom w:w="0" w:type="dxa"/>
          </w:tblCellMar>
        </w:tblPrEx>
        <w:tc>
          <w:tcPr>
            <w:tcW w:w="480" w:type="dxa"/>
            <w:tcBorders>
              <w:bottom w:val="nil"/>
            </w:tcBorders>
          </w:tcPr>
          <w:p w:rsidR="00000000" w:rsidRDefault="00000000">
            <w:pPr>
              <w:pStyle w:val="BodyText"/>
              <w:spacing w:line="288" w:lineRule="auto"/>
              <w:jc w:val="center"/>
              <w:rPr>
                <w:sz w:val="24"/>
                <w:lang w:val="ru-RU"/>
              </w:rPr>
            </w:pPr>
            <w:r>
              <w:rPr>
                <w:sz w:val="24"/>
              </w:rPr>
              <w:t>a</w:t>
            </w:r>
            <w:r>
              <w:rPr>
                <w:sz w:val="24"/>
                <w:lang w:val="ru-RU"/>
              </w:rPr>
              <w:t>)</w:t>
            </w:r>
          </w:p>
        </w:tc>
        <w:tc>
          <w:tcPr>
            <w:tcW w:w="5382" w:type="dxa"/>
            <w:tcBorders>
              <w:bottom w:val="nil"/>
            </w:tcBorders>
          </w:tcPr>
          <w:p w:rsidR="00000000" w:rsidRDefault="00000000">
            <w:pPr>
              <w:pStyle w:val="BodyText"/>
              <w:spacing w:line="288" w:lineRule="auto"/>
              <w:jc w:val="left"/>
              <w:rPr>
                <w:sz w:val="24"/>
                <w:lang w:val="ru-RU"/>
              </w:rPr>
            </w:pPr>
            <w:r>
              <w:rPr>
                <w:sz w:val="24"/>
                <w:lang w:val="ru-RU"/>
              </w:rPr>
              <w:t>Пороговая сумма дохода</w:t>
            </w:r>
          </w:p>
        </w:tc>
        <w:tc>
          <w:tcPr>
            <w:tcW w:w="1482" w:type="dxa"/>
            <w:tcBorders>
              <w:bottom w:val="nil"/>
            </w:tcBorders>
          </w:tcPr>
          <w:p w:rsidR="00000000" w:rsidRDefault="00000000">
            <w:pPr>
              <w:pStyle w:val="BodyText"/>
              <w:tabs>
                <w:tab w:val="decimal" w:pos="851"/>
              </w:tabs>
              <w:spacing w:line="288" w:lineRule="auto"/>
              <w:jc w:val="left"/>
              <w:rPr>
                <w:sz w:val="24"/>
                <w:lang w:val="ru-RU"/>
              </w:rPr>
            </w:pPr>
            <w:r>
              <w:rPr>
                <w:sz w:val="24"/>
                <w:lang w:val="ru-RU"/>
              </w:rPr>
              <w:t>2 991,44</w:t>
            </w:r>
          </w:p>
        </w:tc>
        <w:tc>
          <w:tcPr>
            <w:tcW w:w="2244" w:type="dxa"/>
            <w:tcBorders>
              <w:bottom w:val="nil"/>
            </w:tcBorders>
          </w:tcPr>
          <w:p w:rsidR="00000000" w:rsidRDefault="00000000">
            <w:pPr>
              <w:pStyle w:val="BodyText"/>
              <w:tabs>
                <w:tab w:val="decimal" w:pos="1134"/>
              </w:tabs>
              <w:spacing w:line="288" w:lineRule="auto"/>
              <w:jc w:val="left"/>
              <w:rPr>
                <w:sz w:val="24"/>
                <w:lang w:val="ru-RU"/>
              </w:rPr>
            </w:pPr>
            <w:r>
              <w:rPr>
                <w:sz w:val="24"/>
              </w:rPr>
              <w:t>3 599</w:t>
            </w:r>
            <w:r>
              <w:rPr>
                <w:sz w:val="24"/>
                <w:lang w:val="ru-RU"/>
              </w:rPr>
              <w:t>,</w:t>
            </w:r>
            <w:r>
              <w:rPr>
                <w:sz w:val="24"/>
              </w:rPr>
              <w:t>35</w:t>
            </w:r>
          </w:p>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r>
              <w:rPr>
                <w:sz w:val="24"/>
              </w:rPr>
              <w:t>b</w:t>
            </w:r>
            <w:r>
              <w:rPr>
                <w:sz w:val="24"/>
                <w:lang w:val="ru-RU"/>
              </w:rPr>
              <w:t>)</w:t>
            </w: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Пороговая сумма дохода в сельской местности</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p>
        </w:tc>
        <w:tc>
          <w:tcPr>
            <w:tcW w:w="2244" w:type="dxa"/>
            <w:tcBorders>
              <w:top w:val="nil"/>
              <w:bottom w:val="nil"/>
            </w:tcBorders>
          </w:tcPr>
          <w:p w:rsidR="00000000" w:rsidRDefault="00000000">
            <w:pPr>
              <w:pStyle w:val="BodyText"/>
              <w:tabs>
                <w:tab w:val="decimal" w:pos="1134"/>
              </w:tabs>
              <w:spacing w:line="288" w:lineRule="auto"/>
              <w:jc w:val="left"/>
              <w:rPr>
                <w:sz w:val="24"/>
                <w:lang w:val="ru-RU"/>
              </w:rPr>
            </w:pP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lang w:val="ru-RU"/>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Подпункт 1 пункта 1 статьи 19 Закона</w:t>
            </w:r>
          </w:p>
          <w:p w:rsidR="00000000" w:rsidRDefault="00000000">
            <w:pPr>
              <w:pStyle w:val="BodyText"/>
              <w:spacing w:line="288" w:lineRule="auto"/>
              <w:jc w:val="left"/>
              <w:rPr>
                <w:sz w:val="24"/>
                <w:lang w:val="ru-RU"/>
              </w:rPr>
            </w:pPr>
          </w:p>
          <w:p w:rsidR="00000000" w:rsidRDefault="00000000">
            <w:pPr>
              <w:pStyle w:val="BodyText"/>
              <w:spacing w:line="288" w:lineRule="auto"/>
              <w:jc w:val="left"/>
              <w:rPr>
                <w:sz w:val="24"/>
                <w:lang w:val="ru-RU"/>
              </w:rPr>
            </w:pPr>
            <w:r>
              <w:rPr>
                <w:sz w:val="24"/>
                <w:lang w:val="ru-RU"/>
              </w:rPr>
              <w:t>Если общая сумма месячного дохода после вычета налогов и социальных взносов в расчете на одного члена семьи за трехмесячный период, предшествующий месяцу, в который было представлено ходатайство, составляет 2 750,00 динаров, а общий месячный кадастровый доход на члена семьи в течение предыдущего года не превышает 3% месячного кадастрового дохода с одного гектара плодородной земли в течение предыдущего года, или получен с участка площадью до 500 кв. м, на котором построен многоквартирный дом</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rPr>
            </w:pPr>
            <w:r>
              <w:rPr>
                <w:sz w:val="24"/>
              </w:rPr>
              <w:t>2,38</w:t>
            </w:r>
          </w:p>
        </w:tc>
        <w:tc>
          <w:tcPr>
            <w:tcW w:w="2244" w:type="dxa"/>
            <w:tcBorders>
              <w:top w:val="nil"/>
              <w:bottom w:val="nil"/>
            </w:tcBorders>
          </w:tcPr>
          <w:p w:rsidR="00000000" w:rsidRDefault="00000000">
            <w:pPr>
              <w:pStyle w:val="BodyText"/>
              <w:tabs>
                <w:tab w:val="decimal" w:pos="1134"/>
              </w:tabs>
              <w:spacing w:line="288" w:lineRule="auto"/>
              <w:jc w:val="left"/>
              <w:rPr>
                <w:sz w:val="24"/>
              </w:rPr>
            </w:pPr>
            <w:r>
              <w:rPr>
                <w:sz w:val="24"/>
              </w:rPr>
              <w:t>2,86</w:t>
            </w:r>
          </w:p>
        </w:tc>
      </w:tr>
      <w:tr w:rsidR="00000000">
        <w:tblPrEx>
          <w:tblCellMar>
            <w:top w:w="0" w:type="dxa"/>
            <w:bottom w:w="0" w:type="dxa"/>
          </w:tblCellMar>
        </w:tblPrEx>
        <w:tc>
          <w:tcPr>
            <w:tcW w:w="480" w:type="dxa"/>
            <w:tcBorders>
              <w:top w:val="nil"/>
              <w:bottom w:val="nil"/>
            </w:tcBorders>
          </w:tcPr>
          <w:p w:rsidR="00000000" w:rsidRDefault="00000000">
            <w:pPr>
              <w:pStyle w:val="BodyText"/>
              <w:spacing w:line="288" w:lineRule="auto"/>
              <w:jc w:val="center"/>
              <w:rPr>
                <w:sz w:val="24"/>
              </w:rPr>
            </w:pPr>
          </w:p>
        </w:tc>
        <w:tc>
          <w:tcPr>
            <w:tcW w:w="5382" w:type="dxa"/>
            <w:tcBorders>
              <w:top w:val="nil"/>
              <w:bottom w:val="nil"/>
            </w:tcBorders>
          </w:tcPr>
          <w:p w:rsidR="00000000" w:rsidRDefault="00000000">
            <w:pPr>
              <w:pStyle w:val="BodyText"/>
              <w:spacing w:line="288" w:lineRule="auto"/>
              <w:jc w:val="left"/>
              <w:rPr>
                <w:sz w:val="24"/>
                <w:lang w:val="ru-RU"/>
              </w:rPr>
            </w:pPr>
            <w:r>
              <w:rPr>
                <w:sz w:val="24"/>
                <w:lang w:val="ru-RU"/>
              </w:rPr>
              <w:t>Подпункт 2 пункта 1 статьи 19 Закона</w:t>
            </w:r>
          </w:p>
          <w:p w:rsidR="00000000" w:rsidRDefault="00000000">
            <w:pPr>
              <w:pStyle w:val="BodyText"/>
              <w:spacing w:line="288" w:lineRule="auto"/>
              <w:jc w:val="left"/>
              <w:rPr>
                <w:sz w:val="24"/>
                <w:lang w:val="ru-RU"/>
              </w:rPr>
            </w:pPr>
          </w:p>
          <w:p w:rsidR="00000000" w:rsidRDefault="00000000">
            <w:pPr>
              <w:pStyle w:val="BodyText"/>
              <w:spacing w:line="288" w:lineRule="auto"/>
              <w:jc w:val="left"/>
              <w:rPr>
                <w:sz w:val="24"/>
                <w:lang w:val="ru-RU"/>
              </w:rPr>
            </w:pPr>
            <w:r>
              <w:rPr>
                <w:sz w:val="24"/>
                <w:lang w:val="ru-RU"/>
              </w:rPr>
              <w:t>Если общая сумма месячного кадастрового дохода в расчете на одного члена семьи в течение предыдущего года составляет до 7% от среднего размера кадастрового дохода с одного гектара плодородной земли в предыдущем году и семья не имеет иных доходов</w:t>
            </w:r>
          </w:p>
          <w:p w:rsidR="00000000" w:rsidRDefault="00000000">
            <w:pPr>
              <w:pStyle w:val="BodyText"/>
              <w:spacing w:line="288" w:lineRule="auto"/>
              <w:jc w:val="left"/>
              <w:rPr>
                <w:sz w:val="24"/>
                <w:lang w:val="ru-RU"/>
              </w:rPr>
            </w:pPr>
          </w:p>
        </w:tc>
        <w:tc>
          <w:tcPr>
            <w:tcW w:w="1482" w:type="dxa"/>
            <w:tcBorders>
              <w:top w:val="nil"/>
              <w:bottom w:val="nil"/>
            </w:tcBorders>
          </w:tcPr>
          <w:p w:rsidR="00000000" w:rsidRDefault="00000000">
            <w:pPr>
              <w:pStyle w:val="BodyText"/>
              <w:tabs>
                <w:tab w:val="decimal" w:pos="851"/>
              </w:tabs>
              <w:spacing w:line="288" w:lineRule="auto"/>
              <w:jc w:val="left"/>
              <w:rPr>
                <w:sz w:val="24"/>
                <w:lang w:val="ru-RU"/>
              </w:rPr>
            </w:pPr>
            <w:r>
              <w:rPr>
                <w:sz w:val="24"/>
                <w:lang w:val="ru-RU"/>
              </w:rPr>
              <w:t>5,56</w:t>
            </w:r>
          </w:p>
        </w:tc>
        <w:tc>
          <w:tcPr>
            <w:tcW w:w="2244" w:type="dxa"/>
            <w:tcBorders>
              <w:top w:val="nil"/>
              <w:bottom w:val="nil"/>
            </w:tcBorders>
          </w:tcPr>
          <w:p w:rsidR="00000000" w:rsidRDefault="00000000">
            <w:pPr>
              <w:pStyle w:val="BodyText"/>
              <w:tabs>
                <w:tab w:val="decimal" w:pos="1134"/>
              </w:tabs>
              <w:spacing w:line="288" w:lineRule="auto"/>
              <w:jc w:val="left"/>
              <w:rPr>
                <w:sz w:val="24"/>
              </w:rPr>
            </w:pPr>
            <w:r>
              <w:rPr>
                <w:sz w:val="24"/>
              </w:rPr>
              <w:t>6,67</w:t>
            </w:r>
          </w:p>
        </w:tc>
      </w:tr>
      <w:tr w:rsidR="00000000">
        <w:tblPrEx>
          <w:tblCellMar>
            <w:top w:w="0" w:type="dxa"/>
            <w:bottom w:w="0" w:type="dxa"/>
          </w:tblCellMar>
        </w:tblPrEx>
        <w:tc>
          <w:tcPr>
            <w:tcW w:w="480" w:type="dxa"/>
            <w:tcBorders>
              <w:top w:val="nil"/>
            </w:tcBorders>
          </w:tcPr>
          <w:p w:rsidR="00000000" w:rsidRDefault="00000000">
            <w:pPr>
              <w:pStyle w:val="BodyText"/>
              <w:spacing w:line="288" w:lineRule="auto"/>
              <w:jc w:val="center"/>
              <w:rPr>
                <w:sz w:val="24"/>
              </w:rPr>
            </w:pPr>
          </w:p>
        </w:tc>
        <w:tc>
          <w:tcPr>
            <w:tcW w:w="5382" w:type="dxa"/>
            <w:tcBorders>
              <w:top w:val="nil"/>
            </w:tcBorders>
          </w:tcPr>
          <w:p w:rsidR="00000000" w:rsidRDefault="00000000">
            <w:pPr>
              <w:pStyle w:val="BodyText"/>
              <w:spacing w:line="288" w:lineRule="auto"/>
              <w:jc w:val="left"/>
              <w:rPr>
                <w:sz w:val="24"/>
                <w:lang w:val="ru-RU"/>
              </w:rPr>
            </w:pPr>
            <w:r>
              <w:rPr>
                <w:sz w:val="24"/>
                <w:lang w:val="ru-RU"/>
              </w:rPr>
              <w:t>Компенсация за работу кормильца</w:t>
            </w:r>
          </w:p>
        </w:tc>
        <w:tc>
          <w:tcPr>
            <w:tcW w:w="1482" w:type="dxa"/>
            <w:tcBorders>
              <w:top w:val="nil"/>
            </w:tcBorders>
          </w:tcPr>
          <w:p w:rsidR="00000000" w:rsidRDefault="00000000">
            <w:pPr>
              <w:pStyle w:val="BodyText"/>
              <w:tabs>
                <w:tab w:val="decimal" w:pos="851"/>
              </w:tabs>
              <w:spacing w:line="288" w:lineRule="auto"/>
              <w:jc w:val="left"/>
              <w:rPr>
                <w:sz w:val="24"/>
              </w:rPr>
            </w:pPr>
            <w:r>
              <w:rPr>
                <w:sz w:val="24"/>
              </w:rPr>
              <w:t>832,00</w:t>
            </w:r>
          </w:p>
        </w:tc>
        <w:tc>
          <w:tcPr>
            <w:tcW w:w="2244" w:type="dxa"/>
            <w:tcBorders>
              <w:top w:val="nil"/>
            </w:tcBorders>
          </w:tcPr>
          <w:p w:rsidR="00000000" w:rsidRDefault="00000000">
            <w:pPr>
              <w:pStyle w:val="BodyText"/>
              <w:tabs>
                <w:tab w:val="decimal" w:pos="1134"/>
              </w:tabs>
              <w:spacing w:line="288" w:lineRule="auto"/>
              <w:jc w:val="left"/>
              <w:rPr>
                <w:sz w:val="24"/>
              </w:rPr>
            </w:pPr>
          </w:p>
        </w:tc>
      </w:tr>
    </w:tbl>
    <w:p w:rsidR="00000000" w:rsidRDefault="00000000">
      <w:pPr>
        <w:pStyle w:val="BodyText"/>
        <w:spacing w:line="288" w:lineRule="auto"/>
        <w:rPr>
          <w:sz w:val="24"/>
          <w:lang w:val="ru-RU"/>
        </w:rPr>
      </w:pPr>
    </w:p>
    <w:p w:rsidR="00000000" w:rsidRDefault="00000000">
      <w:pPr>
        <w:pStyle w:val="BodyText"/>
        <w:spacing w:line="288" w:lineRule="auto"/>
        <w:rPr>
          <w:sz w:val="24"/>
          <w:lang w:val="ru-RU"/>
        </w:rPr>
      </w:pPr>
      <w:r>
        <w:rPr>
          <w:sz w:val="24"/>
          <w:lang w:val="ru-RU"/>
        </w:rPr>
        <w:tab/>
      </w:r>
      <w:r>
        <w:rPr>
          <w:i/>
          <w:iCs/>
          <w:sz w:val="24"/>
          <w:lang w:val="ru-RU"/>
        </w:rPr>
        <w:t>Источник:</w:t>
      </w:r>
      <w:r>
        <w:rPr>
          <w:sz w:val="24"/>
          <w:lang w:val="ru-RU"/>
        </w:rPr>
        <w:t xml:space="preserve">  Министерство социального обеспечения Республики Сербии.</w:t>
      </w:r>
    </w:p>
    <w:p w:rsidR="00000000" w:rsidRDefault="00000000">
      <w:pPr>
        <w:pStyle w:val="BodyText"/>
        <w:spacing w:line="288" w:lineRule="auto"/>
        <w:rPr>
          <w:sz w:val="24"/>
          <w:lang w:val="ru-RU"/>
        </w:rPr>
      </w:pPr>
    </w:p>
    <w:p w:rsidR="00000000" w:rsidRDefault="00000000">
      <w:pPr>
        <w:pStyle w:val="BodyText"/>
        <w:tabs>
          <w:tab w:val="left" w:pos="567"/>
          <w:tab w:val="left" w:pos="1134"/>
          <w:tab w:val="left" w:pos="1701"/>
          <w:tab w:val="left" w:pos="2268"/>
        </w:tabs>
        <w:spacing w:line="288" w:lineRule="auto"/>
        <w:jc w:val="left"/>
        <w:rPr>
          <w:sz w:val="24"/>
          <w:lang w:val="ru-RU"/>
        </w:rPr>
      </w:pPr>
      <w:r>
        <w:rPr>
          <w:sz w:val="24"/>
          <w:lang w:val="ru-RU"/>
        </w:rPr>
        <w:t>195.</w:t>
      </w:r>
      <w:r>
        <w:rPr>
          <w:sz w:val="24"/>
          <w:lang w:val="ru-RU"/>
        </w:rPr>
        <w:tab/>
        <w:t>Ниже приведена разбивка средств, запланированных и выплаченных в виде финансовой помощи семьям с детьми, и среднемесячное количество бенефициаров или детей, реализовавших это право, за период с января по ноябрь 2002 года.</w:t>
      </w:r>
    </w:p>
    <w:p w:rsidR="00000000" w:rsidRDefault="00000000">
      <w:pPr>
        <w:pStyle w:val="BodyText"/>
        <w:tabs>
          <w:tab w:val="left" w:pos="567"/>
          <w:tab w:val="left" w:pos="1134"/>
          <w:tab w:val="left" w:pos="1701"/>
          <w:tab w:val="left" w:pos="2268"/>
        </w:tabs>
        <w:spacing w:line="216" w:lineRule="auto"/>
        <w:jc w:val="left"/>
        <w:rPr>
          <w:sz w:val="24"/>
          <w:lang w:val="ru-RU"/>
        </w:rPr>
      </w:pPr>
    </w:p>
    <w:p w:rsidR="00000000" w:rsidRDefault="00000000">
      <w:pPr>
        <w:pStyle w:val="BodyText"/>
        <w:keepNext/>
        <w:tabs>
          <w:tab w:val="left" w:pos="567"/>
          <w:tab w:val="left" w:pos="1134"/>
          <w:tab w:val="left" w:pos="1701"/>
          <w:tab w:val="left" w:pos="2268"/>
        </w:tabs>
        <w:spacing w:line="192" w:lineRule="auto"/>
        <w:jc w:val="center"/>
        <w:rPr>
          <w:b/>
          <w:bCs/>
          <w:sz w:val="24"/>
          <w:lang w:val="ru-RU"/>
        </w:rPr>
      </w:pPr>
      <w:r>
        <w:rPr>
          <w:b/>
          <w:bCs/>
          <w:sz w:val="24"/>
          <w:lang w:val="ru-RU"/>
        </w:rPr>
        <w:t>Таблица 6</w:t>
      </w:r>
    </w:p>
    <w:p w:rsidR="00000000" w:rsidRDefault="00000000">
      <w:pPr>
        <w:pStyle w:val="BodyText"/>
        <w:keepNext/>
        <w:tabs>
          <w:tab w:val="left" w:pos="567"/>
          <w:tab w:val="left" w:pos="1134"/>
          <w:tab w:val="left" w:pos="1701"/>
          <w:tab w:val="left" w:pos="2268"/>
        </w:tabs>
        <w:spacing w:line="192" w:lineRule="auto"/>
        <w:jc w:val="center"/>
        <w:rPr>
          <w:b/>
          <w:bCs/>
          <w:sz w:val="16"/>
          <w:lang w:val="ru-RU"/>
        </w:rPr>
      </w:pPr>
    </w:p>
    <w:p w:rsidR="00000000" w:rsidRDefault="00000000">
      <w:pPr>
        <w:pStyle w:val="BodyText"/>
        <w:keepNext/>
        <w:tabs>
          <w:tab w:val="left" w:pos="567"/>
          <w:tab w:val="left" w:pos="1134"/>
          <w:tab w:val="left" w:pos="1701"/>
          <w:tab w:val="left" w:pos="2268"/>
        </w:tabs>
        <w:spacing w:line="192" w:lineRule="auto"/>
        <w:jc w:val="center"/>
        <w:rPr>
          <w:b/>
          <w:bCs/>
          <w:sz w:val="24"/>
          <w:lang w:val="ru-RU"/>
        </w:rPr>
      </w:pPr>
      <w:r>
        <w:rPr>
          <w:b/>
          <w:bCs/>
          <w:sz w:val="24"/>
          <w:lang w:val="ru-RU"/>
        </w:rPr>
        <w:t>Финансовая помощь семье</w:t>
      </w:r>
    </w:p>
    <w:p w:rsidR="00000000" w:rsidRDefault="00000000">
      <w:pPr>
        <w:pStyle w:val="BodyText"/>
        <w:tabs>
          <w:tab w:val="left" w:pos="567"/>
          <w:tab w:val="left" w:pos="1134"/>
          <w:tab w:val="left" w:pos="1701"/>
          <w:tab w:val="left" w:pos="2268"/>
        </w:tabs>
        <w:spacing w:line="192" w:lineRule="auto"/>
        <w:jc w:val="center"/>
        <w:rPr>
          <w:sz w:val="24"/>
          <w:lang w:val="ru-RU"/>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395"/>
        <w:gridCol w:w="2274"/>
        <w:gridCol w:w="1553"/>
        <w:gridCol w:w="2000"/>
        <w:gridCol w:w="1496"/>
        <w:gridCol w:w="1870"/>
      </w:tblGrid>
      <w:tr w:rsidR="00000000">
        <w:tblPrEx>
          <w:tblCellMar>
            <w:top w:w="0" w:type="dxa"/>
            <w:bottom w:w="0" w:type="dxa"/>
          </w:tblCellMar>
        </w:tblPrEx>
        <w:tc>
          <w:tcPr>
            <w:tcW w:w="395" w:type="dxa"/>
            <w:tcBorders>
              <w:bottom w:val="single" w:sz="4" w:space="0" w:color="auto"/>
            </w:tcBorders>
          </w:tcPr>
          <w:p w:rsidR="00000000" w:rsidRDefault="00000000">
            <w:pPr>
              <w:pStyle w:val="BodyText"/>
              <w:spacing w:line="216" w:lineRule="auto"/>
              <w:jc w:val="center"/>
              <w:rPr>
                <w:sz w:val="24"/>
                <w:lang w:val="ru-RU"/>
              </w:rPr>
            </w:pPr>
          </w:p>
        </w:tc>
        <w:tc>
          <w:tcPr>
            <w:tcW w:w="2274" w:type="dxa"/>
            <w:tcBorders>
              <w:bottom w:val="single" w:sz="4" w:space="0" w:color="auto"/>
            </w:tcBorders>
          </w:tcPr>
          <w:p w:rsidR="00000000" w:rsidRDefault="00000000">
            <w:pPr>
              <w:pStyle w:val="BodyText"/>
              <w:spacing w:line="216" w:lineRule="auto"/>
              <w:jc w:val="center"/>
              <w:rPr>
                <w:sz w:val="24"/>
                <w:lang w:val="ru-RU"/>
              </w:rPr>
            </w:pPr>
            <w:r>
              <w:rPr>
                <w:sz w:val="24"/>
                <w:lang w:val="ru-RU"/>
              </w:rPr>
              <w:t>Вид пособия</w:t>
            </w:r>
          </w:p>
        </w:tc>
        <w:tc>
          <w:tcPr>
            <w:tcW w:w="1553" w:type="dxa"/>
            <w:tcBorders>
              <w:bottom w:val="single" w:sz="4" w:space="0" w:color="auto"/>
            </w:tcBorders>
          </w:tcPr>
          <w:p w:rsidR="00000000" w:rsidRDefault="00000000">
            <w:pPr>
              <w:pStyle w:val="BodyText"/>
              <w:spacing w:line="216" w:lineRule="auto"/>
              <w:jc w:val="center"/>
              <w:rPr>
                <w:sz w:val="24"/>
                <w:lang w:val="ru-RU"/>
              </w:rPr>
            </w:pPr>
            <w:r>
              <w:rPr>
                <w:sz w:val="24"/>
                <w:lang w:val="ru-RU"/>
              </w:rPr>
              <w:t>Финансовый план на 2002 год</w:t>
            </w:r>
          </w:p>
        </w:tc>
        <w:tc>
          <w:tcPr>
            <w:tcW w:w="2000" w:type="dxa"/>
            <w:tcBorders>
              <w:bottom w:val="single" w:sz="4" w:space="0" w:color="auto"/>
            </w:tcBorders>
          </w:tcPr>
          <w:p w:rsidR="00000000" w:rsidRDefault="00000000">
            <w:pPr>
              <w:pStyle w:val="BodyText"/>
              <w:spacing w:line="216" w:lineRule="auto"/>
              <w:jc w:val="center"/>
              <w:rPr>
                <w:sz w:val="24"/>
                <w:lang w:val="ru-RU"/>
              </w:rPr>
            </w:pPr>
            <w:r>
              <w:rPr>
                <w:sz w:val="24"/>
                <w:lang w:val="ru-RU"/>
              </w:rPr>
              <w:t>Исполнение финансового плана в период с января по ноябрь 2002 года</w:t>
            </w:r>
          </w:p>
        </w:tc>
        <w:tc>
          <w:tcPr>
            <w:tcW w:w="1496" w:type="dxa"/>
            <w:tcBorders>
              <w:bottom w:val="single" w:sz="4" w:space="0" w:color="auto"/>
            </w:tcBorders>
          </w:tcPr>
          <w:p w:rsidR="00000000" w:rsidRDefault="00000000">
            <w:pPr>
              <w:pStyle w:val="BodyText"/>
              <w:spacing w:line="216" w:lineRule="auto"/>
              <w:jc w:val="center"/>
              <w:rPr>
                <w:sz w:val="24"/>
              </w:rPr>
            </w:pPr>
            <w:r>
              <w:rPr>
                <w:sz w:val="24"/>
                <w:lang w:val="ru-RU"/>
              </w:rPr>
              <w:t>Индекс</w:t>
            </w:r>
          </w:p>
        </w:tc>
        <w:tc>
          <w:tcPr>
            <w:tcW w:w="1870" w:type="dxa"/>
            <w:tcBorders>
              <w:bottom w:val="single" w:sz="4" w:space="0" w:color="auto"/>
            </w:tcBorders>
          </w:tcPr>
          <w:p w:rsidR="00000000" w:rsidRDefault="00000000">
            <w:pPr>
              <w:pStyle w:val="BodyText"/>
              <w:spacing w:line="216" w:lineRule="auto"/>
              <w:jc w:val="center"/>
              <w:rPr>
                <w:sz w:val="24"/>
                <w:lang w:val="ru-RU"/>
              </w:rPr>
            </w:pPr>
            <w:r>
              <w:rPr>
                <w:sz w:val="24"/>
                <w:lang w:val="ru-RU"/>
              </w:rPr>
              <w:t>Среднемесячное число бенефициаров или детей</w:t>
            </w:r>
          </w:p>
        </w:tc>
      </w:tr>
      <w:tr w:rsidR="00000000">
        <w:tblPrEx>
          <w:tblCellMar>
            <w:top w:w="0" w:type="dxa"/>
            <w:bottom w:w="0" w:type="dxa"/>
          </w:tblCellMar>
        </w:tblPrEx>
        <w:tc>
          <w:tcPr>
            <w:tcW w:w="395" w:type="dxa"/>
            <w:tcBorders>
              <w:bottom w:val="nil"/>
            </w:tcBorders>
          </w:tcPr>
          <w:p w:rsidR="00000000" w:rsidRDefault="00000000">
            <w:pPr>
              <w:pStyle w:val="BodyText"/>
              <w:spacing w:line="216" w:lineRule="auto"/>
              <w:jc w:val="left"/>
              <w:rPr>
                <w:sz w:val="24"/>
              </w:rPr>
            </w:pPr>
            <w:r>
              <w:rPr>
                <w:sz w:val="24"/>
              </w:rPr>
              <w:t>1.</w:t>
            </w:r>
          </w:p>
        </w:tc>
        <w:tc>
          <w:tcPr>
            <w:tcW w:w="2274" w:type="dxa"/>
            <w:tcBorders>
              <w:bottom w:val="nil"/>
            </w:tcBorders>
          </w:tcPr>
          <w:p w:rsidR="00000000" w:rsidRDefault="00000000">
            <w:pPr>
              <w:pStyle w:val="BodyText"/>
              <w:spacing w:line="216" w:lineRule="auto"/>
              <w:jc w:val="left"/>
              <w:rPr>
                <w:sz w:val="24"/>
                <w:lang w:val="ru-RU"/>
              </w:rPr>
            </w:pPr>
            <w:r>
              <w:rPr>
                <w:sz w:val="24"/>
                <w:lang w:val="ru-RU"/>
              </w:rPr>
              <w:t>Компенсация заработной платы  в период отпуска по беременности и родам</w:t>
            </w:r>
          </w:p>
          <w:p w:rsidR="00000000" w:rsidRDefault="00000000">
            <w:pPr>
              <w:pStyle w:val="BodyText"/>
              <w:spacing w:line="216" w:lineRule="auto"/>
              <w:jc w:val="left"/>
              <w:rPr>
                <w:sz w:val="24"/>
                <w:lang w:val="ru-RU"/>
              </w:rPr>
            </w:pPr>
          </w:p>
        </w:tc>
        <w:tc>
          <w:tcPr>
            <w:tcW w:w="1553" w:type="dxa"/>
            <w:tcBorders>
              <w:bottom w:val="nil"/>
            </w:tcBorders>
          </w:tcPr>
          <w:p w:rsidR="00000000" w:rsidRDefault="00000000">
            <w:pPr>
              <w:pStyle w:val="BodyText"/>
              <w:spacing w:line="216" w:lineRule="auto"/>
              <w:jc w:val="right"/>
              <w:rPr>
                <w:sz w:val="24"/>
                <w:lang w:val="ru-RU"/>
              </w:rPr>
            </w:pPr>
            <w:r>
              <w:rPr>
                <w:sz w:val="24"/>
                <w:lang w:val="ru-RU"/>
              </w:rPr>
              <w:t>2 262 000 000</w:t>
            </w:r>
          </w:p>
        </w:tc>
        <w:tc>
          <w:tcPr>
            <w:tcW w:w="2000" w:type="dxa"/>
            <w:tcBorders>
              <w:bottom w:val="nil"/>
            </w:tcBorders>
          </w:tcPr>
          <w:p w:rsidR="00000000" w:rsidRDefault="00000000">
            <w:pPr>
              <w:pStyle w:val="BodyText"/>
              <w:spacing w:line="216" w:lineRule="auto"/>
              <w:ind w:right="231"/>
              <w:jc w:val="right"/>
              <w:rPr>
                <w:sz w:val="24"/>
              </w:rPr>
            </w:pPr>
            <w:r>
              <w:rPr>
                <w:sz w:val="24"/>
              </w:rPr>
              <w:t>2 844 673</w:t>
            </w:r>
            <w:r>
              <w:rPr>
                <w:sz w:val="24"/>
                <w:lang w:val="ru-RU"/>
              </w:rPr>
              <w:t>,</w:t>
            </w:r>
            <w:r>
              <w:rPr>
                <w:sz w:val="24"/>
              </w:rPr>
              <w:t xml:space="preserve">238 </w:t>
            </w:r>
          </w:p>
        </w:tc>
        <w:tc>
          <w:tcPr>
            <w:tcW w:w="1496" w:type="dxa"/>
            <w:tcBorders>
              <w:bottom w:val="nil"/>
            </w:tcBorders>
          </w:tcPr>
          <w:p w:rsidR="00000000" w:rsidRDefault="00000000">
            <w:pPr>
              <w:pStyle w:val="BodyText"/>
              <w:spacing w:line="216" w:lineRule="auto"/>
              <w:ind w:right="440"/>
              <w:jc w:val="right"/>
              <w:rPr>
                <w:sz w:val="24"/>
              </w:rPr>
            </w:pPr>
            <w:r>
              <w:rPr>
                <w:sz w:val="24"/>
              </w:rPr>
              <w:t>125</w:t>
            </w:r>
            <w:r>
              <w:rPr>
                <w:sz w:val="24"/>
                <w:lang w:val="ru-RU"/>
              </w:rPr>
              <w:t>,</w:t>
            </w:r>
            <w:r>
              <w:rPr>
                <w:sz w:val="24"/>
              </w:rPr>
              <w:t>7</w:t>
            </w:r>
          </w:p>
        </w:tc>
        <w:tc>
          <w:tcPr>
            <w:tcW w:w="1870" w:type="dxa"/>
            <w:tcBorders>
              <w:bottom w:val="nil"/>
            </w:tcBorders>
          </w:tcPr>
          <w:p w:rsidR="00000000" w:rsidRDefault="00000000">
            <w:pPr>
              <w:pStyle w:val="BodyText"/>
              <w:spacing w:line="216" w:lineRule="auto"/>
              <w:ind w:right="594"/>
              <w:jc w:val="right"/>
              <w:rPr>
                <w:sz w:val="24"/>
              </w:rPr>
            </w:pPr>
            <w:r>
              <w:rPr>
                <w:sz w:val="24"/>
              </w:rPr>
              <w:t>24 500</w:t>
            </w: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2.</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Пособие в связи с рождением ребенка</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510 000 000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456 067 177</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89</w:t>
            </w:r>
            <w:r>
              <w:rPr>
                <w:sz w:val="24"/>
                <w:lang w:val="ru-RU"/>
              </w:rPr>
              <w:t>,</w:t>
            </w:r>
            <w:r>
              <w:rPr>
                <w:sz w:val="24"/>
              </w:rPr>
              <w:t>4</w:t>
            </w:r>
          </w:p>
        </w:tc>
        <w:tc>
          <w:tcPr>
            <w:tcW w:w="1870" w:type="dxa"/>
            <w:tcBorders>
              <w:top w:val="nil"/>
              <w:bottom w:val="nil"/>
            </w:tcBorders>
          </w:tcPr>
          <w:p w:rsidR="00000000" w:rsidRDefault="00000000">
            <w:pPr>
              <w:pStyle w:val="BodyText"/>
              <w:spacing w:line="216" w:lineRule="auto"/>
              <w:ind w:right="594"/>
              <w:jc w:val="right"/>
              <w:rPr>
                <w:sz w:val="24"/>
              </w:rPr>
            </w:pPr>
            <w:r>
              <w:rPr>
                <w:sz w:val="24"/>
              </w:rPr>
              <w:t>37 676</w:t>
            </w: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3.</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Приданое новорожденного</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rPr>
            </w:pPr>
            <w:r>
              <w:rPr>
                <w:sz w:val="24"/>
              </w:rPr>
              <w:t>300 000 000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149 954 994</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50,0</w:t>
            </w:r>
          </w:p>
        </w:tc>
        <w:tc>
          <w:tcPr>
            <w:tcW w:w="1870" w:type="dxa"/>
            <w:tcBorders>
              <w:top w:val="nil"/>
              <w:bottom w:val="nil"/>
            </w:tcBorders>
          </w:tcPr>
          <w:p w:rsidR="00000000" w:rsidRDefault="00000000">
            <w:pPr>
              <w:pStyle w:val="BodyText"/>
              <w:spacing w:line="216" w:lineRule="auto"/>
              <w:ind w:right="594"/>
              <w:jc w:val="right"/>
              <w:rPr>
                <w:sz w:val="24"/>
              </w:rPr>
            </w:pPr>
            <w:r>
              <w:rPr>
                <w:sz w:val="24"/>
              </w:rPr>
              <w:t>3 253</w:t>
            </w: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4.</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Помощь матерям из числа беженцев</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10 000 000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8 274 125</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82</w:t>
            </w:r>
            <w:r>
              <w:rPr>
                <w:sz w:val="24"/>
                <w:lang w:val="ru-RU"/>
              </w:rPr>
              <w:t>,</w:t>
            </w:r>
            <w:r>
              <w:rPr>
                <w:sz w:val="24"/>
              </w:rPr>
              <w:t>7</w:t>
            </w:r>
          </w:p>
        </w:tc>
        <w:tc>
          <w:tcPr>
            <w:tcW w:w="1870" w:type="dxa"/>
            <w:tcBorders>
              <w:top w:val="nil"/>
              <w:bottom w:val="nil"/>
            </w:tcBorders>
          </w:tcPr>
          <w:p w:rsidR="00000000" w:rsidRDefault="00000000">
            <w:pPr>
              <w:pStyle w:val="BodyText"/>
              <w:spacing w:line="216" w:lineRule="auto"/>
              <w:ind w:right="594"/>
              <w:jc w:val="right"/>
              <w:rPr>
                <w:sz w:val="24"/>
              </w:rPr>
            </w:pPr>
            <w:r>
              <w:rPr>
                <w:sz w:val="24"/>
              </w:rPr>
              <w:t>900</w:t>
            </w: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 xml:space="preserve">5. </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Пособие на детей</w:t>
            </w: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 xml:space="preserve">8 370 000 </w:t>
            </w:r>
            <w:proofErr w:type="spellStart"/>
            <w:r>
              <w:rPr>
                <w:sz w:val="24"/>
                <w:lang w:val="ru-RU"/>
              </w:rPr>
              <w:t>000</w:t>
            </w:r>
            <w:proofErr w:type="spellEnd"/>
          </w:p>
        </w:tc>
        <w:tc>
          <w:tcPr>
            <w:tcW w:w="2000" w:type="dxa"/>
            <w:tcBorders>
              <w:top w:val="nil"/>
              <w:bottom w:val="nil"/>
            </w:tcBorders>
          </w:tcPr>
          <w:p w:rsidR="00000000" w:rsidRDefault="00000000">
            <w:pPr>
              <w:pStyle w:val="BodyText"/>
              <w:spacing w:line="216" w:lineRule="auto"/>
              <w:ind w:right="231"/>
              <w:jc w:val="right"/>
              <w:rPr>
                <w:sz w:val="24"/>
              </w:rPr>
            </w:pPr>
            <w:r>
              <w:rPr>
                <w:sz w:val="24"/>
              </w:rPr>
              <w:t>6 135 486 686</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73</w:t>
            </w:r>
            <w:r>
              <w:rPr>
                <w:sz w:val="24"/>
                <w:lang w:val="ru-RU"/>
              </w:rPr>
              <w:t>,</w:t>
            </w:r>
            <w:r>
              <w:rPr>
                <w:sz w:val="24"/>
              </w:rPr>
              <w:t>3</w:t>
            </w:r>
          </w:p>
        </w:tc>
        <w:tc>
          <w:tcPr>
            <w:tcW w:w="1870" w:type="dxa"/>
            <w:tcBorders>
              <w:top w:val="nil"/>
              <w:bottom w:val="nil"/>
            </w:tcBorders>
          </w:tcPr>
          <w:p w:rsidR="00000000" w:rsidRDefault="00000000">
            <w:pPr>
              <w:pStyle w:val="BodyText"/>
              <w:spacing w:line="216" w:lineRule="auto"/>
              <w:ind w:right="87"/>
              <w:jc w:val="right"/>
              <w:rPr>
                <w:sz w:val="24"/>
                <w:lang w:val="ru-RU"/>
              </w:rPr>
            </w:pPr>
            <w:r>
              <w:rPr>
                <w:sz w:val="24"/>
              </w:rPr>
              <w:t>267</w:t>
            </w:r>
            <w:r>
              <w:rPr>
                <w:sz w:val="24"/>
                <w:lang w:val="ru-RU"/>
              </w:rPr>
              <w:t> </w:t>
            </w:r>
            <w:r>
              <w:rPr>
                <w:sz w:val="24"/>
              </w:rPr>
              <w:t>600</w:t>
            </w:r>
            <w:r>
              <w:rPr>
                <w:sz w:val="24"/>
                <w:lang w:val="ru-RU"/>
              </w:rPr>
              <w:t> </w:t>
            </w:r>
            <w:proofErr w:type="spellStart"/>
            <w:r>
              <w:rPr>
                <w:sz w:val="24"/>
                <w:lang w:val="ru-RU"/>
              </w:rPr>
              <w:t>бене-фициаров</w:t>
            </w:r>
            <w:proofErr w:type="spellEnd"/>
            <w:r>
              <w:rPr>
                <w:sz w:val="24"/>
                <w:lang w:val="ru-RU"/>
              </w:rPr>
              <w:t xml:space="preserve"> </w:t>
            </w:r>
            <w:r>
              <w:rPr>
                <w:sz w:val="24"/>
              </w:rPr>
              <w:t>458</w:t>
            </w:r>
            <w:r>
              <w:rPr>
                <w:sz w:val="24"/>
                <w:lang w:val="ru-RU"/>
              </w:rPr>
              <w:t> </w:t>
            </w:r>
            <w:r>
              <w:rPr>
                <w:sz w:val="24"/>
              </w:rPr>
              <w:t xml:space="preserve">420 </w:t>
            </w:r>
            <w:r>
              <w:rPr>
                <w:sz w:val="24"/>
                <w:lang w:val="ru-RU"/>
              </w:rPr>
              <w:t>детей</w:t>
            </w:r>
          </w:p>
          <w:p w:rsidR="00000000" w:rsidRDefault="00000000">
            <w:pPr>
              <w:pStyle w:val="BodyText"/>
              <w:spacing w:line="216" w:lineRule="auto"/>
              <w:ind w:right="87"/>
              <w:jc w:val="right"/>
              <w:rPr>
                <w:sz w:val="24"/>
              </w:rPr>
            </w:pP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6.</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Семейное пособие</w:t>
            </w:r>
          </w:p>
        </w:tc>
        <w:tc>
          <w:tcPr>
            <w:tcW w:w="1553" w:type="dxa"/>
            <w:tcBorders>
              <w:top w:val="nil"/>
              <w:bottom w:val="nil"/>
            </w:tcBorders>
          </w:tcPr>
          <w:p w:rsidR="00000000" w:rsidRDefault="00000000">
            <w:pPr>
              <w:pStyle w:val="BodyText"/>
              <w:spacing w:line="216" w:lineRule="auto"/>
              <w:jc w:val="right"/>
              <w:rPr>
                <w:sz w:val="24"/>
              </w:rPr>
            </w:pPr>
          </w:p>
        </w:tc>
        <w:tc>
          <w:tcPr>
            <w:tcW w:w="2000" w:type="dxa"/>
            <w:tcBorders>
              <w:top w:val="nil"/>
              <w:bottom w:val="nil"/>
            </w:tcBorders>
          </w:tcPr>
          <w:p w:rsidR="00000000" w:rsidRDefault="00000000">
            <w:pPr>
              <w:pStyle w:val="BodyText"/>
              <w:spacing w:line="216" w:lineRule="auto"/>
              <w:ind w:right="231"/>
              <w:jc w:val="right"/>
              <w:rPr>
                <w:sz w:val="24"/>
              </w:rPr>
            </w:pPr>
            <w:r>
              <w:rPr>
                <w:sz w:val="24"/>
              </w:rPr>
              <w:t>702 150 394</w:t>
            </w:r>
          </w:p>
        </w:tc>
        <w:tc>
          <w:tcPr>
            <w:tcW w:w="1496" w:type="dxa"/>
            <w:tcBorders>
              <w:top w:val="nil"/>
              <w:bottom w:val="nil"/>
            </w:tcBorders>
          </w:tcPr>
          <w:p w:rsidR="00000000" w:rsidRDefault="00000000">
            <w:pPr>
              <w:pStyle w:val="BodyText"/>
              <w:spacing w:line="216" w:lineRule="auto"/>
              <w:ind w:right="440"/>
              <w:jc w:val="right"/>
              <w:rPr>
                <w:sz w:val="24"/>
              </w:rPr>
            </w:pPr>
          </w:p>
        </w:tc>
        <w:tc>
          <w:tcPr>
            <w:tcW w:w="1870" w:type="dxa"/>
            <w:tcBorders>
              <w:top w:val="nil"/>
              <w:bottom w:val="nil"/>
            </w:tcBorders>
          </w:tcPr>
          <w:p w:rsidR="00000000" w:rsidRDefault="00000000">
            <w:pPr>
              <w:pStyle w:val="BodyText"/>
              <w:spacing w:line="216" w:lineRule="auto"/>
              <w:ind w:right="594"/>
              <w:jc w:val="right"/>
              <w:rPr>
                <w:sz w:val="24"/>
                <w:lang w:val="ru-RU"/>
              </w:rPr>
            </w:pPr>
            <w:r>
              <w:rPr>
                <w:sz w:val="24"/>
              </w:rPr>
              <w:t>2</w:t>
            </w:r>
            <w:r>
              <w:rPr>
                <w:sz w:val="24"/>
                <w:lang w:val="ru-RU"/>
              </w:rPr>
              <w:t xml:space="preserve"> </w:t>
            </w:r>
            <w:r>
              <w:rPr>
                <w:sz w:val="24"/>
              </w:rPr>
              <w:t>090</w:t>
            </w:r>
          </w:p>
          <w:p w:rsidR="00000000" w:rsidRDefault="00000000">
            <w:pPr>
              <w:pStyle w:val="BodyText"/>
              <w:spacing w:line="216" w:lineRule="auto"/>
              <w:ind w:right="594"/>
              <w:jc w:val="right"/>
              <w:rPr>
                <w:sz w:val="24"/>
                <w:lang w:val="ru-RU"/>
              </w:rPr>
            </w:pP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7.</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Право на направление ребенка в учреждения дошкольного воспитания</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840 000 000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627 433 544</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74</w:t>
            </w:r>
            <w:r>
              <w:rPr>
                <w:sz w:val="24"/>
                <w:lang w:val="ru-RU"/>
              </w:rPr>
              <w:t>,</w:t>
            </w:r>
            <w:r>
              <w:rPr>
                <w:sz w:val="24"/>
              </w:rPr>
              <w:t>7</w:t>
            </w:r>
          </w:p>
        </w:tc>
        <w:tc>
          <w:tcPr>
            <w:tcW w:w="1870" w:type="dxa"/>
            <w:tcBorders>
              <w:top w:val="nil"/>
              <w:bottom w:val="nil"/>
            </w:tcBorders>
          </w:tcPr>
          <w:p w:rsidR="00000000" w:rsidRDefault="00000000">
            <w:pPr>
              <w:pStyle w:val="BodyText"/>
              <w:spacing w:line="216" w:lineRule="auto"/>
              <w:ind w:right="594"/>
              <w:jc w:val="right"/>
              <w:rPr>
                <w:sz w:val="24"/>
              </w:rPr>
            </w:pPr>
            <w:r>
              <w:rPr>
                <w:sz w:val="24"/>
              </w:rPr>
              <w:t>76</w:t>
            </w:r>
            <w:r>
              <w:rPr>
                <w:sz w:val="24"/>
                <w:lang w:val="ru-RU"/>
              </w:rPr>
              <w:t xml:space="preserve"> </w:t>
            </w:r>
            <w:r>
              <w:rPr>
                <w:sz w:val="24"/>
              </w:rPr>
              <w:t>667</w:t>
            </w: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8.</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Другие права и обязанности</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50 000 000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68 385 223</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136</w:t>
            </w:r>
            <w:r>
              <w:rPr>
                <w:sz w:val="24"/>
                <w:lang w:val="ru-RU"/>
              </w:rPr>
              <w:t>,</w:t>
            </w:r>
            <w:r>
              <w:rPr>
                <w:sz w:val="24"/>
              </w:rPr>
              <w:t>8</w:t>
            </w:r>
          </w:p>
        </w:tc>
        <w:tc>
          <w:tcPr>
            <w:tcW w:w="1870" w:type="dxa"/>
            <w:tcBorders>
              <w:top w:val="nil"/>
              <w:bottom w:val="nil"/>
            </w:tcBorders>
          </w:tcPr>
          <w:p w:rsidR="00000000" w:rsidRDefault="00000000">
            <w:pPr>
              <w:pStyle w:val="BodyText"/>
              <w:spacing w:line="216" w:lineRule="auto"/>
              <w:ind w:right="594"/>
              <w:jc w:val="right"/>
              <w:rPr>
                <w:sz w:val="24"/>
              </w:rPr>
            </w:pPr>
          </w:p>
        </w:tc>
      </w:tr>
      <w:tr w:rsidR="00000000">
        <w:tblPrEx>
          <w:tblCellMar>
            <w:top w:w="0" w:type="dxa"/>
            <w:bottom w:w="0" w:type="dxa"/>
          </w:tblCellMar>
        </w:tblPrEx>
        <w:tc>
          <w:tcPr>
            <w:tcW w:w="395" w:type="dxa"/>
            <w:tcBorders>
              <w:top w:val="nil"/>
              <w:bottom w:val="nil"/>
            </w:tcBorders>
          </w:tcPr>
          <w:p w:rsidR="00000000" w:rsidRDefault="00000000">
            <w:pPr>
              <w:pStyle w:val="BodyText"/>
              <w:spacing w:line="216" w:lineRule="auto"/>
              <w:jc w:val="left"/>
              <w:rPr>
                <w:sz w:val="24"/>
              </w:rPr>
            </w:pPr>
            <w:r>
              <w:rPr>
                <w:sz w:val="24"/>
              </w:rPr>
              <w:t>9.</w:t>
            </w:r>
          </w:p>
        </w:tc>
        <w:tc>
          <w:tcPr>
            <w:tcW w:w="2274" w:type="dxa"/>
            <w:tcBorders>
              <w:top w:val="nil"/>
              <w:bottom w:val="nil"/>
            </w:tcBorders>
          </w:tcPr>
          <w:p w:rsidR="00000000" w:rsidRDefault="00000000">
            <w:pPr>
              <w:pStyle w:val="BodyText"/>
              <w:spacing w:line="216" w:lineRule="auto"/>
              <w:jc w:val="left"/>
              <w:rPr>
                <w:sz w:val="24"/>
                <w:lang w:val="ru-RU"/>
              </w:rPr>
            </w:pPr>
            <w:r>
              <w:rPr>
                <w:sz w:val="24"/>
                <w:lang w:val="ru-RU"/>
              </w:rPr>
              <w:t>Пособие на детей и пособия в связи с рождением ребенка</w:t>
            </w:r>
          </w:p>
          <w:p w:rsidR="00000000" w:rsidRDefault="00000000">
            <w:pPr>
              <w:pStyle w:val="BodyText"/>
              <w:spacing w:line="216" w:lineRule="auto"/>
              <w:jc w:val="left"/>
              <w:rPr>
                <w:sz w:val="24"/>
                <w:lang w:val="ru-RU"/>
              </w:rPr>
            </w:pPr>
          </w:p>
        </w:tc>
        <w:tc>
          <w:tcPr>
            <w:tcW w:w="1553" w:type="dxa"/>
            <w:tcBorders>
              <w:top w:val="nil"/>
              <w:bottom w:val="nil"/>
            </w:tcBorders>
          </w:tcPr>
          <w:p w:rsidR="00000000" w:rsidRDefault="00000000">
            <w:pPr>
              <w:pStyle w:val="BodyText"/>
              <w:spacing w:line="216" w:lineRule="auto"/>
              <w:jc w:val="right"/>
              <w:rPr>
                <w:sz w:val="24"/>
                <w:lang w:val="ru-RU"/>
              </w:rPr>
            </w:pPr>
            <w:r>
              <w:rPr>
                <w:sz w:val="24"/>
                <w:lang w:val="ru-RU"/>
              </w:rPr>
              <w:t>220 000 000</w:t>
            </w:r>
          </w:p>
        </w:tc>
        <w:tc>
          <w:tcPr>
            <w:tcW w:w="2000" w:type="dxa"/>
            <w:tcBorders>
              <w:top w:val="nil"/>
              <w:bottom w:val="nil"/>
            </w:tcBorders>
          </w:tcPr>
          <w:p w:rsidR="00000000" w:rsidRDefault="00000000">
            <w:pPr>
              <w:pStyle w:val="BodyText"/>
              <w:spacing w:line="216" w:lineRule="auto"/>
              <w:ind w:right="231"/>
              <w:jc w:val="right"/>
              <w:rPr>
                <w:sz w:val="24"/>
              </w:rPr>
            </w:pPr>
            <w:r>
              <w:rPr>
                <w:sz w:val="24"/>
              </w:rPr>
              <w:t>279 411 835</w:t>
            </w:r>
          </w:p>
        </w:tc>
        <w:tc>
          <w:tcPr>
            <w:tcW w:w="1496" w:type="dxa"/>
            <w:tcBorders>
              <w:top w:val="nil"/>
              <w:bottom w:val="nil"/>
            </w:tcBorders>
          </w:tcPr>
          <w:p w:rsidR="00000000" w:rsidRDefault="00000000">
            <w:pPr>
              <w:pStyle w:val="BodyText"/>
              <w:spacing w:line="216" w:lineRule="auto"/>
              <w:ind w:right="440"/>
              <w:jc w:val="right"/>
              <w:rPr>
                <w:sz w:val="24"/>
              </w:rPr>
            </w:pPr>
            <w:r>
              <w:rPr>
                <w:sz w:val="24"/>
              </w:rPr>
              <w:t>127</w:t>
            </w:r>
            <w:r>
              <w:rPr>
                <w:sz w:val="24"/>
                <w:lang w:val="ru-RU"/>
              </w:rPr>
              <w:t>,</w:t>
            </w:r>
            <w:r>
              <w:rPr>
                <w:sz w:val="24"/>
              </w:rPr>
              <w:t>0</w:t>
            </w:r>
          </w:p>
        </w:tc>
        <w:tc>
          <w:tcPr>
            <w:tcW w:w="1870" w:type="dxa"/>
            <w:tcBorders>
              <w:top w:val="nil"/>
              <w:bottom w:val="nil"/>
            </w:tcBorders>
          </w:tcPr>
          <w:p w:rsidR="00000000" w:rsidRDefault="00000000">
            <w:pPr>
              <w:pStyle w:val="BodyText"/>
              <w:spacing w:line="216" w:lineRule="auto"/>
              <w:ind w:right="594"/>
              <w:jc w:val="right"/>
              <w:rPr>
                <w:sz w:val="24"/>
              </w:rPr>
            </w:pPr>
          </w:p>
        </w:tc>
      </w:tr>
      <w:tr w:rsidR="00000000">
        <w:tblPrEx>
          <w:tblCellMar>
            <w:top w:w="0" w:type="dxa"/>
            <w:bottom w:w="0" w:type="dxa"/>
          </w:tblCellMar>
        </w:tblPrEx>
        <w:tc>
          <w:tcPr>
            <w:tcW w:w="395" w:type="dxa"/>
            <w:tcBorders>
              <w:top w:val="nil"/>
            </w:tcBorders>
          </w:tcPr>
          <w:p w:rsidR="00000000" w:rsidRDefault="00000000">
            <w:pPr>
              <w:pStyle w:val="BodyText"/>
              <w:spacing w:line="216" w:lineRule="auto"/>
              <w:jc w:val="left"/>
              <w:rPr>
                <w:sz w:val="24"/>
              </w:rPr>
            </w:pPr>
            <w:r>
              <w:rPr>
                <w:sz w:val="24"/>
              </w:rPr>
              <w:t>10.</w:t>
            </w:r>
          </w:p>
        </w:tc>
        <w:tc>
          <w:tcPr>
            <w:tcW w:w="2274" w:type="dxa"/>
            <w:tcBorders>
              <w:top w:val="nil"/>
            </w:tcBorders>
          </w:tcPr>
          <w:p w:rsidR="00000000" w:rsidRDefault="00000000">
            <w:pPr>
              <w:pStyle w:val="BodyText"/>
              <w:spacing w:line="216" w:lineRule="auto"/>
              <w:jc w:val="left"/>
              <w:rPr>
                <w:sz w:val="24"/>
                <w:lang w:val="ru-RU"/>
              </w:rPr>
            </w:pPr>
            <w:r>
              <w:rPr>
                <w:sz w:val="24"/>
                <w:lang w:val="ru-RU"/>
              </w:rPr>
              <w:t>Детская неделя</w:t>
            </w:r>
          </w:p>
        </w:tc>
        <w:tc>
          <w:tcPr>
            <w:tcW w:w="1553" w:type="dxa"/>
            <w:tcBorders>
              <w:top w:val="nil"/>
            </w:tcBorders>
          </w:tcPr>
          <w:p w:rsidR="00000000" w:rsidRDefault="00000000">
            <w:pPr>
              <w:pStyle w:val="BodyText"/>
              <w:spacing w:line="216" w:lineRule="auto"/>
              <w:jc w:val="right"/>
              <w:rPr>
                <w:sz w:val="24"/>
              </w:rPr>
            </w:pPr>
          </w:p>
        </w:tc>
        <w:tc>
          <w:tcPr>
            <w:tcW w:w="2000" w:type="dxa"/>
            <w:tcBorders>
              <w:top w:val="nil"/>
            </w:tcBorders>
          </w:tcPr>
          <w:p w:rsidR="00000000" w:rsidRDefault="00000000">
            <w:pPr>
              <w:pStyle w:val="BodyText"/>
              <w:spacing w:line="216" w:lineRule="auto"/>
              <w:ind w:right="231"/>
              <w:jc w:val="right"/>
              <w:rPr>
                <w:sz w:val="24"/>
                <w:lang w:val="ru-RU"/>
              </w:rPr>
            </w:pPr>
            <w:r>
              <w:rPr>
                <w:sz w:val="24"/>
              </w:rPr>
              <w:t>500 000</w:t>
            </w:r>
          </w:p>
          <w:p w:rsidR="00000000" w:rsidRDefault="00000000">
            <w:pPr>
              <w:pStyle w:val="BodyText"/>
              <w:spacing w:line="216" w:lineRule="auto"/>
              <w:ind w:right="231"/>
              <w:jc w:val="right"/>
              <w:rPr>
                <w:sz w:val="24"/>
                <w:lang w:val="ru-RU"/>
              </w:rPr>
            </w:pPr>
          </w:p>
        </w:tc>
        <w:tc>
          <w:tcPr>
            <w:tcW w:w="1496" w:type="dxa"/>
            <w:tcBorders>
              <w:top w:val="nil"/>
            </w:tcBorders>
          </w:tcPr>
          <w:p w:rsidR="00000000" w:rsidRDefault="00000000">
            <w:pPr>
              <w:pStyle w:val="BodyText"/>
              <w:spacing w:line="216" w:lineRule="auto"/>
              <w:ind w:right="440"/>
              <w:jc w:val="right"/>
              <w:rPr>
                <w:sz w:val="24"/>
              </w:rPr>
            </w:pPr>
          </w:p>
        </w:tc>
        <w:tc>
          <w:tcPr>
            <w:tcW w:w="1870" w:type="dxa"/>
            <w:tcBorders>
              <w:top w:val="nil"/>
            </w:tcBorders>
          </w:tcPr>
          <w:p w:rsidR="00000000" w:rsidRDefault="00000000">
            <w:pPr>
              <w:pStyle w:val="BodyText"/>
              <w:spacing w:line="216" w:lineRule="auto"/>
              <w:ind w:right="594"/>
              <w:jc w:val="right"/>
              <w:rPr>
                <w:sz w:val="24"/>
              </w:rPr>
            </w:pPr>
          </w:p>
        </w:tc>
      </w:tr>
      <w:tr w:rsidR="00000000">
        <w:tblPrEx>
          <w:tblCellMar>
            <w:top w:w="0" w:type="dxa"/>
            <w:bottom w:w="0" w:type="dxa"/>
          </w:tblCellMar>
        </w:tblPrEx>
        <w:tc>
          <w:tcPr>
            <w:tcW w:w="395" w:type="dxa"/>
            <w:tcMar>
              <w:top w:w="28" w:type="dxa"/>
              <w:bottom w:w="28" w:type="dxa"/>
            </w:tcMar>
          </w:tcPr>
          <w:p w:rsidR="00000000" w:rsidRDefault="00000000">
            <w:pPr>
              <w:pStyle w:val="BodyText"/>
              <w:spacing w:line="216" w:lineRule="auto"/>
              <w:jc w:val="left"/>
              <w:rPr>
                <w:sz w:val="24"/>
              </w:rPr>
            </w:pPr>
          </w:p>
        </w:tc>
        <w:tc>
          <w:tcPr>
            <w:tcW w:w="2274" w:type="dxa"/>
            <w:tcMar>
              <w:top w:w="28" w:type="dxa"/>
              <w:bottom w:w="28" w:type="dxa"/>
            </w:tcMar>
          </w:tcPr>
          <w:p w:rsidR="00000000" w:rsidRDefault="00000000">
            <w:pPr>
              <w:pStyle w:val="BodyText"/>
              <w:spacing w:line="216" w:lineRule="auto"/>
              <w:jc w:val="left"/>
              <w:rPr>
                <w:sz w:val="24"/>
                <w:lang w:val="ru-RU"/>
              </w:rPr>
            </w:pPr>
            <w:r>
              <w:rPr>
                <w:sz w:val="24"/>
                <w:lang w:val="ru-RU"/>
              </w:rPr>
              <w:t>Всего</w:t>
            </w:r>
          </w:p>
        </w:tc>
        <w:tc>
          <w:tcPr>
            <w:tcW w:w="1553" w:type="dxa"/>
            <w:tcMar>
              <w:top w:w="28" w:type="dxa"/>
              <w:bottom w:w="28" w:type="dxa"/>
            </w:tcMar>
          </w:tcPr>
          <w:p w:rsidR="00000000" w:rsidRDefault="00000000">
            <w:pPr>
              <w:pStyle w:val="BodyText"/>
              <w:spacing w:line="216" w:lineRule="auto"/>
              <w:jc w:val="right"/>
              <w:rPr>
                <w:sz w:val="24"/>
              </w:rPr>
            </w:pPr>
            <w:r>
              <w:rPr>
                <w:sz w:val="24"/>
              </w:rPr>
              <w:t xml:space="preserve">12 532 000 </w:t>
            </w:r>
          </w:p>
        </w:tc>
        <w:tc>
          <w:tcPr>
            <w:tcW w:w="2000" w:type="dxa"/>
            <w:tcMar>
              <w:top w:w="28" w:type="dxa"/>
              <w:bottom w:w="28" w:type="dxa"/>
            </w:tcMar>
          </w:tcPr>
          <w:p w:rsidR="00000000" w:rsidRDefault="00000000">
            <w:pPr>
              <w:pStyle w:val="BodyText"/>
              <w:spacing w:line="216" w:lineRule="auto"/>
              <w:ind w:right="231"/>
              <w:jc w:val="right"/>
              <w:rPr>
                <w:sz w:val="24"/>
              </w:rPr>
            </w:pPr>
            <w:r>
              <w:rPr>
                <w:sz w:val="24"/>
              </w:rPr>
              <w:t>11 272 337 216</w:t>
            </w:r>
          </w:p>
        </w:tc>
        <w:tc>
          <w:tcPr>
            <w:tcW w:w="1496" w:type="dxa"/>
            <w:tcMar>
              <w:top w:w="28" w:type="dxa"/>
              <w:bottom w:w="28" w:type="dxa"/>
            </w:tcMar>
          </w:tcPr>
          <w:p w:rsidR="00000000" w:rsidRDefault="00000000">
            <w:pPr>
              <w:pStyle w:val="BodyText"/>
              <w:spacing w:line="216" w:lineRule="auto"/>
              <w:ind w:right="440"/>
              <w:jc w:val="right"/>
              <w:rPr>
                <w:sz w:val="24"/>
              </w:rPr>
            </w:pPr>
            <w:r>
              <w:rPr>
                <w:sz w:val="24"/>
              </w:rPr>
              <w:t>89</w:t>
            </w:r>
            <w:r>
              <w:rPr>
                <w:sz w:val="24"/>
                <w:lang w:val="ru-RU"/>
              </w:rPr>
              <w:t>,</w:t>
            </w:r>
            <w:r>
              <w:rPr>
                <w:sz w:val="24"/>
              </w:rPr>
              <w:t>9</w:t>
            </w:r>
          </w:p>
        </w:tc>
        <w:tc>
          <w:tcPr>
            <w:tcW w:w="1870" w:type="dxa"/>
            <w:tcMar>
              <w:top w:w="28" w:type="dxa"/>
              <w:bottom w:w="28" w:type="dxa"/>
            </w:tcMar>
          </w:tcPr>
          <w:p w:rsidR="00000000" w:rsidRDefault="00000000">
            <w:pPr>
              <w:pStyle w:val="BodyText"/>
              <w:spacing w:line="216" w:lineRule="auto"/>
              <w:jc w:val="left"/>
              <w:rPr>
                <w:sz w:val="24"/>
                <w:lang w:val="ru-RU"/>
              </w:rPr>
            </w:pPr>
            <w:r>
              <w:rPr>
                <w:sz w:val="24"/>
              </w:rPr>
              <w:t>603</w:t>
            </w:r>
            <w:r>
              <w:rPr>
                <w:sz w:val="24"/>
                <w:lang w:val="ru-RU"/>
              </w:rPr>
              <w:t xml:space="preserve"> </w:t>
            </w:r>
            <w:r>
              <w:rPr>
                <w:sz w:val="24"/>
              </w:rPr>
              <w:t xml:space="preserve">506 </w:t>
            </w:r>
            <w:r>
              <w:rPr>
                <w:sz w:val="24"/>
                <w:lang w:val="ru-RU"/>
              </w:rPr>
              <w:t>детей</w:t>
            </w:r>
          </w:p>
        </w:tc>
      </w:tr>
    </w:tbl>
    <w:p w:rsidR="00000000" w:rsidRDefault="00000000">
      <w:pPr>
        <w:pStyle w:val="BodyText"/>
        <w:spacing w:line="216" w:lineRule="auto"/>
        <w:rPr>
          <w:sz w:val="24"/>
          <w:lang w:val="ru-RU"/>
        </w:rPr>
      </w:pPr>
    </w:p>
    <w:p w:rsidR="00000000" w:rsidRDefault="00000000">
      <w:pPr>
        <w:pStyle w:val="BodyText"/>
        <w:spacing w:line="216" w:lineRule="auto"/>
        <w:rPr>
          <w:sz w:val="24"/>
          <w:lang w:val="ru-RU"/>
        </w:rPr>
      </w:pPr>
      <w:r>
        <w:rPr>
          <w:sz w:val="24"/>
          <w:lang w:val="ru-RU"/>
        </w:rPr>
        <w:tab/>
      </w:r>
      <w:r>
        <w:rPr>
          <w:i/>
          <w:iCs/>
          <w:sz w:val="24"/>
          <w:lang w:val="ru-RU"/>
        </w:rPr>
        <w:t>Источник:</w:t>
      </w:r>
      <w:r>
        <w:rPr>
          <w:sz w:val="24"/>
          <w:lang w:val="ru-RU"/>
        </w:rPr>
        <w:t xml:space="preserve">  Министерство социального обеспечения Республики Сербии.</w:t>
      </w:r>
    </w:p>
    <w:p w:rsidR="00000000" w:rsidRDefault="00000000">
      <w:pPr>
        <w:pStyle w:val="BodyText"/>
        <w:spacing w:line="288" w:lineRule="auto"/>
        <w:rPr>
          <w:sz w:val="24"/>
          <w:lang w:val="ru-RU"/>
        </w:rPr>
      </w:pPr>
    </w:p>
    <w:p w:rsidR="00000000" w:rsidRDefault="00000000">
      <w:pPr>
        <w:pStyle w:val="BodyText"/>
        <w:keepLines/>
        <w:tabs>
          <w:tab w:val="left" w:pos="567"/>
          <w:tab w:val="left" w:pos="1134"/>
          <w:tab w:val="left" w:pos="1701"/>
          <w:tab w:val="left" w:pos="2268"/>
        </w:tabs>
        <w:spacing w:line="288" w:lineRule="auto"/>
        <w:jc w:val="left"/>
        <w:rPr>
          <w:sz w:val="24"/>
          <w:lang w:val="ru-RU"/>
        </w:rPr>
      </w:pPr>
      <w:r>
        <w:rPr>
          <w:sz w:val="24"/>
          <w:lang w:val="ru-RU"/>
        </w:rPr>
        <w:t>196.</w:t>
      </w:r>
      <w:r>
        <w:rPr>
          <w:sz w:val="24"/>
          <w:lang w:val="ru-RU"/>
        </w:rPr>
        <w:tab/>
        <w:t>Осуществление права на получение финансовой помощи семьями с детьми зависит от фактического наличия ресурсов.  Этот механизм реализуется за счет осуществления положений Закона об оказании финансовой помощи семьям с детьми и упорядочения выплаты пособий.  Реальное воздействие упорядочения в этой области можно оценить по прошествии года с момента начала реализации этого Закона.  Так, согласно оценкам, размер экономии при использовании данного Закона по сравнению с Законом о социальной защите детей составит около 2 770 млн. динаров в 2003 году, при этом почти 350 млн. динаров будет сэкономлено за счет снижения затрат на обработку и выплату пособий.</w:t>
      </w:r>
    </w:p>
    <w:p w:rsidR="00000000" w:rsidRDefault="00000000">
      <w:pPr>
        <w:pStyle w:val="BodyText"/>
        <w:tabs>
          <w:tab w:val="left" w:pos="567"/>
          <w:tab w:val="left" w:pos="1134"/>
          <w:tab w:val="left" w:pos="1701"/>
          <w:tab w:val="left" w:pos="2268"/>
        </w:tabs>
        <w:spacing w:line="288" w:lineRule="auto"/>
        <w:jc w:val="left"/>
        <w:rPr>
          <w:sz w:val="24"/>
          <w:lang w:val="ru-RU"/>
        </w:rPr>
      </w:pPr>
    </w:p>
    <w:p w:rsidR="00000000" w:rsidRDefault="00000000">
      <w:r>
        <w:t>197.</w:t>
      </w:r>
      <w:r>
        <w:tab/>
        <w:t>Ниже перечислены проекты реформ, направленных на изменение политики и практики в этой области:  разработка системы воспитания детей в чужих семьях в Сербии (2002</w:t>
      </w:r>
      <w:r>
        <w:noBreakHyphen/>
        <w:t>2004 годы);  преобразование учреждений в системе социального обеспечения (2002</w:t>
      </w:r>
      <w:r>
        <w:noBreakHyphen/>
        <w:t xml:space="preserve">2004 годы), </w:t>
      </w:r>
      <w:proofErr w:type="spellStart"/>
      <w:r>
        <w:t>деинституциализация</w:t>
      </w:r>
      <w:proofErr w:type="spellEnd"/>
      <w:r>
        <w:t>;  разработка профессиональных норм в области социального обеспечения, включая мониторинг и оценку (2002</w:t>
      </w:r>
      <w:r>
        <w:noBreakHyphen/>
        <w:t>2003 годы), обеспечение стандартов качества жизни;  развитие системы социального обеспечения детей-инвалидов (2002-2003 годы);  обеспечение всестороннего доступа к системе социального обеспечения и налаживание партнерства на местном уровне в области предоставления услуг (2002-2005 годы) - децентрализация в системе социального обеспечения;  развитие системы социального обеспечения для защиты от насилия в семье (включая торговлю людьми) (2002</w:t>
      </w:r>
      <w:r>
        <w:noBreakHyphen/>
        <w:t>2004</w:t>
      </w:r>
      <w:r>
        <w:rPr>
          <w:lang w:val="en-US"/>
        </w:rPr>
        <w:t> </w:t>
      </w:r>
      <w:r>
        <w:t>годы);  создание альтернативных форм социального обеспечения и обслуживания (2002</w:t>
      </w:r>
      <w:r>
        <w:noBreakHyphen/>
        <w:t>2004 годы) на базе Фонда социальных инноваций.</w:t>
      </w:r>
    </w:p>
    <w:p w:rsidR="00000000" w:rsidRDefault="00000000"/>
    <w:p w:rsidR="00000000" w:rsidRDefault="00000000">
      <w:r>
        <w:t>198.</w:t>
      </w:r>
      <w:r>
        <w:tab/>
        <w:t>В рамках изменений в секторе социального обеспечения был разработан проект закона о внесении поправок в Закон о социальной защите и социальном обеспечении в Республике Сербии.  Как ожидается, этот закон будет принят в конце 2003 года.  Поправки предусматривают изменения в критериях осуществления прав на социальную помощь;  включение определенных категорий, которые в предыдущий период не охватывались системой страхования пенсионеров и инвалидов;  изменения в индексации размера пособий по социальной помощи;  внедрение механизмов более эффективного выявления малоимущих/социально уязвимых семей;  внедрение механизмов мониторинга и надзора и экономию бюджетных средств в целях более эффективного перераспределения средств на цели социальной защиты.</w:t>
      </w:r>
    </w:p>
    <w:p w:rsidR="00000000" w:rsidRDefault="00000000"/>
    <w:p w:rsidR="00000000" w:rsidRDefault="00000000">
      <w:r>
        <w:t>199.</w:t>
      </w:r>
      <w:r>
        <w:tab/>
        <w:t>В рамках реформ системы страхования пенсионеров и инвалидов министерство социального обеспечения Республики Сербии приняло меры, направленные на изменение системы страхования пенсионеров и инвалидов, и с этой целью в декабре 2001 года внесло предложение о внесении поправок в Закон о страховании пенсионеров и инвалидов.  Таким образом, была на практике реализована швейцарская формула ежеквартальных пенсионных индексов за счет совмещения увеличения заработной платы и расходов на жизнь (50% : 50%);  предельный пенсионный возраст был увеличен на три года (58 лет для женщин и 63 года для мужчин);  и в рамках системы была введена единая минимальная пенсия.  Кроме того, была обеспечена регулярная выплата пенсий два раза в месяц.  Размер пенсионных отчислений был снижен с 32% до 19,6%;  была расширена база налогов и отчислений;  была налажена система непосредственного перечисления бюджетных средств и ликвидированы банковские ссуды, что позволило получить экономию в размере 500-800 млн. динаров;  было введено обязательное требование о представлении свидетельств о смерти умерших членов Фонда страхования пенсионеров и инвалидов;  и была инициирована кампания по борьбе с мошенничеством с пенсиями по инвалидности.</w:t>
      </w:r>
    </w:p>
    <w:p w:rsidR="00000000" w:rsidRDefault="00000000"/>
    <w:p w:rsidR="00000000" w:rsidRDefault="00000000">
      <w:r>
        <w:t>200.</w:t>
      </w:r>
      <w:r>
        <w:tab/>
        <w:t>Планируется принять закон о пенсионном страховании в Республике Сербии, цель которого состоит в усилении взаимосвязи между размером пенсии и суммой взносов в пенсионный фонд;  снижении количества чрезмерно либеральных и перераспределительных элементов в системе;  обеспечении финансовой стабилизации и фискальной устойчивости системы;  более сбалансированном распределении бремени между участниками пенсионного фонда;  расширении возможности выбора, т.е. увеличении срока выслуги и размера отчислений в пенсионный фонд в целях увеличения размера пенсий;  создании условий для перехода от теневой к нормальной экономике;  разработке более справедливого, стимулирующего и простого метода исчисления размера пенсий;  и создании условий для продолжения реформаторской деятельности в этой области.</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rPr>
          <w:b/>
          <w:bCs/>
        </w:rPr>
      </w:pPr>
      <w:r>
        <w:rPr>
          <w:b/>
          <w:bCs/>
        </w:rPr>
        <w:t>а)</w:t>
      </w:r>
      <w:r>
        <w:rPr>
          <w:b/>
          <w:bCs/>
        </w:rPr>
        <w:tab/>
        <w:t>Ратифицированные международные договоры</w:t>
      </w:r>
    </w:p>
    <w:p w:rsidR="00000000" w:rsidRDefault="00000000">
      <w:pPr>
        <w:jc w:val="center"/>
        <w:rPr>
          <w:b/>
          <w:bCs/>
        </w:rPr>
      </w:pPr>
    </w:p>
    <w:p w:rsidR="00000000" w:rsidRDefault="00000000">
      <w:r>
        <w:t>201.</w:t>
      </w:r>
      <w:r>
        <w:tab/>
        <w:t>Соответствующие ратифицированные международные договоры включают:</w:t>
      </w:r>
    </w:p>
    <w:p w:rsidR="00000000" w:rsidRDefault="00000000"/>
    <w:p w:rsidR="00000000" w:rsidRDefault="00000000">
      <w:r>
        <w:tab/>
        <w:t>-</w:t>
      </w:r>
      <w:r>
        <w:tab/>
        <w:t>Международный пакт о гражданских и политических правах;</w:t>
      </w:r>
    </w:p>
    <w:p w:rsidR="00000000" w:rsidRDefault="00000000"/>
    <w:p w:rsidR="00000000" w:rsidRDefault="00000000">
      <w:r>
        <w:tab/>
        <w:t>-</w:t>
      </w:r>
      <w:r>
        <w:tab/>
        <w:t>Конвенцию о правах ребенка;</w:t>
      </w:r>
    </w:p>
    <w:p w:rsidR="00000000" w:rsidRDefault="00000000"/>
    <w:p w:rsidR="00000000" w:rsidRDefault="00000000">
      <w:r>
        <w:tab/>
        <w:t>-</w:t>
      </w:r>
      <w:r>
        <w:tab/>
        <w:t>Конвенцию о ликвидации всех форм дискриминации в отношении женщин;</w:t>
      </w:r>
    </w:p>
    <w:p w:rsidR="00000000" w:rsidRDefault="00000000"/>
    <w:p w:rsidR="00000000" w:rsidRDefault="00000000">
      <w:pPr>
        <w:ind w:left="1134" w:hanging="1134"/>
      </w:pPr>
      <w:r>
        <w:tab/>
        <w:t>-</w:t>
      </w:r>
      <w:r>
        <w:tab/>
        <w:t>Конвенцию МОТ № 103 об охране материнства  (пересмотренную в 1952 году);  и</w:t>
      </w:r>
    </w:p>
    <w:p w:rsidR="00000000" w:rsidRDefault="00000000">
      <w:pPr>
        <w:ind w:left="1134" w:hanging="1134"/>
      </w:pPr>
    </w:p>
    <w:p w:rsidR="00000000" w:rsidRDefault="00000000">
      <w:pPr>
        <w:ind w:left="1134" w:hanging="1134"/>
      </w:pPr>
      <w:r>
        <w:tab/>
        <w:t>-</w:t>
      </w:r>
      <w:r>
        <w:tab/>
        <w:t>Конвенцию МОТ № 138 о минимальном возрасте для приема на работу (1973 год).</w:t>
      </w:r>
    </w:p>
    <w:p w:rsidR="00000000" w:rsidRDefault="00000000">
      <w:pPr>
        <w:ind w:left="1134" w:hanging="1134"/>
      </w:pPr>
    </w:p>
    <w:p w:rsidR="00000000" w:rsidRDefault="00000000">
      <w:pPr>
        <w:ind w:left="1134" w:hanging="1134"/>
        <w:rPr>
          <w:b/>
          <w:bCs/>
        </w:rPr>
      </w:pPr>
      <w:r>
        <w:rPr>
          <w:b/>
          <w:bCs/>
          <w:lang w:val="en-US"/>
        </w:rPr>
        <w:t>b</w:t>
      </w:r>
      <w:r>
        <w:rPr>
          <w:b/>
          <w:bCs/>
        </w:rPr>
        <w:t>)</w:t>
      </w:r>
      <w:r>
        <w:rPr>
          <w:b/>
          <w:bCs/>
        </w:rPr>
        <w:tab/>
        <w:t>Значение термина "семья"</w:t>
      </w:r>
    </w:p>
    <w:p w:rsidR="00000000" w:rsidRDefault="00000000">
      <w:pPr>
        <w:ind w:left="1134" w:hanging="1134"/>
        <w:jc w:val="center"/>
        <w:rPr>
          <w:b/>
          <w:bCs/>
        </w:rPr>
      </w:pPr>
    </w:p>
    <w:p w:rsidR="00000000" w:rsidRDefault="00000000">
      <w:r>
        <w:t>202.</w:t>
      </w:r>
      <w:r>
        <w:tab/>
        <w:t>В Конституции Союзной Республики Югославии закреплено, что семья, мать и ребенок пользуются особой защитой и что дети, рожденные вне брака и в браке, имеют равные права и обязанности (статья 61).  Хартия прав человека и национальных меньшинств и гражданских свобод также гарантирует особую защиту семьи, материнства и детства.  В ней также гарантируются права матери на помощь и защиту со стороны государств-членов в течение установленного законом периода до и после рождения ребенка.</w:t>
      </w:r>
    </w:p>
    <w:p w:rsidR="00000000" w:rsidRDefault="00000000"/>
    <w:p w:rsidR="00000000" w:rsidRDefault="00000000">
      <w:r>
        <w:t>203.</w:t>
      </w:r>
      <w:r>
        <w:tab/>
        <w:t>Закон о брачных и семейных отношениях Республики Сербии (</w:t>
      </w:r>
      <w:r>
        <w:rPr>
          <w:i/>
          <w:iCs/>
        </w:rPr>
        <w:t>Официальный вестник Республики Сербии</w:t>
      </w:r>
      <w:r>
        <w:t xml:space="preserve">, № 22/80, 11/88, 22/93, 25/93, 35/94, 29/2001), являющийся основным нормативно-правовым актом, регулирующим брачные и семейные отношения, не содержит четкого определения понятия "семья".  Однако из положений, касающихся семьи, косвенно следует, что указанный закон толкует понятие "семья" как союз двух супругов или, в более широком смысле, как союз родителей и детей.  Более широкое толкование понятия "семья" дается лишь в случае регулирования определенных имущественных отношений (содержание), в связи с чем обязательство, касающееся содержания, распространяется на всех родственников.  Это обязательство существует в отношении родственников, связанных любыми степенями родства, и касается как родных братьев и сестер, достигших или не достигших совершеннолетия, так и лиц, не связанных кровными узами, например родителей и детей от прежних браков.  </w:t>
      </w:r>
    </w:p>
    <w:p w:rsidR="00000000" w:rsidRDefault="00000000"/>
    <w:p w:rsidR="00000000" w:rsidRDefault="00000000">
      <w:r>
        <w:t>204.</w:t>
      </w:r>
      <w:r>
        <w:tab/>
        <w:t>Согласно положениям Закона о социальной защите детей Республики Сербии (</w:t>
      </w:r>
      <w:r>
        <w:rPr>
          <w:i/>
          <w:iCs/>
        </w:rPr>
        <w:t>Официальный вестник Республики Сербии</w:t>
      </w:r>
      <w:r>
        <w:t>, № 49/92, 29/93, 53/93, 28/94, 47/94, 25/96, 29/01), семья состоит из (женатых или живущих в гражданском браке) супругов и детей (законнорожденных и незаконнорожденных, усыновленных и приемных) и родственников до второй степени родства при условии, что они живут в общем домашнем хозяйстве.</w:t>
      </w:r>
    </w:p>
    <w:p w:rsidR="00000000" w:rsidRDefault="00000000"/>
    <w:p w:rsidR="00000000" w:rsidRDefault="00000000">
      <w:r>
        <w:t>205.</w:t>
      </w:r>
      <w:r>
        <w:tab/>
        <w:t>В Законе о социальном обеспечении и социальном страховании граждан Республики Сербии понятие "семья" определяется следующим образом:  "Для целей осуществления права на финансовую помощь под семьей подразумеваются женатые или живущие в гражданском браке супруги, дети, законнорожденные, незаконнорожденные, приемные и переданные на воспитание) и прямые и непрямые родственники до второй степени родства при условии, что они живут в общем домашнем хозяйстве".</w:t>
      </w:r>
    </w:p>
    <w:p w:rsidR="00000000" w:rsidRDefault="00000000"/>
    <w:p w:rsidR="00000000" w:rsidRDefault="00000000">
      <w:r>
        <w:t>206.</w:t>
      </w:r>
      <w:r>
        <w:tab/>
        <w:t>В исключительных случаях лицо, не имеющее дохода и не проживающее совместно со своими родителями, может рассматриваться в качестве члена семьи, образованной его родителями, до тех пор, пока оно не вступит в брак или не создаст свою собственную семью, или до достижения таким лицом 27-летнего возраста.  Кроме того, в исключительных случаях супруг, а также родитель, который не в состоянии трудиться, и дети, посещающие обычную школу, могут рассматриваться в качестве членов семьи, независимо от места их проживания.</w:t>
      </w:r>
    </w:p>
    <w:p w:rsidR="00000000" w:rsidRDefault="00000000"/>
    <w:p w:rsidR="00000000" w:rsidRDefault="00000000">
      <w:pPr>
        <w:rPr>
          <w:b/>
          <w:bCs/>
        </w:rPr>
      </w:pPr>
      <w:r>
        <w:rPr>
          <w:b/>
          <w:bCs/>
        </w:rPr>
        <w:t>с)</w:t>
      </w:r>
      <w:r>
        <w:rPr>
          <w:b/>
          <w:bCs/>
        </w:rPr>
        <w:tab/>
        <w:t>Возраст правоспособности детей</w:t>
      </w:r>
    </w:p>
    <w:p w:rsidR="00000000" w:rsidRDefault="00000000">
      <w:pPr>
        <w:jc w:val="center"/>
        <w:rPr>
          <w:b/>
          <w:bCs/>
        </w:rPr>
      </w:pPr>
    </w:p>
    <w:p w:rsidR="00000000" w:rsidRDefault="00000000">
      <w:r>
        <w:t>207.</w:t>
      </w:r>
      <w:r>
        <w:tab/>
        <w:t>Согласно Закону о брачных и семейных отношениях Республики Сербии совершеннолетним считается лицо, достигшее 18-летнего возраста.  Несовершеннолетние, достигшие 16-летнего возраста, могут вступать в брак по разрешению суда.  Полная дееспособность наступает по достижении совершеннолетия, а также в случае заключения брака до достижения совершеннолетия.</w:t>
      </w:r>
    </w:p>
    <w:p w:rsidR="00000000" w:rsidRDefault="00000000"/>
    <w:p w:rsidR="00000000" w:rsidRDefault="00000000">
      <w:r>
        <w:t>208.</w:t>
      </w:r>
      <w:r>
        <w:tab/>
        <w:t>Ребенок, которому исполнилось 14 лет, может самостоятельно осуществлять предусмотренные законом действия, однако, для того чтобы эти действия имели юридическую силу, за исключением малозначительных действий, требуется согласие его родителей или попечительского органа в случае осуществления или ограничения имущественных прав ребенка.</w:t>
      </w:r>
    </w:p>
    <w:p w:rsidR="00000000" w:rsidRDefault="00000000"/>
    <w:p w:rsidR="00000000" w:rsidRDefault="00000000">
      <w:r>
        <w:t>209.</w:t>
      </w:r>
      <w:r>
        <w:tab/>
        <w:t>Ребенок, которому исполнилось 15 лет, может самостоятельно устраиваться на работу и распоряжаться своим доходом и имуществом, полученным за счет работы.  Однако при этом он обязан отчислять часть заработанных средств на свое содержание, воспитание и образование.</w:t>
      </w:r>
    </w:p>
    <w:p w:rsidR="00000000" w:rsidRDefault="00000000"/>
    <w:p w:rsidR="00000000" w:rsidRDefault="00000000">
      <w:r>
        <w:t>210.</w:t>
      </w:r>
      <w:r>
        <w:tab/>
        <w:t>Правоспособность в отношении составления завещания наступает по достижении 16-летнего возраста.</w:t>
      </w:r>
    </w:p>
    <w:p w:rsidR="00000000" w:rsidRDefault="00000000"/>
    <w:p w:rsidR="00000000" w:rsidRDefault="00000000">
      <w:pPr>
        <w:rPr>
          <w:b/>
          <w:bCs/>
        </w:rPr>
      </w:pPr>
      <w:r>
        <w:rPr>
          <w:b/>
          <w:bCs/>
          <w:lang w:val="en-US"/>
        </w:rPr>
        <w:t>d</w:t>
      </w:r>
      <w:r>
        <w:rPr>
          <w:b/>
          <w:bCs/>
        </w:rPr>
        <w:t>)</w:t>
      </w:r>
      <w:r>
        <w:rPr>
          <w:b/>
          <w:bCs/>
        </w:rPr>
        <w:tab/>
        <w:t>Брак и брачные отношения</w:t>
      </w:r>
    </w:p>
    <w:p w:rsidR="00000000" w:rsidRDefault="00000000"/>
    <w:p w:rsidR="00000000" w:rsidRDefault="00000000">
      <w:pPr>
        <w:pStyle w:val="Heading1"/>
        <w:rPr>
          <w:b w:val="0"/>
          <w:i/>
          <w:iCs/>
        </w:rPr>
      </w:pPr>
      <w:r>
        <w:rPr>
          <w:b w:val="0"/>
          <w:i/>
          <w:iCs/>
        </w:rPr>
        <w:t>Гарантии свободного заключения брака</w:t>
      </w:r>
    </w:p>
    <w:p w:rsidR="00000000" w:rsidRDefault="00000000">
      <w:pPr>
        <w:pStyle w:val="Heading1"/>
        <w:rPr>
          <w:bCs/>
        </w:rPr>
      </w:pPr>
    </w:p>
    <w:p w:rsidR="00000000" w:rsidRDefault="00000000">
      <w:r>
        <w:t>211.</w:t>
      </w:r>
      <w:r>
        <w:tab/>
        <w:t>Согласно Конституции Союзной Республики Югославии, семья пользуется особой защитой.  Хартия прав человека и национальных меньшинств и гражданских свобод гарантирует право на заключение брака на основе свободного согласия будущих супругов.  Заключение, продолжение и расторжение брака осуществляются на основе принципа равенства супругов, при этом дети, рожденные в браке и вне брака, имеют равные права (статья 25).</w:t>
      </w:r>
    </w:p>
    <w:p w:rsidR="00000000" w:rsidRDefault="00000000"/>
    <w:p w:rsidR="00000000" w:rsidRDefault="00000000">
      <w:r>
        <w:t>212.</w:t>
      </w:r>
      <w:r>
        <w:tab/>
        <w:t>Вопросы, касающиеся брака и правовых отношений в браке, регулируются законом.  Согласно действующему законодательству, мужчинам и женщинам гарантируется право на вступление в законный брак на основе их свободного согласия, изъявленного перед компетентным органом.  Брак, заключенный без полного и свободного согласия со стороны мужчины и женщины, считается недействительным и не влечет за собой никаких правовых последствий.  На практике не возникает никаких проблем в связи с осуществлением права мужчин и женщин на вступление в брак только при наличии полного и свободного обоюдного согласия.</w:t>
      </w:r>
    </w:p>
    <w:p w:rsidR="00000000" w:rsidRDefault="00000000"/>
    <w:p w:rsidR="00000000" w:rsidRDefault="00000000">
      <w:pPr>
        <w:pStyle w:val="Heading1"/>
        <w:rPr>
          <w:b w:val="0"/>
          <w:i/>
          <w:iCs/>
        </w:rPr>
      </w:pPr>
      <w:r>
        <w:rPr>
          <w:b w:val="0"/>
          <w:i/>
          <w:iCs/>
        </w:rPr>
        <w:t>Меры по оказанию помощи молодым семьям</w:t>
      </w:r>
    </w:p>
    <w:p w:rsidR="00000000" w:rsidRDefault="00000000">
      <w:pPr>
        <w:pStyle w:val="Heading1"/>
        <w:rPr>
          <w:bCs/>
        </w:rPr>
      </w:pPr>
    </w:p>
    <w:p w:rsidR="00000000" w:rsidRDefault="00000000">
      <w:r>
        <w:t>213.</w:t>
      </w:r>
      <w:r>
        <w:tab/>
        <w:t>Принимается ряд мер в целях стимулирования создания семей и оказания помощи молодым супружеским парам.  Эти меры включают различные услуги и льготы.  Кроме того, принимаются многочисленные меры в целях поддержания, укрепления и защиты семьи, в частности:</w:t>
      </w:r>
    </w:p>
    <w:p w:rsidR="00000000" w:rsidRDefault="00000000"/>
    <w:p w:rsidR="00000000" w:rsidRDefault="00000000">
      <w:r>
        <w:tab/>
        <w:t>а)</w:t>
      </w:r>
      <w:r>
        <w:tab/>
        <w:t>компенсация заработной платы в период отпуска по беременности и родам и продление отпуска по беременности и родам с целью обеспечения ухода за ребенком до достижения им пятилетнего возраста (для детей с выявленными серьезными заболеваниями).  Этим правом может также пользоваться отец или приемный родитель или лицо, обеспечивающее уход за ребенком в тех случаях, когда мать не может ухаживать за новорожденным;</w:t>
      </w:r>
    </w:p>
    <w:p w:rsidR="00000000" w:rsidRDefault="00000000"/>
    <w:p w:rsidR="00000000" w:rsidRDefault="00000000">
      <w:r>
        <w:tab/>
      </w:r>
      <w:proofErr w:type="spellStart"/>
      <w:r>
        <w:t>b</w:t>
      </w:r>
      <w:proofErr w:type="spellEnd"/>
      <w:r>
        <w:t>)</w:t>
      </w:r>
      <w:r>
        <w:tab/>
        <w:t>пособие в связи с рождением ребенка, на которое имеет право каждая мать, не использующая право на компенсацию заработной платы в период отпуска по беременности и родам.  На практике это означает, что каждая безработная мать имеет право на получение этого пособия до тех пор, пока ребенку не исполнится один год;</w:t>
      </w:r>
    </w:p>
    <w:p w:rsidR="00000000" w:rsidRDefault="00000000"/>
    <w:p w:rsidR="00000000" w:rsidRDefault="00000000">
      <w:r>
        <w:tab/>
        <w:t>с)</w:t>
      </w:r>
      <w:r>
        <w:tab/>
        <w:t>пособие для родителей на цели приобретения необходимых предметов для ребенка (приданое новорожденного), на получение которого имеет право каждая семья, в которой родился ребенок;</w:t>
      </w:r>
    </w:p>
    <w:p w:rsidR="00000000" w:rsidRDefault="00000000"/>
    <w:p w:rsidR="00000000" w:rsidRDefault="00000000">
      <w:r>
        <w:tab/>
        <w:t>d)</w:t>
      </w:r>
      <w:r>
        <w:tab/>
        <w:t>меры по обеспечению отдыха детей и организации их досуга, а также питание в школьных столовых;</w:t>
      </w:r>
    </w:p>
    <w:p w:rsidR="00000000" w:rsidRDefault="00000000"/>
    <w:p w:rsidR="00000000" w:rsidRDefault="00000000">
      <w:r>
        <w:tab/>
      </w:r>
      <w:proofErr w:type="spellStart"/>
      <w:r>
        <w:t>е</w:t>
      </w:r>
      <w:proofErr w:type="spellEnd"/>
      <w:r>
        <w:t>)</w:t>
      </w:r>
      <w:r>
        <w:tab/>
        <w:t>пособие на ребенка, выплачиваемое каждой семье на первых трех детей до достижения ими 19-летнего возраста, при условии посещения детьми обычной школы, а также соблюдения других требований, предусмотренных законом.  Согласно Закону о социальном обеспечении детей Республики Сербии, право на получение пособия на ребенка зависит от уровня материального благосостояния семьи и предоставляется малообеспеченным семьям.  В виде исключения это право предоставляется всем семьям с тремя детьми независимо от материального положения семьи.  Размер пособия на ребенка зависит от возраста ребенка, уровня его образования и состояния его физического и психического здоровья;  и</w:t>
      </w:r>
    </w:p>
    <w:p w:rsidR="00000000" w:rsidRDefault="00000000"/>
    <w:p w:rsidR="00000000" w:rsidRDefault="00000000">
      <w:r>
        <w:tab/>
      </w:r>
      <w:proofErr w:type="spellStart"/>
      <w:r>
        <w:t>f</w:t>
      </w:r>
      <w:proofErr w:type="spellEnd"/>
      <w:r>
        <w:t>)</w:t>
      </w:r>
      <w:r>
        <w:tab/>
        <w:t>размещение детей в учреждениях дошкольного воспитания в тех случаях, когда семья в этом нуждается.  Государство берет на себя до 80% соответствующих расходов.</w:t>
      </w:r>
    </w:p>
    <w:p w:rsidR="00000000" w:rsidRDefault="00000000"/>
    <w:p w:rsidR="00000000" w:rsidRDefault="00000000">
      <w:r>
        <w:t>214.</w:t>
      </w:r>
      <w:r>
        <w:tab/>
        <w:t>В целях оказания помощи молодым семьям также обеспечиваются другие права и следующие виды социальных услуг и ухода за детьми:  предоставление единовременных ссуд, кредитов, оказание консультативных услуг в области семейных и правовых отношений (особое внимание уделяется профилактике и защите брака и семьи, а также психологической помощи супругам, испытывающим трудности в семейных отношениях), оплата расходов, связанных с покупкой учебников и канцтоваров, налоговые льготы для лиц, получающих алименты, и т.д.</w:t>
      </w:r>
    </w:p>
    <w:p w:rsidR="00000000" w:rsidRDefault="00000000"/>
    <w:p w:rsidR="00000000" w:rsidRDefault="00000000">
      <w:pPr>
        <w:pStyle w:val="10"/>
        <w:ind w:left="567" w:hanging="567"/>
        <w:jc w:val="left"/>
        <w:rPr>
          <w:bCs/>
        </w:rPr>
      </w:pPr>
      <w:proofErr w:type="spellStart"/>
      <w:r>
        <w:rPr>
          <w:bCs/>
        </w:rPr>
        <w:t>е</w:t>
      </w:r>
      <w:proofErr w:type="spellEnd"/>
      <w:r>
        <w:rPr>
          <w:bCs/>
        </w:rPr>
        <w:t>)</w:t>
      </w:r>
      <w:r>
        <w:rPr>
          <w:bCs/>
        </w:rPr>
        <w:tab/>
        <w:t>Защита материнства и предупреждение дискриминации женщин в связи с материнством</w:t>
      </w:r>
    </w:p>
    <w:p w:rsidR="00000000" w:rsidRDefault="00000000">
      <w:pPr>
        <w:pStyle w:val="10"/>
        <w:rPr>
          <w:bCs/>
        </w:rPr>
      </w:pPr>
    </w:p>
    <w:p w:rsidR="00000000" w:rsidRDefault="00000000">
      <w:r>
        <w:t>215.</w:t>
      </w:r>
      <w:r>
        <w:tab/>
        <w:t>Особая защита матери, ребенка и семьи гарантируется положениями статей 28 и 29 Конституции Республики Сербии.</w:t>
      </w:r>
    </w:p>
    <w:p w:rsidR="00000000" w:rsidRDefault="00000000"/>
    <w:p w:rsidR="00000000" w:rsidRDefault="00000000">
      <w:r>
        <w:t>216.</w:t>
      </w:r>
      <w:r>
        <w:tab/>
        <w:t>В положениях Закона о трудовых отношениях Республики Сербии и Закона о социальном обеспечении подробно регламентируются вопросы защиты женщины в период беременности и после родов.</w:t>
      </w:r>
    </w:p>
    <w:p w:rsidR="00000000" w:rsidRDefault="00000000"/>
    <w:p w:rsidR="00000000" w:rsidRDefault="00000000">
      <w:r>
        <w:t>217.</w:t>
      </w:r>
      <w:r>
        <w:tab/>
        <w:t>В Законе о трудовых отношениях предусматривается оплачиваемый отпуск по беременности и родам, продолжительность которого должна составлять не менее 270 дней.  По причинам, связанным с охраной здоровья, отпуск по беременности и родам должен начинаться по меньшей мере за 28 дней до предполагаемой даты родов.</w:t>
      </w:r>
    </w:p>
    <w:p w:rsidR="00000000" w:rsidRDefault="00000000"/>
    <w:p w:rsidR="00000000" w:rsidRDefault="00000000">
      <w:r>
        <w:t>217.</w:t>
      </w:r>
      <w:r>
        <w:tab/>
        <w:t>По истечении отпуска по беременности и родам работающая женщина имеет право работать в течение половины рабочего дня до достижения ребенком трехлетнего возраста, если по заключению компетентного врача ребенок нуждается в уходе по причинам, связанным с состоянием его здоровья.  В таких случаях сокращенное рабочее время считается полным рабочим временем.</w:t>
      </w:r>
    </w:p>
    <w:p w:rsidR="00000000" w:rsidRDefault="00000000"/>
    <w:p w:rsidR="00000000" w:rsidRDefault="00000000">
      <w:r>
        <w:t>219.</w:t>
      </w:r>
      <w:r>
        <w:tab/>
        <w:t>Отец ребенка может также использовать право на отпуск, предоставляемый матерям, в случае смерти матери, оставления ею ребенка или при невозможности использования матерью отпуска в силу определенных причин.</w:t>
      </w:r>
    </w:p>
    <w:p w:rsidR="00000000" w:rsidRDefault="00000000"/>
    <w:p w:rsidR="00000000" w:rsidRDefault="00000000">
      <w:r>
        <w:t>220.</w:t>
      </w:r>
      <w:r>
        <w:tab/>
        <w:t xml:space="preserve">В случае </w:t>
      </w:r>
      <w:proofErr w:type="spellStart"/>
      <w:r>
        <w:t>мертворождения</w:t>
      </w:r>
      <w:proofErr w:type="spellEnd"/>
      <w:r>
        <w:t xml:space="preserve"> или смерти ребенка до истечения срока отпуска по беременности и родам женщина имеет право на продление отпуска на срок, который по заключению врача является необходимым для реабилитации и составляет не менее 45 дней.  В течение этого периода за женщиной сохраняются все права, предоставляемые в связи с отпуском по беременности и родам.</w:t>
      </w:r>
    </w:p>
    <w:p w:rsidR="00000000" w:rsidRDefault="00000000"/>
    <w:p w:rsidR="00000000" w:rsidRDefault="00000000">
      <w:r>
        <w:t>221.</w:t>
      </w:r>
      <w:r>
        <w:tab/>
        <w:t>Размер компенсации, выплачиваемой во время отпуска по беременности и родам, соответствует размеру вознаграждения, которое получала бы женщина за работу в течение полного рабочего дня.</w:t>
      </w:r>
    </w:p>
    <w:p w:rsidR="00000000" w:rsidRDefault="00000000"/>
    <w:p w:rsidR="00000000" w:rsidRDefault="00000000">
      <w:r>
        <w:t>222.</w:t>
      </w:r>
      <w:r>
        <w:tab/>
        <w:t>Во время отпуска по беременности и родам женщина пользуется всеми правами, связанными с медицинским и пенсионным страхованием и страхованием на случай инвалидности, а также другими социальными правами в том объеме, на который она имела бы право в случае продолжения работы.</w:t>
      </w:r>
    </w:p>
    <w:p w:rsidR="00000000" w:rsidRDefault="00000000"/>
    <w:p w:rsidR="00000000" w:rsidRDefault="00000000">
      <w:pPr>
        <w:rPr>
          <w:b/>
          <w:bCs/>
        </w:rPr>
      </w:pPr>
      <w:r>
        <w:rPr>
          <w:b/>
          <w:bCs/>
          <w:lang w:val="en-US"/>
        </w:rPr>
        <w:t>f</w:t>
      </w:r>
      <w:r>
        <w:rPr>
          <w:b/>
          <w:bCs/>
        </w:rPr>
        <w:t>)</w:t>
      </w:r>
      <w:r>
        <w:rPr>
          <w:b/>
          <w:bCs/>
        </w:rPr>
        <w:tab/>
        <w:t>Защита детей от экономической эксплуатации</w:t>
      </w:r>
    </w:p>
    <w:p w:rsidR="00000000" w:rsidRDefault="00000000">
      <w:pPr>
        <w:pStyle w:val="FootnoteText"/>
        <w:spacing w:line="288" w:lineRule="auto"/>
      </w:pPr>
    </w:p>
    <w:p w:rsidR="00000000" w:rsidRDefault="00000000">
      <w:r>
        <w:t>223.</w:t>
      </w:r>
      <w:r>
        <w:tab/>
        <w:t>Конституция Союзной Республики Югославии запрещала принудительный труд (пункт 3, статья 54).</w:t>
      </w:r>
    </w:p>
    <w:p w:rsidR="00000000" w:rsidRDefault="00000000"/>
    <w:p w:rsidR="00000000" w:rsidRDefault="00000000">
      <w:r>
        <w:t>224.</w:t>
      </w:r>
      <w:r>
        <w:tab/>
        <w:t>В статье 13 Хартии прав человека и национальных меньшинств и гражданских свобод запрещается рабство, условия, схожие с рабством, и принудительный труд.  В этом контексте также запрещается принудительный труд и сексуальная или экономическая эксплуатация лиц, находящихся в наименее выгодном положении.</w:t>
      </w:r>
    </w:p>
    <w:p w:rsidR="00000000" w:rsidRDefault="00000000"/>
    <w:p w:rsidR="00000000" w:rsidRDefault="00000000">
      <w:r>
        <w:t>225.</w:t>
      </w:r>
      <w:r>
        <w:tab/>
        <w:t>На основе этих положений детство и юношество охраняются общим законодательством, обеспечивающим неприкосновенность и социальную защиту каждого человека и гражданина в стране.  Защита детей и подростков от пренебрежительного и жестокого отношения обеспечивается, в частности, в рамках системы уголовного правосудия.</w:t>
      </w:r>
    </w:p>
    <w:p w:rsidR="00000000" w:rsidRDefault="00000000"/>
    <w:p w:rsidR="00000000" w:rsidRDefault="00000000">
      <w:r>
        <w:t>226.</w:t>
      </w:r>
      <w:r>
        <w:tab/>
        <w:t>Согласно действующим национальным законам, лицо, не достигшее 15-летнего возраста, не может быть принято на работу, которая связана с тяжелым физическим трудом (работы под землей или под водой) и/или деятельностью, которая может угрожать его жизни и здоровью.</w:t>
      </w:r>
    </w:p>
    <w:p w:rsidR="00000000" w:rsidRDefault="00000000"/>
    <w:p w:rsidR="00000000" w:rsidRDefault="00000000">
      <w:r>
        <w:t>227.</w:t>
      </w:r>
      <w:r>
        <w:tab/>
        <w:t>Детям по закону разрешается работать начиная с 15-летнего возраста, однако такие случаи редки, поскольку соответствующий аттестат, необходимый для работы, выдается лишь по окончании средней школы (в возрасте 18 лет).  Некоторые подростки работают до достижения ими 18-летнего возраста, однако это, как правило, имеет место в фермерских хозяйствах в сельской местности, где они выполняют функции, соответствующие их возрасту.</w:t>
      </w:r>
    </w:p>
    <w:p w:rsidR="00000000" w:rsidRDefault="00000000"/>
    <w:p w:rsidR="00000000" w:rsidRDefault="00000000">
      <w:r>
        <w:t>228.</w:t>
      </w:r>
      <w:r>
        <w:tab/>
        <w:t xml:space="preserve">Лицам, не достигшим 18-летнего возраста, запрещено работать в ночное время (с 22 часов до 6 часов) и сверхурочно.  В законодательстве предусматривается особая защита работающих лиц этого возраста. </w:t>
      </w:r>
    </w:p>
    <w:p w:rsidR="00000000" w:rsidRDefault="00000000"/>
    <w:p w:rsidR="00000000" w:rsidRDefault="00000000">
      <w:r>
        <w:t>229.</w:t>
      </w:r>
      <w:r>
        <w:tab/>
        <w:t>Принимаемые меры в рамках защиты и оказания помощи детям в целях обеспечения их полноценного физического и психического развития, действуют применительно ко всем детям без дискриминации по признаку их рождения, статуса семьи, социального происхождения и других соображений.</w:t>
      </w:r>
    </w:p>
    <w:p w:rsidR="00000000" w:rsidRDefault="00000000"/>
    <w:p w:rsidR="00000000" w:rsidRDefault="00000000">
      <w:r>
        <w:t>230.</w:t>
      </w:r>
      <w:r>
        <w:tab/>
        <w:t>В рамках системы социального обеспечения детей правом на специальную защиту пользуются дети, лишенные заботы родителей, дети, отстающие в умственном или физическом развитии, а также дети из кризисных семей.  Установленные законом защитные меры реализуются на практике в соответствии с имеющимися финансовыми возможностями.</w:t>
      </w:r>
    </w:p>
    <w:p w:rsidR="00000000" w:rsidRDefault="00000000"/>
    <w:p w:rsidR="00000000" w:rsidRDefault="00000000">
      <w:r>
        <w:t>231.</w:t>
      </w:r>
      <w:r>
        <w:tab/>
        <w:t xml:space="preserve">Социальные центры, существующие практически во всех муниципальных </w:t>
      </w:r>
      <w:proofErr w:type="spellStart"/>
      <w:r>
        <w:t>образованиях</w:t>
      </w:r>
      <w:proofErr w:type="spellEnd"/>
      <w:r>
        <w:t>, обеспечивают возможность применения самых разнообразных форм и методов воспитания в приемных семьях, исходя прежде всего из потребности детей, чьи родители в силу тех или иных причин не осуществляют свои родительские права и обязанности или выполняют свои обязанности таким образом, что ущемляют при этом интересы детей.  Конкретные причины требуют принятия различных мер и оказания различных видов помощи.</w:t>
      </w:r>
    </w:p>
    <w:p w:rsidR="00000000" w:rsidRDefault="00000000"/>
    <w:p w:rsidR="00000000" w:rsidRDefault="00000000">
      <w:r>
        <w:t>232.</w:t>
      </w:r>
      <w:r>
        <w:tab/>
        <w:t>Дети и подростки, испытывающие незначительные трудности в своем развитии, пользуются правом на образование и адекватное трудоустройство, тогда как дети с более серьезными нарушениями, имеют право на прохождение курса необходимой реабилитации и подготовки.  Это означает, что всем таким детям обеспечивается возможность прохождения медицинской, учебной, профессиональной и социальной реабилитации.  Тем не менее существуют серьезные проблемы, связанные с интеграцией таких молодых лиц, и особенно с поиском для них соответствующей работы.</w:t>
      </w:r>
    </w:p>
    <w:p w:rsidR="00000000" w:rsidRDefault="00000000"/>
    <w:p w:rsidR="00000000" w:rsidRDefault="00000000">
      <w:r>
        <w:t>233.</w:t>
      </w:r>
      <w:r>
        <w:tab/>
        <w:t>Цель различных мер по защите детей из кризисных семей заключается в обеспечении их надлежащего воспитания, образования и соответствующего развития.  Эта задача решается путем оказания помощи этим подросткам, их защиты, контроля за их профессиональной подготовкой и воспитания в них чувства ответственности.  Наиболее эффективной формой защиты таких подростков является помещение их в специальное учреждение, занимающееся воспитанием трудных детей и подростков.</w:t>
      </w:r>
    </w:p>
    <w:p w:rsidR="00000000" w:rsidRDefault="00000000">
      <w:pPr>
        <w:spacing w:line="240" w:lineRule="auto"/>
      </w:pPr>
    </w:p>
    <w:p w:rsidR="00000000" w:rsidRDefault="00000000">
      <w:pPr>
        <w:spacing w:line="240" w:lineRule="auto"/>
        <w:jc w:val="center"/>
      </w:pPr>
      <w:r>
        <w:rPr>
          <w:b/>
          <w:bCs/>
        </w:rPr>
        <w:t>Статья 11</w:t>
      </w:r>
    </w:p>
    <w:p w:rsidR="00000000" w:rsidRDefault="00000000">
      <w:pPr>
        <w:spacing w:line="240" w:lineRule="auto"/>
        <w:jc w:val="center"/>
      </w:pPr>
    </w:p>
    <w:p w:rsidR="00000000" w:rsidRDefault="00000000">
      <w:pPr>
        <w:spacing w:line="240" w:lineRule="auto"/>
        <w:jc w:val="center"/>
        <w:rPr>
          <w:b/>
          <w:bCs/>
        </w:rPr>
      </w:pPr>
      <w:r>
        <w:rPr>
          <w:b/>
          <w:bCs/>
        </w:rPr>
        <w:t>А.</w:t>
      </w:r>
      <w:r>
        <w:rPr>
          <w:b/>
          <w:bCs/>
        </w:rPr>
        <w:tab/>
        <w:t>Период до октября 2000 года</w:t>
      </w:r>
    </w:p>
    <w:p w:rsidR="00000000" w:rsidRDefault="00000000">
      <w:pPr>
        <w:spacing w:line="240" w:lineRule="auto"/>
        <w:jc w:val="center"/>
        <w:rPr>
          <w:b/>
          <w:bCs/>
        </w:rPr>
      </w:pPr>
    </w:p>
    <w:p w:rsidR="00000000" w:rsidRDefault="00000000">
      <w:r>
        <w:t>234.</w:t>
      </w:r>
      <w:r>
        <w:tab/>
        <w:t>В 90-е годы страну поразил глубокий экономический кризис.  В период 1990</w:t>
      </w:r>
      <w:r>
        <w:noBreakHyphen/>
        <w:t xml:space="preserve">1993 годов произошло резкое снижение </w:t>
      </w:r>
      <w:proofErr w:type="spellStart"/>
      <w:r>
        <w:t>ВВП</w:t>
      </w:r>
      <w:proofErr w:type="spellEnd"/>
      <w:r>
        <w:t>, что привело к коллапсу валютно-финансовой системы страны.  С 1994 года отмечается (относительная) стабилизация макроэкономических тенденций на фоне определенного оживления экономической деятельности.</w:t>
      </w:r>
    </w:p>
    <w:p w:rsidR="00000000" w:rsidRDefault="00000000"/>
    <w:p w:rsidR="00000000" w:rsidRDefault="00000000">
      <w:r>
        <w:t>235.</w:t>
      </w:r>
      <w:r>
        <w:tab/>
        <w:t xml:space="preserve">Анализ неравенства и бедности в Союзной Республике Югославии, основанный на данных обзора потребления домашних хозяйств, подготовленного Федеральным статистическим управлением, свидетельствует о том, что в 1995 году </w:t>
      </w:r>
      <w:proofErr w:type="spellStart"/>
      <w:r>
        <w:t>28,9%</w:t>
      </w:r>
      <w:proofErr w:type="spellEnd"/>
      <w:r>
        <w:t xml:space="preserve"> жителей страны (около 3 млн. человек) относились к категории бедных.  Развитие процесса обнищания было вызвано как ростом числа бедных, так и реальным сокращением </w:t>
      </w:r>
      <w:proofErr w:type="spellStart"/>
      <w:r>
        <w:t>ВВП</w:t>
      </w:r>
      <w:proofErr w:type="spellEnd"/>
      <w:r>
        <w:t>.</w:t>
      </w:r>
    </w:p>
    <w:p w:rsidR="00000000" w:rsidRDefault="00000000"/>
    <w:p w:rsidR="00000000" w:rsidRDefault="00000000">
      <w:r>
        <w:t>236.</w:t>
      </w:r>
      <w:r>
        <w:tab/>
        <w:t>Проблема бедности наиболее сильно ударила по семьям трудящихся, занятых в промышленности и горнодобывающем секторе (</w:t>
      </w:r>
      <w:proofErr w:type="spellStart"/>
      <w:r>
        <w:t>38%</w:t>
      </w:r>
      <w:proofErr w:type="spellEnd"/>
      <w:r>
        <w:t>).  В крайне тяжелом положении оказались семьи с детьми, особенно проживающие в городах (</w:t>
      </w:r>
      <w:proofErr w:type="spellStart"/>
      <w:r>
        <w:t>37,8%</w:t>
      </w:r>
      <w:proofErr w:type="spellEnd"/>
      <w:r>
        <w:t>).</w:t>
      </w:r>
    </w:p>
    <w:p w:rsidR="00000000" w:rsidRDefault="00000000"/>
    <w:p w:rsidR="00000000" w:rsidRDefault="00000000">
      <w:r>
        <w:t>237.</w:t>
      </w:r>
      <w:r>
        <w:tab/>
        <w:t xml:space="preserve">Изменения в структуре доходов и расходов домашних хозяйств свидетельствуют о сокращении стабильных доходов от регулярной трудовой деятельности и увеличении доли расходов на продукты питания и жилье.  Это означает, что большинство семей имело в своем распоряжении крайне ограниченные средства для удовлетворения культурных, образовательных и других нематериальных потребностей.  В структуре расходов доминирующее положение занимали расходы на продукты питания, доля которых в среднем возросла до </w:t>
      </w:r>
      <w:proofErr w:type="spellStart"/>
      <w:r>
        <w:t>48,4%</w:t>
      </w:r>
      <w:proofErr w:type="spellEnd"/>
      <w:r>
        <w:t xml:space="preserve">.  Среди нуждающихся слоев населения этот показатель составил </w:t>
      </w:r>
      <w:proofErr w:type="spellStart"/>
      <w:r>
        <w:t>59,2%</w:t>
      </w:r>
      <w:proofErr w:type="spellEnd"/>
      <w:r>
        <w:t xml:space="preserve">.  </w:t>
      </w:r>
    </w:p>
    <w:p w:rsidR="00000000" w:rsidRDefault="00000000"/>
    <w:p w:rsidR="00000000" w:rsidRDefault="00000000">
      <w:r>
        <w:t>238.</w:t>
      </w:r>
      <w:r>
        <w:tab/>
        <w:t xml:space="preserve">В 1996 году Союзная Республика Югославия по показателю </w:t>
      </w:r>
      <w:proofErr w:type="spellStart"/>
      <w:r>
        <w:t>подушевого</w:t>
      </w:r>
      <w:proofErr w:type="spellEnd"/>
      <w:r>
        <w:t xml:space="preserve"> </w:t>
      </w:r>
      <w:proofErr w:type="spellStart"/>
      <w:r>
        <w:t>ВВП</w:t>
      </w:r>
      <w:proofErr w:type="spellEnd"/>
      <w:r>
        <w:t xml:space="preserve">, который составил около 1 500 долл. США (несмотря на прирост, этот показатель достиг лишь половины уровня 1990 года), была сопоставима с Румынией (1 437 долл. США) и Болгарией (1 047 долл. США).  Среди других бывших югославских республик положение было хуже лишь в Боснии и Герцеговине (815 долл. США), тогда как в Македонии показатель </w:t>
      </w:r>
      <w:proofErr w:type="spellStart"/>
      <w:r>
        <w:t>подушевого</w:t>
      </w:r>
      <w:proofErr w:type="spellEnd"/>
      <w:r>
        <w:t xml:space="preserve"> </w:t>
      </w:r>
      <w:proofErr w:type="spellStart"/>
      <w:r>
        <w:t>ВВП</w:t>
      </w:r>
      <w:proofErr w:type="spellEnd"/>
      <w:r>
        <w:t xml:space="preserve"> был несколько выше (1 845 долл. США).  Объем </w:t>
      </w:r>
      <w:proofErr w:type="spellStart"/>
      <w:r>
        <w:t>ВВП</w:t>
      </w:r>
      <w:proofErr w:type="spellEnd"/>
      <w:r>
        <w:t xml:space="preserve"> в Хорватии был почти в три раза выше (3 992 долл. США), а в Словении - в шесть раз выше (9 279 долл. США).</w:t>
      </w:r>
    </w:p>
    <w:p w:rsidR="00000000" w:rsidRDefault="00000000"/>
    <w:p w:rsidR="00000000" w:rsidRDefault="00000000">
      <w:r>
        <w:t>239.</w:t>
      </w:r>
      <w:r>
        <w:tab/>
        <w:t>Согласно последним имеющимся данным, опубликованным с 1997 года, показатель ВВП на душу населения составил 1 714 долл. США (расчет произведен на основе системы СНС) и был вдвое меньше, чем в 1989 году.</w:t>
      </w:r>
    </w:p>
    <w:p w:rsidR="00000000" w:rsidRDefault="00000000"/>
    <w:p w:rsidR="00000000" w:rsidRDefault="00000000">
      <w:r>
        <w:t>240.</w:t>
      </w:r>
      <w:r>
        <w:tab/>
        <w:t>По состоянию на начало 1997 года макроэкономические показатели указывали на спад промышленного производства, розничной торговли и экспорта.  В результате этих тенденций объем ВВП за этот год снизился на одну пятую от уровня 1998 года (-19,3%).  В итоге Союзная Республика Югославия вступила в последний год XX столетия в качестве одной из беднейших стран Европы.</w:t>
      </w:r>
    </w:p>
    <w:p w:rsidR="00000000" w:rsidRDefault="00000000"/>
    <w:p w:rsidR="00000000" w:rsidRDefault="00000000">
      <w:r>
        <w:t>241.</w:t>
      </w:r>
      <w:r>
        <w:tab/>
        <w:t>Резкое снижение национального дохода в республиках и краях</w:t>
      </w:r>
      <w:r>
        <w:rPr>
          <w:rStyle w:val="FootnoteReference"/>
        </w:rPr>
        <w:footnoteReference w:customMarkFollows="1" w:id="7"/>
        <w:sym w:font="Symbol" w:char="F02A"/>
      </w:r>
      <w:r>
        <w:t xml:space="preserve"> привело к росту безработицы, падению уровня жизни, распространению бедности и быстрому нарастанию социальных проблем.</w:t>
      </w:r>
    </w:p>
    <w:p w:rsidR="00000000" w:rsidRDefault="00000000"/>
    <w:p w:rsidR="00000000" w:rsidRDefault="00000000">
      <w:r>
        <w:t>242.</w:t>
      </w:r>
      <w:r>
        <w:tab/>
        <w:t>Доля текущих расходов государственных служб в национальном доходе Республики Сербии колебалась от 33,5% в 1990 году до 46,1% в 1997 году.  Эти расходы достигли рекордного уровня в Центральной Сербии, и в 1997 году на них приходилось более половины (55,9%) от ее национального дохода.</w:t>
      </w:r>
    </w:p>
    <w:p w:rsidR="00000000" w:rsidRDefault="00000000">
      <w:pPr>
        <w:spacing w:line="240" w:lineRule="auto"/>
      </w:pPr>
    </w:p>
    <w:p w:rsidR="00000000" w:rsidRDefault="00000000">
      <w:pPr>
        <w:spacing w:line="240" w:lineRule="auto"/>
        <w:jc w:val="center"/>
        <w:rPr>
          <w:b/>
          <w:bCs/>
        </w:rPr>
      </w:pPr>
      <w:r>
        <w:rPr>
          <w:b/>
          <w:bCs/>
        </w:rPr>
        <w:t>В.</w:t>
      </w:r>
      <w:r>
        <w:rPr>
          <w:b/>
          <w:bCs/>
        </w:rPr>
        <w:tab/>
        <w:t>Период после изменений в 2000 году</w:t>
      </w:r>
    </w:p>
    <w:p w:rsidR="00000000" w:rsidRDefault="00000000">
      <w:pPr>
        <w:spacing w:line="240" w:lineRule="auto"/>
      </w:pPr>
    </w:p>
    <w:p w:rsidR="00000000" w:rsidRDefault="00000000">
      <w:r>
        <w:t>243.</w:t>
      </w:r>
      <w:r>
        <w:tab/>
        <w:t>В 2002 году было проведено обследование уровня жизни населения на основе выборки из 6 800 домашних хозяйств.  Цель этого обследования состояла в подготовке руководящих принципов разработки стратегии сокращения масштабов бедности (а также определении количества бедных, установлении причин бедности, определении характеристик бедных слоев населения и выработки приоритетов и мер в области распределения социальной помощи и разработки социальной политики в широком смысле).  Цель проведения данного обследования заключалась также в апробировании и определении наиболее подходящей методологии для будущего мониторинга бедности;  получение информации, которая поможет в проведении регулярного обследования потребления и доходов домашних хозяйств.  По итогам проведения данного обследования было установлено следующее:</w:t>
      </w:r>
    </w:p>
    <w:p w:rsidR="00000000" w:rsidRDefault="00000000"/>
    <w:p w:rsidR="00000000" w:rsidRDefault="00000000">
      <w:pPr>
        <w:pStyle w:val="Heading1"/>
        <w:rPr>
          <w:bCs/>
        </w:rPr>
      </w:pPr>
      <w:r>
        <w:rPr>
          <w:bCs/>
        </w:rPr>
        <w:t>Доходы и расходы домашних хозяйств в сельской местности и городах</w:t>
      </w:r>
    </w:p>
    <w:p w:rsidR="00000000" w:rsidRDefault="00000000">
      <w:pPr>
        <w:pStyle w:val="Heading1"/>
        <w:rPr>
          <w:bCs/>
        </w:rPr>
      </w:pPr>
    </w:p>
    <w:p w:rsidR="00000000" w:rsidRDefault="00000000">
      <w:r>
        <w:t>244.</w:t>
      </w:r>
      <w:r>
        <w:tab/>
        <w:t>Доходы и расходы домашних хозяйств в городах и сельской местности являются в той или иной степени сбалансированными.  Несколько менее благоприятная структура населения сельских районов (более высокая доля домохозяйств старшего поколения и более высокое среднее количество домохозяйств) обусловливает более низкий средний уровень дохода на потребительскую единицу (8 630 динаров) в домашнем хозяйстве в сельской местности по сравнению со средним городским домашним хозяйством (9 094 динара).</w:t>
      </w:r>
    </w:p>
    <w:p w:rsidR="00000000" w:rsidRDefault="00000000"/>
    <w:p w:rsidR="00000000" w:rsidRDefault="00000000">
      <w:r>
        <w:t>245.</w:t>
      </w:r>
      <w:r>
        <w:tab/>
        <w:t>Основными источниками дохода домашних хозяйств в сельской местности являются заработная плата и пенсии (43%), производство сельскохозяйственных продуктов и подсобные хозяйства (40%).  В городских домашних хозяйствах доля заработной платы и пенсий в общем доходе составляет 68%.</w:t>
      </w:r>
    </w:p>
    <w:p w:rsidR="00000000" w:rsidRDefault="00000000"/>
    <w:p w:rsidR="00000000" w:rsidRDefault="00000000">
      <w:r>
        <w:t>246.</w:t>
      </w:r>
      <w:r>
        <w:tab/>
        <w:t>Значительно более глубокая дифференциация между сельской местностью и городами наблюдается по уровню потребления.  Объем потребления городского домашнего хозяйства в расчете на потребительскую единицу (10 840 динаров) на 30% превышает аналогичный показатель в сельской местности (8 350 динаров).</w:t>
      </w:r>
    </w:p>
    <w:p w:rsidR="00000000" w:rsidRDefault="00000000"/>
    <w:p w:rsidR="00000000" w:rsidRDefault="00000000">
      <w:r>
        <w:t>247.</w:t>
      </w:r>
      <w:r>
        <w:tab/>
        <w:t>Кроме того, значительными различиями также характеризуются доходы и расходы городских домашних хозяйств:  расходы превышают доходы на 19%.  Это указывает на значительную долю "теневых" доходов от незарегистрированной экономической деятельности, т.е. неофициальный доход городских домохозяйств.</w:t>
      </w:r>
    </w:p>
    <w:p w:rsidR="00000000" w:rsidRDefault="00000000"/>
    <w:p w:rsidR="00000000" w:rsidRDefault="00000000">
      <w:r>
        <w:t>248.</w:t>
      </w:r>
      <w:r>
        <w:tab/>
        <w:t>В то же время домашние хозяйства в сельской местности имеют более низкий показатель зарегистрированных расходов (на 3% ниже чем доходы).  Это указывает на то, что уровень сбережения в домохозяйствах в сельской местности может составлять около 800 динаров в месяц.</w:t>
      </w:r>
    </w:p>
    <w:p w:rsidR="00000000" w:rsidRDefault="00000000"/>
    <w:p w:rsidR="00000000" w:rsidRDefault="00000000">
      <w:pPr>
        <w:keepLines/>
      </w:pPr>
      <w:r>
        <w:t>249.</w:t>
      </w:r>
      <w:r>
        <w:tab/>
        <w:t>Сама структура расходов указывает на менее благоприятное положение домашних хозяйств в сельской местности, доля расходов которых на продукты питания в общем объеме расходов составляет 52%.  В городских домохозяйствах на питание приходится 46% от всех расходов.</w:t>
      </w:r>
    </w:p>
    <w:p w:rsidR="00000000" w:rsidRDefault="00000000">
      <w:pPr>
        <w:spacing w:line="216" w:lineRule="auto"/>
      </w:pPr>
    </w:p>
    <w:p w:rsidR="00000000" w:rsidRDefault="00000000">
      <w:pPr>
        <w:spacing w:line="216" w:lineRule="auto"/>
        <w:jc w:val="center"/>
        <w:rPr>
          <w:b/>
          <w:bCs/>
        </w:rPr>
      </w:pPr>
      <w:r>
        <w:rPr>
          <w:b/>
          <w:bCs/>
        </w:rPr>
        <w:t>Таблица 7</w:t>
      </w:r>
    </w:p>
    <w:p w:rsidR="00000000" w:rsidRDefault="00000000">
      <w:pPr>
        <w:spacing w:line="216" w:lineRule="auto"/>
        <w:jc w:val="center"/>
      </w:pPr>
    </w:p>
    <w:p w:rsidR="00000000" w:rsidRDefault="00000000">
      <w:pPr>
        <w:spacing w:line="216" w:lineRule="auto"/>
        <w:jc w:val="center"/>
        <w:rPr>
          <w:b/>
          <w:bCs/>
        </w:rPr>
      </w:pPr>
      <w:r>
        <w:rPr>
          <w:b/>
          <w:bCs/>
        </w:rPr>
        <w:t>Средний уровень доходов и расходов в расчете на домашнее хозяйство и потребительскую единицу</w:t>
      </w:r>
    </w:p>
    <w:p w:rsidR="00000000" w:rsidRDefault="00000000">
      <w:pPr>
        <w:spacing w:line="216" w:lineRule="auto"/>
      </w:pPr>
    </w:p>
    <w:tbl>
      <w:tblPr>
        <w:tblW w:w="94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710"/>
        <w:gridCol w:w="896"/>
        <w:gridCol w:w="997"/>
        <w:gridCol w:w="998"/>
        <w:gridCol w:w="956"/>
        <w:gridCol w:w="956"/>
        <w:gridCol w:w="956"/>
      </w:tblGrid>
      <w:tr w:rsidR="00000000">
        <w:tblPrEx>
          <w:tblCellMar>
            <w:top w:w="0" w:type="dxa"/>
            <w:bottom w:w="0" w:type="dxa"/>
          </w:tblCellMar>
        </w:tblPrEx>
        <w:tc>
          <w:tcPr>
            <w:tcW w:w="3710" w:type="dxa"/>
          </w:tcPr>
          <w:p w:rsidR="00000000" w:rsidRDefault="00000000">
            <w:pPr>
              <w:pStyle w:val="Num-DocParagraph"/>
              <w:tabs>
                <w:tab w:val="clear" w:pos="850"/>
                <w:tab w:val="clear" w:pos="1191"/>
                <w:tab w:val="clear" w:pos="1531"/>
              </w:tabs>
              <w:spacing w:after="0"/>
              <w:jc w:val="left"/>
              <w:rPr>
                <w:sz w:val="18"/>
                <w:lang w:val="ru-RU"/>
              </w:rPr>
            </w:pPr>
            <w:r>
              <w:rPr>
                <w:sz w:val="18"/>
                <w:lang w:val="ru-RU"/>
              </w:rPr>
              <w:t>Потребительские единицы</w:t>
            </w:r>
          </w:p>
        </w:tc>
        <w:tc>
          <w:tcPr>
            <w:tcW w:w="2891" w:type="dxa"/>
            <w:gridSpan w:val="3"/>
          </w:tcPr>
          <w:p w:rsidR="00000000" w:rsidRDefault="00000000">
            <w:pPr>
              <w:pStyle w:val="Num-DocParagraph"/>
              <w:tabs>
                <w:tab w:val="clear" w:pos="850"/>
                <w:tab w:val="clear" w:pos="1191"/>
                <w:tab w:val="clear" w:pos="1531"/>
              </w:tabs>
              <w:spacing w:after="0"/>
              <w:jc w:val="center"/>
              <w:rPr>
                <w:sz w:val="18"/>
                <w:lang w:val="ru-RU"/>
              </w:rPr>
            </w:pPr>
            <w:r>
              <w:rPr>
                <w:sz w:val="18"/>
                <w:lang w:val="ru-RU"/>
              </w:rPr>
              <w:t>На домашнее хозяйство</w:t>
            </w:r>
          </w:p>
        </w:tc>
        <w:tc>
          <w:tcPr>
            <w:tcW w:w="2868" w:type="dxa"/>
            <w:gridSpan w:val="3"/>
          </w:tcPr>
          <w:p w:rsidR="00000000" w:rsidRDefault="00000000">
            <w:pPr>
              <w:pStyle w:val="Num-DocParagraph"/>
              <w:tabs>
                <w:tab w:val="clear" w:pos="850"/>
                <w:tab w:val="clear" w:pos="1191"/>
                <w:tab w:val="clear" w:pos="1531"/>
              </w:tabs>
              <w:spacing w:after="0"/>
              <w:jc w:val="center"/>
              <w:rPr>
                <w:sz w:val="18"/>
                <w:lang w:val="ru-RU"/>
              </w:rPr>
            </w:pPr>
            <w:r>
              <w:rPr>
                <w:sz w:val="18"/>
                <w:lang w:val="ru-RU"/>
              </w:rPr>
              <w:t>На потребительскую единицу</w:t>
            </w:r>
          </w:p>
        </w:tc>
      </w:tr>
      <w:tr w:rsidR="00000000">
        <w:tblPrEx>
          <w:tblCellMar>
            <w:top w:w="0" w:type="dxa"/>
            <w:bottom w:w="0" w:type="dxa"/>
          </w:tblCellMar>
        </w:tblPrEx>
        <w:tc>
          <w:tcPr>
            <w:tcW w:w="3710"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p>
        </w:tc>
        <w:tc>
          <w:tcPr>
            <w:tcW w:w="896"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Город</w:t>
            </w:r>
          </w:p>
        </w:tc>
        <w:tc>
          <w:tcPr>
            <w:tcW w:w="997"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Деревня</w:t>
            </w:r>
          </w:p>
        </w:tc>
        <w:tc>
          <w:tcPr>
            <w:tcW w:w="998"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В среднем</w:t>
            </w:r>
          </w:p>
        </w:tc>
        <w:tc>
          <w:tcPr>
            <w:tcW w:w="956"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Город</w:t>
            </w:r>
          </w:p>
        </w:tc>
        <w:tc>
          <w:tcPr>
            <w:tcW w:w="956"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Деревня</w:t>
            </w:r>
          </w:p>
        </w:tc>
        <w:tc>
          <w:tcPr>
            <w:tcW w:w="956" w:type="dxa"/>
            <w:tcBorders>
              <w:bottom w:val="nil"/>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В среднем</w:t>
            </w:r>
          </w:p>
        </w:tc>
      </w:tr>
      <w:tr w:rsidR="00000000">
        <w:tblPrEx>
          <w:tblCellMar>
            <w:top w:w="0" w:type="dxa"/>
            <w:bottom w:w="0" w:type="dxa"/>
          </w:tblCellMar>
        </w:tblPrEx>
        <w:trPr>
          <w:cantSplit/>
        </w:trPr>
        <w:tc>
          <w:tcPr>
            <w:tcW w:w="3710" w:type="dxa"/>
            <w:tcBorders>
              <w:bottom w:val="single" w:sz="4" w:space="0" w:color="auto"/>
            </w:tcBorders>
          </w:tcPr>
          <w:p w:rsidR="00000000" w:rsidRDefault="00000000">
            <w:pPr>
              <w:pStyle w:val="Num-DocParagraph"/>
              <w:tabs>
                <w:tab w:val="clear" w:pos="850"/>
                <w:tab w:val="clear" w:pos="1191"/>
                <w:tab w:val="clear" w:pos="1531"/>
              </w:tabs>
              <w:spacing w:after="0"/>
              <w:jc w:val="left"/>
              <w:rPr>
                <w:sz w:val="18"/>
                <w:lang w:val="ru-RU"/>
              </w:rPr>
            </w:pPr>
          </w:p>
        </w:tc>
        <w:tc>
          <w:tcPr>
            <w:tcW w:w="5759" w:type="dxa"/>
            <w:gridSpan w:val="6"/>
            <w:tcBorders>
              <w:bottom w:val="single" w:sz="4" w:space="0" w:color="auto"/>
            </w:tcBorders>
          </w:tcPr>
          <w:p w:rsidR="00000000" w:rsidRDefault="00000000">
            <w:pPr>
              <w:pStyle w:val="Num-DocParagraph"/>
              <w:tabs>
                <w:tab w:val="clear" w:pos="850"/>
                <w:tab w:val="clear" w:pos="1191"/>
                <w:tab w:val="clear" w:pos="1531"/>
              </w:tabs>
              <w:spacing w:after="0"/>
              <w:jc w:val="center"/>
              <w:rPr>
                <w:sz w:val="18"/>
                <w:lang w:val="ru-RU"/>
              </w:rPr>
            </w:pPr>
            <w:r>
              <w:rPr>
                <w:sz w:val="18"/>
                <w:lang w:val="ru-RU"/>
              </w:rPr>
              <w:t>Доход (в динарах)</w:t>
            </w:r>
          </w:p>
        </w:tc>
      </w:tr>
      <w:tr w:rsidR="00000000">
        <w:tblPrEx>
          <w:tblCellMar>
            <w:top w:w="0" w:type="dxa"/>
            <w:bottom w:w="0" w:type="dxa"/>
          </w:tblCellMar>
        </w:tblPrEx>
        <w:tc>
          <w:tcPr>
            <w:tcW w:w="3710" w:type="dxa"/>
            <w:tcBorders>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Заработная плата и другие выплаты, связанные с работой</w:t>
            </w:r>
          </w:p>
        </w:tc>
        <w:tc>
          <w:tcPr>
            <w:tcW w:w="89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10 905</w:t>
            </w:r>
          </w:p>
        </w:tc>
        <w:tc>
          <w:tcPr>
            <w:tcW w:w="997"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6 929</w:t>
            </w:r>
          </w:p>
        </w:tc>
        <w:tc>
          <w:tcPr>
            <w:tcW w:w="998"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9</w:t>
            </w:r>
            <w:r>
              <w:rPr>
                <w:sz w:val="18"/>
                <w:lang w:val="ru-RU"/>
              </w:rPr>
              <w:t xml:space="preserve"> </w:t>
            </w:r>
            <w:r>
              <w:rPr>
                <w:sz w:val="18"/>
              </w:rPr>
              <w:t>243</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4</w:t>
            </w:r>
            <w:r>
              <w:rPr>
                <w:sz w:val="18"/>
                <w:lang w:val="ru-RU"/>
              </w:rPr>
              <w:t xml:space="preserve"> </w:t>
            </w:r>
            <w:r>
              <w:rPr>
                <w:sz w:val="18"/>
              </w:rPr>
              <w:t>379,5</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2</w:t>
            </w:r>
            <w:r>
              <w:rPr>
                <w:sz w:val="18"/>
                <w:lang w:val="ru-RU"/>
              </w:rPr>
              <w:t xml:space="preserve"> </w:t>
            </w:r>
            <w:r>
              <w:rPr>
                <w:sz w:val="18"/>
              </w:rPr>
              <w:t>604,9</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3</w:t>
            </w:r>
            <w:r>
              <w:rPr>
                <w:sz w:val="18"/>
                <w:lang w:val="ru-RU"/>
              </w:rPr>
              <w:t xml:space="preserve"> </w:t>
            </w:r>
            <w:r>
              <w:rPr>
                <w:sz w:val="18"/>
              </w:rPr>
              <w:t>610,5</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Пенсии</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4430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3082</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3866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1779,1</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1158,6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1 510,2</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сельскохозяйственной деятельности</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520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5 056</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2 415</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208,8</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1 900,8</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943,4</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производства продукции для собственного потребления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400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4 221</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1 997</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160,6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1 586,8</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780,1</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Арендная плата за квартиру/дом</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1 363</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533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1 016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547,4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200,2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396,9</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товаров длительного пользования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3 355</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1 452</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2 560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1 347,4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545,9</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1 000,0</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Работа по совместительству</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717</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698</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709</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288,0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262,4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277,0</w:t>
            </w:r>
          </w:p>
        </w:tc>
      </w:tr>
      <w:tr w:rsidR="00000000">
        <w:tblPrEx>
          <w:tblCellMar>
            <w:top w:w="0" w:type="dxa"/>
            <w:bottom w:w="0" w:type="dxa"/>
          </w:tblCellMar>
        </w:tblPrEx>
        <w:tc>
          <w:tcPr>
            <w:tcW w:w="3710" w:type="dxa"/>
            <w:tcBorders>
              <w:top w:val="nil"/>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Другие виды дохода</w:t>
            </w:r>
          </w:p>
        </w:tc>
        <w:tc>
          <w:tcPr>
            <w:tcW w:w="89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954</w:t>
            </w:r>
          </w:p>
        </w:tc>
        <w:tc>
          <w:tcPr>
            <w:tcW w:w="997"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987</w:t>
            </w:r>
          </w:p>
        </w:tc>
        <w:tc>
          <w:tcPr>
            <w:tcW w:w="998"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968</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383,1</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371,1</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378,1</w:t>
            </w:r>
          </w:p>
        </w:tc>
      </w:tr>
      <w:tr w:rsidR="00000000">
        <w:tblPrEx>
          <w:tblCellMar>
            <w:top w:w="0" w:type="dxa"/>
            <w:bottom w:w="0" w:type="dxa"/>
          </w:tblCellMar>
        </w:tblPrEx>
        <w:tc>
          <w:tcPr>
            <w:tcW w:w="3710" w:type="dxa"/>
            <w:tcBorders>
              <w:top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ab/>
              <w:t>Общая сумма дохода</w:t>
            </w:r>
          </w:p>
        </w:tc>
        <w:tc>
          <w:tcPr>
            <w:tcW w:w="89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22 644,0</w:t>
            </w:r>
          </w:p>
        </w:tc>
        <w:tc>
          <w:tcPr>
            <w:tcW w:w="997"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22 957,5</w:t>
            </w:r>
          </w:p>
        </w:tc>
        <w:tc>
          <w:tcPr>
            <w:tcW w:w="998"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22 774</w:t>
            </w: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9 094,0</w:t>
            </w: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8630,6</w:t>
            </w: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8 896,1</w:t>
            </w:r>
          </w:p>
        </w:tc>
      </w:tr>
      <w:tr w:rsidR="00000000">
        <w:tblPrEx>
          <w:tblCellMar>
            <w:top w:w="0" w:type="dxa"/>
            <w:bottom w:w="0" w:type="dxa"/>
          </w:tblCellMar>
        </w:tblPrEx>
        <w:trPr>
          <w:cantSplit/>
        </w:trPr>
        <w:tc>
          <w:tcPr>
            <w:tcW w:w="3710" w:type="dxa"/>
            <w:tcBorders>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p>
        </w:tc>
        <w:tc>
          <w:tcPr>
            <w:tcW w:w="5759" w:type="dxa"/>
            <w:gridSpan w:val="6"/>
            <w:tcBorders>
              <w:bottom w:val="single" w:sz="4" w:space="0" w:color="auto"/>
            </w:tcBorders>
          </w:tcPr>
          <w:p w:rsidR="00000000" w:rsidRDefault="00000000">
            <w:pPr>
              <w:pStyle w:val="Num-DocParagraph"/>
              <w:tabs>
                <w:tab w:val="clear" w:pos="850"/>
                <w:tab w:val="clear" w:pos="1191"/>
                <w:tab w:val="clear" w:pos="1531"/>
              </w:tabs>
              <w:spacing w:before="20" w:after="20"/>
              <w:jc w:val="center"/>
              <w:rPr>
                <w:sz w:val="18"/>
                <w:lang w:val="ru-RU"/>
              </w:rPr>
            </w:pPr>
            <w:r>
              <w:rPr>
                <w:sz w:val="18"/>
                <w:lang w:val="ru-RU"/>
              </w:rPr>
              <w:t>Структура дохода (в процентах)</w:t>
            </w:r>
          </w:p>
        </w:tc>
      </w:tr>
      <w:tr w:rsidR="00000000">
        <w:tblPrEx>
          <w:tblCellMar>
            <w:top w:w="0" w:type="dxa"/>
            <w:bottom w:w="0" w:type="dxa"/>
          </w:tblCellMar>
        </w:tblPrEx>
        <w:tc>
          <w:tcPr>
            <w:tcW w:w="3710" w:type="dxa"/>
            <w:tcBorders>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Заработная плата и другие выплаты, связанные с работой</w:t>
            </w:r>
          </w:p>
        </w:tc>
        <w:tc>
          <w:tcPr>
            <w:tcW w:w="89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48,2</w:t>
            </w:r>
          </w:p>
        </w:tc>
        <w:tc>
          <w:tcPr>
            <w:tcW w:w="997"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30,2</w:t>
            </w:r>
          </w:p>
        </w:tc>
        <w:tc>
          <w:tcPr>
            <w:tcW w:w="998"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40,6</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Пенсии</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19,6</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13,4</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17,0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сельскохозяйственной деятельности</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2,3</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22,0</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производства продукции для собственного потребления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1,8</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18,4</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8,8</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Арендная плата за квартиру/дом</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6,0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4,5</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Доход от товаров длительного пользования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14,8</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6,3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11,2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Работа по совместительству</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3,2</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3,0</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3,1</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Другие виды дохода</w:t>
            </w:r>
          </w:p>
        </w:tc>
        <w:tc>
          <w:tcPr>
            <w:tcW w:w="89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4,2</w:t>
            </w:r>
          </w:p>
        </w:tc>
        <w:tc>
          <w:tcPr>
            <w:tcW w:w="997"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4,3</w:t>
            </w:r>
          </w:p>
        </w:tc>
        <w:tc>
          <w:tcPr>
            <w:tcW w:w="998"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4,3</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ab/>
              <w:t>Общая сумма доходов</w:t>
            </w:r>
          </w:p>
        </w:tc>
        <w:tc>
          <w:tcPr>
            <w:tcW w:w="89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100,00</w:t>
            </w:r>
          </w:p>
        </w:tc>
        <w:tc>
          <w:tcPr>
            <w:tcW w:w="997"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100,00</w:t>
            </w:r>
          </w:p>
        </w:tc>
        <w:tc>
          <w:tcPr>
            <w:tcW w:w="998"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100,00</w:t>
            </w: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p>
        </w:tc>
        <w:tc>
          <w:tcPr>
            <w:tcW w:w="956" w:type="dxa"/>
            <w:tcBorders>
              <w:top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rPr>
            </w:pPr>
          </w:p>
        </w:tc>
      </w:tr>
      <w:tr w:rsidR="00000000">
        <w:tblPrEx>
          <w:tblCellMar>
            <w:top w:w="0" w:type="dxa"/>
            <w:bottom w:w="0" w:type="dxa"/>
          </w:tblCellMar>
        </w:tblPrEx>
        <w:trPr>
          <w:cantSplit/>
        </w:trPr>
        <w:tc>
          <w:tcPr>
            <w:tcW w:w="3710" w:type="dxa"/>
            <w:tcBorders>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p>
        </w:tc>
        <w:tc>
          <w:tcPr>
            <w:tcW w:w="5759" w:type="dxa"/>
            <w:gridSpan w:val="6"/>
            <w:tcBorders>
              <w:bottom w:val="single" w:sz="4" w:space="0" w:color="auto"/>
            </w:tcBorders>
          </w:tcPr>
          <w:p w:rsidR="00000000" w:rsidRDefault="00000000">
            <w:pPr>
              <w:pStyle w:val="Num-DocParagraph"/>
              <w:tabs>
                <w:tab w:val="clear" w:pos="850"/>
                <w:tab w:val="clear" w:pos="1191"/>
                <w:tab w:val="clear" w:pos="1531"/>
              </w:tabs>
              <w:spacing w:before="20" w:after="20"/>
              <w:jc w:val="center"/>
              <w:rPr>
                <w:sz w:val="18"/>
                <w:lang w:val="ru-RU"/>
              </w:rPr>
            </w:pPr>
            <w:r>
              <w:rPr>
                <w:sz w:val="18"/>
                <w:lang w:val="ru-RU"/>
              </w:rPr>
              <w:t>Расходы</w:t>
            </w:r>
          </w:p>
        </w:tc>
      </w:tr>
      <w:tr w:rsidR="00000000">
        <w:tblPrEx>
          <w:tblCellMar>
            <w:top w:w="0" w:type="dxa"/>
            <w:bottom w:w="0" w:type="dxa"/>
          </w:tblCellMar>
        </w:tblPrEx>
        <w:tc>
          <w:tcPr>
            <w:tcW w:w="3710" w:type="dxa"/>
            <w:tcBorders>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Амортизация товаров длительного пользования</w:t>
            </w:r>
          </w:p>
        </w:tc>
        <w:tc>
          <w:tcPr>
            <w:tcW w:w="89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548</w:t>
            </w:r>
          </w:p>
        </w:tc>
        <w:tc>
          <w:tcPr>
            <w:tcW w:w="997"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450</w:t>
            </w:r>
          </w:p>
        </w:tc>
        <w:tc>
          <w:tcPr>
            <w:tcW w:w="998"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507</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220,1</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169,2</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198,0</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Арендная плата за квартиру/дом</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1 363</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532,5</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1 016</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547,4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200,2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396,9</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Расходы на жилье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4 552</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3 310</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4 033</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1 828,1</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1 244,4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1 575,4</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Продукты питания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12 269</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11 563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11 974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4 927,3</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4 347,0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4 677,3</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Образование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831</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474</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rPr>
            </w:pPr>
            <w:r>
              <w:rPr>
                <w:sz w:val="18"/>
              </w:rPr>
              <w:t>682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333,7</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178,2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266,4</w:t>
            </w: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Медицинское обслуживание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1 340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1 113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1 245</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538,2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418,4</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486,3</w:t>
            </w:r>
          </w:p>
        </w:tc>
      </w:tr>
      <w:tr w:rsidR="00000000">
        <w:tblPrEx>
          <w:tblCellMar>
            <w:top w:w="0" w:type="dxa"/>
            <w:bottom w:w="0" w:type="dxa"/>
          </w:tblCellMar>
        </w:tblPrEx>
        <w:tc>
          <w:tcPr>
            <w:tcW w:w="3710" w:type="dxa"/>
            <w:tcBorders>
              <w:top w:val="nil"/>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Другие расходы, помимо питания</w:t>
            </w:r>
          </w:p>
        </w:tc>
        <w:tc>
          <w:tcPr>
            <w:tcW w:w="89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6 090</w:t>
            </w:r>
          </w:p>
        </w:tc>
        <w:tc>
          <w:tcPr>
            <w:tcW w:w="997"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4 677</w:t>
            </w:r>
          </w:p>
        </w:tc>
        <w:tc>
          <w:tcPr>
            <w:tcW w:w="998"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5 500</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2 445,8</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1 758,3</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2 148,4</w:t>
            </w:r>
          </w:p>
        </w:tc>
      </w:tr>
      <w:tr w:rsidR="00000000">
        <w:tblPrEx>
          <w:tblCellMar>
            <w:top w:w="0" w:type="dxa"/>
            <w:bottom w:w="0" w:type="dxa"/>
          </w:tblCellMar>
        </w:tblPrEx>
        <w:tc>
          <w:tcPr>
            <w:tcW w:w="3710" w:type="dxa"/>
            <w:tcBorders>
              <w:top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ab/>
              <w:t>Общая сумма расходов</w:t>
            </w:r>
          </w:p>
        </w:tc>
        <w:tc>
          <w:tcPr>
            <w:tcW w:w="89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26 993</w:t>
            </w:r>
          </w:p>
        </w:tc>
        <w:tc>
          <w:tcPr>
            <w:tcW w:w="997"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22 119,5</w:t>
            </w:r>
          </w:p>
        </w:tc>
        <w:tc>
          <w:tcPr>
            <w:tcW w:w="998"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22 957</w:t>
            </w: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10 840,6</w:t>
            </w: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8 315,6</w:t>
            </w: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9 748,8</w:t>
            </w:r>
          </w:p>
        </w:tc>
      </w:tr>
      <w:tr w:rsidR="00000000">
        <w:tblPrEx>
          <w:tblCellMar>
            <w:top w:w="0" w:type="dxa"/>
            <w:bottom w:w="0" w:type="dxa"/>
          </w:tblCellMar>
        </w:tblPrEx>
        <w:trPr>
          <w:cantSplit/>
        </w:trPr>
        <w:tc>
          <w:tcPr>
            <w:tcW w:w="3710" w:type="dxa"/>
            <w:tcBorders>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p>
        </w:tc>
        <w:tc>
          <w:tcPr>
            <w:tcW w:w="5759" w:type="dxa"/>
            <w:gridSpan w:val="6"/>
            <w:tcBorders>
              <w:bottom w:val="single" w:sz="4" w:space="0" w:color="auto"/>
            </w:tcBorders>
          </w:tcPr>
          <w:p w:rsidR="00000000" w:rsidRDefault="00000000">
            <w:pPr>
              <w:pStyle w:val="Num-DocParagraph"/>
              <w:tabs>
                <w:tab w:val="clear" w:pos="850"/>
                <w:tab w:val="clear" w:pos="1191"/>
                <w:tab w:val="clear" w:pos="1531"/>
              </w:tabs>
              <w:spacing w:before="20" w:after="20"/>
              <w:jc w:val="center"/>
              <w:rPr>
                <w:sz w:val="18"/>
                <w:lang w:val="ru-RU"/>
              </w:rPr>
            </w:pPr>
            <w:r>
              <w:rPr>
                <w:sz w:val="18"/>
                <w:lang w:val="ru-RU"/>
              </w:rPr>
              <w:t>Структура расходов</w:t>
            </w:r>
          </w:p>
        </w:tc>
      </w:tr>
      <w:tr w:rsidR="00000000">
        <w:tblPrEx>
          <w:tblCellMar>
            <w:top w:w="0" w:type="dxa"/>
            <w:bottom w:w="0" w:type="dxa"/>
          </w:tblCellMar>
        </w:tblPrEx>
        <w:tc>
          <w:tcPr>
            <w:tcW w:w="3710" w:type="dxa"/>
            <w:tcBorders>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Амортизация товаров длительного пользования</w:t>
            </w:r>
          </w:p>
        </w:tc>
        <w:tc>
          <w:tcPr>
            <w:tcW w:w="89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w:t>
            </w:r>
          </w:p>
        </w:tc>
        <w:tc>
          <w:tcPr>
            <w:tcW w:w="997"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w:t>
            </w:r>
          </w:p>
        </w:tc>
        <w:tc>
          <w:tcPr>
            <w:tcW w:w="998"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2,0</w:t>
            </w: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Арендная плата за квартиру/дом</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2,4</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4,1</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Расходы на жилье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16,9</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15,0</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16,2</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Продукты питания</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45,5</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52,3</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48,0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Образование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3,1</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2,1</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2,7</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nil"/>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Медицинское обслуживание</w:t>
            </w:r>
          </w:p>
        </w:tc>
        <w:tc>
          <w:tcPr>
            <w:tcW w:w="89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5,0</w:t>
            </w:r>
          </w:p>
        </w:tc>
        <w:tc>
          <w:tcPr>
            <w:tcW w:w="997"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5,0</w:t>
            </w:r>
          </w:p>
        </w:tc>
        <w:tc>
          <w:tcPr>
            <w:tcW w:w="998"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5,0</w:t>
            </w: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nil"/>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nil"/>
              <w:bottom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Другие расходы, помимо питания</w:t>
            </w:r>
          </w:p>
        </w:tc>
        <w:tc>
          <w:tcPr>
            <w:tcW w:w="89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22,6</w:t>
            </w:r>
          </w:p>
        </w:tc>
        <w:tc>
          <w:tcPr>
            <w:tcW w:w="997"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21,1</w:t>
            </w:r>
          </w:p>
        </w:tc>
        <w:tc>
          <w:tcPr>
            <w:tcW w:w="998"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22,0</w:t>
            </w: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nil"/>
              <w:bottom w:val="single" w:sz="4" w:space="0" w:color="auto"/>
            </w:tcBorders>
          </w:tcPr>
          <w:p w:rsidR="00000000" w:rsidRDefault="00000000">
            <w:pPr>
              <w:pStyle w:val="Num-DocParagraph"/>
              <w:tabs>
                <w:tab w:val="clear" w:pos="850"/>
                <w:tab w:val="clear" w:pos="1191"/>
                <w:tab w:val="clear" w:pos="1531"/>
              </w:tabs>
              <w:spacing w:before="20" w:after="20"/>
              <w:ind w:right="113"/>
              <w:jc w:val="right"/>
              <w:rPr>
                <w:sz w:val="18"/>
                <w:lang w:val="ru-RU"/>
              </w:rPr>
            </w:pPr>
          </w:p>
        </w:tc>
      </w:tr>
      <w:tr w:rsidR="00000000">
        <w:tblPrEx>
          <w:tblCellMar>
            <w:top w:w="0" w:type="dxa"/>
            <w:bottom w:w="0" w:type="dxa"/>
          </w:tblCellMar>
        </w:tblPrEx>
        <w:tc>
          <w:tcPr>
            <w:tcW w:w="3710" w:type="dxa"/>
            <w:tcBorders>
              <w:top w:val="single" w:sz="4" w:space="0" w:color="auto"/>
            </w:tcBorders>
          </w:tcPr>
          <w:p w:rsidR="00000000" w:rsidRDefault="00000000">
            <w:pPr>
              <w:pStyle w:val="Num-DocParagraph"/>
              <w:tabs>
                <w:tab w:val="clear" w:pos="850"/>
                <w:tab w:val="clear" w:pos="1191"/>
                <w:tab w:val="clear" w:pos="1531"/>
              </w:tabs>
              <w:spacing w:before="20" w:after="20"/>
              <w:jc w:val="left"/>
              <w:rPr>
                <w:sz w:val="18"/>
                <w:lang w:val="ru-RU"/>
              </w:rPr>
            </w:pPr>
            <w:r>
              <w:rPr>
                <w:sz w:val="18"/>
                <w:lang w:val="ru-RU"/>
              </w:rPr>
              <w:tab/>
              <w:t>Общий объем расходов</w:t>
            </w:r>
          </w:p>
        </w:tc>
        <w:tc>
          <w:tcPr>
            <w:tcW w:w="89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100,00</w:t>
            </w:r>
          </w:p>
        </w:tc>
        <w:tc>
          <w:tcPr>
            <w:tcW w:w="997"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100,00</w:t>
            </w:r>
          </w:p>
        </w:tc>
        <w:tc>
          <w:tcPr>
            <w:tcW w:w="998"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r>
              <w:rPr>
                <w:sz w:val="18"/>
                <w:lang w:val="ru-RU"/>
              </w:rPr>
              <w:t>100,00</w:t>
            </w: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p>
        </w:tc>
        <w:tc>
          <w:tcPr>
            <w:tcW w:w="956" w:type="dxa"/>
            <w:tcBorders>
              <w:top w:val="single" w:sz="4" w:space="0" w:color="auto"/>
            </w:tcBorders>
            <w:vAlign w:val="center"/>
          </w:tcPr>
          <w:p w:rsidR="00000000" w:rsidRDefault="00000000">
            <w:pPr>
              <w:pStyle w:val="Num-DocParagraph"/>
              <w:tabs>
                <w:tab w:val="clear" w:pos="850"/>
                <w:tab w:val="clear" w:pos="1191"/>
                <w:tab w:val="clear" w:pos="1531"/>
              </w:tabs>
              <w:spacing w:before="20" w:after="20"/>
              <w:ind w:right="113"/>
              <w:jc w:val="right"/>
              <w:rPr>
                <w:sz w:val="18"/>
                <w:lang w:val="ru-RU"/>
              </w:rPr>
            </w:pPr>
          </w:p>
        </w:tc>
      </w:tr>
    </w:tbl>
    <w:p w:rsidR="00000000" w:rsidRDefault="00000000">
      <w:pPr>
        <w:spacing w:line="216" w:lineRule="auto"/>
      </w:pPr>
    </w:p>
    <w:p w:rsidR="00000000" w:rsidRDefault="00000000">
      <w:pPr>
        <w:spacing w:line="720" w:lineRule="auto"/>
        <w:rPr>
          <w:sz w:val="20"/>
        </w:rPr>
      </w:pPr>
      <w:r>
        <w:rPr>
          <w:sz w:val="20"/>
        </w:rPr>
        <w:tab/>
      </w:r>
      <w:r>
        <w:rPr>
          <w:i/>
          <w:iCs/>
          <w:sz w:val="20"/>
        </w:rPr>
        <w:t>Источник:</w:t>
      </w:r>
      <w:r>
        <w:rPr>
          <w:sz w:val="20"/>
        </w:rPr>
        <w:t xml:space="preserve">  Министерство социального обеспечения Республики Сербии, 2002 год.</w:t>
      </w:r>
    </w:p>
    <w:p w:rsidR="00000000" w:rsidRDefault="00000000">
      <w:pPr>
        <w:rPr>
          <w:b/>
          <w:bCs/>
        </w:rPr>
      </w:pPr>
      <w:r>
        <w:rPr>
          <w:b/>
          <w:bCs/>
        </w:rPr>
        <w:t>Факторы бедности в сельских и городских домашних хозяйствах</w:t>
      </w:r>
    </w:p>
    <w:p w:rsidR="00000000" w:rsidRDefault="00000000">
      <w:pPr>
        <w:rPr>
          <w:b/>
          <w:bCs/>
        </w:rPr>
      </w:pPr>
    </w:p>
    <w:p w:rsidR="00000000" w:rsidRDefault="00000000">
      <w:r>
        <w:t>250.</w:t>
      </w:r>
      <w:r>
        <w:tab/>
        <w:t xml:space="preserve">Для определения факторов бедности и уровня их влияния была произведена </w:t>
      </w:r>
      <w:proofErr w:type="spellStart"/>
      <w:r>
        <w:t>подвыборка</w:t>
      </w:r>
      <w:proofErr w:type="spellEnd"/>
      <w:r>
        <w:t xml:space="preserve"> домашних хозяйств с уровнем потребления на единичное домохозяйство ниже среднего уровня потребления, определенного для всех домашних хозяйств.  Были рассчитаны коэффициенты частичной корреляции между уровнем потребления на единичное домохозяйство и каждым отдельным фактором.</w:t>
      </w:r>
    </w:p>
    <w:p w:rsidR="00000000" w:rsidRDefault="00000000"/>
    <w:p w:rsidR="00000000" w:rsidRDefault="00000000">
      <w:r>
        <w:t>251.</w:t>
      </w:r>
      <w:r>
        <w:tab/>
        <w:t xml:space="preserve">В </w:t>
      </w:r>
      <w:proofErr w:type="spellStart"/>
      <w:r>
        <w:t>подвыборке</w:t>
      </w:r>
      <w:proofErr w:type="spellEnd"/>
      <w:r>
        <w:t xml:space="preserve"> сельских домашних хозяйств основным позитивным фактором уровня потребления выступает уровень натурального дохода (производство сельскохозяйственной продукции и производство для собственного потребления).  Следующим по уровню воздействия фактором является сумма пенсии.  Уровень заработной платы стоит лишь на третьем месте , тогда как наиболее ярко выраженным негативным фактором в потреблении является количество иждивенцев в домашнем хозяйстве.  Наиболее существенным подтвержденным фактором, обуславливающим потребление городских домашних хозяйств, выступает уровень заработной платы.</w:t>
      </w:r>
    </w:p>
    <w:p w:rsidR="00000000" w:rsidRDefault="00000000">
      <w:pPr>
        <w:spacing w:line="240" w:lineRule="auto"/>
      </w:pPr>
    </w:p>
    <w:p w:rsidR="00000000" w:rsidRDefault="00000000">
      <w:pPr>
        <w:spacing w:line="240" w:lineRule="auto"/>
        <w:jc w:val="center"/>
        <w:rPr>
          <w:b/>
          <w:bCs/>
        </w:rPr>
      </w:pPr>
      <w:r>
        <w:rPr>
          <w:b/>
          <w:bCs/>
        </w:rPr>
        <w:t>Таблица 8</w:t>
      </w:r>
    </w:p>
    <w:p w:rsidR="00000000" w:rsidRDefault="00000000">
      <w:pPr>
        <w:spacing w:line="240" w:lineRule="auto"/>
        <w:jc w:val="center"/>
      </w:pPr>
    </w:p>
    <w:p w:rsidR="00000000" w:rsidRDefault="00000000">
      <w:pPr>
        <w:spacing w:line="240" w:lineRule="auto"/>
        <w:jc w:val="center"/>
        <w:rPr>
          <w:b/>
          <w:bCs/>
        </w:rPr>
      </w:pPr>
      <w:r>
        <w:rPr>
          <w:b/>
          <w:bCs/>
        </w:rPr>
        <w:t>Факторы бедности в домашних хозяйствах</w:t>
      </w:r>
    </w:p>
    <w:p w:rsidR="00000000" w:rsidRDefault="00000000">
      <w:pPr>
        <w:spacing w:line="240" w:lineRule="auto"/>
        <w:jc w:val="center"/>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7"/>
        <w:gridCol w:w="1870"/>
        <w:gridCol w:w="1683"/>
        <w:gridCol w:w="2171"/>
      </w:tblGrid>
      <w:tr w:rsidR="00000000">
        <w:tblPrEx>
          <w:tblCellMar>
            <w:top w:w="0" w:type="dxa"/>
            <w:bottom w:w="0" w:type="dxa"/>
          </w:tblCellMar>
        </w:tblPrEx>
        <w:trPr>
          <w:cantSplit/>
        </w:trPr>
        <w:tc>
          <w:tcPr>
            <w:tcW w:w="2010" w:type="pct"/>
            <w:vMerge w:val="restart"/>
            <w:vAlign w:val="center"/>
          </w:tcPr>
          <w:p w:rsidR="00000000" w:rsidRDefault="00000000">
            <w:pPr>
              <w:spacing w:line="240" w:lineRule="auto"/>
              <w:jc w:val="center"/>
            </w:pPr>
            <w:r>
              <w:t>Фактор</w:t>
            </w:r>
          </w:p>
        </w:tc>
        <w:tc>
          <w:tcPr>
            <w:tcW w:w="2990" w:type="pct"/>
            <w:gridSpan w:val="3"/>
            <w:vAlign w:val="center"/>
          </w:tcPr>
          <w:p w:rsidR="00000000" w:rsidRDefault="00000000">
            <w:pPr>
              <w:spacing w:line="240" w:lineRule="auto"/>
              <w:jc w:val="center"/>
            </w:pPr>
            <w:r>
              <w:t>Коэффициент частичной корреляции</w:t>
            </w:r>
          </w:p>
        </w:tc>
      </w:tr>
      <w:tr w:rsidR="00000000">
        <w:tblPrEx>
          <w:tblCellMar>
            <w:top w:w="0" w:type="dxa"/>
            <w:bottom w:w="0" w:type="dxa"/>
          </w:tblCellMar>
        </w:tblPrEx>
        <w:trPr>
          <w:cantSplit/>
        </w:trPr>
        <w:tc>
          <w:tcPr>
            <w:tcW w:w="2010" w:type="pct"/>
            <w:vMerge/>
            <w:tcBorders>
              <w:bottom w:val="single" w:sz="4" w:space="0" w:color="auto"/>
            </w:tcBorders>
          </w:tcPr>
          <w:p w:rsidR="00000000" w:rsidRDefault="00000000">
            <w:pPr>
              <w:spacing w:line="240" w:lineRule="auto"/>
              <w:jc w:val="center"/>
            </w:pPr>
          </w:p>
        </w:tc>
        <w:tc>
          <w:tcPr>
            <w:tcW w:w="977" w:type="pct"/>
            <w:tcBorders>
              <w:bottom w:val="single" w:sz="4" w:space="0" w:color="auto"/>
            </w:tcBorders>
            <w:vAlign w:val="center"/>
          </w:tcPr>
          <w:p w:rsidR="00000000" w:rsidRDefault="00000000">
            <w:pPr>
              <w:spacing w:line="240" w:lineRule="auto"/>
              <w:jc w:val="center"/>
            </w:pPr>
            <w:r>
              <w:t>Город</w:t>
            </w:r>
          </w:p>
        </w:tc>
        <w:tc>
          <w:tcPr>
            <w:tcW w:w="879" w:type="pct"/>
            <w:tcBorders>
              <w:bottom w:val="single" w:sz="4" w:space="0" w:color="auto"/>
            </w:tcBorders>
            <w:vAlign w:val="center"/>
          </w:tcPr>
          <w:p w:rsidR="00000000" w:rsidRDefault="00000000">
            <w:pPr>
              <w:spacing w:line="240" w:lineRule="auto"/>
              <w:jc w:val="center"/>
            </w:pPr>
            <w:r>
              <w:t>Деревня</w:t>
            </w:r>
          </w:p>
        </w:tc>
        <w:tc>
          <w:tcPr>
            <w:tcW w:w="1134" w:type="pct"/>
            <w:tcBorders>
              <w:bottom w:val="single" w:sz="4" w:space="0" w:color="auto"/>
            </w:tcBorders>
            <w:vAlign w:val="center"/>
          </w:tcPr>
          <w:p w:rsidR="00000000" w:rsidRDefault="00000000">
            <w:pPr>
              <w:spacing w:line="240" w:lineRule="auto"/>
              <w:jc w:val="center"/>
            </w:pPr>
            <w:r>
              <w:t>Все домашние хозяйства</w:t>
            </w:r>
          </w:p>
        </w:tc>
      </w:tr>
      <w:tr w:rsidR="00000000">
        <w:tblPrEx>
          <w:tblCellMar>
            <w:top w:w="0" w:type="dxa"/>
            <w:bottom w:w="0" w:type="dxa"/>
          </w:tblCellMar>
        </w:tblPrEx>
        <w:tc>
          <w:tcPr>
            <w:tcW w:w="2010" w:type="pct"/>
            <w:tcBorders>
              <w:bottom w:val="nil"/>
            </w:tcBorders>
          </w:tcPr>
          <w:p w:rsidR="00000000" w:rsidRDefault="00000000">
            <w:pPr>
              <w:spacing w:line="240" w:lineRule="auto"/>
            </w:pPr>
            <w:r>
              <w:t>Уровень заработной платы</w:t>
            </w:r>
          </w:p>
        </w:tc>
        <w:tc>
          <w:tcPr>
            <w:tcW w:w="977" w:type="pct"/>
            <w:tcBorders>
              <w:bottom w:val="nil"/>
            </w:tcBorders>
          </w:tcPr>
          <w:p w:rsidR="00000000" w:rsidRDefault="00000000">
            <w:pPr>
              <w:spacing w:line="240" w:lineRule="auto"/>
              <w:ind w:right="567"/>
              <w:jc w:val="right"/>
            </w:pPr>
            <w:r>
              <w:t>0,268</w:t>
            </w:r>
          </w:p>
        </w:tc>
        <w:tc>
          <w:tcPr>
            <w:tcW w:w="879" w:type="pct"/>
            <w:tcBorders>
              <w:bottom w:val="nil"/>
            </w:tcBorders>
          </w:tcPr>
          <w:p w:rsidR="00000000" w:rsidRDefault="00000000">
            <w:pPr>
              <w:spacing w:line="240" w:lineRule="auto"/>
              <w:ind w:right="567"/>
              <w:jc w:val="right"/>
            </w:pPr>
            <w:r>
              <w:t>0,154</w:t>
            </w:r>
          </w:p>
        </w:tc>
        <w:tc>
          <w:tcPr>
            <w:tcW w:w="1134" w:type="pct"/>
            <w:tcBorders>
              <w:bottom w:val="nil"/>
            </w:tcBorders>
          </w:tcPr>
          <w:p w:rsidR="00000000" w:rsidRDefault="00000000">
            <w:pPr>
              <w:spacing w:line="240" w:lineRule="auto"/>
              <w:ind w:right="567"/>
              <w:jc w:val="right"/>
            </w:pPr>
            <w:r>
              <w:t>0,202</w:t>
            </w:r>
          </w:p>
        </w:tc>
      </w:tr>
      <w:tr w:rsidR="00000000">
        <w:tblPrEx>
          <w:tblCellMar>
            <w:top w:w="0" w:type="dxa"/>
            <w:bottom w:w="0" w:type="dxa"/>
          </w:tblCellMar>
        </w:tblPrEx>
        <w:tc>
          <w:tcPr>
            <w:tcW w:w="2010" w:type="pct"/>
            <w:tcBorders>
              <w:top w:val="nil"/>
              <w:bottom w:val="nil"/>
            </w:tcBorders>
          </w:tcPr>
          <w:p w:rsidR="00000000" w:rsidRDefault="00000000">
            <w:pPr>
              <w:spacing w:line="240" w:lineRule="auto"/>
            </w:pPr>
            <w:r>
              <w:t>Размер пенсии</w:t>
            </w:r>
          </w:p>
        </w:tc>
        <w:tc>
          <w:tcPr>
            <w:tcW w:w="977" w:type="pct"/>
            <w:tcBorders>
              <w:top w:val="nil"/>
              <w:bottom w:val="nil"/>
            </w:tcBorders>
          </w:tcPr>
          <w:p w:rsidR="00000000" w:rsidRDefault="00000000">
            <w:pPr>
              <w:spacing w:line="240" w:lineRule="auto"/>
              <w:ind w:right="567"/>
              <w:jc w:val="right"/>
            </w:pPr>
            <w:r>
              <w:t>0,117</w:t>
            </w:r>
          </w:p>
        </w:tc>
        <w:tc>
          <w:tcPr>
            <w:tcW w:w="879" w:type="pct"/>
            <w:tcBorders>
              <w:top w:val="nil"/>
              <w:bottom w:val="nil"/>
            </w:tcBorders>
          </w:tcPr>
          <w:p w:rsidR="00000000" w:rsidRDefault="00000000">
            <w:pPr>
              <w:spacing w:line="240" w:lineRule="auto"/>
              <w:ind w:right="567"/>
              <w:jc w:val="right"/>
            </w:pPr>
            <w:r>
              <w:t>0,211</w:t>
            </w:r>
          </w:p>
        </w:tc>
        <w:tc>
          <w:tcPr>
            <w:tcW w:w="1134" w:type="pct"/>
            <w:tcBorders>
              <w:top w:val="nil"/>
              <w:bottom w:val="nil"/>
            </w:tcBorders>
          </w:tcPr>
          <w:p w:rsidR="00000000" w:rsidRDefault="00000000">
            <w:pPr>
              <w:spacing w:line="240" w:lineRule="auto"/>
              <w:ind w:right="567"/>
              <w:jc w:val="right"/>
            </w:pPr>
            <w:r>
              <w:t>0,179</w:t>
            </w:r>
          </w:p>
        </w:tc>
      </w:tr>
      <w:tr w:rsidR="00000000">
        <w:tblPrEx>
          <w:tblCellMar>
            <w:top w:w="0" w:type="dxa"/>
            <w:bottom w:w="0" w:type="dxa"/>
          </w:tblCellMar>
        </w:tblPrEx>
        <w:tc>
          <w:tcPr>
            <w:tcW w:w="2010" w:type="pct"/>
            <w:tcBorders>
              <w:top w:val="nil"/>
              <w:bottom w:val="nil"/>
            </w:tcBorders>
          </w:tcPr>
          <w:p w:rsidR="00000000" w:rsidRDefault="00000000">
            <w:pPr>
              <w:spacing w:line="240" w:lineRule="auto"/>
            </w:pPr>
            <w:r>
              <w:t>Натуральный доход</w:t>
            </w:r>
          </w:p>
        </w:tc>
        <w:tc>
          <w:tcPr>
            <w:tcW w:w="977" w:type="pct"/>
            <w:tcBorders>
              <w:top w:val="nil"/>
              <w:bottom w:val="nil"/>
            </w:tcBorders>
          </w:tcPr>
          <w:p w:rsidR="00000000" w:rsidRDefault="00000000">
            <w:pPr>
              <w:spacing w:line="240" w:lineRule="auto"/>
              <w:ind w:right="567"/>
              <w:jc w:val="right"/>
            </w:pPr>
            <w:r>
              <w:t>0,044</w:t>
            </w:r>
          </w:p>
        </w:tc>
        <w:tc>
          <w:tcPr>
            <w:tcW w:w="879" w:type="pct"/>
            <w:tcBorders>
              <w:top w:val="nil"/>
              <w:bottom w:val="nil"/>
            </w:tcBorders>
          </w:tcPr>
          <w:p w:rsidR="00000000" w:rsidRDefault="00000000">
            <w:pPr>
              <w:spacing w:line="240" w:lineRule="auto"/>
              <w:ind w:right="567"/>
              <w:jc w:val="right"/>
            </w:pPr>
            <w:r>
              <w:t>0,251</w:t>
            </w:r>
          </w:p>
        </w:tc>
        <w:tc>
          <w:tcPr>
            <w:tcW w:w="1134" w:type="pct"/>
            <w:tcBorders>
              <w:top w:val="nil"/>
              <w:bottom w:val="nil"/>
            </w:tcBorders>
          </w:tcPr>
          <w:p w:rsidR="00000000" w:rsidRDefault="00000000">
            <w:pPr>
              <w:spacing w:line="240" w:lineRule="auto"/>
              <w:ind w:right="567"/>
              <w:jc w:val="right"/>
            </w:pPr>
            <w:r>
              <w:t>0,180</w:t>
            </w:r>
          </w:p>
        </w:tc>
      </w:tr>
      <w:tr w:rsidR="00000000">
        <w:tblPrEx>
          <w:tblCellMar>
            <w:top w:w="0" w:type="dxa"/>
            <w:bottom w:w="0" w:type="dxa"/>
          </w:tblCellMar>
        </w:tblPrEx>
        <w:tc>
          <w:tcPr>
            <w:tcW w:w="2010" w:type="pct"/>
            <w:tcBorders>
              <w:top w:val="nil"/>
              <w:bottom w:val="nil"/>
            </w:tcBorders>
          </w:tcPr>
          <w:p w:rsidR="00000000" w:rsidRDefault="00000000">
            <w:pPr>
              <w:spacing w:line="240" w:lineRule="auto"/>
            </w:pPr>
            <w:r>
              <w:t>Занятость в домашнем хозяйстве</w:t>
            </w:r>
          </w:p>
        </w:tc>
        <w:tc>
          <w:tcPr>
            <w:tcW w:w="977" w:type="pct"/>
            <w:tcBorders>
              <w:top w:val="nil"/>
              <w:bottom w:val="nil"/>
            </w:tcBorders>
          </w:tcPr>
          <w:p w:rsidR="00000000" w:rsidRDefault="00000000">
            <w:pPr>
              <w:spacing w:line="240" w:lineRule="auto"/>
              <w:ind w:right="567"/>
              <w:jc w:val="right"/>
            </w:pPr>
            <w:r>
              <w:t>0,076</w:t>
            </w:r>
          </w:p>
        </w:tc>
        <w:tc>
          <w:tcPr>
            <w:tcW w:w="879" w:type="pct"/>
            <w:tcBorders>
              <w:top w:val="nil"/>
              <w:bottom w:val="nil"/>
            </w:tcBorders>
          </w:tcPr>
          <w:p w:rsidR="00000000" w:rsidRDefault="00000000">
            <w:pPr>
              <w:spacing w:line="240" w:lineRule="auto"/>
              <w:ind w:right="567"/>
              <w:jc w:val="right"/>
            </w:pPr>
            <w:r>
              <w:t>–0,002</w:t>
            </w:r>
          </w:p>
        </w:tc>
        <w:tc>
          <w:tcPr>
            <w:tcW w:w="1134" w:type="pct"/>
            <w:tcBorders>
              <w:top w:val="nil"/>
              <w:bottom w:val="nil"/>
            </w:tcBorders>
          </w:tcPr>
          <w:p w:rsidR="00000000" w:rsidRDefault="00000000">
            <w:pPr>
              <w:spacing w:line="240" w:lineRule="auto"/>
              <w:ind w:right="567"/>
              <w:jc w:val="right"/>
            </w:pPr>
            <w:r>
              <w:t>0,048</w:t>
            </w:r>
          </w:p>
        </w:tc>
      </w:tr>
      <w:tr w:rsidR="00000000">
        <w:tblPrEx>
          <w:tblCellMar>
            <w:top w:w="0" w:type="dxa"/>
            <w:bottom w:w="0" w:type="dxa"/>
          </w:tblCellMar>
        </w:tblPrEx>
        <w:tc>
          <w:tcPr>
            <w:tcW w:w="2010" w:type="pct"/>
            <w:tcBorders>
              <w:top w:val="nil"/>
              <w:bottom w:val="nil"/>
            </w:tcBorders>
          </w:tcPr>
          <w:p w:rsidR="00000000" w:rsidRDefault="00000000">
            <w:pPr>
              <w:spacing w:line="240" w:lineRule="auto"/>
            </w:pPr>
            <w:r>
              <w:t>Лица на иждивении</w:t>
            </w:r>
          </w:p>
        </w:tc>
        <w:tc>
          <w:tcPr>
            <w:tcW w:w="977" w:type="pct"/>
            <w:tcBorders>
              <w:top w:val="nil"/>
              <w:bottom w:val="nil"/>
            </w:tcBorders>
          </w:tcPr>
          <w:p w:rsidR="00000000" w:rsidRDefault="00000000">
            <w:pPr>
              <w:spacing w:line="240" w:lineRule="auto"/>
              <w:ind w:right="567"/>
              <w:jc w:val="right"/>
            </w:pPr>
            <w:r>
              <w:t>–0,211</w:t>
            </w:r>
          </w:p>
        </w:tc>
        <w:tc>
          <w:tcPr>
            <w:tcW w:w="879" w:type="pct"/>
            <w:tcBorders>
              <w:top w:val="nil"/>
              <w:bottom w:val="nil"/>
            </w:tcBorders>
          </w:tcPr>
          <w:p w:rsidR="00000000" w:rsidRDefault="00000000">
            <w:pPr>
              <w:spacing w:line="240" w:lineRule="auto"/>
              <w:ind w:right="567"/>
              <w:jc w:val="right"/>
            </w:pPr>
            <w:r>
              <w:t>–0,135</w:t>
            </w:r>
          </w:p>
        </w:tc>
        <w:tc>
          <w:tcPr>
            <w:tcW w:w="1134" w:type="pct"/>
            <w:tcBorders>
              <w:top w:val="nil"/>
              <w:bottom w:val="nil"/>
            </w:tcBorders>
          </w:tcPr>
          <w:p w:rsidR="00000000" w:rsidRDefault="00000000">
            <w:pPr>
              <w:spacing w:line="240" w:lineRule="auto"/>
              <w:ind w:right="567"/>
              <w:jc w:val="right"/>
            </w:pPr>
            <w:r>
              <w:t>–0,163</w:t>
            </w:r>
          </w:p>
        </w:tc>
      </w:tr>
      <w:tr w:rsidR="00000000">
        <w:tblPrEx>
          <w:tblCellMar>
            <w:top w:w="0" w:type="dxa"/>
            <w:bottom w:w="0" w:type="dxa"/>
          </w:tblCellMar>
        </w:tblPrEx>
        <w:tc>
          <w:tcPr>
            <w:tcW w:w="2010" w:type="pct"/>
            <w:tcBorders>
              <w:top w:val="nil"/>
            </w:tcBorders>
          </w:tcPr>
          <w:p w:rsidR="00000000" w:rsidRDefault="00000000">
            <w:pPr>
              <w:spacing w:line="240" w:lineRule="auto"/>
            </w:pPr>
            <w:r>
              <w:t>Цены</w:t>
            </w:r>
          </w:p>
        </w:tc>
        <w:tc>
          <w:tcPr>
            <w:tcW w:w="977" w:type="pct"/>
            <w:tcBorders>
              <w:top w:val="nil"/>
            </w:tcBorders>
          </w:tcPr>
          <w:p w:rsidR="00000000" w:rsidRDefault="00000000">
            <w:pPr>
              <w:spacing w:line="240" w:lineRule="auto"/>
              <w:ind w:right="567"/>
              <w:jc w:val="right"/>
            </w:pPr>
            <w:r>
              <w:t>–0,128</w:t>
            </w:r>
          </w:p>
        </w:tc>
        <w:tc>
          <w:tcPr>
            <w:tcW w:w="879" w:type="pct"/>
            <w:tcBorders>
              <w:top w:val="nil"/>
            </w:tcBorders>
          </w:tcPr>
          <w:p w:rsidR="00000000" w:rsidRDefault="00000000">
            <w:pPr>
              <w:spacing w:line="240" w:lineRule="auto"/>
              <w:ind w:right="567"/>
              <w:jc w:val="right"/>
            </w:pPr>
            <w:r>
              <w:t>–0,016</w:t>
            </w:r>
          </w:p>
        </w:tc>
        <w:tc>
          <w:tcPr>
            <w:tcW w:w="1134" w:type="pct"/>
            <w:tcBorders>
              <w:top w:val="nil"/>
            </w:tcBorders>
          </w:tcPr>
          <w:p w:rsidR="00000000" w:rsidRDefault="00000000">
            <w:pPr>
              <w:spacing w:line="240" w:lineRule="auto"/>
              <w:ind w:right="567"/>
              <w:jc w:val="right"/>
            </w:pPr>
            <w:r>
              <w:t>–0,061</w:t>
            </w:r>
          </w:p>
        </w:tc>
      </w:tr>
    </w:tbl>
    <w:p w:rsidR="00000000" w:rsidRDefault="00000000"/>
    <w:p w:rsidR="00000000" w:rsidRDefault="00000000">
      <w:r>
        <w:tab/>
      </w:r>
      <w:r>
        <w:rPr>
          <w:i/>
          <w:iCs/>
        </w:rPr>
        <w:t>Источник:</w:t>
      </w:r>
      <w:r>
        <w:t xml:space="preserve">  Министерство социального обеспечения, 2002 год.</w:t>
      </w:r>
    </w:p>
    <w:p w:rsidR="00000000" w:rsidRDefault="00000000"/>
    <w:p w:rsidR="00000000" w:rsidRDefault="00000000">
      <w:pPr>
        <w:rPr>
          <w:b/>
          <w:bCs/>
        </w:rPr>
      </w:pPr>
      <w:r>
        <w:rPr>
          <w:b/>
          <w:bCs/>
        </w:rPr>
        <w:t>Бедность среди населения Сербии более старших возрастных категорий</w:t>
      </w:r>
    </w:p>
    <w:p w:rsidR="00000000" w:rsidRDefault="00000000">
      <w:pPr>
        <w:rPr>
          <w:b/>
          <w:bCs/>
        </w:rPr>
      </w:pPr>
    </w:p>
    <w:p w:rsidR="00000000" w:rsidRDefault="00000000">
      <w:pPr>
        <w:rPr>
          <w:b/>
          <w:bCs/>
        </w:rPr>
      </w:pPr>
      <w:r>
        <w:rPr>
          <w:b/>
          <w:bCs/>
        </w:rPr>
        <w:t>а)</w:t>
      </w:r>
      <w:r>
        <w:rPr>
          <w:b/>
          <w:bCs/>
        </w:rPr>
        <w:tab/>
      </w:r>
      <w:proofErr w:type="spellStart"/>
      <w:r>
        <w:rPr>
          <w:b/>
          <w:bCs/>
        </w:rPr>
        <w:t>Гендерный</w:t>
      </w:r>
      <w:proofErr w:type="spellEnd"/>
      <w:r>
        <w:rPr>
          <w:b/>
          <w:bCs/>
        </w:rPr>
        <w:t xml:space="preserve"> аспект бедности пожилых граждан</w:t>
      </w:r>
    </w:p>
    <w:p w:rsidR="00000000" w:rsidRDefault="00000000"/>
    <w:p w:rsidR="00000000" w:rsidRDefault="00000000">
      <w:r>
        <w:t>252.</w:t>
      </w:r>
      <w:r>
        <w:tab/>
        <w:t>К категории пожилых граждан относятся лица в возрасте старше 65 лет.  Уровень бедности среди пожилых граждан (14,7%) значительно превышает средний показатель для всего населения (10,6%).  Если в целом среди населения не существует значительных различий по уровню бедности среди мужчин и женщин, то в категории пожилых граждан это различие носит выраженный характер, в частности уровень бедности среди женщин выше на один процентный пункт.</w:t>
      </w:r>
    </w:p>
    <w:p w:rsidR="00000000" w:rsidRDefault="00000000">
      <w:pPr>
        <w:spacing w:line="240" w:lineRule="auto"/>
      </w:pPr>
    </w:p>
    <w:p w:rsidR="00000000" w:rsidRDefault="00000000">
      <w:pPr>
        <w:spacing w:line="240" w:lineRule="auto"/>
        <w:jc w:val="center"/>
        <w:rPr>
          <w:b/>
          <w:bCs/>
        </w:rPr>
      </w:pPr>
      <w:r>
        <w:rPr>
          <w:b/>
          <w:bCs/>
        </w:rPr>
        <w:t>Таблица 9</w:t>
      </w:r>
    </w:p>
    <w:p w:rsidR="00000000" w:rsidRDefault="00000000">
      <w:pPr>
        <w:spacing w:line="240" w:lineRule="auto"/>
        <w:jc w:val="center"/>
        <w:rPr>
          <w:b/>
          <w:bCs/>
        </w:rPr>
      </w:pPr>
    </w:p>
    <w:p w:rsidR="00000000" w:rsidRDefault="00000000">
      <w:pPr>
        <w:spacing w:line="240" w:lineRule="auto"/>
        <w:jc w:val="center"/>
        <w:rPr>
          <w:b/>
          <w:bCs/>
        </w:rPr>
      </w:pPr>
      <w:r>
        <w:rPr>
          <w:b/>
          <w:bCs/>
        </w:rPr>
        <w:t>Уровень бедности среди лиц старшего возраста</w:t>
      </w:r>
    </w:p>
    <w:p w:rsidR="00000000" w:rsidRDefault="00000000">
      <w:pPr>
        <w:spacing w:line="240" w:lineRule="auto"/>
        <w:jc w:val="center"/>
      </w:pPr>
    </w:p>
    <w:tbl>
      <w:tblPr>
        <w:tblW w:w="0" w:type="auto"/>
        <w:tblInd w:w="2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2618"/>
      </w:tblGrid>
      <w:tr w:rsidR="00000000">
        <w:tblPrEx>
          <w:tblCellMar>
            <w:top w:w="0" w:type="dxa"/>
            <w:bottom w:w="0" w:type="dxa"/>
          </w:tblCellMar>
        </w:tblPrEx>
        <w:tc>
          <w:tcPr>
            <w:tcW w:w="2618" w:type="dxa"/>
            <w:tcBorders>
              <w:bottom w:val="single" w:sz="4" w:space="0" w:color="auto"/>
            </w:tcBorders>
          </w:tcPr>
          <w:p w:rsidR="00000000" w:rsidRDefault="00000000">
            <w:r>
              <w:t>Пол</w:t>
            </w:r>
          </w:p>
        </w:tc>
        <w:tc>
          <w:tcPr>
            <w:tcW w:w="2618" w:type="dxa"/>
            <w:tcBorders>
              <w:bottom w:val="single" w:sz="4" w:space="0" w:color="auto"/>
            </w:tcBorders>
          </w:tcPr>
          <w:p w:rsidR="00000000" w:rsidRDefault="00000000">
            <w:pPr>
              <w:pStyle w:val="16"/>
            </w:pPr>
            <w:r>
              <w:t>Уровень бедности, в %</w:t>
            </w:r>
          </w:p>
        </w:tc>
      </w:tr>
      <w:tr w:rsidR="00000000">
        <w:tblPrEx>
          <w:tblCellMar>
            <w:top w:w="0" w:type="dxa"/>
            <w:bottom w:w="0" w:type="dxa"/>
          </w:tblCellMar>
        </w:tblPrEx>
        <w:tc>
          <w:tcPr>
            <w:tcW w:w="2618" w:type="dxa"/>
            <w:tcBorders>
              <w:bottom w:val="nil"/>
            </w:tcBorders>
          </w:tcPr>
          <w:p w:rsidR="00000000" w:rsidRDefault="00000000">
            <w:r>
              <w:t>Мужчины</w:t>
            </w:r>
          </w:p>
        </w:tc>
        <w:tc>
          <w:tcPr>
            <w:tcW w:w="2618" w:type="dxa"/>
            <w:tcBorders>
              <w:bottom w:val="nil"/>
            </w:tcBorders>
          </w:tcPr>
          <w:p w:rsidR="00000000" w:rsidRDefault="00000000">
            <w:pPr>
              <w:pStyle w:val="16"/>
            </w:pPr>
            <w:r>
              <w:t>14,2</w:t>
            </w:r>
          </w:p>
        </w:tc>
      </w:tr>
      <w:tr w:rsidR="00000000">
        <w:tblPrEx>
          <w:tblCellMar>
            <w:top w:w="0" w:type="dxa"/>
            <w:bottom w:w="0" w:type="dxa"/>
          </w:tblCellMar>
        </w:tblPrEx>
        <w:tc>
          <w:tcPr>
            <w:tcW w:w="2618" w:type="dxa"/>
            <w:tcBorders>
              <w:top w:val="nil"/>
            </w:tcBorders>
          </w:tcPr>
          <w:p w:rsidR="00000000" w:rsidRDefault="00000000">
            <w:r>
              <w:t>Женщины</w:t>
            </w:r>
          </w:p>
        </w:tc>
        <w:tc>
          <w:tcPr>
            <w:tcW w:w="2618" w:type="dxa"/>
            <w:tcBorders>
              <w:top w:val="nil"/>
            </w:tcBorders>
          </w:tcPr>
          <w:p w:rsidR="00000000" w:rsidRDefault="00000000">
            <w:pPr>
              <w:jc w:val="center"/>
            </w:pPr>
            <w:r>
              <w:t>15,2</w:t>
            </w:r>
          </w:p>
        </w:tc>
      </w:tr>
      <w:tr w:rsidR="00000000">
        <w:tblPrEx>
          <w:tblCellMar>
            <w:top w:w="0" w:type="dxa"/>
            <w:bottom w:w="0" w:type="dxa"/>
          </w:tblCellMar>
        </w:tblPrEx>
        <w:tc>
          <w:tcPr>
            <w:tcW w:w="2618" w:type="dxa"/>
          </w:tcPr>
          <w:p w:rsidR="00000000" w:rsidRDefault="00000000">
            <w:r>
              <w:t>Всего</w:t>
            </w:r>
          </w:p>
        </w:tc>
        <w:tc>
          <w:tcPr>
            <w:tcW w:w="2618" w:type="dxa"/>
          </w:tcPr>
          <w:p w:rsidR="00000000" w:rsidRDefault="00000000">
            <w:pPr>
              <w:jc w:val="center"/>
            </w:pPr>
            <w:r>
              <w:t>14,7</w:t>
            </w:r>
          </w:p>
        </w:tc>
      </w:tr>
    </w:tbl>
    <w:p w:rsidR="00000000" w:rsidRDefault="00000000"/>
    <w:p w:rsidR="00000000" w:rsidRDefault="00000000">
      <w:r>
        <w:rPr>
          <w:i/>
          <w:iCs/>
        </w:rPr>
        <w:tab/>
        <w:t>Источник:</w:t>
      </w:r>
      <w:r>
        <w:t xml:space="preserve">  Министерство социального обеспечения, 2002 год.</w:t>
      </w:r>
    </w:p>
    <w:p w:rsidR="00000000" w:rsidRDefault="00000000"/>
    <w:p w:rsidR="00000000" w:rsidRDefault="00000000">
      <w:pPr>
        <w:rPr>
          <w:b/>
          <w:bCs/>
        </w:rPr>
      </w:pPr>
      <w:r>
        <w:rPr>
          <w:b/>
          <w:bCs/>
        </w:rPr>
        <w:t>b)</w:t>
      </w:r>
      <w:r>
        <w:rPr>
          <w:b/>
          <w:bCs/>
        </w:rPr>
        <w:tab/>
        <w:t>Региональные аспекты бедности среди лиц пожилого возраста</w:t>
      </w:r>
    </w:p>
    <w:p w:rsidR="00000000" w:rsidRDefault="00000000"/>
    <w:p w:rsidR="00000000" w:rsidRDefault="00000000">
      <w:r>
        <w:t>253.</w:t>
      </w:r>
      <w:r>
        <w:tab/>
        <w:t>Весьма высокий уровень бедности среди лиц пожилого возраста (26,1%), в частности, характерен для юго-восточной Сербии, тогда как для других регионов этот показатель не имеет больших различий.</w:t>
      </w:r>
    </w:p>
    <w:p w:rsidR="00000000" w:rsidRDefault="00000000">
      <w:pPr>
        <w:spacing w:line="240" w:lineRule="auto"/>
      </w:pPr>
    </w:p>
    <w:p w:rsidR="00000000" w:rsidRDefault="00000000">
      <w:pPr>
        <w:spacing w:line="240" w:lineRule="auto"/>
        <w:jc w:val="center"/>
        <w:rPr>
          <w:b/>
          <w:bCs/>
        </w:rPr>
      </w:pPr>
      <w:r>
        <w:rPr>
          <w:b/>
          <w:bCs/>
        </w:rPr>
        <w:t>Таблица 10</w:t>
      </w:r>
    </w:p>
    <w:p w:rsidR="00000000" w:rsidRDefault="00000000">
      <w:pPr>
        <w:spacing w:line="240" w:lineRule="auto"/>
        <w:jc w:val="center"/>
        <w:rPr>
          <w:b/>
          <w:bCs/>
        </w:rPr>
      </w:pPr>
    </w:p>
    <w:p w:rsidR="00000000" w:rsidRDefault="00000000">
      <w:pPr>
        <w:spacing w:line="240" w:lineRule="auto"/>
        <w:jc w:val="center"/>
        <w:rPr>
          <w:b/>
          <w:bCs/>
        </w:rPr>
      </w:pPr>
      <w:r>
        <w:rPr>
          <w:b/>
          <w:bCs/>
        </w:rPr>
        <w:t>Уровень бедности в разбивке по регионам</w:t>
      </w:r>
    </w:p>
    <w:p w:rsidR="00000000" w:rsidRDefault="00000000">
      <w:pPr>
        <w:spacing w:line="240" w:lineRule="auto"/>
        <w:jc w:val="center"/>
      </w:pPr>
    </w:p>
    <w:tbl>
      <w:tblPr>
        <w:tblW w:w="0" w:type="auto"/>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8"/>
        <w:gridCol w:w="2992"/>
      </w:tblGrid>
      <w:tr w:rsidR="00000000">
        <w:tblPrEx>
          <w:tblCellMar>
            <w:top w:w="0" w:type="dxa"/>
            <w:bottom w:w="0" w:type="dxa"/>
          </w:tblCellMar>
        </w:tblPrEx>
        <w:tc>
          <w:tcPr>
            <w:tcW w:w="2618" w:type="dxa"/>
            <w:tcBorders>
              <w:bottom w:val="single" w:sz="4" w:space="0" w:color="auto"/>
            </w:tcBorders>
          </w:tcPr>
          <w:p w:rsidR="00000000" w:rsidRDefault="00000000">
            <w:r>
              <w:t>Регион</w:t>
            </w:r>
          </w:p>
        </w:tc>
        <w:tc>
          <w:tcPr>
            <w:tcW w:w="2992" w:type="dxa"/>
            <w:tcBorders>
              <w:bottom w:val="single" w:sz="4" w:space="0" w:color="auto"/>
            </w:tcBorders>
          </w:tcPr>
          <w:p w:rsidR="00000000" w:rsidRDefault="00000000">
            <w:pPr>
              <w:pStyle w:val="16"/>
            </w:pPr>
            <w:r>
              <w:t>Процентная доля бедных</w:t>
            </w:r>
          </w:p>
        </w:tc>
      </w:tr>
      <w:tr w:rsidR="00000000">
        <w:tblPrEx>
          <w:tblCellMar>
            <w:top w:w="0" w:type="dxa"/>
            <w:bottom w:w="0" w:type="dxa"/>
          </w:tblCellMar>
        </w:tblPrEx>
        <w:tc>
          <w:tcPr>
            <w:tcW w:w="2618" w:type="dxa"/>
            <w:tcBorders>
              <w:bottom w:val="nil"/>
            </w:tcBorders>
          </w:tcPr>
          <w:p w:rsidR="00000000" w:rsidRDefault="00000000">
            <w:r>
              <w:t>Белград</w:t>
            </w:r>
          </w:p>
        </w:tc>
        <w:tc>
          <w:tcPr>
            <w:tcW w:w="2992" w:type="dxa"/>
            <w:tcBorders>
              <w:bottom w:val="nil"/>
            </w:tcBorders>
          </w:tcPr>
          <w:p w:rsidR="00000000" w:rsidRDefault="00000000">
            <w:pPr>
              <w:jc w:val="center"/>
            </w:pPr>
            <w:r>
              <w:t>12,2</w:t>
            </w:r>
          </w:p>
        </w:tc>
      </w:tr>
      <w:tr w:rsidR="00000000">
        <w:tblPrEx>
          <w:tblCellMar>
            <w:top w:w="0" w:type="dxa"/>
            <w:bottom w:w="0" w:type="dxa"/>
          </w:tblCellMar>
        </w:tblPrEx>
        <w:tc>
          <w:tcPr>
            <w:tcW w:w="2618" w:type="dxa"/>
            <w:tcBorders>
              <w:top w:val="nil"/>
              <w:bottom w:val="nil"/>
            </w:tcBorders>
          </w:tcPr>
          <w:p w:rsidR="00000000" w:rsidRDefault="00000000">
            <w:r>
              <w:t>Воеводина</w:t>
            </w:r>
          </w:p>
        </w:tc>
        <w:tc>
          <w:tcPr>
            <w:tcW w:w="2992" w:type="dxa"/>
            <w:tcBorders>
              <w:top w:val="nil"/>
              <w:bottom w:val="nil"/>
            </w:tcBorders>
          </w:tcPr>
          <w:p w:rsidR="00000000" w:rsidRDefault="00000000">
            <w:pPr>
              <w:jc w:val="center"/>
            </w:pPr>
            <w:r>
              <w:t>13,7</w:t>
            </w:r>
          </w:p>
        </w:tc>
      </w:tr>
      <w:tr w:rsidR="00000000">
        <w:tblPrEx>
          <w:tblCellMar>
            <w:top w:w="0" w:type="dxa"/>
            <w:bottom w:w="0" w:type="dxa"/>
          </w:tblCellMar>
        </w:tblPrEx>
        <w:tc>
          <w:tcPr>
            <w:tcW w:w="2618" w:type="dxa"/>
            <w:tcBorders>
              <w:top w:val="nil"/>
              <w:bottom w:val="nil"/>
            </w:tcBorders>
          </w:tcPr>
          <w:p w:rsidR="00000000" w:rsidRDefault="00000000">
            <w:r>
              <w:t>Западная Сербия</w:t>
            </w:r>
          </w:p>
        </w:tc>
        <w:tc>
          <w:tcPr>
            <w:tcW w:w="2992" w:type="dxa"/>
            <w:tcBorders>
              <w:top w:val="nil"/>
              <w:bottom w:val="nil"/>
            </w:tcBorders>
          </w:tcPr>
          <w:p w:rsidR="00000000" w:rsidRDefault="00000000">
            <w:pPr>
              <w:jc w:val="center"/>
            </w:pPr>
            <w:r>
              <w:t>11,8</w:t>
            </w:r>
          </w:p>
        </w:tc>
      </w:tr>
      <w:tr w:rsidR="00000000">
        <w:tblPrEx>
          <w:tblCellMar>
            <w:top w:w="0" w:type="dxa"/>
            <w:bottom w:w="0" w:type="dxa"/>
          </w:tblCellMar>
        </w:tblPrEx>
        <w:tc>
          <w:tcPr>
            <w:tcW w:w="2618" w:type="dxa"/>
            <w:tcBorders>
              <w:top w:val="nil"/>
              <w:bottom w:val="nil"/>
            </w:tcBorders>
          </w:tcPr>
          <w:p w:rsidR="00000000" w:rsidRDefault="00000000">
            <w:r>
              <w:t>Центральная Сербия</w:t>
            </w:r>
          </w:p>
        </w:tc>
        <w:tc>
          <w:tcPr>
            <w:tcW w:w="2992" w:type="dxa"/>
            <w:tcBorders>
              <w:top w:val="nil"/>
              <w:bottom w:val="nil"/>
            </w:tcBorders>
          </w:tcPr>
          <w:p w:rsidR="00000000" w:rsidRDefault="00000000">
            <w:pPr>
              <w:jc w:val="center"/>
            </w:pPr>
            <w:r>
              <w:t>13,5</w:t>
            </w:r>
          </w:p>
        </w:tc>
      </w:tr>
      <w:tr w:rsidR="00000000">
        <w:tblPrEx>
          <w:tblCellMar>
            <w:top w:w="0" w:type="dxa"/>
            <w:bottom w:w="0" w:type="dxa"/>
          </w:tblCellMar>
        </w:tblPrEx>
        <w:tc>
          <w:tcPr>
            <w:tcW w:w="2618" w:type="dxa"/>
            <w:tcBorders>
              <w:top w:val="nil"/>
              <w:bottom w:val="nil"/>
            </w:tcBorders>
          </w:tcPr>
          <w:p w:rsidR="00000000" w:rsidRDefault="00000000">
            <w:r>
              <w:t>Восточная Сербия</w:t>
            </w:r>
          </w:p>
        </w:tc>
        <w:tc>
          <w:tcPr>
            <w:tcW w:w="2992" w:type="dxa"/>
            <w:tcBorders>
              <w:top w:val="nil"/>
              <w:bottom w:val="nil"/>
            </w:tcBorders>
          </w:tcPr>
          <w:p w:rsidR="00000000" w:rsidRDefault="00000000">
            <w:pPr>
              <w:jc w:val="center"/>
            </w:pPr>
            <w:r>
              <w:t>11,8</w:t>
            </w:r>
          </w:p>
        </w:tc>
      </w:tr>
      <w:tr w:rsidR="00000000">
        <w:tblPrEx>
          <w:tblCellMar>
            <w:top w:w="0" w:type="dxa"/>
            <w:bottom w:w="0" w:type="dxa"/>
          </w:tblCellMar>
        </w:tblPrEx>
        <w:tc>
          <w:tcPr>
            <w:tcW w:w="2618" w:type="dxa"/>
            <w:tcBorders>
              <w:top w:val="nil"/>
            </w:tcBorders>
          </w:tcPr>
          <w:p w:rsidR="00000000" w:rsidRDefault="00000000">
            <w:r>
              <w:t>Юго-восточная Сербия</w:t>
            </w:r>
          </w:p>
        </w:tc>
        <w:tc>
          <w:tcPr>
            <w:tcW w:w="2992" w:type="dxa"/>
            <w:tcBorders>
              <w:top w:val="nil"/>
            </w:tcBorders>
          </w:tcPr>
          <w:p w:rsidR="00000000" w:rsidRDefault="00000000">
            <w:pPr>
              <w:jc w:val="center"/>
            </w:pPr>
            <w:r>
              <w:t>26,1</w:t>
            </w:r>
          </w:p>
        </w:tc>
      </w:tr>
      <w:tr w:rsidR="00000000">
        <w:tblPrEx>
          <w:tblCellMar>
            <w:top w:w="0" w:type="dxa"/>
            <w:bottom w:w="0" w:type="dxa"/>
          </w:tblCellMar>
        </w:tblPrEx>
        <w:tc>
          <w:tcPr>
            <w:tcW w:w="2618" w:type="dxa"/>
          </w:tcPr>
          <w:p w:rsidR="00000000" w:rsidRDefault="00000000">
            <w:r>
              <w:t>Всего</w:t>
            </w:r>
          </w:p>
        </w:tc>
        <w:tc>
          <w:tcPr>
            <w:tcW w:w="2992" w:type="dxa"/>
          </w:tcPr>
          <w:p w:rsidR="00000000" w:rsidRDefault="00000000">
            <w:pPr>
              <w:jc w:val="center"/>
            </w:pPr>
            <w:r>
              <w:t>14,7</w:t>
            </w:r>
          </w:p>
        </w:tc>
      </w:tr>
    </w:tbl>
    <w:p w:rsidR="00000000" w:rsidRDefault="00000000"/>
    <w:p w:rsidR="00000000" w:rsidRDefault="00000000">
      <w:r>
        <w:rPr>
          <w:i/>
          <w:iCs/>
        </w:rPr>
        <w:tab/>
        <w:t>Источник:</w:t>
      </w:r>
      <w:r>
        <w:t xml:space="preserve">  Министерство социального обеспечения, 2002 год.</w:t>
      </w:r>
    </w:p>
    <w:p w:rsidR="00000000" w:rsidRDefault="00000000"/>
    <w:p w:rsidR="00000000" w:rsidRDefault="00000000">
      <w:pPr>
        <w:pStyle w:val="10"/>
        <w:rPr>
          <w:bCs/>
        </w:rPr>
      </w:pPr>
      <w:r>
        <w:rPr>
          <w:bCs/>
        </w:rPr>
        <w:t>С.</w:t>
      </w:r>
      <w:r>
        <w:rPr>
          <w:bCs/>
        </w:rPr>
        <w:tab/>
        <w:t>Стратегия сокращения масштабов бедности</w:t>
      </w:r>
    </w:p>
    <w:p w:rsidR="00000000" w:rsidRDefault="00000000"/>
    <w:p w:rsidR="00000000" w:rsidRDefault="00000000">
      <w:r>
        <w:t>254.</w:t>
      </w:r>
      <w:r>
        <w:tab/>
        <w:t xml:space="preserve">После изменений, произошедших в стране в 2000 году, компетентные органы приняли ряд мер по улучшению ситуации в стране в отношении бедности.  В этом контексте в июне 2002 года министерство социального обеспечения Республики Сербии в сотрудничестве с министерством внешних экономических отношений Республики Сербии разработало базовые рамки для стратегии сокращения масштабов бедности и представила этот документ Всемирному банку и Международному валютному фонду.  </w:t>
      </w:r>
    </w:p>
    <w:p w:rsidR="00000000" w:rsidRDefault="00000000"/>
    <w:p w:rsidR="00000000" w:rsidRDefault="00000000">
      <w:r>
        <w:t>255.</w:t>
      </w:r>
      <w:r>
        <w:tab/>
        <w:t xml:space="preserve">Министерство социального обеспечения Республики Сербии осуществило следующие программы и проекты, направленные на изменение положения в этой области, а также сокращение масштабов бедности среди бенефициаров:  </w:t>
      </w:r>
    </w:p>
    <w:p w:rsidR="00000000" w:rsidRDefault="00000000"/>
    <w:p w:rsidR="00000000" w:rsidRDefault="00000000">
      <w:r>
        <w:tab/>
        <w:t>-</w:t>
      </w:r>
      <w:r>
        <w:tab/>
        <w:t>разработка комплексной системы социальной защиты на местном уровне;</w:t>
      </w:r>
    </w:p>
    <w:p w:rsidR="00000000" w:rsidRDefault="00000000"/>
    <w:p w:rsidR="00000000" w:rsidRDefault="00000000">
      <w:pPr>
        <w:ind w:left="1134" w:hanging="1134"/>
      </w:pPr>
      <w:r>
        <w:tab/>
        <w:t>-</w:t>
      </w:r>
      <w:r>
        <w:tab/>
        <w:t>стратегия адаптации семьи (осуществление данного проекта в Белграде находится на заключительной стадии, при этом в регионах Сербии проводятся вводные образовательные семинары);</w:t>
      </w:r>
    </w:p>
    <w:p w:rsidR="00000000" w:rsidRDefault="00000000">
      <w:pPr>
        <w:ind w:left="1134" w:hanging="1134"/>
      </w:pPr>
    </w:p>
    <w:p w:rsidR="00000000" w:rsidRDefault="00000000">
      <w:pPr>
        <w:ind w:left="1134" w:hanging="1134"/>
      </w:pPr>
      <w:r>
        <w:tab/>
        <w:t>-</w:t>
      </w:r>
      <w:r>
        <w:tab/>
        <w:t>преобразование учреждений системы социальной защиты в интересах удовлетворения потребностей бенефициаров;</w:t>
      </w:r>
    </w:p>
    <w:p w:rsidR="00000000" w:rsidRDefault="00000000">
      <w:pPr>
        <w:ind w:left="1134" w:hanging="1134"/>
      </w:pPr>
    </w:p>
    <w:p w:rsidR="00000000" w:rsidRDefault="00000000">
      <w:pPr>
        <w:ind w:left="1134" w:hanging="1134"/>
      </w:pPr>
      <w:r>
        <w:tab/>
        <w:t>-</w:t>
      </w:r>
      <w:r>
        <w:tab/>
        <w:t>разработка стандартов профессиональной деятельности в центрах социальных услуг;</w:t>
      </w:r>
    </w:p>
    <w:p w:rsidR="00000000" w:rsidRDefault="00000000">
      <w:pPr>
        <w:ind w:left="1134" w:hanging="1134"/>
      </w:pPr>
    </w:p>
    <w:p w:rsidR="00000000" w:rsidRDefault="00000000">
      <w:pPr>
        <w:ind w:left="1134" w:hanging="1134"/>
      </w:pPr>
      <w:r>
        <w:tab/>
        <w:t>-</w:t>
      </w:r>
      <w:r>
        <w:tab/>
        <w:t>развитие системы помещения детей в приемные семьи в качестве формы защиты детей, лишенных родительской заботы;</w:t>
      </w:r>
    </w:p>
    <w:p w:rsidR="00000000" w:rsidRDefault="00000000">
      <w:pPr>
        <w:ind w:left="1134" w:hanging="1134"/>
      </w:pPr>
    </w:p>
    <w:p w:rsidR="00000000" w:rsidRDefault="00000000">
      <w:pPr>
        <w:ind w:left="1134" w:hanging="1134"/>
      </w:pPr>
      <w:r>
        <w:tab/>
        <w:t>-</w:t>
      </w:r>
      <w:r>
        <w:tab/>
        <w:t>защита прав детей с особыми потребностями;</w:t>
      </w:r>
    </w:p>
    <w:p w:rsidR="00000000" w:rsidRDefault="00000000">
      <w:pPr>
        <w:ind w:left="1134" w:hanging="1134"/>
      </w:pPr>
    </w:p>
    <w:p w:rsidR="00000000" w:rsidRDefault="00000000">
      <w:pPr>
        <w:ind w:left="1134" w:hanging="1134"/>
      </w:pPr>
      <w:r>
        <w:tab/>
        <w:t>-</w:t>
      </w:r>
      <w:r>
        <w:tab/>
        <w:t>в ближайшее время планируется создание фонда социальных инноваций, в задачу которого будет входить регулирование функций и ответственности всех сторон, участвующих в процессе предоставления услуг в области социальной защиты, за счет налаживания партнерских связей;</w:t>
      </w:r>
    </w:p>
    <w:p w:rsidR="00000000" w:rsidRDefault="00000000">
      <w:pPr>
        <w:ind w:left="1134" w:hanging="1134"/>
      </w:pPr>
    </w:p>
    <w:p w:rsidR="00000000" w:rsidRDefault="00000000">
      <w:pPr>
        <w:ind w:left="1134" w:hanging="1134"/>
      </w:pPr>
      <w:r>
        <w:tab/>
        <w:t>-</w:t>
      </w:r>
      <w:r>
        <w:tab/>
        <w:t>в 2002 году был изменен порядок финансирования ассоциаций и организаций инвалидов с акцентом на финансирование программ деятельности, направленный на развитие альтернативных форм социальных услуг на основе открытой конкуренции с четко определенными качественными критериями;  и</w:t>
      </w:r>
    </w:p>
    <w:p w:rsidR="00000000" w:rsidRDefault="00000000">
      <w:pPr>
        <w:ind w:left="1134" w:hanging="1134"/>
      </w:pPr>
    </w:p>
    <w:p w:rsidR="00000000" w:rsidRDefault="00000000">
      <w:pPr>
        <w:ind w:left="1134" w:hanging="1134"/>
      </w:pPr>
      <w:r>
        <w:tab/>
        <w:t>-</w:t>
      </w:r>
      <w:r>
        <w:tab/>
        <w:t>была учреждена целевая группа по вопросам защиты престарелых граждан, которой поручено подготовить руководящие принципы для разработки стратегии сокращения масштабов бедности среди лиц старшего возраста.</w:t>
      </w:r>
    </w:p>
    <w:p w:rsidR="00000000" w:rsidRDefault="00000000">
      <w:pPr>
        <w:ind w:left="1134" w:hanging="1134"/>
      </w:pPr>
    </w:p>
    <w:p w:rsidR="00000000" w:rsidRDefault="00000000">
      <w:r>
        <w:t>256.</w:t>
      </w:r>
      <w:r>
        <w:tab/>
        <w:t xml:space="preserve">Осуществление вышеуказанных программ стало возможным благодаря финансированию из бюджета министерства и пожертвований со стороны ЮНИСЕФ, Всемирного банка, ПРООН, ЮНОПС, правительства Норвегии и правительства Соединенного Королевства.  </w:t>
      </w:r>
    </w:p>
    <w:p w:rsidR="00000000" w:rsidRDefault="00000000"/>
    <w:p w:rsidR="00000000" w:rsidRDefault="00000000">
      <w:pPr>
        <w:jc w:val="center"/>
        <w:rPr>
          <w:b/>
          <w:bCs/>
        </w:rPr>
      </w:pPr>
      <w:r>
        <w:rPr>
          <w:b/>
          <w:bCs/>
        </w:rPr>
        <w:t>Статья 12</w:t>
      </w:r>
      <w:r>
        <w:rPr>
          <w:rStyle w:val="FootnoteReference"/>
        </w:rPr>
        <w:footnoteReference w:id="8"/>
      </w:r>
    </w:p>
    <w:p w:rsidR="00000000" w:rsidRDefault="00000000">
      <w:pPr>
        <w:jc w:val="center"/>
        <w:rPr>
          <w:b/>
          <w:bCs/>
        </w:rPr>
      </w:pPr>
    </w:p>
    <w:p w:rsidR="00000000" w:rsidRDefault="00000000">
      <w:pPr>
        <w:pStyle w:val="10"/>
        <w:rPr>
          <w:bCs/>
        </w:rPr>
      </w:pPr>
      <w:r>
        <w:rPr>
          <w:bCs/>
        </w:rPr>
        <w:t>А.</w:t>
      </w:r>
      <w:r>
        <w:rPr>
          <w:bCs/>
        </w:rPr>
        <w:tab/>
        <w:t xml:space="preserve">Система здравоохранения в Республике Сербии </w:t>
      </w:r>
    </w:p>
    <w:p w:rsidR="00000000" w:rsidRDefault="00000000">
      <w:pPr>
        <w:jc w:val="center"/>
        <w:rPr>
          <w:b/>
          <w:bCs/>
          <w:u w:val="single"/>
        </w:rPr>
      </w:pPr>
    </w:p>
    <w:p w:rsidR="00000000" w:rsidRDefault="00000000">
      <w:r>
        <w:t>257.</w:t>
      </w:r>
      <w:r>
        <w:tab/>
        <w:t>По степени развития системы здравоохранения в соответствии с уровнем экономического благосостояния, измеряемого величиной валового внутреннего продукта на душу населения (т.е. величину национального дохода на душу населения), Союзную Республику Югославию можно отнести к группе развивающихся стран.</w:t>
      </w:r>
    </w:p>
    <w:p w:rsidR="00000000" w:rsidRDefault="00000000"/>
    <w:p w:rsidR="00000000" w:rsidRDefault="00000000">
      <w:r>
        <w:t>258.</w:t>
      </w:r>
      <w:r>
        <w:tab/>
        <w:t>По своей административной структуре система здравоохранения в стране формально является плюралистической и по сути крайне централизированной на уровне республик с весьма ограниченными полномочиями союзного государства.</w:t>
      </w:r>
    </w:p>
    <w:p w:rsidR="00000000" w:rsidRDefault="00000000"/>
    <w:p w:rsidR="00000000" w:rsidRDefault="00000000">
      <w:r>
        <w:t>259.</w:t>
      </w:r>
      <w:r>
        <w:tab/>
        <w:t>На территории Союзной Республики Югославии имеется весьма развитая инфраструктура здравоохранения с четко функционирующей системой лечебных учреждений, причем соотношение численности врачебно-медицинского персонала и населения сопоставимо со среднеевропейским показателем.</w:t>
      </w:r>
    </w:p>
    <w:p w:rsidR="00000000" w:rsidRDefault="00000000"/>
    <w:p w:rsidR="00000000" w:rsidRDefault="00000000">
      <w:r>
        <w:t>260.</w:t>
      </w:r>
      <w:r>
        <w:tab/>
        <w:t>После принятия отдельного Закона о здравоохранении (</w:t>
      </w:r>
      <w:r>
        <w:rPr>
          <w:i/>
          <w:iCs/>
        </w:rPr>
        <w:t>Официальный вестник Республики Сербии</w:t>
      </w:r>
      <w:r>
        <w:t>, № 17/92, 26/92/ 52/93/ 25/96, 18/2002) и Закона о медицинском страховании (</w:t>
      </w:r>
      <w:r>
        <w:rPr>
          <w:i/>
          <w:iCs/>
        </w:rPr>
        <w:t>Официальный вестник Республики Сербии</w:t>
      </w:r>
      <w:r>
        <w:t xml:space="preserve">, № 18/92, 26/93, 23/96, 46/98, 54/99, 29/2001 и 18/2002) система здравоохранения Республики Сербии формально строится по так называемой модели Бисмарка, основанной на принципе обязательного медицинского страхования.  Однако по сути эта система не функционирует в соответствии с принципами современного медицинского страхования.  Главным государственным органом, который осуществляет сбор фискальных средств для финансирования системы здравоохранения за счет финансирования государственных медицинских учреждений, является республиканское управление медицинского страхования.  </w:t>
      </w:r>
    </w:p>
    <w:p w:rsidR="00000000" w:rsidRDefault="00000000"/>
    <w:p w:rsidR="00000000" w:rsidRDefault="00000000">
      <w:pPr>
        <w:keepNext/>
        <w:jc w:val="center"/>
        <w:rPr>
          <w:b/>
          <w:bCs/>
        </w:rPr>
      </w:pPr>
      <w:r>
        <w:rPr>
          <w:b/>
          <w:bCs/>
        </w:rPr>
        <w:t>В.</w:t>
      </w:r>
      <w:r>
        <w:rPr>
          <w:b/>
          <w:bCs/>
        </w:rPr>
        <w:tab/>
        <w:t>Доля системы здравоохранения в валовом национальном доходе</w:t>
      </w:r>
    </w:p>
    <w:p w:rsidR="00000000" w:rsidRDefault="00000000">
      <w:pPr>
        <w:keepNext/>
        <w:jc w:val="center"/>
        <w:rPr>
          <w:b/>
          <w:bCs/>
        </w:rPr>
      </w:pPr>
    </w:p>
    <w:p w:rsidR="00000000" w:rsidRDefault="00000000">
      <w:pPr>
        <w:keepNext/>
      </w:pPr>
      <w:r>
        <w:t>261.</w:t>
      </w:r>
      <w:r>
        <w:tab/>
        <w:t xml:space="preserve">В сфере здравоохранения основной формой собственности является государственная.  Хотя лечебно-медицинские учреждения выступают в роли независимых экономических субъектов, решения в отношении организации сектора здравоохранения, его функционирования, финансирования, развития и назначения директоров принимаются централизованно на уровне Республики.  Роль местных общин и инициатив, а также влияние сотрудников этих учреждений на принимаемые решения сведена до минимума или вовсе отсутствует.  </w:t>
      </w:r>
    </w:p>
    <w:p w:rsidR="00000000" w:rsidRDefault="00000000"/>
    <w:p w:rsidR="00000000" w:rsidRDefault="00000000">
      <w:r>
        <w:t>262.</w:t>
      </w:r>
      <w:r>
        <w:tab/>
        <w:t xml:space="preserve">Система здравоохранения, равно как и иные государственные службы, по аналогии с другими областями общественного потребления в сфере государственных услуг расходуют часть произведенного социального продукта.  Доля расходов на систему здравоохранения в национальном доходе, который является одним из важнейших показателей эффективности национальной политики в области здравоохранения, весьма высока и составляла от </w:t>
      </w:r>
      <w:proofErr w:type="spellStart"/>
      <w:r>
        <w:t>7,4%</w:t>
      </w:r>
      <w:proofErr w:type="spellEnd"/>
      <w:r>
        <w:t xml:space="preserve"> в 1990 году до </w:t>
      </w:r>
      <w:proofErr w:type="spellStart"/>
      <w:r>
        <w:t>11,9%</w:t>
      </w:r>
      <w:proofErr w:type="spellEnd"/>
      <w:r>
        <w:t xml:space="preserve"> в 1997 году, при этом наименьшее значение этого показателя, согласно оценкам, пришлось на годы </w:t>
      </w:r>
      <w:proofErr w:type="spellStart"/>
      <w:r>
        <w:t>гиперинфляционного</w:t>
      </w:r>
      <w:proofErr w:type="spellEnd"/>
      <w:r>
        <w:t xml:space="preserve"> кризиса</w:t>
      </w:r>
      <w:r>
        <w:rPr>
          <w:rStyle w:val="FootnoteReference"/>
        </w:rPr>
        <w:footnoteReference w:id="9"/>
      </w:r>
      <w:r>
        <w:t>.</w:t>
      </w:r>
    </w:p>
    <w:p w:rsidR="00000000" w:rsidRDefault="00000000"/>
    <w:p w:rsidR="00000000" w:rsidRDefault="00000000">
      <w:r>
        <w:t>263.</w:t>
      </w:r>
      <w:r>
        <w:tab/>
        <w:t>За указанный семилетний период бросается в глаза значительный рост объема этих расходов, составивший почти 53 индексных пункта, что является отражением тенденций сохранения нынешней системы здравоохранения за счет выделения значительных ассигнований из и без того уже скудного государственного бюджета.</w:t>
      </w:r>
    </w:p>
    <w:p w:rsidR="00000000" w:rsidRDefault="00000000"/>
    <w:p w:rsidR="00000000" w:rsidRDefault="00000000">
      <w:r>
        <w:t>264.</w:t>
      </w:r>
      <w:r>
        <w:tab/>
        <w:t>Следует учесть, что данные о расходах в системе здравоохранения, охватываемые официальной статистикой Союзной Республики Югославии и Сербии, включают лишь данные о расходах в государственном секторе здравоохранения (медицинское страхование и расходы на учреждения системы здравоохранения).  Эти расходы не включают прямые выплаты, производимые бенефициаром либо в форме полной оплаты медицинских услуг в секторе частного здравоохранения (главным образом за зубоврачебную помощь и лекарственные препараты, приобретаемые в частных аптеках), либо оплаты полной стоимости медицинских услуг в государственном секторе, которые не покрываются медицинской страховкой.  Эти данные также не включают расходы на медико-санитарное обслуживание военнослужащих (финансируется из военного бюджета);  гуманитарную помощь и дотации медицинским учреждениям;  закупку необходимых материалов и оборудования для медико-санитарного обслуживания в больницах, а также некоторые иные затраты, которые бенефициары покрывают за свой счет, что стало в последние годы весьма распространенной практикой.  По разным экономическим оценкам, в начале 90</w:t>
      </w:r>
      <w:r>
        <w:noBreakHyphen/>
        <w:t xml:space="preserve">х годов объем этих расходов составлял </w:t>
      </w:r>
      <w:proofErr w:type="spellStart"/>
      <w:r>
        <w:t>2%</w:t>
      </w:r>
      <w:proofErr w:type="spellEnd"/>
      <w:r>
        <w:t xml:space="preserve"> от суммы национального дохода.  В последние годы на фоне ухудшения положения в секторе здравоохранения эти расходы возросли еще на </w:t>
      </w:r>
      <w:proofErr w:type="spellStart"/>
      <w:r>
        <w:t>4,5%</w:t>
      </w:r>
      <w:proofErr w:type="spellEnd"/>
      <w:r>
        <w:t xml:space="preserve">.  Расходы на систему здравоохранения за определенные годы также включают поставленные и использованные, но неоплаченные лекарственные препараты.  Сумма неоплаченных лекарственных препаратов в 1996 году достигла около 7 млрд. динаров, что составляет около </w:t>
      </w:r>
      <w:proofErr w:type="spellStart"/>
      <w:r>
        <w:t>1%</w:t>
      </w:r>
      <w:proofErr w:type="spellEnd"/>
      <w:r>
        <w:t xml:space="preserve"> от объема национального дохода.  Этот аспект одновременно стал одной из главных причин нехватки лекарств и предметов медицинского назначения в конце 1996 года, что серьезно осложнило положение в секторе здравоохранения Сербии в 1997 году.  </w:t>
      </w:r>
    </w:p>
    <w:p w:rsidR="00000000" w:rsidRDefault="00000000"/>
    <w:p w:rsidR="00000000" w:rsidRDefault="00000000">
      <w:r>
        <w:t>265.</w:t>
      </w:r>
      <w:r>
        <w:tab/>
        <w:t xml:space="preserve">Величина расходов на душу населения в секторе здравоохранения, выраженная в динарах, с трудом поддается анализу в течение продолжительного периода времени ввиду кризиса 1993 года, в ходе которого темпы инфляции за год измерялись в сотнях миллионов процентов.  С 1994 года, когда была принята программа денежной стабилизации, объем расходов возрос со 156 динаров в 1994 году до 836 динаров в 1997 году.  По рыночному (черному) обменному курсу объем расходов в 1997 году составил 167 немецких марок (или 253 немецкие марки по официальному обменному курсу), т.е. расходы возросли примерно на </w:t>
      </w:r>
      <w:proofErr w:type="spellStart"/>
      <w:r>
        <w:t>60%</w:t>
      </w:r>
      <w:proofErr w:type="spellEnd"/>
      <w:r>
        <w:rPr>
          <w:rStyle w:val="FootnoteReference"/>
        </w:rPr>
        <w:footnoteReference w:id="10"/>
      </w:r>
      <w:r>
        <w:t>.</w:t>
      </w:r>
    </w:p>
    <w:p w:rsidR="00000000" w:rsidRDefault="00000000"/>
    <w:p w:rsidR="00000000" w:rsidRDefault="00000000">
      <w:r>
        <w:t>266.</w:t>
      </w:r>
      <w:r>
        <w:tab/>
        <w:t>В течение последнего десятилетия Союзная Республика Югославия проводила в области здравоохранения политику сохранения всех имеющихся возможностей и льгот, предусмотренных законодательством, при этом расчет делался на то, что со временем положение выправится и появится возможность восстановить объем ресурсов, выделяемых сектору здравоохранения, на уровне 1989-1990 годов.  Поскольку в последующий период все социально-экономические условия для бюджетных организаций резко ухудшились, в секторе здравоохранения происходит стихийная адаптация к новой обстановке, сопровождаемая значительным спадом качества врачебно-медицинских услуг, нехваткой предметов медицинского назначения и лекарств, расцветом взяточничества и коррупции, переводом пациентов и изъятием определенного медицинского оборудования для целей использования в частных медицинских учреждениях.  Ввиду перечисленных причин кардинальные реформы в секторе здравоохранения имеют особую важность, поскольку декларативная поддержка изменений никак не влияет на финансирование и функционирование системы здравоохранения</w:t>
      </w:r>
      <w:r>
        <w:rPr>
          <w:rStyle w:val="FootnoteReference"/>
        </w:rPr>
        <w:footnoteReference w:id="11"/>
      </w:r>
      <w:r>
        <w:t>.</w:t>
      </w:r>
    </w:p>
    <w:p w:rsidR="00000000" w:rsidRDefault="00000000"/>
    <w:p w:rsidR="00000000" w:rsidRDefault="00000000">
      <w:pPr>
        <w:jc w:val="center"/>
        <w:rPr>
          <w:b/>
          <w:bCs/>
        </w:rPr>
      </w:pPr>
      <w:r>
        <w:rPr>
          <w:b/>
          <w:bCs/>
        </w:rPr>
        <w:t>С.</w:t>
      </w:r>
      <w:r>
        <w:rPr>
          <w:b/>
          <w:bCs/>
        </w:rPr>
        <w:tab/>
        <w:t>Меры и механизмы улучшения положения в сфере здравоохранения</w:t>
      </w:r>
    </w:p>
    <w:p w:rsidR="00000000" w:rsidRDefault="00000000">
      <w:pPr>
        <w:jc w:val="center"/>
        <w:rPr>
          <w:b/>
          <w:bCs/>
        </w:rPr>
      </w:pPr>
    </w:p>
    <w:p w:rsidR="00000000" w:rsidRDefault="00000000">
      <w:r>
        <w:t>267.</w:t>
      </w:r>
      <w:r>
        <w:tab/>
        <w:t>Медико-врачебные мероприятия и процедуры по улучшению состояния здоровья населения, профилактики, контролю и ранней диагностики заболеваний и других нарушений включают:  медицинское просвещение, вакцинация по соответствующей программе и график вакцинации, профилактические медосмотры с адресной специализацией (дети, школьники, учащиеся вузов, женщины в связи с репродуктивной функцией) и в разбивке по проблемам со здоровьем (заболевания особой социально-медицинской важности, такие, как раковые заболевания, диабет, заболевания сердечно-сосудистой системы, кариес, заболевания полости рта и т.д.</w:t>
      </w:r>
    </w:p>
    <w:p w:rsidR="00000000" w:rsidRDefault="00000000"/>
    <w:p w:rsidR="00000000" w:rsidRDefault="00000000">
      <w:r>
        <w:t>268.</w:t>
      </w:r>
      <w:r>
        <w:tab/>
        <w:t>Охват профилактических мер четко определен.  В целях иллюстрации этого можно отметить обязательные систематические медицинские осмотры ребенка в течение первого года жизни (на третьем, шестом, девятом и двенадцатом месяце) в дополнение к трем контрольным проверкам, которые включают медицинские осмотры перед вакцинацией.  Содержание систематических медицинских осмотров является стандартным.  Один профилактический осмотр (систематический или регулярный осмотр) проводится раз в год для детей в возрасте от двух до шести лет.  Аналогичный график контроля состояния здоровья предусмотрен для учеников начальной средней школы.  Для учащихся колледжей и университетов на первом и третьем курсах обучения проводится диспансеризация.  Вышеуказанные мероприятия дополняются программами медицинского просвещения, посещением врачебно-медицинского персонала и обязательным принятием надлежащих терапевтических и иных мер.</w:t>
      </w:r>
    </w:p>
    <w:p w:rsidR="00000000" w:rsidRDefault="00000000"/>
    <w:p w:rsidR="00000000" w:rsidRDefault="00000000">
      <w:r>
        <w:t>269.</w:t>
      </w:r>
      <w:r>
        <w:tab/>
        <w:t>Аналогичным образом регулируется охват и содержание профилактических мер по охране здоровья женщин старше 25 лет в связи с выявлением опухолевых болезней, а также для взрослых граждан в возрасте от 20 лет, от 35 лет и старше в связи с выявлением хронических неинфекционных заболеваний и т.д.</w:t>
      </w:r>
    </w:p>
    <w:p w:rsidR="00000000" w:rsidRDefault="00000000"/>
    <w:p w:rsidR="00000000" w:rsidRDefault="00000000">
      <w:r>
        <w:t>270.</w:t>
      </w:r>
      <w:r>
        <w:tab/>
        <w:t>Врачебно-медицинская помощь больным и получившим травмы лицам оказывается путем:</w:t>
      </w:r>
    </w:p>
    <w:p w:rsidR="00000000" w:rsidRDefault="00000000"/>
    <w:p w:rsidR="00000000" w:rsidRDefault="00000000">
      <w:pPr>
        <w:ind w:left="1134" w:hanging="1134"/>
      </w:pPr>
      <w:r>
        <w:tab/>
        <w:t>-</w:t>
      </w:r>
      <w:r>
        <w:tab/>
        <w:t>предоставления неотложной медико-санитарной помощи и оказания экстренной помощи в неотложных случаях на всех уровнях медицинского обслуживания, включая доставку в лечебные учреждения;</w:t>
      </w:r>
    </w:p>
    <w:p w:rsidR="00000000" w:rsidRDefault="00000000">
      <w:pPr>
        <w:ind w:left="1134" w:hanging="1134"/>
      </w:pPr>
    </w:p>
    <w:p w:rsidR="00000000" w:rsidRDefault="00000000">
      <w:pPr>
        <w:ind w:left="1134" w:hanging="1134"/>
      </w:pPr>
      <w:r>
        <w:tab/>
        <w:t>-</w:t>
      </w:r>
      <w:r>
        <w:tab/>
        <w:t>медицинское освидетельствование, диагностика и лечение на первичном уровне в поликлиниках и на дому, а также на более высоком уровне по рекомендации выбранного врача или в зависимости от заключения медицинской комиссии или врачебного консилиума.</w:t>
      </w:r>
    </w:p>
    <w:p w:rsidR="00000000" w:rsidRDefault="00000000">
      <w:pPr>
        <w:ind w:left="1134" w:hanging="1134"/>
      </w:pPr>
    </w:p>
    <w:p w:rsidR="00000000" w:rsidRDefault="00000000">
      <w:r>
        <w:t>271.</w:t>
      </w:r>
      <w:r>
        <w:tab/>
        <w:t>Охват этих мер не ограничен.  Профилактика и лечение заболеваний полости рта и зубов у детей и подростков, женщин в период беременности и оказания экстренной зубоврачебной помощи, а также просвещение в области мер по профилактике кариеса и других заболеваний составляют основное содержание стоматологической помощи.  Право на компенсацию расходов, связанных с зубным протезированием, регулируется отдельными правилами.  Содержание и сфера охвата мер в области стоматологической профилактики определяются в специальной программе правительства Сербии.</w:t>
      </w:r>
    </w:p>
    <w:p w:rsidR="00000000" w:rsidRDefault="00000000"/>
    <w:p w:rsidR="00000000" w:rsidRDefault="00000000">
      <w:r>
        <w:t>272.</w:t>
      </w:r>
      <w:r>
        <w:tab/>
        <w:t>В нормах и правилах Республиканского управления медицинского страхования также предусмотрено право на медицинскую реабилитацию без ограничений на поликлиническом уровне в течение периода не более 30 дней (максимальный срок составляет 90 дней) в специализированных лечебных учреждениях.  Часть лечебного процесса, таким образом, имеет характер продленной больничной терапии, включая применение естественного фактора в случаях заболеваний эндокринной системы, респираторных заболеваний и заболеваний кроветворной системы.</w:t>
      </w:r>
    </w:p>
    <w:p w:rsidR="00000000" w:rsidRDefault="00000000"/>
    <w:p w:rsidR="00000000" w:rsidRDefault="00000000">
      <w:r>
        <w:t>273.</w:t>
      </w:r>
      <w:r>
        <w:tab/>
        <w:t>Лекарственные средства, определенные медицинские препараты и предметы медицинского назначения регламентируются Перечнем лекарственных препаратов, при этом в течение определенного периода времени может быть введено и снято ограничение на количество того или иного лекарственного препарата.</w:t>
      </w:r>
    </w:p>
    <w:p w:rsidR="00000000" w:rsidRDefault="00000000"/>
    <w:p w:rsidR="00000000" w:rsidRDefault="00000000">
      <w:r>
        <w:t>274.</w:t>
      </w:r>
      <w:r>
        <w:tab/>
        <w:t>В зависимости от степени и серьезности физического дефекта или функционального нарушения застрахованные лица обеспечиваются протезами и ортопедическими средствами, другими вспомогательными аппаратами и санитарными приспособлениями, зубными протезами, вспомогательными приборами для слабовидящих и слепых, аппаратами для лиц, с нарушениями слуха и речи.  Все эти протезы и аппараты используются на основе определенных критериев и для многих бенефициаров предусматривается покрытие весьма значительной доли издержек, связанных с закупкой этого оборудования.</w:t>
      </w:r>
    </w:p>
    <w:p w:rsidR="00000000" w:rsidRDefault="00000000"/>
    <w:p w:rsidR="00000000" w:rsidRDefault="00000000">
      <w:r>
        <w:t>275.</w:t>
      </w:r>
      <w:r>
        <w:tab/>
        <w:t>Поскольку в страховых правилах не упоминаются многие виды медицинской помощи, а также ввиду хронической нехватки ресурсов в Решении о содержании и охвате медико-санитарной помощи предусматривается ряд мер и услуг, которые не предоставляются органами здравоохранения в рамках системы обязательного медицинского страхования.  К числу таких услуг относятся различные виды медицинских обследований по личной просьбе или по направлению различных ведомств и организаций, все меры в области специального (профилактического) здравоохранения работников, лечение острой алкогольной интоксикации, аборты, производимые не по медицинским показаниям, искусственное оплодотворение, различные нетиповые зубоврачебные услуги и т.д.</w:t>
      </w:r>
    </w:p>
    <w:p w:rsidR="00000000" w:rsidRDefault="00000000"/>
    <w:p w:rsidR="00000000" w:rsidRDefault="00000000">
      <w:r>
        <w:t>276.</w:t>
      </w:r>
      <w:r>
        <w:tab/>
        <w:t xml:space="preserve">Согласно действующему законодательству, наработана богатая практика в области регулирования содержания медико-санитарной помощи, дополняемой специальными программами в определенных областях деятельности, в тех случаях, когда речь идет о наиболее важных проблемах в области здоровья и социальной жизни (медико-санитарное обслуживание женщин, школьников и студентов, защита от инфекционных и хронических неинфекционных заболеваний, профилактика стоматологических заболеваний и т.д.).  Содержание и охват медико-санитарной помощи подробно определяется, включая соответствующие инструкции по ее осуществлению, и назначение ответственных сторон за реализацию отдельных видов деятельности.  Вместе с тем провозглашенный полный охват населения всеми видами услуг не реализуется на практике в случае высокой стоимости соответствующих диагностических, терапевтических или реабилитационных услуг, как того следовало бы ожидать, поскольку эти виды услуг не предоставляются даже в более богатых странах.  </w:t>
      </w:r>
    </w:p>
    <w:p w:rsidR="00000000" w:rsidRDefault="00000000"/>
    <w:p w:rsidR="00000000" w:rsidRDefault="00000000">
      <w:r>
        <w:t>277.</w:t>
      </w:r>
      <w:r>
        <w:tab/>
        <w:t>Отсутствует критическая оценка эффективности определенных мер, которая сама по себе не может внести значительный вклад в реализацию целей программ в области здравоохранения.  В качестве примера можно привести многочисленные систематические осмотры и диагностические проверки, нередко проводимые без достаточных оснований и часто повторяемые, необоснованное направление пациентов к врачу-специалисту более высокого уровня и т.д.</w:t>
      </w:r>
    </w:p>
    <w:p w:rsidR="00000000" w:rsidRDefault="00000000"/>
    <w:p w:rsidR="00000000" w:rsidRDefault="00000000">
      <w:r>
        <w:t>278.</w:t>
      </w:r>
      <w:r>
        <w:tab/>
        <w:t>Правовое положение, касающееся права и обязанностей граждан свободно выбирать врача для оказания первичной медико-санитарной помощи, не выполняется на системной основе, и это никоим образом не связано с финансированием этого сегмента деятельности сектора здравоохранения.  В больших городах ввиду отсутствия контроля граждане могут свободно пользоваться первичными медико-санитарными услугами нескольких врачей, при этом каждый врач может выписать им рецепт на лекарственные препараты.</w:t>
      </w:r>
    </w:p>
    <w:p w:rsidR="00000000" w:rsidRDefault="00000000"/>
    <w:p w:rsidR="00000000" w:rsidRDefault="00000000">
      <w:pPr>
        <w:jc w:val="center"/>
      </w:pPr>
      <w:r>
        <w:rPr>
          <w:b/>
          <w:bCs/>
          <w:lang w:val="en-US"/>
        </w:rPr>
        <w:t>D</w:t>
      </w:r>
      <w:r>
        <w:rPr>
          <w:b/>
          <w:bCs/>
        </w:rPr>
        <w:t>.</w:t>
      </w:r>
      <w:r>
        <w:rPr>
          <w:b/>
          <w:bCs/>
        </w:rPr>
        <w:tab/>
        <w:t>Охват населения системой здравоохранения и содержание и охват услуг обязательного медицинского страхования в Республике Сербии</w:t>
      </w:r>
    </w:p>
    <w:p w:rsidR="00000000" w:rsidRDefault="00000000">
      <w:pPr>
        <w:jc w:val="center"/>
      </w:pPr>
    </w:p>
    <w:p w:rsidR="00000000" w:rsidRDefault="00000000">
      <w:r>
        <w:t>279.</w:t>
      </w:r>
      <w:r>
        <w:tab/>
        <w:t xml:space="preserve">Согласно положениям Закона о медицинском страховании Республики Сербии, система обязательного медицинского страхования охватывает всех работающих граждан, временно и спорадически занятых, безработных в период получения ими пособия по безработице, самостоятельно занятых, пенсионеров, кустарей и ремесленников и фермеров.  Помимо застрахованных лиц, правом на пользование услугами медицинского страхования также обладают члены их семей, при условии что они находятся на попечении застрахованного лица.  По состоянию на 31 декабря 1998 года в Республике Сербии насчитывалось 9 222 542 застрахованных лица.  В это число не включены иностранные граждане, застрахованные на основе соответствующих конвенций, а также незастрахованные лица.  Доля работников социального сектора, фермеров и пенсионеров, включая членов их семей, составляет </w:t>
      </w:r>
      <w:proofErr w:type="spellStart"/>
      <w:r>
        <w:t>93%</w:t>
      </w:r>
      <w:proofErr w:type="spellEnd"/>
      <w:r>
        <w:t xml:space="preserve"> от общей численности застрахованных лиц</w:t>
      </w:r>
      <w:r>
        <w:rPr>
          <w:rStyle w:val="FootnoteReference"/>
        </w:rPr>
        <w:footnoteReference w:id="12"/>
      </w:r>
      <w:r>
        <w:t xml:space="preserve">.  </w:t>
      </w:r>
    </w:p>
    <w:p w:rsidR="00000000" w:rsidRDefault="00000000"/>
    <w:p w:rsidR="00000000" w:rsidRDefault="00000000">
      <w:r>
        <w:t>280.</w:t>
      </w:r>
      <w:r>
        <w:tab/>
        <w:t xml:space="preserve">Сопоставление количества застрахованных лиц с количеством жителей Республики Сербии по данным переписи населения 1991 года (9 923 000 жителей) позволяет сделать вывод о том, что система медицинского страхования в Сербии охватывает </w:t>
      </w:r>
      <w:proofErr w:type="spellStart"/>
      <w:r>
        <w:t>92,94%</w:t>
      </w:r>
      <w:proofErr w:type="spellEnd"/>
      <w:r>
        <w:t xml:space="preserve"> населения.  По оценкам, системой обязательного медицинского страхования не охвачено около </w:t>
      </w:r>
      <w:proofErr w:type="spellStart"/>
      <w:r>
        <w:t>7%</w:t>
      </w:r>
      <w:proofErr w:type="spellEnd"/>
      <w:r>
        <w:t xml:space="preserve"> населения (главным образом безработные).  В отношении незастрахованной части населения - детей и подростков, женщин в связи с беременностью и рождением ребенка, лиц в возрасте старше 65 лет, получателей пособий по социальной помощи, а также лиц, страдающих от тяжелых хронических заболеваний (нарушения психики, диабет, хронические почечные заболевания, онкологические заболевания и т.д.), </w:t>
      </w:r>
      <w:r>
        <w:noBreakHyphen/>
        <w:t xml:space="preserve"> затраты на медицинское обслуживание по определенным видам услуг покрываются государством.  Эти затраты финансируются из бюджета за счет перевода необходимых ресурсов в Фонд медицинского страхования.  Вместе с тем следует подчеркнуть, что ввиду крайне сложной экономической ситуации и дефицита государственного бюджета ресурсы на эти цели в последние годы фактически не выделяются.  </w:t>
      </w:r>
    </w:p>
    <w:p w:rsidR="00000000" w:rsidRDefault="00000000"/>
    <w:p w:rsidR="00000000" w:rsidRDefault="00000000">
      <w:r>
        <w:t>281.</w:t>
      </w:r>
      <w:r>
        <w:tab/>
        <w:t>Согласно положениям того же закона, услуги в рамках системы медицинского страхования включают:  медицинское обслуживание, компенсацию заработной платы в период временной нетрудоспособности, выплату пособий при необходимости продления периода ухода за ребенком, компенсацию расходов на проезд в связи с пользованием медицинскими услугами, а также компенсацию похоронных расходов.</w:t>
      </w:r>
    </w:p>
    <w:p w:rsidR="00000000" w:rsidRDefault="00000000"/>
    <w:p w:rsidR="00000000" w:rsidRDefault="00000000">
      <w:r>
        <w:t>282.</w:t>
      </w:r>
      <w:r>
        <w:tab/>
        <w:t xml:space="preserve">В соответствии с положениями Закона о медицинском страховании, медицинская помощь, как основное право застрахованных лиц, включает следующие элементы:  </w:t>
      </w:r>
    </w:p>
    <w:p w:rsidR="00000000" w:rsidRDefault="00000000"/>
    <w:p w:rsidR="00000000" w:rsidRDefault="00000000">
      <w:pPr>
        <w:ind w:left="1134" w:hanging="1134"/>
      </w:pPr>
      <w:r>
        <w:tab/>
        <w:t>-</w:t>
      </w:r>
      <w:r>
        <w:tab/>
        <w:t>медико-санитарные мероприятия и процедуры, направленные на улучшение состояния здоровья, профилактику и раннюю диагностику заболеваний и иных расстройств здоровья;</w:t>
      </w:r>
    </w:p>
    <w:p w:rsidR="00000000" w:rsidRDefault="00000000">
      <w:pPr>
        <w:ind w:left="1134" w:hanging="1134"/>
      </w:pPr>
    </w:p>
    <w:p w:rsidR="00000000" w:rsidRDefault="00000000">
      <w:pPr>
        <w:ind w:left="1134" w:hanging="1134"/>
      </w:pPr>
      <w:r>
        <w:tab/>
        <w:t>-</w:t>
      </w:r>
      <w:r>
        <w:tab/>
        <w:t>лечение больных и травмированных лиц, а также иные виды медицинской помощи;</w:t>
      </w:r>
    </w:p>
    <w:p w:rsidR="00000000" w:rsidRDefault="00000000">
      <w:pPr>
        <w:ind w:left="1134" w:hanging="1134"/>
      </w:pPr>
    </w:p>
    <w:p w:rsidR="00000000" w:rsidRDefault="00000000">
      <w:pPr>
        <w:ind w:left="1134" w:hanging="1134"/>
      </w:pPr>
      <w:r>
        <w:tab/>
        <w:t>-</w:t>
      </w:r>
      <w:r>
        <w:tab/>
        <w:t>профилактику и лечение заболеваний полости рта и зубов;</w:t>
      </w:r>
    </w:p>
    <w:p w:rsidR="00000000" w:rsidRDefault="00000000">
      <w:pPr>
        <w:ind w:left="1134" w:hanging="1134"/>
      </w:pPr>
    </w:p>
    <w:p w:rsidR="00000000" w:rsidRDefault="00000000">
      <w:pPr>
        <w:ind w:left="1134" w:hanging="1134"/>
      </w:pPr>
      <w:r>
        <w:tab/>
        <w:t>-</w:t>
      </w:r>
      <w:r>
        <w:tab/>
        <w:t>медицинскую реабилитацию в поликлинических учреждениях и стационарах;</w:t>
      </w:r>
    </w:p>
    <w:p w:rsidR="00000000" w:rsidRDefault="00000000">
      <w:pPr>
        <w:ind w:left="1134" w:hanging="1134"/>
      </w:pPr>
    </w:p>
    <w:p w:rsidR="00000000" w:rsidRDefault="00000000">
      <w:pPr>
        <w:ind w:left="1134" w:hanging="1134"/>
      </w:pPr>
      <w:r>
        <w:tab/>
        <w:t>-</w:t>
      </w:r>
      <w:r>
        <w:tab/>
        <w:t>лекарственные средства, вспомогательные приспособления, используемые для введения препаратов и предметы медицинского назначения, необходимые для лечения;  и</w:t>
      </w:r>
    </w:p>
    <w:p w:rsidR="00000000" w:rsidRDefault="00000000">
      <w:pPr>
        <w:ind w:left="1134" w:hanging="1134"/>
      </w:pPr>
    </w:p>
    <w:p w:rsidR="00000000" w:rsidRDefault="00000000">
      <w:pPr>
        <w:ind w:left="1134" w:hanging="1134"/>
      </w:pPr>
      <w:r>
        <w:tab/>
        <w:t xml:space="preserve">- </w:t>
      </w:r>
      <w:r>
        <w:tab/>
        <w:t>протезы, ортопедические средства и другие аппараты;  вспомогательные принадлежности и устройства медицинского назначения, зубные протезы и зубоврачебные материалы.</w:t>
      </w:r>
    </w:p>
    <w:p w:rsidR="00000000" w:rsidRDefault="00000000">
      <w:pPr>
        <w:ind w:left="1134" w:hanging="1134"/>
      </w:pPr>
    </w:p>
    <w:p w:rsidR="00000000" w:rsidRDefault="00000000">
      <w:r>
        <w:t>283.</w:t>
      </w:r>
      <w:r>
        <w:tab/>
        <w:t xml:space="preserve">На основе законодательного разрешения Республиканское управление медицинского страхования своими постановлениями более подробно регулирует условия и порядок осуществления прав в области медицинского страхования.  В этой связи следует отметить, что застрахованные лица не обязаны пользоваться услугами врачебного персонала для оказания первичной медико-санитарной помощи по месту их жительства.  Профилактические мероприятия и обслуживание, связанные с профессиональной деятельностью, осуществляются по месту работы, а в отношении учащихся школ и вузов - по месту обучения.  Предоставление специализированных медицинских услуг более высокого уровня, как правило, осуществляется в ближайшем соответствующем лечебном учреждении по рекомендации выбранного врача или по направлению медицинской комиссии Республиканского управления медицинского страхования. </w:t>
      </w:r>
    </w:p>
    <w:p w:rsidR="00000000" w:rsidRDefault="00000000"/>
    <w:p w:rsidR="00000000" w:rsidRDefault="00000000">
      <w:r>
        <w:t>284.</w:t>
      </w:r>
      <w:r>
        <w:tab/>
        <w:t>Сфера охвата и степень медицинских услуг более подробно определяется решением Совета директоров Республиканского управления медицинского страхования.  В этом документе основной упор делается на обеспечении баланса между охватом и степенью медицинских льгот и объемов ресурсов, выделяемым на эти цели в рамках системы обязательного медицинского страхования.</w:t>
      </w:r>
    </w:p>
    <w:p w:rsidR="00000000" w:rsidRDefault="00000000"/>
    <w:p w:rsidR="00000000" w:rsidRDefault="00000000">
      <w:pPr>
        <w:jc w:val="center"/>
        <w:rPr>
          <w:b/>
          <w:bCs/>
        </w:rPr>
      </w:pPr>
      <w:r>
        <w:rPr>
          <w:b/>
          <w:bCs/>
        </w:rPr>
        <w:t>Е.</w:t>
      </w:r>
      <w:r>
        <w:rPr>
          <w:b/>
          <w:bCs/>
        </w:rPr>
        <w:tab/>
        <w:t>Состояние здоровья населения Республики Сербии</w:t>
      </w:r>
    </w:p>
    <w:p w:rsidR="00000000" w:rsidRDefault="00000000">
      <w:pPr>
        <w:jc w:val="center"/>
        <w:rPr>
          <w:u w:val="single"/>
        </w:rPr>
      </w:pPr>
    </w:p>
    <w:p w:rsidR="00000000" w:rsidRDefault="00000000">
      <w:r>
        <w:t>285.</w:t>
      </w:r>
      <w:r>
        <w:tab/>
        <w:t>Период с 1990 года по настоящее время характеризуется кардинальными изменениями в жизни около 10 млн. жителей Республики Сербии, которые непосредственным образом отражаются на состоянии их здоровья.  На основе результатов описательных (так называемых экологических) исследований и сравнительного анализа можно с той или иной долей уверенности определить, каким образом критические события в жизни влияют на заболеваемость и смертность населения.  Таким образом, на глобальном уровне определены циклы, когда такие события вызывают изменения в состоянии здоровья, которые приводят к повышению уровня заболеваемости за трехлетний период, что сопровождается повышением уровня смертности за период от трех до пяти лет.  Было также установлено, что эти циклы заболеваемости и смертности, являющиеся следствием критических событий в жизни, укорачиваются.  В ряде исследований показателей состояния здоровья населения в Республике Сербии указывают на то, что эти циклы становятся еще короче вследствие кумулятивного воздействия ряда критических событий, которым подверглось население:  распад бывшей Югославии и война на ее территории;  санкции, введенные международным сообществом;  и гиперинфляция.</w:t>
      </w:r>
    </w:p>
    <w:p w:rsidR="00000000" w:rsidRDefault="00000000"/>
    <w:p w:rsidR="00000000" w:rsidRDefault="00000000">
      <w:r>
        <w:t>286.</w:t>
      </w:r>
      <w:r>
        <w:tab/>
        <w:t xml:space="preserve">Однако в ходе мониторинга воздействия этих событий на здоровье населения, а также при выделении и оценке воздействия каждого конкретного фактора возникает целый ряд методологических проблем.  Прежде всего следует отметить, что обзор причин смерти на всей территории Республики не является достаточно достоверным документом.  Кроме того, изменилась также и численность населения (крайне важный показатель для расчета уровня заболеваемости и смертности).  Эти уровни фактически характеризуют вероятность смерти или заболевания населения, подвергаемого рискам.  За прошедшие десять лет в результате иммиграции коренного населения, главным образом молодежи, и притока беженцев и перемещенных лиц с различными рисками заболеваемости и смертности состав населения Сербии коренным образом изменился.  Важно также подчеркнуть отсутствие достаточных финансовых ресурсов и усилий, направленных на проведение качественных исследований в области мониторинга влияния критических событий на состояние здоровья населения Сербии. </w:t>
      </w:r>
    </w:p>
    <w:p w:rsidR="00000000" w:rsidRDefault="00000000"/>
    <w:p w:rsidR="00000000" w:rsidRDefault="00000000">
      <w:pPr>
        <w:jc w:val="center"/>
        <w:rPr>
          <w:b/>
          <w:bCs/>
        </w:rPr>
      </w:pPr>
      <w:r>
        <w:rPr>
          <w:b/>
          <w:bCs/>
          <w:lang w:val="en-US"/>
        </w:rPr>
        <w:t>F</w:t>
      </w:r>
      <w:r>
        <w:rPr>
          <w:b/>
          <w:bCs/>
        </w:rPr>
        <w:t>.</w:t>
      </w:r>
      <w:r>
        <w:rPr>
          <w:b/>
          <w:bCs/>
        </w:rPr>
        <w:tab/>
        <w:t>Уровень смертности</w:t>
      </w:r>
    </w:p>
    <w:p w:rsidR="00000000" w:rsidRDefault="00000000">
      <w:pPr>
        <w:jc w:val="center"/>
        <w:rPr>
          <w:b/>
          <w:bCs/>
        </w:rPr>
      </w:pPr>
    </w:p>
    <w:p w:rsidR="00000000" w:rsidRDefault="00000000">
      <w:r>
        <w:t>287.</w:t>
      </w:r>
      <w:r>
        <w:tab/>
        <w:t>Ряд произошедших в стране в начале 90</w:t>
      </w:r>
      <w:r>
        <w:noBreakHyphen/>
        <w:t>х годов драматических событий привел к стагнации и/или ухудшению ситуации по большинству показателей здоровья населения, по которым производится регулярный мониторинг и анализ.  Ожидаемая продолжительность жизни при рождении, рассчитываемая на основе существующих данных по уровню смертности в разбивке по конкретным возрастным группам (сокращенные таблицы приблизительных показателей смертности) за период с 1989/90 года до 1996/97 года снизилась для новорожденных мальчиков в центральной Сербии чуть более чем на два года, а в Воеводине осталась практически неизменной.  Значение данного показателя в Воеводине для новорожденных девочек за тот же период снизилось на 1,13 года и осталось практически неизменным в центральной Сербии</w:t>
      </w:r>
      <w:r>
        <w:rPr>
          <w:rStyle w:val="FootnoteReference"/>
        </w:rPr>
        <w:footnoteReference w:id="13"/>
      </w:r>
      <w:r>
        <w:t xml:space="preserve">.  </w:t>
      </w:r>
    </w:p>
    <w:p w:rsidR="00000000" w:rsidRDefault="00000000"/>
    <w:p w:rsidR="00000000" w:rsidRDefault="00000000">
      <w:r>
        <w:t>288.</w:t>
      </w:r>
      <w:r>
        <w:tab/>
        <w:t>Уровень смертности для взрослого населения в возрасте 20</w:t>
      </w:r>
      <w:r>
        <w:noBreakHyphen/>
        <w:t>44 лет за период 1990</w:t>
      </w:r>
      <w:r>
        <w:noBreakHyphen/>
        <w:t>1997 годов в центральной Сербии возрос на 14 умерших на 100 000 населения в данной возрастной группе, а в Воеводине </w:t>
      </w:r>
      <w:r>
        <w:noBreakHyphen/>
        <w:t xml:space="preserve"> на 10,5 умерших</w:t>
      </w:r>
      <w:r>
        <w:rPr>
          <w:rStyle w:val="FootnoteReference"/>
        </w:rPr>
        <w:footnoteReference w:id="14"/>
      </w:r>
      <w:r>
        <w:t>.</w:t>
      </w:r>
    </w:p>
    <w:p w:rsidR="00000000" w:rsidRDefault="00000000"/>
    <w:p w:rsidR="00000000" w:rsidRDefault="00000000">
      <w:r>
        <w:t>289.</w:t>
      </w:r>
      <w:r>
        <w:tab/>
        <w:t>За аналогичный период уровень смертности для взрослого населения в возрасте 44</w:t>
      </w:r>
      <w:r>
        <w:noBreakHyphen/>
        <w:t>64 годов в центральной Сербии возрос еще выше, составив 20,4 умерших на 100 000 населения в данной возрастной группе, а в Воеводине </w:t>
      </w:r>
      <w:r>
        <w:noBreakHyphen/>
        <w:t xml:space="preserve"> на 90,3 умерших на 100 000 населения.  Приведенные данные показывают, что в течение рассматриваемого периода наиболее уязвимой категорией была группа взрослого населения в возрасте 44</w:t>
      </w:r>
      <w:r>
        <w:noBreakHyphen/>
        <w:t>64 годов на всей территории Республики Сербии, и в частности в Воеводине</w:t>
      </w:r>
      <w:r>
        <w:rPr>
          <w:rStyle w:val="FootnoteReference"/>
        </w:rPr>
        <w:footnoteReference w:id="15"/>
      </w:r>
      <w:r>
        <w:t>.</w:t>
      </w:r>
    </w:p>
    <w:p w:rsidR="00000000" w:rsidRDefault="00000000"/>
    <w:p w:rsidR="00000000" w:rsidRDefault="00000000">
      <w:r>
        <w:t>290.</w:t>
      </w:r>
      <w:r>
        <w:tab/>
        <w:t>Следует отметить, что, несмотря на прогнозы, увеличение уровня смертности в категории населения в возрасте старше 65 лет за указанный период (1990</w:t>
      </w:r>
      <w:r>
        <w:noBreakHyphen/>
        <w:t>1997 годы) зарегистрировано не было.  Напротив, этот показатель снизился, хотя население в данной категории представляет собой особо социально уязвимую группу в условиях нашей страны.  Уровень смертности среди населения в возрасте старше 65 лет на 100 000 населения в той же возрастной группе снизился в центральной Сербии в 1997 году по сравнению с 1990 годом на 693;  а в Воеводине показатель смертности в данной возрастной группе снизился на 1 184 на 100 000 населения</w:t>
      </w:r>
      <w:r>
        <w:rPr>
          <w:rStyle w:val="FootnoteReference"/>
        </w:rPr>
        <w:footnoteReference w:id="16"/>
      </w:r>
      <w:r>
        <w:t>.</w:t>
      </w:r>
    </w:p>
    <w:p w:rsidR="00000000" w:rsidRDefault="00000000"/>
    <w:p w:rsidR="00000000" w:rsidRDefault="00000000">
      <w:r>
        <w:t>291.</w:t>
      </w:r>
      <w:r>
        <w:tab/>
        <w:t>Как уже указывалось выше, дифференцированный анализ уровня смертности по возрастным группам показывает, что снижение ожидаемой продолжительности жизни при рождении, зарегистрированное в центральной Сербии и Воеводине в период 1990</w:t>
      </w:r>
      <w:r>
        <w:noBreakHyphen/>
        <w:t>1997 годов, главным образом связано с увеличением коэффициента смертности в возрастной группе 20</w:t>
      </w:r>
      <w:r>
        <w:noBreakHyphen/>
        <w:t>44 лет, и, в особенности, в возрастной группе 45</w:t>
      </w:r>
      <w:r>
        <w:noBreakHyphen/>
        <w:t>64 года.  Этот вывод соответствует результатам анализа состояния здоровья населения в странах Центральной и Восточной Европы.</w:t>
      </w:r>
    </w:p>
    <w:p w:rsidR="00000000" w:rsidRDefault="00000000"/>
    <w:p w:rsidR="00000000" w:rsidRDefault="00000000">
      <w:r>
        <w:t>292.</w:t>
      </w:r>
      <w:r>
        <w:tab/>
        <w:t>При анализе причин смерти населения в Республике Сербии необходимо подчеркнуть, что характер причин смерти за указанный восьмилетний период остался практически неизменным.  В 1997 году более половины умерших скончались от сердечно-сосудистых заболеваний (56,4% в центральной Сербии, 60,2% в Воеводине), при этом доля умерших в центральной Сербии и Воеводине по сравнению с 1990 годом возросла на один процентный пункт.  На втором месте находятся онкологические заболевания (</w:t>
      </w:r>
      <w:proofErr w:type="spellStart"/>
      <w:r>
        <w:t>17%</w:t>
      </w:r>
      <w:proofErr w:type="spellEnd"/>
      <w:r>
        <w:t> в центральной Сербии и 18,2% в Воеводине), причем по сравнению с 1990 годом этот показатель несколько возрос в центральной Сербии и остался практически неизменным в Воеводине.  На третьем месте стоят недостаточно точно диагностированные нарушения и заболевания (симптомы, признаки, патологические, клинические и лабораторные результаты), а четвертое место занимают ранения, травмы и последствия воздействия внешних факторов</w:t>
      </w:r>
      <w:r>
        <w:rPr>
          <w:rStyle w:val="FootnoteReference"/>
        </w:rPr>
        <w:footnoteReference w:id="17"/>
      </w:r>
      <w:r>
        <w:t xml:space="preserve">.  В центральной Сербии и Воеводине был отмечен рост доли недостаточно точно определенных расстройств и заболеваний.  Доля внешних факторов как причины смерти снизилась как в центральной Сербии, так и в </w:t>
      </w:r>
      <w:proofErr w:type="spellStart"/>
      <w:r>
        <w:t>Воеводине</w:t>
      </w:r>
      <w:proofErr w:type="spellEnd"/>
      <w:r>
        <w:t>.</w:t>
      </w:r>
    </w:p>
    <w:p w:rsidR="00000000" w:rsidRDefault="00000000"/>
    <w:p w:rsidR="00000000" w:rsidRDefault="00000000">
      <w:r>
        <w:t>293.</w:t>
      </w:r>
      <w:r>
        <w:tab/>
        <w:t>Высокая доля сердечно-сосудистых и онкологических заболеваний в структуре причин смерти указывает на широкое распространение факторов риска, связанных с поведенческими установками (курение, употребление алкоголя, плохое питание, недостаток физической активности) и экологическими условиями (загрязненная атмосфера, пища и вода).  Недостаточно точно выявленные расстройства и заболевания, стоящие на третьем месте, являются следствием представления недостоверных данных о причине смерти на территории Республики.  Тот факт, что на четвертом месте в ряду причин смерти находятся внешние факторы, указывает на недостаточный уровень безопасности на производстве, транспорте и дома.  При отдельном рассмотрении внешних причин смерти наибольшая доля приходится на несчастные случаи, за которыми следуют самоубийства и убийства</w:t>
      </w:r>
      <w:r>
        <w:rPr>
          <w:rStyle w:val="FootnoteReference"/>
        </w:rPr>
        <w:footnoteReference w:id="18"/>
      </w:r>
      <w:r>
        <w:t xml:space="preserve">.  Уровень смертности по этим причинам возрос в 1991 и 1992 годах с началом вооруженных конфликтов на территории бывшей Югославии, после чего с 1996 года было зарегистрировано рекордное увеличение по всем трем показателям, причем наиболее резкий рост имел место в категории несчастных случаев и самоубийств.  </w:t>
      </w:r>
    </w:p>
    <w:p w:rsidR="00000000" w:rsidRDefault="00000000"/>
    <w:p w:rsidR="00000000" w:rsidRDefault="00000000">
      <w:r>
        <w:t>294.</w:t>
      </w:r>
      <w:r>
        <w:tab/>
        <w:t>Второй уровень анализа смертности в результате несчастных случаев в разбивке по полу показывает, что за отчетный период коэффициент смертности среди мужчин был почти в три раза выше, чем среди женщин, и даже в 4 раза выше в 1991 и 1992 годах</w:t>
      </w:r>
      <w:r>
        <w:rPr>
          <w:rStyle w:val="FootnoteReference"/>
        </w:rPr>
        <w:footnoteReference w:id="19"/>
      </w:r>
      <w:r>
        <w:t>.</w:t>
      </w:r>
    </w:p>
    <w:p w:rsidR="00000000" w:rsidRDefault="00000000"/>
    <w:p w:rsidR="00000000" w:rsidRDefault="00000000">
      <w:r>
        <w:t>295.</w:t>
      </w:r>
      <w:r>
        <w:tab/>
        <w:t>Результаты анализа состояния здоровья населения Республики Сербии, произведенного на основе статистики смертности, как наиболее достоверного показателя, указывают на то, что ухудшение показателей здоровья произошло ввиду увеличения уровня смертности населения трудоспособного возраста, в особенности мужчин.  Это было также связано с так называемой предупреждаемой смертностью, т.е. когда причины заболевания и смерти могут быть эффективно устранены путем принятия адекватных медико-санитарных мер.  По характеру изменений в показателях состояние здоровья населения Сербии весьма схоже с другими странами Центральной и Восточной Европы, находящимися на этапе перехода, хотя по</w:t>
      </w:r>
      <w:r>
        <w:noBreakHyphen/>
        <w:t>прежнему не существует однозначного мнения в отношении того, в какой степени и вступила ли вообще наша страна в переходный процесс.</w:t>
      </w:r>
    </w:p>
    <w:p w:rsidR="00000000" w:rsidRDefault="00000000"/>
    <w:p w:rsidR="00000000" w:rsidRDefault="00000000">
      <w:pPr>
        <w:jc w:val="center"/>
        <w:rPr>
          <w:b/>
          <w:bCs/>
        </w:rPr>
      </w:pPr>
      <w:r>
        <w:rPr>
          <w:b/>
          <w:bCs/>
          <w:lang w:val="en-US"/>
        </w:rPr>
        <w:t>G</w:t>
      </w:r>
      <w:r>
        <w:rPr>
          <w:b/>
          <w:bCs/>
        </w:rPr>
        <w:t>.</w:t>
      </w:r>
      <w:r>
        <w:rPr>
          <w:b/>
          <w:bCs/>
        </w:rPr>
        <w:tab/>
        <w:t>Показатели состояния здоровья</w:t>
      </w:r>
    </w:p>
    <w:p w:rsidR="00000000" w:rsidRDefault="00000000">
      <w:pPr>
        <w:jc w:val="center"/>
        <w:rPr>
          <w:u w:val="single"/>
        </w:rPr>
      </w:pPr>
    </w:p>
    <w:p w:rsidR="00000000" w:rsidRDefault="00000000">
      <w:pPr>
        <w:pStyle w:val="Heading1"/>
        <w:rPr>
          <w:bCs/>
        </w:rPr>
      </w:pPr>
      <w:r>
        <w:rPr>
          <w:bCs/>
        </w:rPr>
        <w:t>Детская смертность</w:t>
      </w:r>
    </w:p>
    <w:p w:rsidR="00000000" w:rsidRDefault="00000000">
      <w:pPr>
        <w:pStyle w:val="Heading1"/>
        <w:rPr>
          <w:bCs/>
        </w:rPr>
      </w:pPr>
    </w:p>
    <w:p w:rsidR="00000000" w:rsidRDefault="00000000">
      <w:r>
        <w:t>296.</w:t>
      </w:r>
      <w:r>
        <w:tab/>
        <w:t>Разница в ожидаемой продолжительности жизни при рождении между новорожденными девочками и мальчиками в Центральной Сербии возросла более чем на два года, а в Воеводине снизилась примерно на полтора года</w:t>
      </w:r>
      <w:r>
        <w:rPr>
          <w:rStyle w:val="FootnoteReference"/>
        </w:rPr>
        <w:footnoteReference w:id="20"/>
      </w:r>
      <w:r>
        <w:t xml:space="preserve">.  </w:t>
      </w:r>
    </w:p>
    <w:p w:rsidR="00000000" w:rsidRDefault="00000000"/>
    <w:p w:rsidR="00000000" w:rsidRDefault="00000000">
      <w:r>
        <w:t>297.</w:t>
      </w:r>
      <w:r>
        <w:tab/>
        <w:t>Анализ линейного тренда продолжительности жизни при рождении для центральной Сербии и Воеводины за восьмилетний период (1990</w:t>
      </w:r>
      <w:r>
        <w:noBreakHyphen/>
        <w:t>1997 годы) позволяет выявить два критических периода, характеризующихся снижением значения этого показателя для новорожденных мальчиков в 1992</w:t>
      </w:r>
      <w:r>
        <w:noBreakHyphen/>
        <w:t>1993 годах и 1996</w:t>
      </w:r>
      <w:r>
        <w:noBreakHyphen/>
        <w:t>1997 годах, хотя за те же периоды для новорожденных девочек указанный показатель оставался неизменным или незначительно снизился</w:t>
      </w:r>
      <w:r>
        <w:rPr>
          <w:rStyle w:val="FootnoteReference"/>
        </w:rPr>
        <w:footnoteReference w:id="21"/>
      </w:r>
      <w:r>
        <w:t>.</w:t>
      </w:r>
    </w:p>
    <w:p w:rsidR="00000000" w:rsidRDefault="00000000"/>
    <w:p w:rsidR="00000000" w:rsidRDefault="00000000">
      <w:pPr>
        <w:keepLines/>
      </w:pPr>
      <w:r>
        <w:t>298.</w:t>
      </w:r>
      <w:r>
        <w:tab/>
        <w:t>После непрерывного снижения в 1970</w:t>
      </w:r>
      <w:r>
        <w:noBreakHyphen/>
        <w:t>е и 1980</w:t>
      </w:r>
      <w:r>
        <w:noBreakHyphen/>
        <w:t>е годы детская смертность, являющаяся важным показателем состояния здоровья ребенка с момента рождения до окончания первого года жизни, начала возрастать в 1992 году.  В 1993 году в центральной Сербии и Воеводине коэффициент детской смертности увеличился на две единицы на 1 000 живорождений.  После непродолжительного спада в 1996 году этот показатель вновь стал расти на всей остальной территории страны</w:t>
      </w:r>
      <w:r>
        <w:rPr>
          <w:rStyle w:val="FootnoteReference"/>
        </w:rPr>
        <w:footnoteReference w:id="22"/>
      </w:r>
      <w:r>
        <w:t>.</w:t>
      </w:r>
    </w:p>
    <w:p w:rsidR="00000000" w:rsidRDefault="00000000"/>
    <w:p w:rsidR="00000000" w:rsidRDefault="00000000">
      <w:r>
        <w:t>299.</w:t>
      </w:r>
      <w:r>
        <w:tab/>
        <w:t>Взаимосвязь между коэффициентом детской смертности и уровнем социально-экономического развития наглядно иллюстрируется негативной корреляцией между коэффициентом детской смертности и ВВП (или национальным доходом) на душу населения, о которой уже говорилось в специальной литературе и которая была зарегистрирована на международном и национальном уровнях.  Пример этой уязвимой категории населения показывает, что социально-экономические факторы выступают в роли наиболее мощных детерминантов состояния здоровья.  Негативная корреляция между коэффициентом детской смертности и показателем национального дохода на душу населения, рассчитанным в постоянных ценах, может быть также проиллюстрирована тенденциями, которые прослеживались в Республике Сербии с 1990 по 1998 год</w:t>
      </w:r>
      <w:r>
        <w:rPr>
          <w:rStyle w:val="FootnoteReference"/>
        </w:rPr>
        <w:footnoteReference w:id="23"/>
      </w:r>
      <w:r>
        <w:t>.</w:t>
      </w:r>
    </w:p>
    <w:p w:rsidR="00000000" w:rsidRDefault="00000000"/>
    <w:p w:rsidR="00000000" w:rsidRDefault="00000000">
      <w:r>
        <w:t>300.</w:t>
      </w:r>
      <w:r>
        <w:tab/>
        <w:t>Коэффициент детской смертности представляет собой сложный показатель риска смерти в течение неонатального периода (первые 28 дней жизни), который снижается с увеличением доступности медико-санитарного обслуживания в неонатальный период, и показатель риска смерти в постнеонатальный период (с 28-х суток до одного года), который снижается с повышением уровня медицинского просвещения матерей, улучшением санитарно-гигиенических условий, питания, расширением охвата программ вакцинации и более эффективным лечением респираторных заболеваний в этом возрасте.  Увеличение коэффициента детской смертности в Республике Сербии было обусловлено ростом обоих рисков в 1993 году и возобновлением их роста в 1996 и 1997 годах.</w:t>
      </w:r>
    </w:p>
    <w:p w:rsidR="00000000" w:rsidRDefault="00000000"/>
    <w:p w:rsidR="00000000" w:rsidRDefault="00000000">
      <w:r>
        <w:t>301.</w:t>
      </w:r>
      <w:r>
        <w:tab/>
        <w:t>Уровень неонатальной смертности главным образом определяется показателем смертности новорожденных в течение первой недели жизни, о чем также свидетельствуют значения коэффициента перинатальной смертности.  Этот коэффициент представляет собой соотношение суммарного количества мертворождений и смертей в течение первой недели жизни на 1 000 живорождений и служит показателем воздействия эндогенных факторов на здоровье плода.  Кроме того, в странах с организованным перинатальным уходом (медико-санитарным обслуживанием беременных женщин), в которых практически все роды осуществляются в медицинских учреждениях, как это имеет место в Союзной Республике Югославии, этот коэффициент представляет собой также достоверный показатель качества медико-санитарного обслуживания матерей с детьми, поскольку оно осуществляется в периоды интенсивного медицинского надзора за состоянием их здоровья.</w:t>
      </w:r>
    </w:p>
    <w:p w:rsidR="00000000" w:rsidRDefault="00000000"/>
    <w:p w:rsidR="00000000" w:rsidRDefault="00000000">
      <w:r>
        <w:t>302.</w:t>
      </w:r>
      <w:r>
        <w:tab/>
        <w:t>Высокие значения коэффициента перинатальной смертности в центральной Сербии, которые оставались практически неизменными в течение всего отчетного периода с  незначительным повышением в 1993 и 1996 годах, указывают на возможное ухудшение качества медицинского обслуживания беременных женщин в послеродовой период и их новорожденных детей</w:t>
      </w:r>
      <w:r>
        <w:rPr>
          <w:rStyle w:val="FootnoteReference"/>
        </w:rPr>
        <w:footnoteReference w:id="24"/>
      </w:r>
      <w:r>
        <w:t>.  В Воеводине в 1994 году этот коэффициент снизился, однако в 1996 году его рост возобновился.</w:t>
      </w:r>
    </w:p>
    <w:p w:rsidR="00000000" w:rsidRDefault="00000000"/>
    <w:p w:rsidR="00000000" w:rsidRDefault="00000000">
      <w:r>
        <w:t>303.</w:t>
      </w:r>
      <w:r>
        <w:tab/>
        <w:t>Вызывающий беспокойство рост коэффициента постнеонатальной смертности в центральной Сербии в 1995 году и в Воеводине в 1996 году обусловлен неблагоприятным воздействием факторов внешней окружающей среды (экзогенных факторов) на детское здоровье</w:t>
      </w:r>
      <w:r>
        <w:rPr>
          <w:rStyle w:val="FootnoteReference"/>
        </w:rPr>
        <w:footnoteReference w:id="25"/>
      </w:r>
      <w:r>
        <w:t>.</w:t>
      </w:r>
    </w:p>
    <w:p w:rsidR="00000000" w:rsidRDefault="00000000"/>
    <w:p w:rsidR="00000000" w:rsidRDefault="00000000">
      <w:r>
        <w:t>304.</w:t>
      </w:r>
      <w:r>
        <w:tab/>
        <w:t>Здоровье детей является очень хрупким не только в первый год жизни, но также в течение всего дошкольного периода.  Поэтому ЮНИСЕФ в качестве наиболее важного показателя состояния здоровья детей, по которому ранжируются все страны мира, выбрал коэффициент смертности детей в возрасте до пяти лет.  Как и значения коэффициента детской смертности, этот показатель также возрос в 1993 году, а затем вновь в 1996 году, причем как в центральной Сербии, так и в Воеводине</w:t>
      </w:r>
      <w:r>
        <w:rPr>
          <w:rStyle w:val="FootnoteReference"/>
        </w:rPr>
        <w:footnoteReference w:id="26"/>
      </w:r>
      <w:r>
        <w:t>.</w:t>
      </w:r>
    </w:p>
    <w:p w:rsidR="00000000" w:rsidRDefault="00000000"/>
    <w:p w:rsidR="00000000" w:rsidRDefault="00000000">
      <w:r>
        <w:t>305.</w:t>
      </w:r>
      <w:r>
        <w:tab/>
        <w:t>Коэффициент материнской смертности, который отражает все риски, которым подвергается здоровье матери в период беременности (при родах и в послеродовой период), непосредственно связан с социально-экономическими условиями жизни, состоянием здоровья матери в период до беременности, осложнениями в течение беременности и при родах, а также наличием и использованием медицинских услуг, в частности перинатальных и родовспомогательных услуг.  Как и коэффициент перинатальной смертности, уровень или коэффициент материнской смертности (этот термин используется чаще) служит наглядным показателем эффективности медико</w:t>
      </w:r>
      <w:r>
        <w:noBreakHyphen/>
        <w:t>санитарной помощи и качества предоставляемых медицинских услуг.</w:t>
      </w:r>
    </w:p>
    <w:p w:rsidR="00000000" w:rsidRDefault="00000000"/>
    <w:p w:rsidR="00000000" w:rsidRDefault="00000000">
      <w:pPr>
        <w:keepLines/>
      </w:pPr>
      <w:r>
        <w:t>306.</w:t>
      </w:r>
      <w:r>
        <w:tab/>
        <w:t xml:space="preserve">За восьмилетний отчетный период коэффициент материнской смертности (количество женщин, умерших в результате беременности, </w:t>
      </w:r>
      <w:proofErr w:type="spellStart"/>
      <w:r>
        <w:t>родоразрешения</w:t>
      </w:r>
      <w:proofErr w:type="spellEnd"/>
      <w:r>
        <w:t xml:space="preserve"> и послеродовых осложнений на 100 000 </w:t>
      </w:r>
      <w:proofErr w:type="spellStart"/>
      <w:r>
        <w:t>живорождений</w:t>
      </w:r>
      <w:proofErr w:type="spellEnd"/>
      <w:r>
        <w:t xml:space="preserve">) в центральной Сербии увеличился на 10 единиц;  в </w:t>
      </w:r>
      <w:proofErr w:type="spellStart"/>
      <w:r>
        <w:t>Воеводине</w:t>
      </w:r>
      <w:proofErr w:type="spellEnd"/>
      <w:r>
        <w:t xml:space="preserve"> был отмечен аналогичный прирост в отличие от Косова и </w:t>
      </w:r>
      <w:proofErr w:type="spellStart"/>
      <w:r>
        <w:t>Метохии</w:t>
      </w:r>
      <w:proofErr w:type="spellEnd"/>
      <w:r>
        <w:t xml:space="preserve">, что объясняется представлением неполных данных и значительным количеством </w:t>
      </w:r>
      <w:proofErr w:type="spellStart"/>
      <w:r>
        <w:t>родоразрешений</w:t>
      </w:r>
      <w:proofErr w:type="spellEnd"/>
      <w:r>
        <w:t>, производимых вне медицинских учреждений</w:t>
      </w:r>
      <w:r>
        <w:rPr>
          <w:rStyle w:val="FootnoteReference"/>
        </w:rPr>
        <w:footnoteReference w:id="27"/>
      </w:r>
      <w:r>
        <w:t xml:space="preserve">.  </w:t>
      </w:r>
    </w:p>
    <w:p w:rsidR="00000000" w:rsidRDefault="00000000"/>
    <w:p w:rsidR="00000000" w:rsidRDefault="00000000">
      <w:r>
        <w:t>307.</w:t>
      </w:r>
      <w:r>
        <w:tab/>
        <w:t xml:space="preserve">Хотя увеличение коэффициентов смертности среди таких уязвимых категорий населения, как дети (особенно младенцы) и матери в период беременности, при деторождении и в послеродовой период отчасти обуславливают сокращение и стагнацию ожидаемой продолжительности жизни при рождении для женщин, наиболее сильное неблагоприятное воздействие на общее ухудшение этого показателя состояния здоровья населения оказали коэффициенты смертности среди взрослого населения трудоспособного возраста.  </w:t>
      </w:r>
    </w:p>
    <w:p w:rsidR="00000000" w:rsidRDefault="00000000"/>
    <w:p w:rsidR="00000000" w:rsidRDefault="00000000">
      <w:pPr>
        <w:rPr>
          <w:b/>
          <w:bCs/>
        </w:rPr>
      </w:pPr>
      <w:r>
        <w:rPr>
          <w:b/>
          <w:bCs/>
        </w:rPr>
        <w:t>Предполагаемая продолжительность жизни</w:t>
      </w:r>
    </w:p>
    <w:p w:rsidR="00000000" w:rsidRDefault="00000000">
      <w:pPr>
        <w:rPr>
          <w:b/>
          <w:bCs/>
        </w:rPr>
      </w:pPr>
    </w:p>
    <w:p w:rsidR="00000000" w:rsidRDefault="00000000">
      <w:r>
        <w:t>308.</w:t>
      </w:r>
      <w:r>
        <w:tab/>
        <w:t xml:space="preserve">Предполагаемая продолжительность жизни при рождении, как комплексный показатель состояния здоровья, который характеризует ожидаемую продолжительность жизни младенца мужского или женского пола при сохранении нынешнего уровня смертности, в центральной Сербии в период с 1950-1951 по 1989-1990 годы увеличилась для новорожденных мальчиков на 15,7 года и новорожденных девочек на 18,1 года, а в </w:t>
      </w:r>
      <w:proofErr w:type="spellStart"/>
      <w:r>
        <w:t>Воеводине</w:t>
      </w:r>
      <w:proofErr w:type="spellEnd"/>
      <w:r>
        <w:t xml:space="preserve">, соответственно, на 15,1 года и 19,2 года.  За тот же 40-летний период коэффициент детской смертности снизился в 8,3 раза (с 101,7 до 12,2 умерших детей на 1 000 </w:t>
      </w:r>
      <w:proofErr w:type="spellStart"/>
      <w:r>
        <w:t>живорождений</w:t>
      </w:r>
      <w:proofErr w:type="spellEnd"/>
      <w:r>
        <w:t xml:space="preserve">) в центральной Сербии и в 12 раз в </w:t>
      </w:r>
      <w:proofErr w:type="spellStart"/>
      <w:r>
        <w:t>Воеводине</w:t>
      </w:r>
      <w:proofErr w:type="spellEnd"/>
      <w:r>
        <w:t xml:space="preserve"> (с 143,1 до 12).  </w:t>
      </w:r>
    </w:p>
    <w:p w:rsidR="00000000" w:rsidRDefault="00000000"/>
    <w:p w:rsidR="00000000" w:rsidRDefault="00000000">
      <w:pPr>
        <w:rPr>
          <w:b/>
          <w:bCs/>
        </w:rPr>
      </w:pPr>
      <w:r>
        <w:rPr>
          <w:b/>
          <w:bCs/>
        </w:rPr>
        <w:t>Проведение программ обязательной вакцинации</w:t>
      </w:r>
    </w:p>
    <w:p w:rsidR="00000000" w:rsidRDefault="00000000">
      <w:pPr>
        <w:rPr>
          <w:b/>
          <w:bCs/>
        </w:rPr>
      </w:pPr>
    </w:p>
    <w:p w:rsidR="00000000" w:rsidRDefault="00000000">
      <w:r>
        <w:t>309.</w:t>
      </w:r>
      <w:r>
        <w:tab/>
        <w:t>В приведенной ниже таблице содержатся данные о вакцинации в период 1992</w:t>
      </w:r>
      <w:r>
        <w:noBreakHyphen/>
        <w:t xml:space="preserve">2001 годов в Республике Сербии, </w:t>
      </w:r>
      <w:proofErr w:type="spellStart"/>
      <w:r>
        <w:t>Воеводине</w:t>
      </w:r>
      <w:proofErr w:type="spellEnd"/>
      <w:r>
        <w:t xml:space="preserve"> и центральной Сербии.  </w:t>
      </w:r>
    </w:p>
    <w:p w:rsidR="00000000" w:rsidRDefault="00000000"/>
    <w:p w:rsidR="00000000" w:rsidRDefault="00000000">
      <w:pPr>
        <w:pageBreakBefore/>
        <w:jc w:val="center"/>
        <w:rPr>
          <w:b/>
          <w:bCs/>
        </w:rPr>
      </w:pPr>
      <w:r>
        <w:rPr>
          <w:b/>
          <w:bCs/>
        </w:rPr>
        <w:t>Таблица 11</w:t>
      </w:r>
    </w:p>
    <w:p w:rsidR="00000000" w:rsidRDefault="00000000">
      <w:pPr>
        <w:keepNext/>
        <w:jc w:val="center"/>
        <w:rPr>
          <w:b/>
          <w:bCs/>
        </w:rPr>
      </w:pPr>
    </w:p>
    <w:p w:rsidR="00000000" w:rsidRDefault="00000000">
      <w:pPr>
        <w:keepNext/>
        <w:jc w:val="center"/>
        <w:rPr>
          <w:b/>
          <w:bCs/>
        </w:rPr>
      </w:pPr>
      <w:r>
        <w:rPr>
          <w:b/>
          <w:bCs/>
        </w:rPr>
        <w:t>Охват населения программами вакцинации в Республике Сербии, 1992-2001 годы</w:t>
      </w:r>
    </w:p>
    <w:p w:rsidR="00000000" w:rsidRDefault="00000000">
      <w:pPr>
        <w:keepNext/>
        <w:jc w:val="center"/>
        <w:rPr>
          <w:b/>
          <w:bCs/>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72"/>
        <w:gridCol w:w="976"/>
        <w:gridCol w:w="1025"/>
        <w:gridCol w:w="520"/>
        <w:gridCol w:w="976"/>
        <w:gridCol w:w="1025"/>
        <w:gridCol w:w="520"/>
        <w:gridCol w:w="976"/>
        <w:gridCol w:w="1025"/>
        <w:gridCol w:w="520"/>
        <w:gridCol w:w="976"/>
      </w:tblGrid>
      <w:tr w:rsidR="00000000">
        <w:tblPrEx>
          <w:tblCellMar>
            <w:top w:w="0" w:type="dxa"/>
            <w:bottom w:w="0" w:type="dxa"/>
          </w:tblCellMar>
        </w:tblPrEx>
        <w:trPr>
          <w:cantSplit/>
        </w:trPr>
        <w:tc>
          <w:tcPr>
            <w:tcW w:w="0" w:type="auto"/>
            <w:vMerge w:val="restart"/>
            <w:vAlign w:val="center"/>
          </w:tcPr>
          <w:p w:rsidR="00000000" w:rsidRDefault="00000000">
            <w:pPr>
              <w:pStyle w:val="Num-DocParagraph"/>
              <w:spacing w:line="288" w:lineRule="auto"/>
              <w:jc w:val="center"/>
              <w:rPr>
                <w:sz w:val="20"/>
                <w:lang w:val="ru-RU"/>
              </w:rPr>
            </w:pPr>
            <w:r>
              <w:rPr>
                <w:sz w:val="20"/>
                <w:lang w:val="ru-RU"/>
              </w:rPr>
              <w:t>Год вакци</w:t>
            </w:r>
            <w:r>
              <w:rPr>
                <w:sz w:val="20"/>
                <w:lang w:val="ru-RU"/>
              </w:rPr>
              <w:softHyphen/>
              <w:t>нации</w:t>
            </w:r>
          </w:p>
        </w:tc>
        <w:tc>
          <w:tcPr>
            <w:tcW w:w="0" w:type="auto"/>
            <w:gridSpan w:val="10"/>
            <w:vAlign w:val="center"/>
          </w:tcPr>
          <w:p w:rsidR="00000000" w:rsidRDefault="00000000">
            <w:pPr>
              <w:pStyle w:val="Num-DocParagraph"/>
              <w:keepNext/>
              <w:spacing w:after="0" w:line="288" w:lineRule="auto"/>
              <w:jc w:val="center"/>
              <w:rPr>
                <w:b/>
                <w:bCs/>
                <w:sz w:val="20"/>
                <w:vertAlign w:val="superscript"/>
                <w:lang w:val="ru-RU"/>
              </w:rPr>
            </w:pPr>
            <w:r>
              <w:rPr>
                <w:sz w:val="20"/>
                <w:lang w:val="ru-RU"/>
              </w:rPr>
              <w:t xml:space="preserve">Тип </w:t>
            </w:r>
            <w:proofErr w:type="spellStart"/>
            <w:r>
              <w:rPr>
                <w:sz w:val="20"/>
                <w:lang w:val="ru-RU"/>
              </w:rPr>
              <w:t>вакцинации</w:t>
            </w:r>
            <w:r>
              <w:rPr>
                <w:b/>
                <w:bCs/>
                <w:sz w:val="20"/>
                <w:vertAlign w:val="superscript"/>
                <w:lang w:val="ru-RU"/>
              </w:rPr>
              <w:t>а</w:t>
            </w:r>
            <w:proofErr w:type="spellEnd"/>
          </w:p>
        </w:tc>
      </w:tr>
      <w:tr w:rsidR="00000000">
        <w:tblPrEx>
          <w:tblCellMar>
            <w:top w:w="0" w:type="dxa"/>
            <w:bottom w:w="0" w:type="dxa"/>
          </w:tblCellMar>
        </w:tblPrEx>
        <w:trPr>
          <w:cantSplit/>
        </w:trPr>
        <w:tc>
          <w:tcPr>
            <w:tcW w:w="0" w:type="auto"/>
            <w:vMerge/>
            <w:vAlign w:val="center"/>
          </w:tcPr>
          <w:p w:rsidR="00000000" w:rsidRDefault="00000000">
            <w:pPr>
              <w:pStyle w:val="Num-DocParagraph"/>
              <w:spacing w:line="288" w:lineRule="auto"/>
              <w:jc w:val="center"/>
              <w:rPr>
                <w:sz w:val="20"/>
                <w:lang w:val="ru-RU"/>
              </w:rPr>
            </w:pPr>
          </w:p>
        </w:tc>
        <w:tc>
          <w:tcPr>
            <w:tcW w:w="0" w:type="auto"/>
            <w:gridSpan w:val="3"/>
            <w:vAlign w:val="center"/>
          </w:tcPr>
          <w:p w:rsidR="00000000" w:rsidRDefault="00000000">
            <w:pPr>
              <w:pStyle w:val="Num-DocParagraph"/>
              <w:keepNext/>
              <w:spacing w:after="0"/>
              <w:jc w:val="center"/>
              <w:rPr>
                <w:sz w:val="20"/>
                <w:lang w:val="ru-RU"/>
              </w:rPr>
            </w:pPr>
            <w:r>
              <w:rPr>
                <w:sz w:val="20"/>
                <w:lang w:val="ru-RU"/>
              </w:rPr>
              <w:t>Дифтерия, столбняк, коклюш</w:t>
            </w:r>
          </w:p>
        </w:tc>
        <w:tc>
          <w:tcPr>
            <w:tcW w:w="0" w:type="auto"/>
            <w:gridSpan w:val="3"/>
            <w:vAlign w:val="center"/>
          </w:tcPr>
          <w:p w:rsidR="00000000" w:rsidRDefault="00000000">
            <w:pPr>
              <w:pStyle w:val="Num-DocParagraph"/>
              <w:keepNext/>
              <w:spacing w:after="0"/>
              <w:jc w:val="center"/>
              <w:rPr>
                <w:sz w:val="20"/>
                <w:lang w:val="ru-RU"/>
              </w:rPr>
            </w:pPr>
            <w:r>
              <w:rPr>
                <w:sz w:val="20"/>
                <w:lang w:val="ru-RU"/>
              </w:rPr>
              <w:t>Полиомиелит</w:t>
            </w:r>
          </w:p>
        </w:tc>
        <w:tc>
          <w:tcPr>
            <w:tcW w:w="0" w:type="auto"/>
            <w:gridSpan w:val="3"/>
            <w:vAlign w:val="center"/>
          </w:tcPr>
          <w:p w:rsidR="00000000" w:rsidRDefault="00000000">
            <w:pPr>
              <w:pStyle w:val="Num-DocParagraph"/>
              <w:keepNext/>
              <w:spacing w:after="0"/>
              <w:jc w:val="center"/>
              <w:rPr>
                <w:sz w:val="20"/>
                <w:lang w:val="ru-RU"/>
              </w:rPr>
            </w:pPr>
            <w:proofErr w:type="spellStart"/>
            <w:r>
              <w:rPr>
                <w:sz w:val="20"/>
                <w:lang w:val="ru-RU"/>
              </w:rPr>
              <w:t>КПК</w:t>
            </w:r>
            <w:proofErr w:type="spellEnd"/>
            <w:r>
              <w:rPr>
                <w:sz w:val="20"/>
                <w:lang w:val="ru-RU"/>
              </w:rPr>
              <w:t>, второй год</w:t>
            </w:r>
          </w:p>
        </w:tc>
        <w:tc>
          <w:tcPr>
            <w:tcW w:w="0" w:type="auto"/>
            <w:vAlign w:val="center"/>
          </w:tcPr>
          <w:p w:rsidR="00000000" w:rsidRDefault="00000000">
            <w:pPr>
              <w:pStyle w:val="Num-DocParagraph"/>
              <w:keepNext/>
              <w:spacing w:after="0"/>
              <w:jc w:val="center"/>
              <w:rPr>
                <w:sz w:val="20"/>
                <w:lang w:val="ru-RU"/>
              </w:rPr>
            </w:pPr>
            <w:proofErr w:type="spellStart"/>
            <w:r>
              <w:rPr>
                <w:sz w:val="20"/>
                <w:lang w:val="ru-RU"/>
              </w:rPr>
              <w:t>БЦЖ</w:t>
            </w:r>
            <w:proofErr w:type="spellEnd"/>
          </w:p>
        </w:tc>
      </w:tr>
      <w:tr w:rsidR="00000000">
        <w:tblPrEx>
          <w:tblCellMar>
            <w:top w:w="0" w:type="dxa"/>
            <w:bottom w:w="0" w:type="dxa"/>
          </w:tblCellMar>
        </w:tblPrEx>
        <w:trPr>
          <w:cantSplit/>
        </w:trPr>
        <w:tc>
          <w:tcPr>
            <w:tcW w:w="0" w:type="auto"/>
            <w:vMerge/>
            <w:tcBorders>
              <w:bottom w:val="single" w:sz="4" w:space="0" w:color="auto"/>
            </w:tcBorders>
            <w:vAlign w:val="center"/>
          </w:tcPr>
          <w:p w:rsidR="00000000" w:rsidRDefault="00000000">
            <w:pPr>
              <w:pStyle w:val="Num-DocParagraph"/>
              <w:spacing w:after="0" w:line="288" w:lineRule="auto"/>
              <w:jc w:val="center"/>
              <w:rPr>
                <w:sz w:val="20"/>
                <w:lang w:val="ru-RU"/>
              </w:rPr>
            </w:pPr>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Заплани-ровано</w:t>
            </w:r>
            <w:proofErr w:type="spellEnd"/>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Вакцини-ровано</w:t>
            </w:r>
            <w:proofErr w:type="spellEnd"/>
          </w:p>
        </w:tc>
        <w:tc>
          <w:tcPr>
            <w:tcW w:w="0" w:type="auto"/>
            <w:tcBorders>
              <w:bottom w:val="single" w:sz="4" w:space="0" w:color="auto"/>
            </w:tcBorders>
            <w:tcMar>
              <w:left w:w="85" w:type="dxa"/>
              <w:right w:w="85" w:type="dxa"/>
            </w:tcMar>
            <w:vAlign w:val="center"/>
          </w:tcPr>
          <w:p w:rsidR="00000000" w:rsidRDefault="00000000">
            <w:pPr>
              <w:pStyle w:val="Num-DocParagraph"/>
              <w:spacing w:after="0" w:line="216" w:lineRule="auto"/>
              <w:jc w:val="center"/>
              <w:rPr>
                <w:sz w:val="20"/>
                <w:lang w:val="ru-RU"/>
              </w:rPr>
            </w:pPr>
            <w:r>
              <w:rPr>
                <w:sz w:val="20"/>
                <w:lang w:val="ru-RU"/>
              </w:rPr>
              <w:t>%</w:t>
            </w:r>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Заплани-ровано</w:t>
            </w:r>
            <w:proofErr w:type="spellEnd"/>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Вакцини-ровано</w:t>
            </w:r>
            <w:proofErr w:type="spellEnd"/>
          </w:p>
        </w:tc>
        <w:tc>
          <w:tcPr>
            <w:tcW w:w="0" w:type="auto"/>
            <w:tcBorders>
              <w:bottom w:val="single" w:sz="4" w:space="0" w:color="auto"/>
            </w:tcBorders>
            <w:tcMar>
              <w:left w:w="85" w:type="dxa"/>
              <w:right w:w="85" w:type="dxa"/>
            </w:tcMar>
            <w:vAlign w:val="center"/>
          </w:tcPr>
          <w:p w:rsidR="00000000" w:rsidRDefault="00000000">
            <w:pPr>
              <w:pStyle w:val="Num-DocParagraph"/>
              <w:spacing w:after="0" w:line="216" w:lineRule="auto"/>
              <w:jc w:val="center"/>
              <w:rPr>
                <w:sz w:val="20"/>
                <w:lang w:val="ru-RU"/>
              </w:rPr>
            </w:pPr>
            <w:r>
              <w:rPr>
                <w:sz w:val="20"/>
                <w:lang w:val="ru-RU"/>
              </w:rPr>
              <w:t>%</w:t>
            </w:r>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Заплани-ровано</w:t>
            </w:r>
            <w:proofErr w:type="spellEnd"/>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Вакцини-ровано</w:t>
            </w:r>
            <w:proofErr w:type="spellEnd"/>
          </w:p>
        </w:tc>
        <w:tc>
          <w:tcPr>
            <w:tcW w:w="0" w:type="auto"/>
            <w:tcBorders>
              <w:bottom w:val="single" w:sz="4" w:space="0" w:color="auto"/>
            </w:tcBorders>
            <w:tcMar>
              <w:left w:w="85" w:type="dxa"/>
              <w:right w:w="85" w:type="dxa"/>
            </w:tcMar>
            <w:vAlign w:val="center"/>
          </w:tcPr>
          <w:p w:rsidR="00000000" w:rsidRDefault="00000000">
            <w:pPr>
              <w:pStyle w:val="Num-DocParagraph"/>
              <w:spacing w:after="0" w:line="216" w:lineRule="auto"/>
              <w:jc w:val="center"/>
              <w:rPr>
                <w:sz w:val="20"/>
                <w:lang w:val="ru-RU"/>
              </w:rPr>
            </w:pPr>
            <w:r>
              <w:rPr>
                <w:sz w:val="20"/>
                <w:lang w:val="ru-RU"/>
              </w:rPr>
              <w:t>%</w:t>
            </w:r>
          </w:p>
        </w:tc>
        <w:tc>
          <w:tcPr>
            <w:tcW w:w="0" w:type="auto"/>
            <w:tcBorders>
              <w:bottom w:val="single" w:sz="4" w:space="0" w:color="auto"/>
            </w:tcBorders>
            <w:vAlign w:val="center"/>
          </w:tcPr>
          <w:p w:rsidR="00000000" w:rsidRDefault="00000000">
            <w:pPr>
              <w:pStyle w:val="Num-DocParagraph"/>
              <w:spacing w:after="0" w:line="216" w:lineRule="auto"/>
              <w:jc w:val="center"/>
              <w:rPr>
                <w:sz w:val="20"/>
                <w:lang w:val="ru-RU"/>
              </w:rPr>
            </w:pPr>
            <w:proofErr w:type="spellStart"/>
            <w:r>
              <w:rPr>
                <w:sz w:val="20"/>
                <w:lang w:val="ru-RU"/>
              </w:rPr>
              <w:t>Заплани-ровано</w:t>
            </w:r>
            <w:proofErr w:type="spellEnd"/>
          </w:p>
        </w:tc>
      </w:tr>
      <w:tr w:rsidR="00000000">
        <w:tblPrEx>
          <w:tblCellMar>
            <w:top w:w="0" w:type="dxa"/>
            <w:bottom w:w="0" w:type="dxa"/>
          </w:tblCellMar>
        </w:tblPrEx>
        <w:trPr>
          <w:cantSplit/>
        </w:trPr>
        <w:tc>
          <w:tcPr>
            <w:tcW w:w="0" w:type="auto"/>
            <w:tcBorders>
              <w:bottom w:val="nil"/>
            </w:tcBorders>
            <w:tcMar>
              <w:left w:w="170" w:type="dxa"/>
            </w:tcMar>
          </w:tcPr>
          <w:p w:rsidR="00000000" w:rsidRDefault="00000000">
            <w:pPr>
              <w:rPr>
                <w:sz w:val="20"/>
              </w:rPr>
            </w:pPr>
            <w:r>
              <w:rPr>
                <w:sz w:val="20"/>
              </w:rPr>
              <w:t>1992</w:t>
            </w:r>
          </w:p>
        </w:tc>
        <w:tc>
          <w:tcPr>
            <w:tcW w:w="0" w:type="auto"/>
            <w:tcBorders>
              <w:bottom w:val="nil"/>
            </w:tcBorders>
            <w:shd w:val="clear" w:color="auto" w:fill="FFFFFF"/>
          </w:tcPr>
          <w:p w:rsidR="00000000" w:rsidRDefault="00000000">
            <w:pPr>
              <w:tabs>
                <w:tab w:val="clear" w:pos="1134"/>
                <w:tab w:val="clear" w:pos="1701"/>
                <w:tab w:val="clear" w:pos="2268"/>
                <w:tab w:val="clear" w:pos="6237"/>
              </w:tabs>
              <w:rPr>
                <w:sz w:val="20"/>
              </w:rPr>
            </w:pPr>
          </w:p>
        </w:tc>
        <w:tc>
          <w:tcPr>
            <w:tcW w:w="0" w:type="auto"/>
            <w:tcBorders>
              <w:bottom w:val="nil"/>
            </w:tcBorders>
          </w:tcPr>
          <w:p w:rsidR="00000000" w:rsidRDefault="00000000">
            <w:pPr>
              <w:tabs>
                <w:tab w:val="clear" w:pos="567"/>
              </w:tabs>
              <w:ind w:right="140"/>
              <w:jc w:val="right"/>
              <w:rPr>
                <w:sz w:val="20"/>
              </w:rPr>
            </w:pPr>
            <w:r>
              <w:rPr>
                <w:sz w:val="20"/>
              </w:rPr>
              <w:t>140</w:t>
            </w:r>
            <w:r>
              <w:rPr>
                <w:sz w:val="20"/>
                <w:lang w:val="en-US"/>
              </w:rPr>
              <w:t> </w:t>
            </w:r>
            <w:r>
              <w:rPr>
                <w:sz w:val="20"/>
              </w:rPr>
              <w:t>241</w:t>
            </w:r>
          </w:p>
        </w:tc>
        <w:tc>
          <w:tcPr>
            <w:tcW w:w="0" w:type="auto"/>
            <w:tcBorders>
              <w:bottom w:val="nil"/>
            </w:tcBorders>
            <w:tcMar>
              <w:left w:w="85" w:type="dxa"/>
              <w:right w:w="85" w:type="dxa"/>
            </w:tcMar>
          </w:tcPr>
          <w:p w:rsidR="00000000" w:rsidRDefault="00000000">
            <w:pPr>
              <w:rPr>
                <w:sz w:val="20"/>
              </w:rPr>
            </w:pPr>
            <w:r>
              <w:rPr>
                <w:sz w:val="20"/>
              </w:rPr>
              <w:t>85,5</w:t>
            </w:r>
          </w:p>
        </w:tc>
        <w:tc>
          <w:tcPr>
            <w:tcW w:w="0" w:type="auto"/>
            <w:tcBorders>
              <w:bottom w:val="nil"/>
            </w:tcBorders>
          </w:tcPr>
          <w:p w:rsidR="00000000" w:rsidRDefault="00000000">
            <w:pPr>
              <w:tabs>
                <w:tab w:val="clear" w:pos="567"/>
              </w:tabs>
              <w:ind w:right="81"/>
              <w:jc w:val="right"/>
              <w:rPr>
                <w:sz w:val="20"/>
              </w:rPr>
            </w:pPr>
            <w:r>
              <w:rPr>
                <w:sz w:val="20"/>
              </w:rPr>
              <w:t>158</w:t>
            </w:r>
            <w:r>
              <w:rPr>
                <w:sz w:val="20"/>
                <w:lang w:val="en-US"/>
              </w:rPr>
              <w:t> </w:t>
            </w:r>
            <w:r>
              <w:rPr>
                <w:sz w:val="20"/>
              </w:rPr>
              <w:t>417</w:t>
            </w:r>
          </w:p>
        </w:tc>
        <w:tc>
          <w:tcPr>
            <w:tcW w:w="0" w:type="auto"/>
            <w:tcBorders>
              <w:bottom w:val="nil"/>
            </w:tcBorders>
          </w:tcPr>
          <w:p w:rsidR="00000000" w:rsidRDefault="00000000">
            <w:pPr>
              <w:ind w:right="136"/>
              <w:jc w:val="right"/>
              <w:rPr>
                <w:sz w:val="20"/>
              </w:rPr>
            </w:pPr>
            <w:r>
              <w:rPr>
                <w:sz w:val="20"/>
              </w:rPr>
              <w:t>133</w:t>
            </w:r>
            <w:r>
              <w:rPr>
                <w:sz w:val="20"/>
                <w:lang w:val="en-US"/>
              </w:rPr>
              <w:t> </w:t>
            </w:r>
            <w:r>
              <w:rPr>
                <w:sz w:val="20"/>
              </w:rPr>
              <w:t>099</w:t>
            </w:r>
          </w:p>
        </w:tc>
        <w:tc>
          <w:tcPr>
            <w:tcW w:w="0" w:type="auto"/>
            <w:tcBorders>
              <w:bottom w:val="nil"/>
            </w:tcBorders>
            <w:tcMar>
              <w:left w:w="85" w:type="dxa"/>
              <w:right w:w="85" w:type="dxa"/>
            </w:tcMar>
          </w:tcPr>
          <w:p w:rsidR="00000000" w:rsidRDefault="00000000">
            <w:pPr>
              <w:jc w:val="center"/>
              <w:rPr>
                <w:sz w:val="20"/>
              </w:rPr>
            </w:pPr>
            <w:r>
              <w:rPr>
                <w:sz w:val="20"/>
              </w:rPr>
              <w:t>84,0</w:t>
            </w:r>
          </w:p>
        </w:tc>
        <w:tc>
          <w:tcPr>
            <w:tcW w:w="0" w:type="auto"/>
            <w:tcBorders>
              <w:bottom w:val="nil"/>
            </w:tcBorders>
          </w:tcPr>
          <w:p w:rsidR="00000000" w:rsidRDefault="00000000">
            <w:pPr>
              <w:ind w:right="105"/>
              <w:jc w:val="right"/>
              <w:rPr>
                <w:sz w:val="20"/>
              </w:rPr>
            </w:pPr>
            <w:r>
              <w:rPr>
                <w:sz w:val="20"/>
              </w:rPr>
              <w:t>155 198</w:t>
            </w:r>
          </w:p>
        </w:tc>
        <w:tc>
          <w:tcPr>
            <w:tcW w:w="0" w:type="auto"/>
            <w:tcBorders>
              <w:bottom w:val="nil"/>
            </w:tcBorders>
          </w:tcPr>
          <w:p w:rsidR="00000000" w:rsidRDefault="00000000">
            <w:pPr>
              <w:ind w:right="154"/>
              <w:jc w:val="right"/>
              <w:rPr>
                <w:sz w:val="20"/>
              </w:rPr>
            </w:pPr>
            <w:r>
              <w:rPr>
                <w:sz w:val="20"/>
              </w:rPr>
              <w:t>126 378</w:t>
            </w:r>
          </w:p>
        </w:tc>
        <w:tc>
          <w:tcPr>
            <w:tcW w:w="0" w:type="auto"/>
            <w:tcBorders>
              <w:bottom w:val="nil"/>
            </w:tcBorders>
            <w:tcMar>
              <w:left w:w="85" w:type="dxa"/>
              <w:right w:w="85" w:type="dxa"/>
            </w:tcMar>
          </w:tcPr>
          <w:p w:rsidR="00000000" w:rsidRDefault="00000000">
            <w:pPr>
              <w:jc w:val="center"/>
              <w:rPr>
                <w:sz w:val="20"/>
              </w:rPr>
            </w:pPr>
            <w:r>
              <w:rPr>
                <w:sz w:val="20"/>
              </w:rPr>
              <w:t>81,4</w:t>
            </w:r>
          </w:p>
        </w:tc>
        <w:tc>
          <w:tcPr>
            <w:tcW w:w="0" w:type="auto"/>
            <w:tcBorders>
              <w:bottom w:val="nil"/>
            </w:tcBorders>
          </w:tcPr>
          <w:p w:rsidR="00000000" w:rsidRDefault="00000000">
            <w:pPr>
              <w:ind w:right="105"/>
              <w:rPr>
                <w:sz w:val="20"/>
              </w:rPr>
            </w:pP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1993</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rPr>
            </w:pPr>
            <w:r>
              <w:rPr>
                <w:sz w:val="20"/>
              </w:rPr>
              <w:t>132 985</w:t>
            </w:r>
          </w:p>
        </w:tc>
        <w:tc>
          <w:tcPr>
            <w:tcW w:w="0" w:type="auto"/>
            <w:tcBorders>
              <w:top w:val="nil"/>
              <w:bottom w:val="nil"/>
            </w:tcBorders>
            <w:tcMar>
              <w:left w:w="85" w:type="dxa"/>
              <w:right w:w="85" w:type="dxa"/>
            </w:tcMar>
          </w:tcPr>
          <w:p w:rsidR="00000000" w:rsidRDefault="00000000">
            <w:pPr>
              <w:rPr>
                <w:sz w:val="20"/>
              </w:rPr>
            </w:pPr>
            <w:r>
              <w:rPr>
                <w:sz w:val="20"/>
              </w:rPr>
              <w:t>85,0</w:t>
            </w:r>
          </w:p>
        </w:tc>
        <w:tc>
          <w:tcPr>
            <w:tcW w:w="0" w:type="auto"/>
            <w:tcBorders>
              <w:top w:val="nil"/>
              <w:bottom w:val="nil"/>
            </w:tcBorders>
          </w:tcPr>
          <w:p w:rsidR="00000000" w:rsidRDefault="00000000">
            <w:pPr>
              <w:tabs>
                <w:tab w:val="clear" w:pos="567"/>
              </w:tabs>
              <w:ind w:right="81"/>
              <w:jc w:val="right"/>
              <w:rPr>
                <w:sz w:val="20"/>
              </w:rPr>
            </w:pPr>
            <w:r>
              <w:rPr>
                <w:sz w:val="20"/>
              </w:rPr>
              <w:t>171</w:t>
            </w:r>
            <w:r>
              <w:rPr>
                <w:sz w:val="20"/>
                <w:lang w:val="en-US"/>
              </w:rPr>
              <w:t> </w:t>
            </w:r>
            <w:r>
              <w:rPr>
                <w:sz w:val="20"/>
              </w:rPr>
              <w:t>265</w:t>
            </w:r>
          </w:p>
        </w:tc>
        <w:tc>
          <w:tcPr>
            <w:tcW w:w="0" w:type="auto"/>
            <w:tcBorders>
              <w:top w:val="nil"/>
              <w:bottom w:val="nil"/>
            </w:tcBorders>
          </w:tcPr>
          <w:p w:rsidR="00000000" w:rsidRDefault="00000000">
            <w:pPr>
              <w:ind w:right="136"/>
              <w:jc w:val="right"/>
              <w:rPr>
                <w:sz w:val="20"/>
              </w:rPr>
            </w:pPr>
            <w:r>
              <w:rPr>
                <w:sz w:val="20"/>
              </w:rPr>
              <w:t>141</w:t>
            </w:r>
            <w:r>
              <w:rPr>
                <w:sz w:val="20"/>
                <w:lang w:val="en-US"/>
              </w:rPr>
              <w:t> </w:t>
            </w:r>
            <w:r>
              <w:rPr>
                <w:sz w:val="20"/>
              </w:rPr>
              <w:t>816</w:t>
            </w:r>
          </w:p>
        </w:tc>
        <w:tc>
          <w:tcPr>
            <w:tcW w:w="0" w:type="auto"/>
            <w:tcBorders>
              <w:top w:val="nil"/>
              <w:bottom w:val="nil"/>
            </w:tcBorders>
            <w:tcMar>
              <w:left w:w="85" w:type="dxa"/>
              <w:right w:w="85" w:type="dxa"/>
            </w:tcMar>
          </w:tcPr>
          <w:p w:rsidR="00000000" w:rsidRDefault="00000000">
            <w:pPr>
              <w:jc w:val="center"/>
              <w:rPr>
                <w:sz w:val="20"/>
              </w:rPr>
            </w:pPr>
            <w:r>
              <w:rPr>
                <w:sz w:val="20"/>
              </w:rPr>
              <w:t>83,0</w:t>
            </w:r>
          </w:p>
        </w:tc>
        <w:tc>
          <w:tcPr>
            <w:tcW w:w="0" w:type="auto"/>
            <w:tcBorders>
              <w:top w:val="nil"/>
              <w:bottom w:val="nil"/>
            </w:tcBorders>
          </w:tcPr>
          <w:p w:rsidR="00000000" w:rsidRDefault="00000000">
            <w:pPr>
              <w:ind w:right="105"/>
              <w:jc w:val="right"/>
              <w:rPr>
                <w:sz w:val="20"/>
              </w:rPr>
            </w:pPr>
            <w:r>
              <w:rPr>
                <w:sz w:val="20"/>
              </w:rPr>
              <w:t>162 955</w:t>
            </w:r>
          </w:p>
        </w:tc>
        <w:tc>
          <w:tcPr>
            <w:tcW w:w="0" w:type="auto"/>
            <w:tcBorders>
              <w:top w:val="nil"/>
              <w:bottom w:val="nil"/>
            </w:tcBorders>
          </w:tcPr>
          <w:p w:rsidR="00000000" w:rsidRDefault="00000000">
            <w:pPr>
              <w:ind w:right="154"/>
              <w:jc w:val="right"/>
              <w:rPr>
                <w:sz w:val="20"/>
              </w:rPr>
            </w:pPr>
            <w:r>
              <w:rPr>
                <w:sz w:val="20"/>
              </w:rPr>
              <w:t>140 019</w:t>
            </w:r>
          </w:p>
        </w:tc>
        <w:tc>
          <w:tcPr>
            <w:tcW w:w="0" w:type="auto"/>
            <w:tcBorders>
              <w:top w:val="nil"/>
              <w:bottom w:val="nil"/>
            </w:tcBorders>
            <w:tcMar>
              <w:left w:w="85" w:type="dxa"/>
              <w:right w:w="85" w:type="dxa"/>
            </w:tcMar>
          </w:tcPr>
          <w:p w:rsidR="00000000" w:rsidRDefault="00000000">
            <w:pPr>
              <w:jc w:val="center"/>
              <w:rPr>
                <w:sz w:val="20"/>
              </w:rPr>
            </w:pPr>
            <w:r>
              <w:rPr>
                <w:sz w:val="20"/>
              </w:rPr>
              <w:t>86,0</w:t>
            </w:r>
          </w:p>
        </w:tc>
        <w:tc>
          <w:tcPr>
            <w:tcW w:w="0" w:type="auto"/>
            <w:tcBorders>
              <w:top w:val="nil"/>
              <w:bottom w:val="nil"/>
            </w:tcBorders>
          </w:tcPr>
          <w:p w:rsidR="00000000" w:rsidRDefault="00000000">
            <w:pPr>
              <w:ind w:right="105"/>
              <w:rPr>
                <w:sz w:val="20"/>
              </w:rPr>
            </w:pP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1994</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rPr>
            </w:pPr>
            <w:r>
              <w:rPr>
                <w:sz w:val="20"/>
              </w:rPr>
              <w:t>217 492</w:t>
            </w:r>
          </w:p>
        </w:tc>
        <w:tc>
          <w:tcPr>
            <w:tcW w:w="0" w:type="auto"/>
            <w:tcBorders>
              <w:top w:val="nil"/>
              <w:bottom w:val="nil"/>
            </w:tcBorders>
            <w:tcMar>
              <w:left w:w="85" w:type="dxa"/>
              <w:right w:w="85" w:type="dxa"/>
            </w:tcMar>
          </w:tcPr>
          <w:p w:rsidR="00000000" w:rsidRDefault="00000000">
            <w:pPr>
              <w:rPr>
                <w:sz w:val="20"/>
              </w:rPr>
            </w:pPr>
            <w:r>
              <w:rPr>
                <w:sz w:val="20"/>
              </w:rPr>
              <w:t>85,0</w:t>
            </w:r>
          </w:p>
        </w:tc>
        <w:tc>
          <w:tcPr>
            <w:tcW w:w="0" w:type="auto"/>
            <w:tcBorders>
              <w:top w:val="nil"/>
              <w:bottom w:val="nil"/>
            </w:tcBorders>
          </w:tcPr>
          <w:p w:rsidR="00000000" w:rsidRDefault="00000000">
            <w:pPr>
              <w:tabs>
                <w:tab w:val="clear" w:pos="567"/>
              </w:tabs>
              <w:ind w:right="81"/>
              <w:jc w:val="right"/>
              <w:rPr>
                <w:sz w:val="20"/>
              </w:rPr>
            </w:pPr>
            <w:r>
              <w:rPr>
                <w:sz w:val="20"/>
              </w:rPr>
              <w:t>265</w:t>
            </w:r>
            <w:r>
              <w:rPr>
                <w:sz w:val="20"/>
                <w:lang w:val="en-US"/>
              </w:rPr>
              <w:t> </w:t>
            </w:r>
            <w:r>
              <w:rPr>
                <w:sz w:val="20"/>
              </w:rPr>
              <w:t>020</w:t>
            </w:r>
          </w:p>
        </w:tc>
        <w:tc>
          <w:tcPr>
            <w:tcW w:w="0" w:type="auto"/>
            <w:tcBorders>
              <w:top w:val="nil"/>
              <w:bottom w:val="nil"/>
            </w:tcBorders>
          </w:tcPr>
          <w:p w:rsidR="00000000" w:rsidRDefault="00000000">
            <w:pPr>
              <w:ind w:right="136"/>
              <w:jc w:val="right"/>
              <w:rPr>
                <w:sz w:val="20"/>
              </w:rPr>
            </w:pPr>
            <w:r>
              <w:rPr>
                <w:sz w:val="20"/>
              </w:rPr>
              <w:t>223</w:t>
            </w:r>
            <w:r>
              <w:rPr>
                <w:sz w:val="20"/>
                <w:lang w:val="en-US"/>
              </w:rPr>
              <w:t> </w:t>
            </w:r>
            <w:r>
              <w:rPr>
                <w:sz w:val="20"/>
              </w:rPr>
              <w:t>481</w:t>
            </w:r>
          </w:p>
        </w:tc>
        <w:tc>
          <w:tcPr>
            <w:tcW w:w="0" w:type="auto"/>
            <w:tcBorders>
              <w:top w:val="nil"/>
              <w:bottom w:val="nil"/>
            </w:tcBorders>
            <w:tcMar>
              <w:left w:w="85" w:type="dxa"/>
              <w:right w:w="85" w:type="dxa"/>
            </w:tcMar>
          </w:tcPr>
          <w:p w:rsidR="00000000" w:rsidRDefault="00000000">
            <w:pPr>
              <w:jc w:val="center"/>
              <w:rPr>
                <w:sz w:val="20"/>
              </w:rPr>
            </w:pPr>
            <w:r>
              <w:rPr>
                <w:sz w:val="20"/>
              </w:rPr>
              <w:t>84,0</w:t>
            </w:r>
          </w:p>
        </w:tc>
        <w:tc>
          <w:tcPr>
            <w:tcW w:w="0" w:type="auto"/>
            <w:tcBorders>
              <w:top w:val="nil"/>
              <w:bottom w:val="nil"/>
            </w:tcBorders>
          </w:tcPr>
          <w:p w:rsidR="00000000" w:rsidRDefault="00000000">
            <w:pPr>
              <w:ind w:right="105"/>
              <w:jc w:val="right"/>
              <w:rPr>
                <w:sz w:val="20"/>
              </w:rPr>
            </w:pPr>
            <w:r>
              <w:rPr>
                <w:sz w:val="20"/>
              </w:rPr>
              <w:t>145 643</w:t>
            </w:r>
          </w:p>
        </w:tc>
        <w:tc>
          <w:tcPr>
            <w:tcW w:w="0" w:type="auto"/>
            <w:tcBorders>
              <w:top w:val="nil"/>
              <w:bottom w:val="nil"/>
            </w:tcBorders>
          </w:tcPr>
          <w:p w:rsidR="00000000" w:rsidRDefault="00000000">
            <w:pPr>
              <w:ind w:right="154"/>
              <w:jc w:val="right"/>
              <w:rPr>
                <w:sz w:val="20"/>
              </w:rPr>
            </w:pPr>
            <w:r>
              <w:rPr>
                <w:sz w:val="20"/>
              </w:rPr>
              <w:t>118 414</w:t>
            </w:r>
          </w:p>
        </w:tc>
        <w:tc>
          <w:tcPr>
            <w:tcW w:w="0" w:type="auto"/>
            <w:tcBorders>
              <w:top w:val="nil"/>
              <w:bottom w:val="nil"/>
            </w:tcBorders>
            <w:tcMar>
              <w:left w:w="85" w:type="dxa"/>
              <w:right w:w="85" w:type="dxa"/>
            </w:tcMar>
          </w:tcPr>
          <w:p w:rsidR="00000000" w:rsidRDefault="00000000">
            <w:pPr>
              <w:jc w:val="center"/>
              <w:rPr>
                <w:sz w:val="20"/>
              </w:rPr>
            </w:pPr>
            <w:r>
              <w:rPr>
                <w:sz w:val="20"/>
              </w:rPr>
              <w:t>81,0</w:t>
            </w:r>
          </w:p>
        </w:tc>
        <w:tc>
          <w:tcPr>
            <w:tcW w:w="0" w:type="auto"/>
            <w:tcBorders>
              <w:top w:val="nil"/>
              <w:bottom w:val="nil"/>
            </w:tcBorders>
          </w:tcPr>
          <w:p w:rsidR="00000000" w:rsidRDefault="00000000">
            <w:pPr>
              <w:ind w:right="105"/>
              <w:rPr>
                <w:sz w:val="20"/>
              </w:rPr>
            </w:pP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1995</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rPr>
            </w:pPr>
            <w:r>
              <w:rPr>
                <w:sz w:val="20"/>
              </w:rPr>
              <w:t>124 656</w:t>
            </w:r>
          </w:p>
        </w:tc>
        <w:tc>
          <w:tcPr>
            <w:tcW w:w="0" w:type="auto"/>
            <w:tcBorders>
              <w:top w:val="nil"/>
              <w:bottom w:val="nil"/>
            </w:tcBorders>
            <w:tcMar>
              <w:left w:w="85" w:type="dxa"/>
              <w:right w:w="85" w:type="dxa"/>
            </w:tcMar>
          </w:tcPr>
          <w:p w:rsidR="00000000" w:rsidRDefault="00000000">
            <w:pPr>
              <w:rPr>
                <w:sz w:val="20"/>
              </w:rPr>
            </w:pPr>
            <w:r>
              <w:rPr>
                <w:sz w:val="20"/>
              </w:rPr>
              <w:t>88,8</w:t>
            </w:r>
          </w:p>
        </w:tc>
        <w:tc>
          <w:tcPr>
            <w:tcW w:w="0" w:type="auto"/>
            <w:tcBorders>
              <w:top w:val="nil"/>
              <w:bottom w:val="nil"/>
            </w:tcBorders>
          </w:tcPr>
          <w:p w:rsidR="00000000" w:rsidRDefault="00000000">
            <w:pPr>
              <w:tabs>
                <w:tab w:val="clear" w:pos="567"/>
              </w:tabs>
              <w:ind w:right="81"/>
              <w:jc w:val="right"/>
              <w:rPr>
                <w:sz w:val="20"/>
              </w:rPr>
            </w:pPr>
            <w:r>
              <w:rPr>
                <w:sz w:val="20"/>
              </w:rPr>
              <w:t>144</w:t>
            </w:r>
            <w:r>
              <w:rPr>
                <w:sz w:val="20"/>
                <w:lang w:val="en-US"/>
              </w:rPr>
              <w:t> </w:t>
            </w:r>
            <w:r>
              <w:rPr>
                <w:sz w:val="20"/>
              </w:rPr>
              <w:t>518</w:t>
            </w:r>
          </w:p>
        </w:tc>
        <w:tc>
          <w:tcPr>
            <w:tcW w:w="0" w:type="auto"/>
            <w:tcBorders>
              <w:top w:val="nil"/>
              <w:bottom w:val="nil"/>
            </w:tcBorders>
          </w:tcPr>
          <w:p w:rsidR="00000000" w:rsidRDefault="00000000">
            <w:pPr>
              <w:ind w:right="136"/>
              <w:jc w:val="right"/>
              <w:rPr>
                <w:sz w:val="20"/>
              </w:rPr>
            </w:pPr>
            <w:r>
              <w:rPr>
                <w:sz w:val="20"/>
              </w:rPr>
              <w:t>129</w:t>
            </w:r>
            <w:r>
              <w:rPr>
                <w:sz w:val="20"/>
                <w:lang w:val="en-US"/>
              </w:rPr>
              <w:t> </w:t>
            </w:r>
            <w:r>
              <w:rPr>
                <w:sz w:val="20"/>
              </w:rPr>
              <w:t>415</w:t>
            </w:r>
          </w:p>
        </w:tc>
        <w:tc>
          <w:tcPr>
            <w:tcW w:w="0" w:type="auto"/>
            <w:tcBorders>
              <w:top w:val="nil"/>
              <w:bottom w:val="nil"/>
            </w:tcBorders>
            <w:tcMar>
              <w:left w:w="85" w:type="dxa"/>
              <w:right w:w="85" w:type="dxa"/>
            </w:tcMar>
          </w:tcPr>
          <w:p w:rsidR="00000000" w:rsidRDefault="00000000">
            <w:pPr>
              <w:jc w:val="center"/>
              <w:rPr>
                <w:sz w:val="20"/>
              </w:rPr>
            </w:pPr>
            <w:r>
              <w:rPr>
                <w:sz w:val="20"/>
              </w:rPr>
              <w:t>89,5</w:t>
            </w:r>
          </w:p>
        </w:tc>
        <w:tc>
          <w:tcPr>
            <w:tcW w:w="0" w:type="auto"/>
            <w:tcBorders>
              <w:top w:val="nil"/>
              <w:bottom w:val="nil"/>
            </w:tcBorders>
          </w:tcPr>
          <w:p w:rsidR="00000000" w:rsidRDefault="00000000">
            <w:pPr>
              <w:ind w:right="105"/>
              <w:jc w:val="right"/>
              <w:rPr>
                <w:sz w:val="20"/>
              </w:rPr>
            </w:pPr>
            <w:r>
              <w:rPr>
                <w:sz w:val="20"/>
              </w:rPr>
              <w:t>135 130</w:t>
            </w:r>
          </w:p>
        </w:tc>
        <w:tc>
          <w:tcPr>
            <w:tcW w:w="0" w:type="auto"/>
            <w:tcBorders>
              <w:top w:val="nil"/>
              <w:bottom w:val="nil"/>
            </w:tcBorders>
          </w:tcPr>
          <w:p w:rsidR="00000000" w:rsidRDefault="00000000">
            <w:pPr>
              <w:ind w:right="154"/>
              <w:jc w:val="right"/>
              <w:rPr>
                <w:sz w:val="20"/>
              </w:rPr>
            </w:pPr>
            <w:r>
              <w:rPr>
                <w:sz w:val="20"/>
              </w:rPr>
              <w:t>115 692</w:t>
            </w:r>
          </w:p>
        </w:tc>
        <w:tc>
          <w:tcPr>
            <w:tcW w:w="0" w:type="auto"/>
            <w:tcBorders>
              <w:top w:val="nil"/>
              <w:bottom w:val="nil"/>
            </w:tcBorders>
            <w:tcMar>
              <w:left w:w="85" w:type="dxa"/>
              <w:right w:w="85" w:type="dxa"/>
            </w:tcMar>
          </w:tcPr>
          <w:p w:rsidR="00000000" w:rsidRDefault="00000000">
            <w:pPr>
              <w:jc w:val="center"/>
              <w:rPr>
                <w:sz w:val="20"/>
              </w:rPr>
            </w:pPr>
            <w:r>
              <w:rPr>
                <w:sz w:val="20"/>
              </w:rPr>
              <w:t>85,6</w:t>
            </w:r>
          </w:p>
        </w:tc>
        <w:tc>
          <w:tcPr>
            <w:tcW w:w="0" w:type="auto"/>
            <w:tcBorders>
              <w:top w:val="nil"/>
              <w:bottom w:val="nil"/>
            </w:tcBorders>
          </w:tcPr>
          <w:p w:rsidR="00000000" w:rsidRDefault="00000000">
            <w:pPr>
              <w:ind w:right="105"/>
              <w:jc w:val="right"/>
              <w:rPr>
                <w:sz w:val="20"/>
              </w:rPr>
            </w:pPr>
            <w:r>
              <w:rPr>
                <w:sz w:val="20"/>
              </w:rPr>
              <w:t>128 740</w:t>
            </w: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1996</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rPr>
            </w:pPr>
            <w:r>
              <w:rPr>
                <w:sz w:val="20"/>
              </w:rPr>
              <w:t>123 561</w:t>
            </w:r>
          </w:p>
        </w:tc>
        <w:tc>
          <w:tcPr>
            <w:tcW w:w="0" w:type="auto"/>
            <w:tcBorders>
              <w:top w:val="nil"/>
              <w:bottom w:val="nil"/>
            </w:tcBorders>
            <w:tcMar>
              <w:left w:w="85" w:type="dxa"/>
              <w:right w:w="85" w:type="dxa"/>
            </w:tcMar>
          </w:tcPr>
          <w:p w:rsidR="00000000" w:rsidRDefault="00000000">
            <w:pPr>
              <w:rPr>
                <w:sz w:val="20"/>
              </w:rPr>
            </w:pPr>
            <w:r>
              <w:rPr>
                <w:sz w:val="20"/>
              </w:rPr>
              <w:t>91,2</w:t>
            </w:r>
          </w:p>
        </w:tc>
        <w:tc>
          <w:tcPr>
            <w:tcW w:w="0" w:type="auto"/>
            <w:tcBorders>
              <w:top w:val="nil"/>
              <w:bottom w:val="nil"/>
            </w:tcBorders>
          </w:tcPr>
          <w:p w:rsidR="00000000" w:rsidRDefault="00000000">
            <w:pPr>
              <w:tabs>
                <w:tab w:val="clear" w:pos="567"/>
              </w:tabs>
              <w:ind w:right="81"/>
              <w:jc w:val="right"/>
              <w:rPr>
                <w:sz w:val="20"/>
              </w:rPr>
            </w:pPr>
            <w:r>
              <w:rPr>
                <w:sz w:val="20"/>
              </w:rPr>
              <w:t>138</w:t>
            </w:r>
            <w:r>
              <w:rPr>
                <w:sz w:val="20"/>
                <w:lang w:val="en-US"/>
              </w:rPr>
              <w:t> </w:t>
            </w:r>
            <w:r>
              <w:rPr>
                <w:sz w:val="20"/>
              </w:rPr>
              <w:t>818</w:t>
            </w:r>
          </w:p>
        </w:tc>
        <w:tc>
          <w:tcPr>
            <w:tcW w:w="0" w:type="auto"/>
            <w:tcBorders>
              <w:top w:val="nil"/>
              <w:bottom w:val="nil"/>
            </w:tcBorders>
          </w:tcPr>
          <w:p w:rsidR="00000000" w:rsidRDefault="00000000">
            <w:pPr>
              <w:ind w:right="136"/>
              <w:jc w:val="right"/>
              <w:rPr>
                <w:sz w:val="20"/>
              </w:rPr>
            </w:pPr>
            <w:r>
              <w:rPr>
                <w:sz w:val="20"/>
              </w:rPr>
              <w:t>125</w:t>
            </w:r>
            <w:r>
              <w:rPr>
                <w:sz w:val="20"/>
                <w:lang w:val="en-US"/>
              </w:rPr>
              <w:t> </w:t>
            </w:r>
            <w:r>
              <w:rPr>
                <w:sz w:val="20"/>
              </w:rPr>
              <w:t>705</w:t>
            </w:r>
          </w:p>
        </w:tc>
        <w:tc>
          <w:tcPr>
            <w:tcW w:w="0" w:type="auto"/>
            <w:tcBorders>
              <w:top w:val="nil"/>
              <w:bottom w:val="nil"/>
            </w:tcBorders>
            <w:tcMar>
              <w:left w:w="85" w:type="dxa"/>
              <w:right w:w="85" w:type="dxa"/>
            </w:tcMar>
          </w:tcPr>
          <w:p w:rsidR="00000000" w:rsidRDefault="00000000">
            <w:pPr>
              <w:jc w:val="center"/>
              <w:rPr>
                <w:sz w:val="20"/>
              </w:rPr>
            </w:pPr>
            <w:r>
              <w:rPr>
                <w:sz w:val="20"/>
              </w:rPr>
              <w:t>90,5</w:t>
            </w:r>
          </w:p>
        </w:tc>
        <w:tc>
          <w:tcPr>
            <w:tcW w:w="0" w:type="auto"/>
            <w:tcBorders>
              <w:top w:val="nil"/>
              <w:bottom w:val="nil"/>
            </w:tcBorders>
          </w:tcPr>
          <w:p w:rsidR="00000000" w:rsidRDefault="00000000">
            <w:pPr>
              <w:ind w:right="105"/>
              <w:jc w:val="right"/>
              <w:rPr>
                <w:sz w:val="20"/>
              </w:rPr>
            </w:pPr>
            <w:r>
              <w:rPr>
                <w:sz w:val="20"/>
              </w:rPr>
              <w:t>133 315</w:t>
            </w:r>
          </w:p>
        </w:tc>
        <w:tc>
          <w:tcPr>
            <w:tcW w:w="0" w:type="auto"/>
            <w:tcBorders>
              <w:top w:val="nil"/>
              <w:bottom w:val="nil"/>
            </w:tcBorders>
          </w:tcPr>
          <w:p w:rsidR="00000000" w:rsidRDefault="00000000">
            <w:pPr>
              <w:ind w:right="154"/>
              <w:jc w:val="right"/>
              <w:rPr>
                <w:sz w:val="20"/>
              </w:rPr>
            </w:pPr>
            <w:r>
              <w:rPr>
                <w:sz w:val="20"/>
              </w:rPr>
              <w:t>119 777</w:t>
            </w:r>
          </w:p>
        </w:tc>
        <w:tc>
          <w:tcPr>
            <w:tcW w:w="0" w:type="auto"/>
            <w:tcBorders>
              <w:top w:val="nil"/>
              <w:bottom w:val="nil"/>
            </w:tcBorders>
            <w:tcMar>
              <w:left w:w="85" w:type="dxa"/>
              <w:right w:w="85" w:type="dxa"/>
            </w:tcMar>
          </w:tcPr>
          <w:p w:rsidR="00000000" w:rsidRDefault="00000000">
            <w:pPr>
              <w:jc w:val="center"/>
              <w:rPr>
                <w:sz w:val="20"/>
              </w:rPr>
            </w:pPr>
            <w:r>
              <w:rPr>
                <w:sz w:val="20"/>
              </w:rPr>
              <w:t>89,8</w:t>
            </w:r>
          </w:p>
        </w:tc>
        <w:tc>
          <w:tcPr>
            <w:tcW w:w="0" w:type="auto"/>
            <w:tcBorders>
              <w:top w:val="nil"/>
              <w:bottom w:val="nil"/>
            </w:tcBorders>
          </w:tcPr>
          <w:p w:rsidR="00000000" w:rsidRDefault="00000000">
            <w:pPr>
              <w:ind w:right="105"/>
              <w:jc w:val="right"/>
              <w:rPr>
                <w:sz w:val="20"/>
              </w:rPr>
            </w:pP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1997</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rPr>
            </w:pPr>
            <w:r>
              <w:rPr>
                <w:sz w:val="20"/>
              </w:rPr>
              <w:t>124 633</w:t>
            </w:r>
          </w:p>
        </w:tc>
        <w:tc>
          <w:tcPr>
            <w:tcW w:w="0" w:type="auto"/>
            <w:tcBorders>
              <w:top w:val="nil"/>
              <w:bottom w:val="nil"/>
            </w:tcBorders>
            <w:tcMar>
              <w:left w:w="85" w:type="dxa"/>
              <w:right w:w="85" w:type="dxa"/>
            </w:tcMar>
          </w:tcPr>
          <w:p w:rsidR="00000000" w:rsidRDefault="00000000">
            <w:pPr>
              <w:rPr>
                <w:sz w:val="20"/>
              </w:rPr>
            </w:pPr>
            <w:r>
              <w:rPr>
                <w:sz w:val="20"/>
              </w:rPr>
              <w:t>94,0</w:t>
            </w:r>
          </w:p>
        </w:tc>
        <w:tc>
          <w:tcPr>
            <w:tcW w:w="0" w:type="auto"/>
            <w:tcBorders>
              <w:top w:val="nil"/>
              <w:bottom w:val="nil"/>
            </w:tcBorders>
          </w:tcPr>
          <w:p w:rsidR="00000000" w:rsidRDefault="00000000">
            <w:pPr>
              <w:tabs>
                <w:tab w:val="clear" w:pos="567"/>
              </w:tabs>
              <w:ind w:right="81"/>
              <w:jc w:val="right"/>
              <w:rPr>
                <w:sz w:val="20"/>
              </w:rPr>
            </w:pPr>
            <w:r>
              <w:rPr>
                <w:sz w:val="20"/>
              </w:rPr>
              <w:t>134</w:t>
            </w:r>
            <w:r>
              <w:rPr>
                <w:sz w:val="20"/>
                <w:lang w:val="en-US"/>
              </w:rPr>
              <w:t> </w:t>
            </w:r>
            <w:r>
              <w:rPr>
                <w:sz w:val="20"/>
              </w:rPr>
              <w:t>639</w:t>
            </w:r>
          </w:p>
        </w:tc>
        <w:tc>
          <w:tcPr>
            <w:tcW w:w="0" w:type="auto"/>
            <w:tcBorders>
              <w:top w:val="nil"/>
              <w:bottom w:val="nil"/>
            </w:tcBorders>
          </w:tcPr>
          <w:p w:rsidR="00000000" w:rsidRDefault="00000000">
            <w:pPr>
              <w:ind w:right="136"/>
              <w:jc w:val="right"/>
              <w:rPr>
                <w:sz w:val="20"/>
              </w:rPr>
            </w:pPr>
            <w:r>
              <w:rPr>
                <w:sz w:val="20"/>
              </w:rPr>
              <w:t>126</w:t>
            </w:r>
            <w:r>
              <w:rPr>
                <w:sz w:val="20"/>
                <w:lang w:val="en-US"/>
              </w:rPr>
              <w:t> </w:t>
            </w:r>
            <w:r>
              <w:rPr>
                <w:sz w:val="20"/>
              </w:rPr>
              <w:t>421</w:t>
            </w:r>
          </w:p>
        </w:tc>
        <w:tc>
          <w:tcPr>
            <w:tcW w:w="0" w:type="auto"/>
            <w:tcBorders>
              <w:top w:val="nil"/>
              <w:bottom w:val="nil"/>
            </w:tcBorders>
            <w:tcMar>
              <w:left w:w="85" w:type="dxa"/>
              <w:right w:w="85" w:type="dxa"/>
            </w:tcMar>
          </w:tcPr>
          <w:p w:rsidR="00000000" w:rsidRDefault="00000000">
            <w:pPr>
              <w:jc w:val="center"/>
              <w:rPr>
                <w:sz w:val="20"/>
              </w:rPr>
            </w:pPr>
            <w:r>
              <w:rPr>
                <w:sz w:val="20"/>
              </w:rPr>
              <w:t>93,9</w:t>
            </w:r>
          </w:p>
        </w:tc>
        <w:tc>
          <w:tcPr>
            <w:tcW w:w="0" w:type="auto"/>
            <w:tcBorders>
              <w:top w:val="nil"/>
              <w:bottom w:val="nil"/>
            </w:tcBorders>
          </w:tcPr>
          <w:p w:rsidR="00000000" w:rsidRDefault="00000000">
            <w:pPr>
              <w:ind w:right="105"/>
              <w:jc w:val="right"/>
              <w:rPr>
                <w:sz w:val="20"/>
              </w:rPr>
            </w:pPr>
            <w:r>
              <w:rPr>
                <w:sz w:val="20"/>
              </w:rPr>
              <w:t>136 609</w:t>
            </w:r>
          </w:p>
        </w:tc>
        <w:tc>
          <w:tcPr>
            <w:tcW w:w="0" w:type="auto"/>
            <w:tcBorders>
              <w:top w:val="nil"/>
              <w:bottom w:val="nil"/>
            </w:tcBorders>
          </w:tcPr>
          <w:p w:rsidR="00000000" w:rsidRDefault="00000000">
            <w:pPr>
              <w:ind w:right="154"/>
              <w:jc w:val="right"/>
              <w:rPr>
                <w:sz w:val="20"/>
              </w:rPr>
            </w:pPr>
            <w:r>
              <w:rPr>
                <w:sz w:val="20"/>
              </w:rPr>
              <w:t>125 100</w:t>
            </w:r>
          </w:p>
        </w:tc>
        <w:tc>
          <w:tcPr>
            <w:tcW w:w="0" w:type="auto"/>
            <w:tcBorders>
              <w:top w:val="nil"/>
              <w:bottom w:val="nil"/>
            </w:tcBorders>
            <w:tcMar>
              <w:left w:w="85" w:type="dxa"/>
              <w:right w:w="85" w:type="dxa"/>
            </w:tcMar>
          </w:tcPr>
          <w:p w:rsidR="00000000" w:rsidRDefault="00000000">
            <w:pPr>
              <w:jc w:val="center"/>
              <w:rPr>
                <w:sz w:val="20"/>
              </w:rPr>
            </w:pPr>
            <w:r>
              <w:rPr>
                <w:sz w:val="20"/>
              </w:rPr>
              <w:t>91,6</w:t>
            </w:r>
          </w:p>
        </w:tc>
        <w:tc>
          <w:tcPr>
            <w:tcW w:w="0" w:type="auto"/>
            <w:tcBorders>
              <w:top w:val="nil"/>
              <w:bottom w:val="nil"/>
            </w:tcBorders>
          </w:tcPr>
          <w:p w:rsidR="00000000" w:rsidRDefault="00000000">
            <w:pPr>
              <w:ind w:right="105"/>
              <w:jc w:val="right"/>
              <w:rPr>
                <w:sz w:val="20"/>
              </w:rPr>
            </w:pPr>
            <w:r>
              <w:rPr>
                <w:sz w:val="20"/>
              </w:rPr>
              <w:t>121 940</w:t>
            </w: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sz w:val="20"/>
              </w:rPr>
            </w:pPr>
            <w:r>
              <w:rPr>
                <w:sz w:val="20"/>
              </w:rPr>
              <w:t>1998</w:t>
            </w:r>
          </w:p>
        </w:tc>
        <w:tc>
          <w:tcPr>
            <w:tcW w:w="0" w:type="auto"/>
            <w:tcBorders>
              <w:top w:val="nil"/>
              <w:bottom w:val="nil"/>
            </w:tcBorders>
            <w:shd w:val="clear" w:color="auto" w:fill="FFFFFF"/>
          </w:tcPr>
          <w:p w:rsidR="00000000" w:rsidRDefault="00000000">
            <w:pPr>
              <w:rPr>
                <w:sz w:val="20"/>
              </w:rPr>
            </w:pPr>
          </w:p>
        </w:tc>
        <w:tc>
          <w:tcPr>
            <w:tcW w:w="0" w:type="auto"/>
            <w:tcBorders>
              <w:top w:val="nil"/>
              <w:bottom w:val="nil"/>
            </w:tcBorders>
          </w:tcPr>
          <w:p w:rsidR="00000000" w:rsidRDefault="00000000">
            <w:pPr>
              <w:tabs>
                <w:tab w:val="clear" w:pos="567"/>
              </w:tabs>
              <w:ind w:right="140"/>
              <w:jc w:val="right"/>
              <w:rPr>
                <w:sz w:val="20"/>
                <w:lang w:val="en-US"/>
              </w:rPr>
            </w:pPr>
            <w:r>
              <w:rPr>
                <w:sz w:val="20"/>
                <w:lang w:val="en-US"/>
              </w:rPr>
              <w:t>103 164</w:t>
            </w:r>
          </w:p>
        </w:tc>
        <w:tc>
          <w:tcPr>
            <w:tcW w:w="0" w:type="auto"/>
            <w:tcBorders>
              <w:top w:val="nil"/>
              <w:bottom w:val="nil"/>
            </w:tcBorders>
            <w:tcMar>
              <w:left w:w="85" w:type="dxa"/>
              <w:right w:w="85" w:type="dxa"/>
            </w:tcMar>
          </w:tcPr>
          <w:p w:rsidR="00000000" w:rsidRDefault="00000000">
            <w:pPr>
              <w:rPr>
                <w:sz w:val="20"/>
                <w:lang w:val="en-US"/>
              </w:rPr>
            </w:pPr>
            <w:r>
              <w:rPr>
                <w:sz w:val="20"/>
                <w:lang w:val="en-US"/>
              </w:rPr>
              <w:t>89,0</w:t>
            </w:r>
          </w:p>
        </w:tc>
        <w:tc>
          <w:tcPr>
            <w:tcW w:w="0" w:type="auto"/>
            <w:tcBorders>
              <w:top w:val="nil"/>
              <w:bottom w:val="nil"/>
            </w:tcBorders>
          </w:tcPr>
          <w:p w:rsidR="00000000" w:rsidRDefault="00000000">
            <w:pPr>
              <w:tabs>
                <w:tab w:val="clear" w:pos="567"/>
              </w:tabs>
              <w:ind w:right="81"/>
              <w:jc w:val="right"/>
              <w:rPr>
                <w:sz w:val="20"/>
                <w:lang w:val="en-US"/>
              </w:rPr>
            </w:pPr>
            <w:r>
              <w:rPr>
                <w:sz w:val="20"/>
                <w:lang w:val="en-US"/>
              </w:rPr>
              <w:t>115 997</w:t>
            </w:r>
          </w:p>
        </w:tc>
        <w:tc>
          <w:tcPr>
            <w:tcW w:w="0" w:type="auto"/>
            <w:tcBorders>
              <w:top w:val="nil"/>
              <w:bottom w:val="nil"/>
            </w:tcBorders>
          </w:tcPr>
          <w:p w:rsidR="00000000" w:rsidRDefault="00000000">
            <w:pPr>
              <w:ind w:right="136"/>
              <w:jc w:val="right"/>
              <w:rPr>
                <w:sz w:val="20"/>
                <w:lang w:val="en-US"/>
              </w:rPr>
            </w:pPr>
            <w:r>
              <w:rPr>
                <w:sz w:val="20"/>
                <w:lang w:val="en-US"/>
              </w:rPr>
              <w:t>103 009</w:t>
            </w:r>
          </w:p>
        </w:tc>
        <w:tc>
          <w:tcPr>
            <w:tcW w:w="0" w:type="auto"/>
            <w:tcBorders>
              <w:top w:val="nil"/>
              <w:bottom w:val="nil"/>
            </w:tcBorders>
            <w:tcMar>
              <w:left w:w="85" w:type="dxa"/>
              <w:right w:w="85" w:type="dxa"/>
            </w:tcMar>
          </w:tcPr>
          <w:p w:rsidR="00000000" w:rsidRDefault="00000000">
            <w:pPr>
              <w:jc w:val="center"/>
              <w:rPr>
                <w:sz w:val="20"/>
                <w:lang w:val="en-US"/>
              </w:rPr>
            </w:pPr>
            <w:r>
              <w:rPr>
                <w:sz w:val="20"/>
                <w:lang w:val="en-US"/>
              </w:rPr>
              <w:t>88,8</w:t>
            </w:r>
          </w:p>
        </w:tc>
        <w:tc>
          <w:tcPr>
            <w:tcW w:w="0" w:type="auto"/>
            <w:tcBorders>
              <w:top w:val="nil"/>
              <w:bottom w:val="nil"/>
            </w:tcBorders>
          </w:tcPr>
          <w:p w:rsidR="00000000" w:rsidRDefault="00000000">
            <w:pPr>
              <w:ind w:right="105"/>
              <w:jc w:val="right"/>
              <w:rPr>
                <w:sz w:val="20"/>
                <w:lang w:val="en-US"/>
              </w:rPr>
            </w:pPr>
            <w:r>
              <w:rPr>
                <w:sz w:val="20"/>
                <w:lang w:val="en-US"/>
              </w:rPr>
              <w:t>115 888</w:t>
            </w:r>
          </w:p>
        </w:tc>
        <w:tc>
          <w:tcPr>
            <w:tcW w:w="0" w:type="auto"/>
            <w:tcBorders>
              <w:top w:val="nil"/>
              <w:bottom w:val="nil"/>
            </w:tcBorders>
          </w:tcPr>
          <w:p w:rsidR="00000000" w:rsidRDefault="00000000">
            <w:pPr>
              <w:ind w:right="154"/>
              <w:jc w:val="right"/>
              <w:rPr>
                <w:sz w:val="20"/>
                <w:lang w:val="en-US"/>
              </w:rPr>
            </w:pPr>
            <w:r>
              <w:rPr>
                <w:sz w:val="20"/>
                <w:lang w:val="en-US"/>
              </w:rPr>
              <w:t>103 190</w:t>
            </w:r>
          </w:p>
        </w:tc>
        <w:tc>
          <w:tcPr>
            <w:tcW w:w="0" w:type="auto"/>
            <w:tcBorders>
              <w:top w:val="nil"/>
              <w:bottom w:val="nil"/>
            </w:tcBorders>
            <w:tcMar>
              <w:left w:w="85" w:type="dxa"/>
              <w:right w:w="85" w:type="dxa"/>
            </w:tcMar>
          </w:tcPr>
          <w:p w:rsidR="00000000" w:rsidRDefault="00000000">
            <w:pPr>
              <w:jc w:val="center"/>
              <w:rPr>
                <w:sz w:val="20"/>
                <w:lang w:val="en-US"/>
              </w:rPr>
            </w:pPr>
            <w:r>
              <w:rPr>
                <w:sz w:val="20"/>
                <w:lang w:val="en-US"/>
              </w:rPr>
              <w:t>89,0</w:t>
            </w:r>
          </w:p>
        </w:tc>
        <w:tc>
          <w:tcPr>
            <w:tcW w:w="0" w:type="auto"/>
            <w:tcBorders>
              <w:top w:val="nil"/>
              <w:bottom w:val="nil"/>
            </w:tcBorders>
          </w:tcPr>
          <w:p w:rsidR="00000000" w:rsidRDefault="00000000">
            <w:pPr>
              <w:ind w:right="105"/>
              <w:jc w:val="right"/>
              <w:rPr>
                <w:sz w:val="20"/>
                <w:lang w:val="en-US"/>
              </w:rPr>
            </w:pPr>
            <w:r>
              <w:rPr>
                <w:sz w:val="20"/>
                <w:lang w:val="en-US"/>
              </w:rPr>
              <w:t>71 432</w:t>
            </w:r>
          </w:p>
        </w:tc>
      </w:tr>
      <w:tr w:rsidR="00000000">
        <w:tblPrEx>
          <w:tblCellMar>
            <w:top w:w="0" w:type="dxa"/>
            <w:bottom w:w="0" w:type="dxa"/>
          </w:tblCellMar>
        </w:tblPrEx>
        <w:trPr>
          <w:cantSplit/>
        </w:trPr>
        <w:tc>
          <w:tcPr>
            <w:tcW w:w="0" w:type="auto"/>
            <w:tcBorders>
              <w:top w:val="nil"/>
              <w:bottom w:val="nil"/>
            </w:tcBorders>
            <w:tcMar>
              <w:left w:w="170" w:type="dxa"/>
            </w:tcMar>
          </w:tcPr>
          <w:p w:rsidR="00000000" w:rsidRDefault="00000000">
            <w:pPr>
              <w:rPr>
                <w:b/>
                <w:bCs/>
                <w:sz w:val="20"/>
                <w:vertAlign w:val="superscript"/>
                <w:lang w:val="en-US"/>
              </w:rPr>
            </w:pPr>
            <w:r>
              <w:rPr>
                <w:sz w:val="20"/>
                <w:lang w:val="en-US"/>
              </w:rPr>
              <w:t>1999</w:t>
            </w:r>
            <w:r>
              <w:rPr>
                <w:b/>
                <w:bCs/>
                <w:sz w:val="20"/>
                <w:vertAlign w:val="superscript"/>
                <w:lang w:val="en-US"/>
              </w:rPr>
              <w:t>b</w:t>
            </w:r>
          </w:p>
        </w:tc>
        <w:tc>
          <w:tcPr>
            <w:tcW w:w="0" w:type="auto"/>
            <w:tcBorders>
              <w:top w:val="nil"/>
              <w:bottom w:val="nil"/>
            </w:tcBorders>
          </w:tcPr>
          <w:p w:rsidR="00000000" w:rsidRDefault="00000000">
            <w:pPr>
              <w:ind w:right="105"/>
              <w:jc w:val="right"/>
              <w:rPr>
                <w:sz w:val="20"/>
                <w:lang w:val="en-US"/>
              </w:rPr>
            </w:pPr>
            <w:r>
              <w:rPr>
                <w:sz w:val="20"/>
                <w:lang w:val="en-US"/>
              </w:rPr>
              <w:t>71 567</w:t>
            </w:r>
          </w:p>
        </w:tc>
        <w:tc>
          <w:tcPr>
            <w:tcW w:w="0" w:type="auto"/>
            <w:tcBorders>
              <w:top w:val="nil"/>
              <w:bottom w:val="nil"/>
            </w:tcBorders>
          </w:tcPr>
          <w:p w:rsidR="00000000" w:rsidRDefault="00000000">
            <w:pPr>
              <w:tabs>
                <w:tab w:val="clear" w:pos="567"/>
              </w:tabs>
              <w:ind w:right="140"/>
              <w:jc w:val="right"/>
              <w:rPr>
                <w:sz w:val="20"/>
                <w:lang w:val="en-US"/>
              </w:rPr>
            </w:pPr>
            <w:r>
              <w:rPr>
                <w:sz w:val="20"/>
                <w:lang w:val="en-US"/>
              </w:rPr>
              <w:t>69 538</w:t>
            </w:r>
          </w:p>
        </w:tc>
        <w:tc>
          <w:tcPr>
            <w:tcW w:w="0" w:type="auto"/>
            <w:tcBorders>
              <w:top w:val="nil"/>
              <w:bottom w:val="nil"/>
            </w:tcBorders>
            <w:tcMar>
              <w:left w:w="85" w:type="dxa"/>
              <w:right w:w="85" w:type="dxa"/>
            </w:tcMar>
          </w:tcPr>
          <w:p w:rsidR="00000000" w:rsidRDefault="00000000">
            <w:pPr>
              <w:rPr>
                <w:sz w:val="20"/>
                <w:lang w:val="en-US"/>
              </w:rPr>
            </w:pPr>
            <w:r>
              <w:rPr>
                <w:sz w:val="20"/>
                <w:lang w:val="en-US"/>
              </w:rPr>
              <w:t>97,1</w:t>
            </w:r>
          </w:p>
        </w:tc>
        <w:tc>
          <w:tcPr>
            <w:tcW w:w="0" w:type="auto"/>
            <w:tcBorders>
              <w:top w:val="nil"/>
              <w:bottom w:val="nil"/>
            </w:tcBorders>
          </w:tcPr>
          <w:p w:rsidR="00000000" w:rsidRDefault="00000000">
            <w:pPr>
              <w:tabs>
                <w:tab w:val="clear" w:pos="567"/>
              </w:tabs>
              <w:ind w:right="81"/>
              <w:jc w:val="right"/>
              <w:rPr>
                <w:sz w:val="20"/>
                <w:lang w:val="en-US"/>
              </w:rPr>
            </w:pPr>
            <w:r>
              <w:rPr>
                <w:sz w:val="20"/>
                <w:lang w:val="en-US"/>
              </w:rPr>
              <w:t>71 557</w:t>
            </w:r>
          </w:p>
        </w:tc>
        <w:tc>
          <w:tcPr>
            <w:tcW w:w="0" w:type="auto"/>
            <w:tcBorders>
              <w:top w:val="nil"/>
              <w:bottom w:val="nil"/>
            </w:tcBorders>
          </w:tcPr>
          <w:p w:rsidR="00000000" w:rsidRDefault="00000000">
            <w:pPr>
              <w:ind w:right="136"/>
              <w:jc w:val="right"/>
              <w:rPr>
                <w:sz w:val="20"/>
                <w:lang w:val="en-US"/>
              </w:rPr>
            </w:pPr>
            <w:r>
              <w:rPr>
                <w:sz w:val="20"/>
                <w:lang w:val="en-US"/>
              </w:rPr>
              <w:t>69 724</w:t>
            </w:r>
          </w:p>
        </w:tc>
        <w:tc>
          <w:tcPr>
            <w:tcW w:w="0" w:type="auto"/>
            <w:tcBorders>
              <w:top w:val="nil"/>
              <w:bottom w:val="nil"/>
            </w:tcBorders>
            <w:tcMar>
              <w:left w:w="85" w:type="dxa"/>
              <w:right w:w="85" w:type="dxa"/>
            </w:tcMar>
          </w:tcPr>
          <w:p w:rsidR="00000000" w:rsidRDefault="00000000">
            <w:pPr>
              <w:jc w:val="center"/>
              <w:rPr>
                <w:sz w:val="20"/>
                <w:lang w:val="en-US"/>
              </w:rPr>
            </w:pPr>
            <w:r>
              <w:rPr>
                <w:sz w:val="20"/>
                <w:lang w:val="en-US"/>
              </w:rPr>
              <w:t>97,4</w:t>
            </w:r>
          </w:p>
        </w:tc>
        <w:tc>
          <w:tcPr>
            <w:tcW w:w="0" w:type="auto"/>
            <w:tcBorders>
              <w:top w:val="nil"/>
              <w:bottom w:val="nil"/>
            </w:tcBorders>
          </w:tcPr>
          <w:p w:rsidR="00000000" w:rsidRDefault="00000000">
            <w:pPr>
              <w:ind w:right="105"/>
              <w:jc w:val="right"/>
              <w:rPr>
                <w:sz w:val="20"/>
                <w:lang w:val="en-US"/>
              </w:rPr>
            </w:pPr>
            <w:r>
              <w:rPr>
                <w:sz w:val="20"/>
                <w:lang w:val="en-US"/>
              </w:rPr>
              <w:t>72 005</w:t>
            </w:r>
          </w:p>
        </w:tc>
        <w:tc>
          <w:tcPr>
            <w:tcW w:w="0" w:type="auto"/>
            <w:tcBorders>
              <w:top w:val="nil"/>
              <w:bottom w:val="nil"/>
            </w:tcBorders>
          </w:tcPr>
          <w:p w:rsidR="00000000" w:rsidRDefault="00000000">
            <w:pPr>
              <w:ind w:right="154"/>
              <w:jc w:val="right"/>
              <w:rPr>
                <w:sz w:val="20"/>
                <w:lang w:val="en-US"/>
              </w:rPr>
            </w:pPr>
            <w:r>
              <w:rPr>
                <w:sz w:val="20"/>
                <w:lang w:val="en-US"/>
              </w:rPr>
              <w:t>66 485</w:t>
            </w:r>
          </w:p>
        </w:tc>
        <w:tc>
          <w:tcPr>
            <w:tcW w:w="0" w:type="auto"/>
            <w:tcBorders>
              <w:top w:val="nil"/>
              <w:bottom w:val="nil"/>
            </w:tcBorders>
            <w:tcMar>
              <w:left w:w="85" w:type="dxa"/>
              <w:right w:w="85" w:type="dxa"/>
            </w:tcMar>
          </w:tcPr>
          <w:p w:rsidR="00000000" w:rsidRDefault="00000000">
            <w:pPr>
              <w:jc w:val="center"/>
              <w:rPr>
                <w:sz w:val="20"/>
                <w:lang w:val="en-US"/>
              </w:rPr>
            </w:pPr>
            <w:r>
              <w:rPr>
                <w:sz w:val="20"/>
                <w:lang w:val="en-US"/>
              </w:rPr>
              <w:t>92,3</w:t>
            </w:r>
          </w:p>
        </w:tc>
        <w:tc>
          <w:tcPr>
            <w:tcW w:w="0" w:type="auto"/>
            <w:tcBorders>
              <w:top w:val="nil"/>
              <w:bottom w:val="nil"/>
            </w:tcBorders>
          </w:tcPr>
          <w:p w:rsidR="00000000" w:rsidRDefault="00000000">
            <w:pPr>
              <w:ind w:right="105"/>
              <w:jc w:val="right"/>
              <w:rPr>
                <w:sz w:val="20"/>
                <w:lang w:val="en-US"/>
              </w:rPr>
            </w:pPr>
            <w:r>
              <w:rPr>
                <w:sz w:val="20"/>
                <w:lang w:val="en-US"/>
              </w:rPr>
              <w:t>58 608</w:t>
            </w:r>
          </w:p>
        </w:tc>
      </w:tr>
      <w:tr w:rsidR="00000000">
        <w:tblPrEx>
          <w:tblCellMar>
            <w:top w:w="0" w:type="dxa"/>
            <w:bottom w:w="0" w:type="dxa"/>
          </w:tblCellMar>
        </w:tblPrEx>
        <w:trPr>
          <w:cantSplit/>
        </w:trPr>
        <w:tc>
          <w:tcPr>
            <w:tcW w:w="0" w:type="auto"/>
            <w:tcBorders>
              <w:top w:val="nil"/>
            </w:tcBorders>
            <w:tcMar>
              <w:left w:w="170" w:type="dxa"/>
            </w:tcMar>
          </w:tcPr>
          <w:p w:rsidR="00000000" w:rsidRDefault="00000000">
            <w:pPr>
              <w:rPr>
                <w:b/>
                <w:bCs/>
                <w:sz w:val="20"/>
                <w:vertAlign w:val="superscript"/>
                <w:lang w:val="en-US"/>
              </w:rPr>
            </w:pPr>
            <w:r>
              <w:rPr>
                <w:sz w:val="20"/>
                <w:lang w:val="en-US"/>
              </w:rPr>
              <w:t>2000</w:t>
            </w:r>
            <w:r>
              <w:rPr>
                <w:b/>
                <w:bCs/>
                <w:sz w:val="20"/>
                <w:vertAlign w:val="superscript"/>
                <w:lang w:val="en-US"/>
              </w:rPr>
              <w:t>b</w:t>
            </w:r>
          </w:p>
        </w:tc>
        <w:tc>
          <w:tcPr>
            <w:tcW w:w="0" w:type="auto"/>
            <w:tcBorders>
              <w:top w:val="nil"/>
            </w:tcBorders>
          </w:tcPr>
          <w:p w:rsidR="00000000" w:rsidRDefault="00000000">
            <w:pPr>
              <w:ind w:right="105"/>
              <w:jc w:val="right"/>
              <w:rPr>
                <w:sz w:val="20"/>
                <w:lang w:val="en-US"/>
              </w:rPr>
            </w:pPr>
            <w:r>
              <w:rPr>
                <w:sz w:val="20"/>
                <w:lang w:val="en-US"/>
              </w:rPr>
              <w:t>68 044</w:t>
            </w:r>
          </w:p>
        </w:tc>
        <w:tc>
          <w:tcPr>
            <w:tcW w:w="0" w:type="auto"/>
            <w:tcBorders>
              <w:top w:val="nil"/>
            </w:tcBorders>
          </w:tcPr>
          <w:p w:rsidR="00000000" w:rsidRDefault="00000000">
            <w:pPr>
              <w:tabs>
                <w:tab w:val="clear" w:pos="567"/>
              </w:tabs>
              <w:ind w:right="140"/>
              <w:jc w:val="right"/>
              <w:rPr>
                <w:sz w:val="20"/>
                <w:lang w:val="en-US"/>
              </w:rPr>
            </w:pPr>
            <w:r>
              <w:rPr>
                <w:sz w:val="20"/>
                <w:lang w:val="en-US"/>
              </w:rPr>
              <w:t>65 908</w:t>
            </w:r>
          </w:p>
        </w:tc>
        <w:tc>
          <w:tcPr>
            <w:tcW w:w="0" w:type="auto"/>
            <w:tcBorders>
              <w:top w:val="nil"/>
            </w:tcBorders>
            <w:tcMar>
              <w:left w:w="85" w:type="dxa"/>
              <w:right w:w="85" w:type="dxa"/>
            </w:tcMar>
          </w:tcPr>
          <w:p w:rsidR="00000000" w:rsidRDefault="00000000">
            <w:pPr>
              <w:rPr>
                <w:sz w:val="20"/>
                <w:lang w:val="en-US"/>
              </w:rPr>
            </w:pPr>
            <w:r>
              <w:rPr>
                <w:sz w:val="20"/>
                <w:lang w:val="en-US"/>
              </w:rPr>
              <w:t>96,9</w:t>
            </w:r>
          </w:p>
        </w:tc>
        <w:tc>
          <w:tcPr>
            <w:tcW w:w="0" w:type="auto"/>
            <w:tcBorders>
              <w:top w:val="nil"/>
            </w:tcBorders>
          </w:tcPr>
          <w:p w:rsidR="00000000" w:rsidRDefault="00000000">
            <w:pPr>
              <w:tabs>
                <w:tab w:val="clear" w:pos="567"/>
              </w:tabs>
              <w:ind w:right="81"/>
              <w:jc w:val="right"/>
              <w:rPr>
                <w:sz w:val="20"/>
                <w:lang w:val="en-US"/>
              </w:rPr>
            </w:pPr>
            <w:r>
              <w:rPr>
                <w:sz w:val="20"/>
                <w:lang w:val="en-US"/>
              </w:rPr>
              <w:t>68 046</w:t>
            </w:r>
          </w:p>
        </w:tc>
        <w:tc>
          <w:tcPr>
            <w:tcW w:w="0" w:type="auto"/>
            <w:tcBorders>
              <w:top w:val="nil"/>
            </w:tcBorders>
          </w:tcPr>
          <w:p w:rsidR="00000000" w:rsidRDefault="00000000">
            <w:pPr>
              <w:ind w:right="136"/>
              <w:jc w:val="right"/>
              <w:rPr>
                <w:sz w:val="20"/>
                <w:lang w:val="en-US"/>
              </w:rPr>
            </w:pPr>
            <w:r>
              <w:rPr>
                <w:sz w:val="20"/>
                <w:lang w:val="en-US"/>
              </w:rPr>
              <w:t>65 865</w:t>
            </w:r>
          </w:p>
        </w:tc>
        <w:tc>
          <w:tcPr>
            <w:tcW w:w="0" w:type="auto"/>
            <w:tcBorders>
              <w:top w:val="nil"/>
            </w:tcBorders>
            <w:tcMar>
              <w:left w:w="85" w:type="dxa"/>
              <w:right w:w="85" w:type="dxa"/>
            </w:tcMar>
          </w:tcPr>
          <w:p w:rsidR="00000000" w:rsidRDefault="00000000">
            <w:pPr>
              <w:jc w:val="center"/>
              <w:rPr>
                <w:sz w:val="20"/>
                <w:lang w:val="en-US"/>
              </w:rPr>
            </w:pPr>
            <w:r>
              <w:rPr>
                <w:sz w:val="20"/>
                <w:lang w:val="en-US"/>
              </w:rPr>
              <w:t>96,8</w:t>
            </w:r>
          </w:p>
        </w:tc>
        <w:tc>
          <w:tcPr>
            <w:tcW w:w="0" w:type="auto"/>
            <w:tcBorders>
              <w:top w:val="nil"/>
            </w:tcBorders>
          </w:tcPr>
          <w:p w:rsidR="00000000" w:rsidRDefault="00000000">
            <w:pPr>
              <w:ind w:right="105"/>
              <w:jc w:val="right"/>
              <w:rPr>
                <w:sz w:val="20"/>
                <w:lang w:val="en-US"/>
              </w:rPr>
            </w:pPr>
            <w:r>
              <w:rPr>
                <w:sz w:val="20"/>
                <w:lang w:val="en-US"/>
              </w:rPr>
              <w:t>71 446</w:t>
            </w:r>
          </w:p>
        </w:tc>
        <w:tc>
          <w:tcPr>
            <w:tcW w:w="0" w:type="auto"/>
            <w:tcBorders>
              <w:top w:val="nil"/>
            </w:tcBorders>
          </w:tcPr>
          <w:p w:rsidR="00000000" w:rsidRDefault="00000000">
            <w:pPr>
              <w:ind w:right="154"/>
              <w:jc w:val="right"/>
              <w:rPr>
                <w:sz w:val="20"/>
                <w:lang w:val="en-US"/>
              </w:rPr>
            </w:pPr>
            <w:r>
              <w:rPr>
                <w:sz w:val="20"/>
                <w:lang w:val="en-US"/>
              </w:rPr>
              <w:t>61 897</w:t>
            </w:r>
          </w:p>
        </w:tc>
        <w:tc>
          <w:tcPr>
            <w:tcW w:w="0" w:type="auto"/>
            <w:tcBorders>
              <w:top w:val="nil"/>
            </w:tcBorders>
            <w:tcMar>
              <w:left w:w="85" w:type="dxa"/>
              <w:right w:w="85" w:type="dxa"/>
            </w:tcMar>
          </w:tcPr>
          <w:p w:rsidR="00000000" w:rsidRDefault="00000000">
            <w:pPr>
              <w:jc w:val="center"/>
              <w:rPr>
                <w:sz w:val="20"/>
                <w:lang w:val="en-US"/>
              </w:rPr>
            </w:pPr>
            <w:r>
              <w:rPr>
                <w:sz w:val="20"/>
                <w:lang w:val="en-US"/>
              </w:rPr>
              <w:t>86,6</w:t>
            </w:r>
          </w:p>
        </w:tc>
        <w:tc>
          <w:tcPr>
            <w:tcW w:w="0" w:type="auto"/>
            <w:tcBorders>
              <w:top w:val="nil"/>
            </w:tcBorders>
          </w:tcPr>
          <w:p w:rsidR="00000000" w:rsidRDefault="00000000">
            <w:pPr>
              <w:ind w:right="105"/>
              <w:jc w:val="right"/>
              <w:rPr>
                <w:sz w:val="20"/>
                <w:lang w:val="en-US"/>
              </w:rPr>
            </w:pPr>
            <w:r>
              <w:rPr>
                <w:sz w:val="20"/>
                <w:lang w:val="en-US"/>
              </w:rPr>
              <w:t>42 653</w:t>
            </w:r>
          </w:p>
        </w:tc>
      </w:tr>
      <w:tr w:rsidR="00000000">
        <w:tblPrEx>
          <w:tblCellMar>
            <w:top w:w="0" w:type="dxa"/>
            <w:bottom w:w="0" w:type="dxa"/>
          </w:tblCellMar>
        </w:tblPrEx>
        <w:trPr>
          <w:cantSplit/>
        </w:trPr>
        <w:tc>
          <w:tcPr>
            <w:tcW w:w="0" w:type="auto"/>
            <w:tcMar>
              <w:left w:w="170" w:type="dxa"/>
            </w:tcMar>
          </w:tcPr>
          <w:p w:rsidR="00000000" w:rsidRDefault="00000000">
            <w:pPr>
              <w:rPr>
                <w:b/>
                <w:bCs/>
                <w:sz w:val="20"/>
                <w:vertAlign w:val="superscript"/>
                <w:lang w:val="en-US"/>
              </w:rPr>
            </w:pPr>
            <w:r>
              <w:rPr>
                <w:sz w:val="20"/>
                <w:lang w:val="en-US"/>
              </w:rPr>
              <w:t>2001</w:t>
            </w:r>
            <w:r>
              <w:rPr>
                <w:b/>
                <w:bCs/>
                <w:sz w:val="20"/>
                <w:vertAlign w:val="superscript"/>
                <w:lang w:val="en-US"/>
              </w:rPr>
              <w:t>b</w:t>
            </w:r>
          </w:p>
        </w:tc>
        <w:tc>
          <w:tcPr>
            <w:tcW w:w="0" w:type="auto"/>
          </w:tcPr>
          <w:p w:rsidR="00000000" w:rsidRDefault="00000000">
            <w:pPr>
              <w:ind w:right="105"/>
              <w:jc w:val="right"/>
              <w:rPr>
                <w:sz w:val="20"/>
                <w:lang w:val="en-US"/>
              </w:rPr>
            </w:pPr>
            <w:r>
              <w:rPr>
                <w:sz w:val="20"/>
                <w:lang w:val="en-US"/>
              </w:rPr>
              <w:t>69 168</w:t>
            </w:r>
          </w:p>
        </w:tc>
        <w:tc>
          <w:tcPr>
            <w:tcW w:w="0" w:type="auto"/>
          </w:tcPr>
          <w:p w:rsidR="00000000" w:rsidRDefault="00000000">
            <w:pPr>
              <w:tabs>
                <w:tab w:val="clear" w:pos="567"/>
              </w:tabs>
              <w:ind w:right="140"/>
              <w:jc w:val="right"/>
              <w:rPr>
                <w:sz w:val="20"/>
                <w:lang w:val="en-US"/>
              </w:rPr>
            </w:pPr>
            <w:r>
              <w:rPr>
                <w:sz w:val="20"/>
                <w:lang w:val="en-US"/>
              </w:rPr>
              <w:t>67 640</w:t>
            </w:r>
          </w:p>
        </w:tc>
        <w:tc>
          <w:tcPr>
            <w:tcW w:w="0" w:type="auto"/>
            <w:tcMar>
              <w:left w:w="85" w:type="dxa"/>
              <w:right w:w="85" w:type="dxa"/>
            </w:tcMar>
          </w:tcPr>
          <w:p w:rsidR="00000000" w:rsidRDefault="00000000">
            <w:pPr>
              <w:rPr>
                <w:sz w:val="20"/>
              </w:rPr>
            </w:pPr>
            <w:r>
              <w:rPr>
                <w:sz w:val="20"/>
              </w:rPr>
              <w:t>97,8</w:t>
            </w:r>
          </w:p>
        </w:tc>
        <w:tc>
          <w:tcPr>
            <w:tcW w:w="0" w:type="auto"/>
          </w:tcPr>
          <w:p w:rsidR="00000000" w:rsidRDefault="00000000">
            <w:pPr>
              <w:tabs>
                <w:tab w:val="clear" w:pos="567"/>
              </w:tabs>
              <w:ind w:right="81"/>
              <w:jc w:val="right"/>
              <w:rPr>
                <w:sz w:val="20"/>
              </w:rPr>
            </w:pPr>
            <w:r>
              <w:rPr>
                <w:sz w:val="20"/>
              </w:rPr>
              <w:t>69</w:t>
            </w:r>
            <w:r>
              <w:rPr>
                <w:sz w:val="20"/>
                <w:lang w:val="en-US"/>
              </w:rPr>
              <w:t> </w:t>
            </w:r>
            <w:r>
              <w:rPr>
                <w:sz w:val="20"/>
              </w:rPr>
              <w:t>284</w:t>
            </w:r>
          </w:p>
        </w:tc>
        <w:tc>
          <w:tcPr>
            <w:tcW w:w="0" w:type="auto"/>
          </w:tcPr>
          <w:p w:rsidR="00000000" w:rsidRDefault="00000000">
            <w:pPr>
              <w:ind w:right="136"/>
              <w:jc w:val="right"/>
              <w:rPr>
                <w:sz w:val="20"/>
              </w:rPr>
            </w:pPr>
            <w:r>
              <w:rPr>
                <w:sz w:val="20"/>
              </w:rPr>
              <w:t>67</w:t>
            </w:r>
            <w:r>
              <w:rPr>
                <w:sz w:val="20"/>
                <w:lang w:val="en-US"/>
              </w:rPr>
              <w:t> </w:t>
            </w:r>
            <w:r>
              <w:rPr>
                <w:sz w:val="20"/>
              </w:rPr>
              <w:t>652</w:t>
            </w:r>
          </w:p>
        </w:tc>
        <w:tc>
          <w:tcPr>
            <w:tcW w:w="0" w:type="auto"/>
            <w:tcMar>
              <w:left w:w="85" w:type="dxa"/>
              <w:right w:w="85" w:type="dxa"/>
            </w:tcMar>
          </w:tcPr>
          <w:p w:rsidR="00000000" w:rsidRDefault="00000000">
            <w:pPr>
              <w:jc w:val="center"/>
              <w:rPr>
                <w:sz w:val="20"/>
              </w:rPr>
            </w:pPr>
            <w:r>
              <w:rPr>
                <w:sz w:val="20"/>
              </w:rPr>
              <w:t>97,6</w:t>
            </w:r>
          </w:p>
        </w:tc>
        <w:tc>
          <w:tcPr>
            <w:tcW w:w="0" w:type="auto"/>
          </w:tcPr>
          <w:p w:rsidR="00000000" w:rsidRDefault="00000000">
            <w:pPr>
              <w:ind w:right="105"/>
              <w:jc w:val="right"/>
              <w:rPr>
                <w:sz w:val="20"/>
              </w:rPr>
            </w:pPr>
            <w:r>
              <w:rPr>
                <w:sz w:val="20"/>
              </w:rPr>
              <w:t>72 197</w:t>
            </w:r>
          </w:p>
        </w:tc>
        <w:tc>
          <w:tcPr>
            <w:tcW w:w="0" w:type="auto"/>
          </w:tcPr>
          <w:p w:rsidR="00000000" w:rsidRDefault="00000000">
            <w:pPr>
              <w:ind w:right="154"/>
              <w:jc w:val="right"/>
              <w:rPr>
                <w:sz w:val="20"/>
              </w:rPr>
            </w:pPr>
            <w:r>
              <w:rPr>
                <w:sz w:val="20"/>
              </w:rPr>
              <w:t>69 102</w:t>
            </w:r>
          </w:p>
        </w:tc>
        <w:tc>
          <w:tcPr>
            <w:tcW w:w="0" w:type="auto"/>
            <w:tcMar>
              <w:left w:w="85" w:type="dxa"/>
              <w:right w:w="85" w:type="dxa"/>
            </w:tcMar>
          </w:tcPr>
          <w:p w:rsidR="00000000" w:rsidRDefault="00000000">
            <w:pPr>
              <w:jc w:val="center"/>
              <w:rPr>
                <w:sz w:val="20"/>
              </w:rPr>
            </w:pPr>
            <w:r>
              <w:rPr>
                <w:sz w:val="20"/>
              </w:rPr>
              <w:t>95,7</w:t>
            </w:r>
          </w:p>
        </w:tc>
        <w:tc>
          <w:tcPr>
            <w:tcW w:w="0" w:type="auto"/>
          </w:tcPr>
          <w:p w:rsidR="00000000" w:rsidRDefault="00000000">
            <w:pPr>
              <w:ind w:right="105"/>
              <w:jc w:val="right"/>
              <w:rPr>
                <w:sz w:val="20"/>
              </w:rPr>
            </w:pPr>
            <w:r>
              <w:rPr>
                <w:sz w:val="20"/>
              </w:rPr>
              <w:t>54 336</w:t>
            </w:r>
          </w:p>
        </w:tc>
      </w:tr>
    </w:tbl>
    <w:p w:rsidR="00000000" w:rsidRDefault="00000000">
      <w:pPr>
        <w:pStyle w:val="Num-DocParagraph"/>
        <w:spacing w:after="0"/>
        <w:ind w:left="850" w:hanging="850"/>
        <w:jc w:val="left"/>
        <w:rPr>
          <w:vertAlign w:val="superscript"/>
          <w:lang w:val="ru-RU"/>
        </w:rPr>
      </w:pPr>
    </w:p>
    <w:p w:rsidR="00000000" w:rsidRDefault="00000000">
      <w:pPr>
        <w:pStyle w:val="Num-DocParagraph"/>
        <w:tabs>
          <w:tab w:val="clear" w:pos="850"/>
          <w:tab w:val="left" w:pos="585"/>
        </w:tabs>
        <w:spacing w:after="0"/>
        <w:ind w:left="585" w:hanging="585"/>
        <w:jc w:val="left"/>
        <w:rPr>
          <w:lang w:val="ru-RU"/>
        </w:rPr>
      </w:pPr>
      <w:r>
        <w:rPr>
          <w:b/>
          <w:bCs/>
          <w:vertAlign w:val="superscript"/>
          <w:lang w:val="ru-RU"/>
        </w:rPr>
        <w:t>а</w:t>
      </w:r>
      <w:r>
        <w:rPr>
          <w:lang w:val="ru-RU"/>
        </w:rPr>
        <w:tab/>
      </w:r>
      <w:proofErr w:type="spellStart"/>
      <w:r>
        <w:rPr>
          <w:lang w:val="ru-RU"/>
        </w:rPr>
        <w:t>КПК</w:t>
      </w:r>
      <w:proofErr w:type="spellEnd"/>
      <w:r>
        <w:rPr>
          <w:lang w:val="ru-RU"/>
        </w:rPr>
        <w:t xml:space="preserve"> - корь, эпидемический паротит, краснуха;</w:t>
      </w:r>
      <w:r>
        <w:rPr>
          <w:lang w:val="ru-RU"/>
        </w:rPr>
        <w:br/>
      </w:r>
      <w:proofErr w:type="spellStart"/>
      <w:r>
        <w:rPr>
          <w:lang w:val="ru-RU"/>
        </w:rPr>
        <w:t>БЦЖ</w:t>
      </w:r>
      <w:proofErr w:type="spellEnd"/>
      <w:r>
        <w:rPr>
          <w:lang w:val="ru-RU"/>
        </w:rPr>
        <w:t xml:space="preserve"> - туберкулез</w:t>
      </w:r>
    </w:p>
    <w:p w:rsidR="00000000" w:rsidRDefault="00000000">
      <w:pPr>
        <w:pStyle w:val="Num-DocParagraph"/>
        <w:tabs>
          <w:tab w:val="clear" w:pos="850"/>
          <w:tab w:val="left" w:pos="585"/>
        </w:tabs>
        <w:spacing w:after="0"/>
        <w:ind w:left="585" w:hanging="585"/>
        <w:jc w:val="left"/>
        <w:rPr>
          <w:lang w:val="ru-RU"/>
        </w:rPr>
      </w:pPr>
    </w:p>
    <w:p w:rsidR="00000000" w:rsidRDefault="00000000">
      <w:pPr>
        <w:pStyle w:val="Num-DocParagraph"/>
        <w:tabs>
          <w:tab w:val="clear" w:pos="850"/>
          <w:tab w:val="left" w:pos="585"/>
        </w:tabs>
        <w:spacing w:after="0"/>
        <w:ind w:left="585" w:hanging="585"/>
        <w:rPr>
          <w:lang w:val="ru-RU"/>
        </w:rPr>
      </w:pPr>
      <w:r>
        <w:rPr>
          <w:b/>
          <w:bCs/>
          <w:vertAlign w:val="superscript"/>
          <w:lang w:val="en-US"/>
        </w:rPr>
        <w:t>b</w:t>
      </w:r>
      <w:r>
        <w:rPr>
          <w:lang w:val="ru-RU"/>
        </w:rPr>
        <w:tab/>
        <w:t xml:space="preserve">без учета данных по Косово и </w:t>
      </w:r>
      <w:proofErr w:type="spellStart"/>
      <w:r>
        <w:rPr>
          <w:lang w:val="ru-RU"/>
        </w:rPr>
        <w:t>Метохии</w:t>
      </w:r>
      <w:proofErr w:type="spellEnd"/>
    </w:p>
    <w:p w:rsidR="00000000" w:rsidRDefault="00000000">
      <w:pPr>
        <w:pStyle w:val="Num-DocParagraph"/>
        <w:tabs>
          <w:tab w:val="clear" w:pos="850"/>
          <w:tab w:val="left" w:pos="585"/>
        </w:tabs>
        <w:spacing w:after="0" w:line="288" w:lineRule="auto"/>
        <w:ind w:left="585" w:hanging="585"/>
        <w:rPr>
          <w:lang w:val="ru-RU"/>
        </w:rPr>
      </w:pPr>
    </w:p>
    <w:p w:rsidR="00000000" w:rsidRDefault="00000000">
      <w:pPr>
        <w:pStyle w:val="Num-DocParagraph"/>
        <w:keepNext/>
        <w:spacing w:after="0" w:line="288" w:lineRule="auto"/>
        <w:jc w:val="center"/>
        <w:rPr>
          <w:b/>
          <w:bCs/>
          <w:iCs/>
          <w:lang w:val="ru-RU"/>
        </w:rPr>
      </w:pPr>
      <w:r>
        <w:rPr>
          <w:b/>
          <w:bCs/>
          <w:iCs/>
          <w:lang w:val="ru-RU"/>
        </w:rPr>
        <w:t>Таблица 12</w:t>
      </w:r>
    </w:p>
    <w:p w:rsidR="00000000" w:rsidRDefault="00000000">
      <w:pPr>
        <w:pStyle w:val="Num-DocParagraph"/>
        <w:keepNext/>
        <w:spacing w:after="0" w:line="288" w:lineRule="auto"/>
        <w:jc w:val="center"/>
        <w:rPr>
          <w:b/>
          <w:bCs/>
          <w:iCs/>
          <w:lang w:val="ru-RU"/>
        </w:rPr>
      </w:pPr>
    </w:p>
    <w:p w:rsidR="00000000" w:rsidRDefault="00000000">
      <w:pPr>
        <w:pStyle w:val="Num-DocParagraph"/>
        <w:keepNext/>
        <w:spacing w:after="0" w:line="288" w:lineRule="auto"/>
        <w:jc w:val="center"/>
        <w:rPr>
          <w:b/>
          <w:bCs/>
          <w:iCs/>
          <w:lang w:val="ru-RU"/>
        </w:rPr>
      </w:pPr>
      <w:r>
        <w:rPr>
          <w:b/>
          <w:bCs/>
          <w:iCs/>
          <w:lang w:val="ru-RU"/>
        </w:rPr>
        <w:t xml:space="preserve">Охват населения программами вакцинации в </w:t>
      </w:r>
      <w:proofErr w:type="spellStart"/>
      <w:r>
        <w:rPr>
          <w:b/>
          <w:bCs/>
          <w:iCs/>
          <w:lang w:val="ru-RU"/>
        </w:rPr>
        <w:t>Воеводине</w:t>
      </w:r>
      <w:proofErr w:type="spellEnd"/>
      <w:r>
        <w:rPr>
          <w:b/>
          <w:bCs/>
          <w:iCs/>
          <w:lang w:val="ru-RU"/>
        </w:rPr>
        <w:t>, 1992-2001 годы</w:t>
      </w:r>
    </w:p>
    <w:p w:rsidR="00000000" w:rsidRDefault="00000000">
      <w:pPr>
        <w:pStyle w:val="Num-DocParagraph"/>
        <w:keepNext/>
        <w:spacing w:after="0" w:line="288" w:lineRule="auto"/>
        <w:jc w:val="center"/>
        <w:rPr>
          <w:iCs/>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0"/>
        <w:gridCol w:w="976"/>
        <w:gridCol w:w="1024"/>
        <w:gridCol w:w="548"/>
        <w:gridCol w:w="977"/>
        <w:gridCol w:w="1024"/>
        <w:gridCol w:w="548"/>
        <w:gridCol w:w="977"/>
        <w:gridCol w:w="1024"/>
        <w:gridCol w:w="548"/>
        <w:gridCol w:w="975"/>
      </w:tblGrid>
      <w:tr w:rsidR="00000000">
        <w:tblPrEx>
          <w:tblCellMar>
            <w:top w:w="0" w:type="dxa"/>
            <w:bottom w:w="0" w:type="dxa"/>
          </w:tblCellMar>
        </w:tblPrEx>
        <w:trPr>
          <w:cantSplit/>
        </w:trPr>
        <w:tc>
          <w:tcPr>
            <w:tcW w:w="790" w:type="dxa"/>
            <w:vMerge w:val="restart"/>
            <w:vAlign w:val="center"/>
          </w:tcPr>
          <w:p w:rsidR="00000000" w:rsidRDefault="00000000">
            <w:pPr>
              <w:pStyle w:val="Num-DocParagraph"/>
              <w:spacing w:line="288" w:lineRule="auto"/>
              <w:jc w:val="center"/>
              <w:rPr>
                <w:sz w:val="20"/>
                <w:lang w:val="ru-RU"/>
              </w:rPr>
            </w:pPr>
            <w:r>
              <w:rPr>
                <w:sz w:val="20"/>
                <w:lang w:val="ru-RU"/>
              </w:rPr>
              <w:t>Год вакци</w:t>
            </w:r>
            <w:r>
              <w:rPr>
                <w:sz w:val="20"/>
                <w:lang w:val="ru-RU"/>
              </w:rPr>
              <w:softHyphen/>
              <w:t>нации</w:t>
            </w:r>
          </w:p>
        </w:tc>
        <w:tc>
          <w:tcPr>
            <w:tcW w:w="8621" w:type="dxa"/>
            <w:gridSpan w:val="10"/>
            <w:vAlign w:val="center"/>
          </w:tcPr>
          <w:p w:rsidR="00000000" w:rsidRDefault="00000000">
            <w:pPr>
              <w:pStyle w:val="Num-DocParagraph"/>
              <w:spacing w:after="0"/>
              <w:jc w:val="center"/>
              <w:rPr>
                <w:sz w:val="20"/>
                <w:lang w:val="ru-RU"/>
              </w:rPr>
            </w:pPr>
            <w:r>
              <w:rPr>
                <w:sz w:val="20"/>
                <w:lang w:val="ru-RU"/>
              </w:rPr>
              <w:t>Тип вакцинации</w:t>
            </w:r>
          </w:p>
        </w:tc>
      </w:tr>
      <w:tr w:rsidR="00000000">
        <w:tblPrEx>
          <w:tblCellMar>
            <w:top w:w="0" w:type="dxa"/>
            <w:bottom w:w="0" w:type="dxa"/>
          </w:tblCellMar>
        </w:tblPrEx>
        <w:trPr>
          <w:cantSplit/>
        </w:trPr>
        <w:tc>
          <w:tcPr>
            <w:tcW w:w="790" w:type="dxa"/>
            <w:vMerge/>
            <w:vAlign w:val="center"/>
          </w:tcPr>
          <w:p w:rsidR="00000000" w:rsidRDefault="00000000">
            <w:pPr>
              <w:pStyle w:val="Num-DocParagraph"/>
              <w:spacing w:line="288" w:lineRule="auto"/>
              <w:jc w:val="center"/>
              <w:rPr>
                <w:sz w:val="20"/>
                <w:lang w:val="ru-RU"/>
              </w:rPr>
            </w:pPr>
          </w:p>
        </w:tc>
        <w:tc>
          <w:tcPr>
            <w:tcW w:w="2548" w:type="dxa"/>
            <w:gridSpan w:val="3"/>
            <w:vAlign w:val="center"/>
          </w:tcPr>
          <w:p w:rsidR="00000000" w:rsidRDefault="00000000">
            <w:pPr>
              <w:pStyle w:val="Num-DocParagraph"/>
              <w:spacing w:after="0"/>
              <w:jc w:val="center"/>
              <w:rPr>
                <w:sz w:val="20"/>
                <w:lang w:val="ru-RU"/>
              </w:rPr>
            </w:pPr>
            <w:r>
              <w:rPr>
                <w:sz w:val="20"/>
                <w:lang w:val="ru-RU"/>
              </w:rPr>
              <w:t>Дифтерия, столбняк, коклюш</w:t>
            </w:r>
          </w:p>
        </w:tc>
        <w:tc>
          <w:tcPr>
            <w:tcW w:w="2549" w:type="dxa"/>
            <w:gridSpan w:val="3"/>
            <w:vAlign w:val="center"/>
          </w:tcPr>
          <w:p w:rsidR="00000000" w:rsidRDefault="00000000">
            <w:pPr>
              <w:pStyle w:val="Num-DocParagraph"/>
              <w:spacing w:after="0"/>
              <w:jc w:val="center"/>
              <w:rPr>
                <w:sz w:val="20"/>
                <w:lang w:val="ru-RU"/>
              </w:rPr>
            </w:pPr>
            <w:r>
              <w:rPr>
                <w:sz w:val="20"/>
                <w:lang w:val="ru-RU"/>
              </w:rPr>
              <w:t>Полиомиелит</w:t>
            </w:r>
          </w:p>
        </w:tc>
        <w:tc>
          <w:tcPr>
            <w:tcW w:w="2549" w:type="dxa"/>
            <w:gridSpan w:val="3"/>
            <w:vAlign w:val="center"/>
          </w:tcPr>
          <w:p w:rsidR="00000000" w:rsidRDefault="00000000">
            <w:pPr>
              <w:pStyle w:val="Num-DocParagraph"/>
              <w:spacing w:after="0"/>
              <w:jc w:val="center"/>
              <w:rPr>
                <w:sz w:val="20"/>
                <w:lang w:val="ru-RU"/>
              </w:rPr>
            </w:pPr>
            <w:proofErr w:type="spellStart"/>
            <w:r>
              <w:rPr>
                <w:sz w:val="20"/>
                <w:lang w:val="ru-RU"/>
              </w:rPr>
              <w:t>КПК</w:t>
            </w:r>
            <w:proofErr w:type="spellEnd"/>
            <w:r>
              <w:rPr>
                <w:sz w:val="20"/>
                <w:lang w:val="ru-RU"/>
              </w:rPr>
              <w:t>, второй год</w:t>
            </w:r>
          </w:p>
        </w:tc>
        <w:tc>
          <w:tcPr>
            <w:tcW w:w="975" w:type="dxa"/>
            <w:vAlign w:val="center"/>
          </w:tcPr>
          <w:p w:rsidR="00000000" w:rsidRDefault="00000000">
            <w:pPr>
              <w:pStyle w:val="Num-DocParagraph"/>
              <w:spacing w:after="0"/>
              <w:jc w:val="center"/>
              <w:rPr>
                <w:sz w:val="20"/>
                <w:lang w:val="ru-RU"/>
              </w:rPr>
            </w:pPr>
            <w:proofErr w:type="spellStart"/>
            <w:r>
              <w:rPr>
                <w:sz w:val="20"/>
                <w:lang w:val="ru-RU"/>
              </w:rPr>
              <w:t>БЦЖ</w:t>
            </w:r>
            <w:proofErr w:type="spellEnd"/>
          </w:p>
        </w:tc>
      </w:tr>
      <w:tr w:rsidR="00000000">
        <w:tblPrEx>
          <w:tblCellMar>
            <w:top w:w="0" w:type="dxa"/>
            <w:bottom w:w="0" w:type="dxa"/>
          </w:tblCellMar>
        </w:tblPrEx>
        <w:trPr>
          <w:cantSplit/>
        </w:trPr>
        <w:tc>
          <w:tcPr>
            <w:tcW w:w="790" w:type="dxa"/>
            <w:vMerge/>
            <w:tcBorders>
              <w:bottom w:val="single" w:sz="4" w:space="0" w:color="auto"/>
            </w:tcBorders>
            <w:vAlign w:val="center"/>
          </w:tcPr>
          <w:p w:rsidR="00000000" w:rsidRDefault="00000000">
            <w:pPr>
              <w:pStyle w:val="Num-DocParagraph"/>
              <w:spacing w:after="0" w:line="288" w:lineRule="auto"/>
              <w:jc w:val="center"/>
              <w:rPr>
                <w:sz w:val="20"/>
                <w:lang w:val="ru-RU"/>
              </w:rPr>
            </w:pPr>
          </w:p>
        </w:tc>
        <w:tc>
          <w:tcPr>
            <w:tcW w:w="976"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Заплани-ровано</w:t>
            </w:r>
            <w:proofErr w:type="spellEnd"/>
          </w:p>
        </w:tc>
        <w:tc>
          <w:tcPr>
            <w:tcW w:w="1024"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Вакцини-ровано</w:t>
            </w:r>
            <w:proofErr w:type="spellEnd"/>
          </w:p>
        </w:tc>
        <w:tc>
          <w:tcPr>
            <w:tcW w:w="548" w:type="dxa"/>
            <w:tcBorders>
              <w:bottom w:val="single" w:sz="4" w:space="0" w:color="auto"/>
            </w:tcBorders>
            <w:vAlign w:val="center"/>
          </w:tcPr>
          <w:p w:rsidR="00000000" w:rsidRDefault="00000000">
            <w:pPr>
              <w:pStyle w:val="Num-DocParagraph"/>
              <w:spacing w:after="0"/>
              <w:jc w:val="center"/>
              <w:rPr>
                <w:sz w:val="20"/>
                <w:lang w:val="ru-RU"/>
              </w:rPr>
            </w:pPr>
            <w:r>
              <w:rPr>
                <w:sz w:val="20"/>
                <w:lang w:val="ru-RU"/>
              </w:rPr>
              <w:t>%</w:t>
            </w:r>
          </w:p>
        </w:tc>
        <w:tc>
          <w:tcPr>
            <w:tcW w:w="977"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Заплани-ровано</w:t>
            </w:r>
            <w:proofErr w:type="spellEnd"/>
          </w:p>
        </w:tc>
        <w:tc>
          <w:tcPr>
            <w:tcW w:w="1024"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Вакцини-ровано</w:t>
            </w:r>
            <w:proofErr w:type="spellEnd"/>
          </w:p>
        </w:tc>
        <w:tc>
          <w:tcPr>
            <w:tcW w:w="548" w:type="dxa"/>
            <w:tcBorders>
              <w:bottom w:val="single" w:sz="4" w:space="0" w:color="auto"/>
            </w:tcBorders>
            <w:vAlign w:val="center"/>
          </w:tcPr>
          <w:p w:rsidR="00000000" w:rsidRDefault="00000000">
            <w:pPr>
              <w:pStyle w:val="Num-DocParagraph"/>
              <w:spacing w:after="0"/>
              <w:jc w:val="center"/>
              <w:rPr>
                <w:sz w:val="20"/>
                <w:lang w:val="ru-RU"/>
              </w:rPr>
            </w:pPr>
            <w:r>
              <w:rPr>
                <w:sz w:val="20"/>
                <w:lang w:val="ru-RU"/>
              </w:rPr>
              <w:t>%</w:t>
            </w:r>
          </w:p>
        </w:tc>
        <w:tc>
          <w:tcPr>
            <w:tcW w:w="977"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Заплани-ровано</w:t>
            </w:r>
            <w:proofErr w:type="spellEnd"/>
          </w:p>
        </w:tc>
        <w:tc>
          <w:tcPr>
            <w:tcW w:w="1024"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Вакцини-ровано</w:t>
            </w:r>
            <w:proofErr w:type="spellEnd"/>
          </w:p>
        </w:tc>
        <w:tc>
          <w:tcPr>
            <w:tcW w:w="548" w:type="dxa"/>
            <w:tcBorders>
              <w:bottom w:val="single" w:sz="4" w:space="0" w:color="auto"/>
            </w:tcBorders>
            <w:vAlign w:val="center"/>
          </w:tcPr>
          <w:p w:rsidR="00000000" w:rsidRDefault="00000000">
            <w:pPr>
              <w:pStyle w:val="Num-DocParagraph"/>
              <w:spacing w:after="0"/>
              <w:jc w:val="center"/>
              <w:rPr>
                <w:sz w:val="20"/>
                <w:lang w:val="ru-RU"/>
              </w:rPr>
            </w:pPr>
            <w:r>
              <w:rPr>
                <w:sz w:val="20"/>
                <w:lang w:val="ru-RU"/>
              </w:rPr>
              <w:t>%</w:t>
            </w:r>
          </w:p>
        </w:tc>
        <w:tc>
          <w:tcPr>
            <w:tcW w:w="975" w:type="dxa"/>
            <w:tcBorders>
              <w:bottom w:val="single" w:sz="4" w:space="0" w:color="auto"/>
            </w:tcBorders>
            <w:vAlign w:val="center"/>
          </w:tcPr>
          <w:p w:rsidR="00000000" w:rsidRDefault="00000000">
            <w:pPr>
              <w:pStyle w:val="Num-DocParagraph"/>
              <w:spacing w:after="0"/>
              <w:jc w:val="center"/>
              <w:rPr>
                <w:sz w:val="20"/>
                <w:lang w:val="ru-RU"/>
              </w:rPr>
            </w:pPr>
            <w:proofErr w:type="spellStart"/>
            <w:r>
              <w:rPr>
                <w:sz w:val="20"/>
                <w:lang w:val="ru-RU"/>
              </w:rPr>
              <w:t>Заплани-ровано</w:t>
            </w:r>
            <w:proofErr w:type="spellEnd"/>
          </w:p>
        </w:tc>
      </w:tr>
      <w:tr w:rsidR="00000000">
        <w:tblPrEx>
          <w:tblCellMar>
            <w:top w:w="0" w:type="dxa"/>
            <w:bottom w:w="0" w:type="dxa"/>
          </w:tblCellMar>
        </w:tblPrEx>
        <w:trPr>
          <w:cantSplit/>
        </w:trPr>
        <w:tc>
          <w:tcPr>
            <w:tcW w:w="790" w:type="dxa"/>
            <w:tcBorders>
              <w:bottom w:val="nil"/>
            </w:tcBorders>
          </w:tcPr>
          <w:p w:rsidR="00000000" w:rsidRDefault="00000000">
            <w:pPr>
              <w:pStyle w:val="Num-DocParagraph"/>
              <w:spacing w:after="0" w:line="288" w:lineRule="auto"/>
              <w:jc w:val="center"/>
              <w:rPr>
                <w:sz w:val="20"/>
                <w:lang w:val="ru-RU"/>
              </w:rPr>
            </w:pPr>
            <w:r>
              <w:rPr>
                <w:sz w:val="20"/>
                <w:lang w:val="ru-RU"/>
              </w:rPr>
              <w:t>1992</w:t>
            </w:r>
          </w:p>
        </w:tc>
        <w:tc>
          <w:tcPr>
            <w:tcW w:w="976" w:type="dxa"/>
            <w:tcBorders>
              <w:bottom w:val="nil"/>
            </w:tcBorders>
          </w:tcPr>
          <w:p w:rsidR="00000000" w:rsidRDefault="00000000">
            <w:pPr>
              <w:tabs>
                <w:tab w:val="clear" w:pos="567"/>
              </w:tabs>
              <w:jc w:val="right"/>
              <w:rPr>
                <w:sz w:val="20"/>
              </w:rPr>
            </w:pPr>
            <w:r>
              <w:rPr>
                <w:sz w:val="20"/>
              </w:rPr>
              <w:t>25 021</w:t>
            </w:r>
          </w:p>
        </w:tc>
        <w:tc>
          <w:tcPr>
            <w:tcW w:w="1024" w:type="dxa"/>
            <w:tcBorders>
              <w:bottom w:val="nil"/>
            </w:tcBorders>
          </w:tcPr>
          <w:p w:rsidR="00000000" w:rsidRDefault="00000000">
            <w:pPr>
              <w:tabs>
                <w:tab w:val="clear" w:pos="567"/>
              </w:tabs>
              <w:ind w:right="25"/>
              <w:jc w:val="right"/>
              <w:rPr>
                <w:sz w:val="20"/>
              </w:rPr>
            </w:pPr>
            <w:r>
              <w:rPr>
                <w:sz w:val="20"/>
              </w:rPr>
              <w:t>24 985</w:t>
            </w:r>
          </w:p>
        </w:tc>
        <w:tc>
          <w:tcPr>
            <w:tcW w:w="548" w:type="dxa"/>
            <w:tcBorders>
              <w:bottom w:val="nil"/>
            </w:tcBorders>
            <w:tcMar>
              <w:left w:w="57" w:type="dxa"/>
            </w:tcMar>
          </w:tcPr>
          <w:p w:rsidR="00000000" w:rsidRDefault="00000000">
            <w:pPr>
              <w:rPr>
                <w:sz w:val="20"/>
              </w:rPr>
            </w:pPr>
            <w:r>
              <w:rPr>
                <w:sz w:val="20"/>
              </w:rPr>
              <w:t>99,8</w:t>
            </w:r>
          </w:p>
        </w:tc>
        <w:tc>
          <w:tcPr>
            <w:tcW w:w="977" w:type="dxa"/>
            <w:tcBorders>
              <w:bottom w:val="nil"/>
            </w:tcBorders>
          </w:tcPr>
          <w:p w:rsidR="00000000" w:rsidRDefault="00000000">
            <w:pPr>
              <w:tabs>
                <w:tab w:val="clear" w:pos="567"/>
              </w:tabs>
              <w:ind w:right="-18"/>
              <w:jc w:val="right"/>
              <w:rPr>
                <w:sz w:val="20"/>
              </w:rPr>
            </w:pPr>
            <w:r>
              <w:rPr>
                <w:sz w:val="20"/>
              </w:rPr>
              <w:t>25 313</w:t>
            </w:r>
          </w:p>
        </w:tc>
        <w:tc>
          <w:tcPr>
            <w:tcW w:w="1024" w:type="dxa"/>
            <w:tcBorders>
              <w:bottom w:val="nil"/>
            </w:tcBorders>
          </w:tcPr>
          <w:p w:rsidR="00000000" w:rsidRDefault="00000000">
            <w:pPr>
              <w:tabs>
                <w:tab w:val="clear" w:pos="567"/>
              </w:tabs>
              <w:ind w:right="29"/>
              <w:jc w:val="right"/>
              <w:rPr>
                <w:sz w:val="20"/>
              </w:rPr>
            </w:pPr>
            <w:r>
              <w:rPr>
                <w:sz w:val="20"/>
              </w:rPr>
              <w:t>24 996</w:t>
            </w:r>
          </w:p>
        </w:tc>
        <w:tc>
          <w:tcPr>
            <w:tcW w:w="548" w:type="dxa"/>
            <w:tcBorders>
              <w:bottom w:val="nil"/>
            </w:tcBorders>
            <w:tcMar>
              <w:left w:w="57" w:type="dxa"/>
            </w:tcMar>
          </w:tcPr>
          <w:p w:rsidR="00000000" w:rsidRDefault="00000000">
            <w:pPr>
              <w:rPr>
                <w:sz w:val="20"/>
              </w:rPr>
            </w:pPr>
            <w:r>
              <w:rPr>
                <w:sz w:val="20"/>
              </w:rPr>
              <w:t>98,7</w:t>
            </w:r>
          </w:p>
        </w:tc>
        <w:tc>
          <w:tcPr>
            <w:tcW w:w="977" w:type="dxa"/>
            <w:tcBorders>
              <w:bottom w:val="nil"/>
            </w:tcBorders>
          </w:tcPr>
          <w:p w:rsidR="00000000" w:rsidRDefault="00000000">
            <w:pPr>
              <w:tabs>
                <w:tab w:val="clear" w:pos="567"/>
              </w:tabs>
              <w:jc w:val="right"/>
              <w:rPr>
                <w:sz w:val="20"/>
              </w:rPr>
            </w:pPr>
            <w:r>
              <w:rPr>
                <w:sz w:val="20"/>
              </w:rPr>
              <w:t>21 767</w:t>
            </w:r>
          </w:p>
        </w:tc>
        <w:tc>
          <w:tcPr>
            <w:tcW w:w="1024" w:type="dxa"/>
            <w:tcBorders>
              <w:bottom w:val="nil"/>
            </w:tcBorders>
          </w:tcPr>
          <w:p w:rsidR="00000000" w:rsidRDefault="00000000">
            <w:pPr>
              <w:ind w:right="16"/>
              <w:jc w:val="right"/>
              <w:rPr>
                <w:sz w:val="20"/>
              </w:rPr>
            </w:pPr>
            <w:r>
              <w:rPr>
                <w:sz w:val="20"/>
              </w:rPr>
              <w:t>20 893</w:t>
            </w:r>
          </w:p>
        </w:tc>
        <w:tc>
          <w:tcPr>
            <w:tcW w:w="548" w:type="dxa"/>
            <w:tcBorders>
              <w:bottom w:val="nil"/>
            </w:tcBorders>
            <w:tcMar>
              <w:left w:w="57" w:type="dxa"/>
            </w:tcMar>
          </w:tcPr>
          <w:p w:rsidR="00000000" w:rsidRDefault="00000000">
            <w:pPr>
              <w:rPr>
                <w:sz w:val="20"/>
              </w:rPr>
            </w:pPr>
            <w:r>
              <w:rPr>
                <w:sz w:val="20"/>
              </w:rPr>
              <w:t>95,5</w:t>
            </w:r>
          </w:p>
        </w:tc>
        <w:tc>
          <w:tcPr>
            <w:tcW w:w="975" w:type="dxa"/>
            <w:tcBorders>
              <w:bottom w:val="nil"/>
            </w:tcBorders>
          </w:tcPr>
          <w:p w:rsidR="00000000" w:rsidRDefault="00000000">
            <w:pPr>
              <w:rPr>
                <w:sz w:val="20"/>
              </w:rPr>
            </w:pP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1993</w:t>
            </w:r>
          </w:p>
        </w:tc>
        <w:tc>
          <w:tcPr>
            <w:tcW w:w="976" w:type="dxa"/>
            <w:tcBorders>
              <w:top w:val="nil"/>
              <w:bottom w:val="nil"/>
            </w:tcBorders>
          </w:tcPr>
          <w:p w:rsidR="00000000" w:rsidRDefault="00000000">
            <w:pPr>
              <w:tabs>
                <w:tab w:val="clear" w:pos="567"/>
              </w:tabs>
              <w:jc w:val="right"/>
              <w:rPr>
                <w:sz w:val="20"/>
              </w:rPr>
            </w:pPr>
            <w:r>
              <w:rPr>
                <w:sz w:val="20"/>
              </w:rPr>
              <w:t>22 264</w:t>
            </w:r>
          </w:p>
        </w:tc>
        <w:tc>
          <w:tcPr>
            <w:tcW w:w="1024" w:type="dxa"/>
            <w:tcBorders>
              <w:top w:val="nil"/>
              <w:bottom w:val="nil"/>
            </w:tcBorders>
          </w:tcPr>
          <w:p w:rsidR="00000000" w:rsidRDefault="00000000">
            <w:pPr>
              <w:tabs>
                <w:tab w:val="clear" w:pos="567"/>
              </w:tabs>
              <w:ind w:right="25"/>
              <w:jc w:val="right"/>
              <w:rPr>
                <w:sz w:val="20"/>
              </w:rPr>
            </w:pPr>
            <w:r>
              <w:rPr>
                <w:sz w:val="20"/>
              </w:rPr>
              <w:t>21 358</w:t>
            </w:r>
          </w:p>
        </w:tc>
        <w:tc>
          <w:tcPr>
            <w:tcW w:w="548" w:type="dxa"/>
            <w:tcBorders>
              <w:top w:val="nil"/>
              <w:bottom w:val="nil"/>
            </w:tcBorders>
            <w:tcMar>
              <w:left w:w="57" w:type="dxa"/>
            </w:tcMar>
          </w:tcPr>
          <w:p w:rsidR="00000000" w:rsidRDefault="00000000">
            <w:pPr>
              <w:rPr>
                <w:sz w:val="20"/>
              </w:rPr>
            </w:pPr>
            <w:r>
              <w:rPr>
                <w:sz w:val="20"/>
              </w:rPr>
              <w:t>96</w:t>
            </w:r>
          </w:p>
        </w:tc>
        <w:tc>
          <w:tcPr>
            <w:tcW w:w="977" w:type="dxa"/>
            <w:tcBorders>
              <w:top w:val="nil"/>
              <w:bottom w:val="nil"/>
            </w:tcBorders>
          </w:tcPr>
          <w:p w:rsidR="00000000" w:rsidRDefault="00000000">
            <w:pPr>
              <w:tabs>
                <w:tab w:val="clear" w:pos="567"/>
              </w:tabs>
              <w:ind w:right="-18"/>
              <w:jc w:val="right"/>
              <w:rPr>
                <w:sz w:val="20"/>
              </w:rPr>
            </w:pPr>
            <w:r>
              <w:rPr>
                <w:sz w:val="20"/>
              </w:rPr>
              <w:t>22 468</w:t>
            </w:r>
          </w:p>
        </w:tc>
        <w:tc>
          <w:tcPr>
            <w:tcW w:w="1024" w:type="dxa"/>
            <w:tcBorders>
              <w:top w:val="nil"/>
              <w:bottom w:val="nil"/>
            </w:tcBorders>
          </w:tcPr>
          <w:p w:rsidR="00000000" w:rsidRDefault="00000000">
            <w:pPr>
              <w:tabs>
                <w:tab w:val="clear" w:pos="567"/>
              </w:tabs>
              <w:ind w:right="29"/>
              <w:jc w:val="right"/>
              <w:rPr>
                <w:sz w:val="20"/>
              </w:rPr>
            </w:pPr>
            <w:r>
              <w:rPr>
                <w:sz w:val="20"/>
              </w:rPr>
              <w:t>21 525</w:t>
            </w:r>
          </w:p>
        </w:tc>
        <w:tc>
          <w:tcPr>
            <w:tcW w:w="548" w:type="dxa"/>
            <w:tcBorders>
              <w:top w:val="nil"/>
              <w:bottom w:val="nil"/>
            </w:tcBorders>
            <w:tcMar>
              <w:left w:w="57" w:type="dxa"/>
            </w:tcMar>
          </w:tcPr>
          <w:p w:rsidR="00000000" w:rsidRDefault="00000000">
            <w:pPr>
              <w:rPr>
                <w:sz w:val="20"/>
              </w:rPr>
            </w:pPr>
            <w:r>
              <w:rPr>
                <w:sz w:val="20"/>
              </w:rPr>
              <w:t>96</w:t>
            </w:r>
          </w:p>
        </w:tc>
        <w:tc>
          <w:tcPr>
            <w:tcW w:w="977" w:type="dxa"/>
            <w:tcBorders>
              <w:top w:val="nil"/>
              <w:bottom w:val="nil"/>
            </w:tcBorders>
          </w:tcPr>
          <w:p w:rsidR="00000000" w:rsidRDefault="00000000">
            <w:pPr>
              <w:tabs>
                <w:tab w:val="clear" w:pos="567"/>
              </w:tabs>
              <w:jc w:val="right"/>
              <w:rPr>
                <w:sz w:val="20"/>
              </w:rPr>
            </w:pPr>
            <w:r>
              <w:rPr>
                <w:sz w:val="20"/>
              </w:rPr>
              <w:t>17 491</w:t>
            </w:r>
          </w:p>
        </w:tc>
        <w:tc>
          <w:tcPr>
            <w:tcW w:w="1024" w:type="dxa"/>
            <w:tcBorders>
              <w:top w:val="nil"/>
              <w:bottom w:val="nil"/>
            </w:tcBorders>
          </w:tcPr>
          <w:p w:rsidR="00000000" w:rsidRDefault="00000000">
            <w:pPr>
              <w:ind w:right="16"/>
              <w:jc w:val="right"/>
              <w:rPr>
                <w:sz w:val="20"/>
              </w:rPr>
            </w:pPr>
            <w:r>
              <w:rPr>
                <w:sz w:val="20"/>
              </w:rPr>
              <w:t>16 987</w:t>
            </w:r>
          </w:p>
        </w:tc>
        <w:tc>
          <w:tcPr>
            <w:tcW w:w="548" w:type="dxa"/>
            <w:tcBorders>
              <w:top w:val="nil"/>
              <w:bottom w:val="nil"/>
            </w:tcBorders>
            <w:tcMar>
              <w:left w:w="57" w:type="dxa"/>
            </w:tcMar>
          </w:tcPr>
          <w:p w:rsidR="00000000" w:rsidRDefault="00000000">
            <w:pPr>
              <w:rPr>
                <w:sz w:val="20"/>
              </w:rPr>
            </w:pPr>
            <w:r>
              <w:rPr>
                <w:sz w:val="20"/>
              </w:rPr>
              <w:t>97</w:t>
            </w:r>
          </w:p>
        </w:tc>
        <w:tc>
          <w:tcPr>
            <w:tcW w:w="975" w:type="dxa"/>
            <w:tcBorders>
              <w:top w:val="nil"/>
              <w:bottom w:val="nil"/>
            </w:tcBorders>
          </w:tcPr>
          <w:p w:rsidR="00000000" w:rsidRDefault="00000000">
            <w:pPr>
              <w:rPr>
                <w:sz w:val="20"/>
              </w:rPr>
            </w:pP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1994</w:t>
            </w:r>
          </w:p>
        </w:tc>
        <w:tc>
          <w:tcPr>
            <w:tcW w:w="976" w:type="dxa"/>
            <w:tcBorders>
              <w:top w:val="nil"/>
              <w:bottom w:val="nil"/>
            </w:tcBorders>
          </w:tcPr>
          <w:p w:rsidR="00000000" w:rsidRDefault="00000000">
            <w:pPr>
              <w:tabs>
                <w:tab w:val="clear" w:pos="567"/>
              </w:tabs>
              <w:jc w:val="right"/>
              <w:rPr>
                <w:sz w:val="20"/>
              </w:rPr>
            </w:pPr>
            <w:r>
              <w:rPr>
                <w:sz w:val="20"/>
              </w:rPr>
              <w:t>23 944</w:t>
            </w:r>
          </w:p>
        </w:tc>
        <w:tc>
          <w:tcPr>
            <w:tcW w:w="1024" w:type="dxa"/>
            <w:tcBorders>
              <w:top w:val="nil"/>
              <w:bottom w:val="nil"/>
            </w:tcBorders>
          </w:tcPr>
          <w:p w:rsidR="00000000" w:rsidRDefault="00000000">
            <w:pPr>
              <w:tabs>
                <w:tab w:val="clear" w:pos="567"/>
              </w:tabs>
              <w:ind w:right="25"/>
              <w:jc w:val="right"/>
              <w:rPr>
                <w:sz w:val="20"/>
              </w:rPr>
            </w:pPr>
            <w:r>
              <w:rPr>
                <w:sz w:val="20"/>
              </w:rPr>
              <w:t>22 588</w:t>
            </w:r>
          </w:p>
        </w:tc>
        <w:tc>
          <w:tcPr>
            <w:tcW w:w="548" w:type="dxa"/>
            <w:tcBorders>
              <w:top w:val="nil"/>
              <w:bottom w:val="nil"/>
            </w:tcBorders>
            <w:tcMar>
              <w:left w:w="57" w:type="dxa"/>
            </w:tcMar>
          </w:tcPr>
          <w:p w:rsidR="00000000" w:rsidRDefault="00000000">
            <w:pPr>
              <w:rPr>
                <w:sz w:val="20"/>
              </w:rPr>
            </w:pPr>
            <w:r>
              <w:rPr>
                <w:sz w:val="20"/>
              </w:rPr>
              <w:t>94</w:t>
            </w:r>
          </w:p>
        </w:tc>
        <w:tc>
          <w:tcPr>
            <w:tcW w:w="977" w:type="dxa"/>
            <w:tcBorders>
              <w:top w:val="nil"/>
              <w:bottom w:val="nil"/>
            </w:tcBorders>
          </w:tcPr>
          <w:p w:rsidR="00000000" w:rsidRDefault="00000000">
            <w:pPr>
              <w:tabs>
                <w:tab w:val="clear" w:pos="567"/>
              </w:tabs>
              <w:ind w:right="-18"/>
              <w:jc w:val="right"/>
              <w:rPr>
                <w:sz w:val="20"/>
              </w:rPr>
            </w:pPr>
            <w:r>
              <w:rPr>
                <w:sz w:val="20"/>
              </w:rPr>
              <w:t>24 046</w:t>
            </w:r>
          </w:p>
        </w:tc>
        <w:tc>
          <w:tcPr>
            <w:tcW w:w="1024" w:type="dxa"/>
            <w:tcBorders>
              <w:top w:val="nil"/>
              <w:bottom w:val="nil"/>
            </w:tcBorders>
          </w:tcPr>
          <w:p w:rsidR="00000000" w:rsidRDefault="00000000">
            <w:pPr>
              <w:tabs>
                <w:tab w:val="clear" w:pos="567"/>
              </w:tabs>
              <w:ind w:right="29"/>
              <w:jc w:val="right"/>
              <w:rPr>
                <w:sz w:val="20"/>
              </w:rPr>
            </w:pPr>
            <w:r>
              <w:rPr>
                <w:sz w:val="20"/>
              </w:rPr>
              <w:t>22 780</w:t>
            </w:r>
          </w:p>
        </w:tc>
        <w:tc>
          <w:tcPr>
            <w:tcW w:w="548" w:type="dxa"/>
            <w:tcBorders>
              <w:top w:val="nil"/>
              <w:bottom w:val="nil"/>
            </w:tcBorders>
            <w:tcMar>
              <w:left w:w="57" w:type="dxa"/>
            </w:tcMar>
          </w:tcPr>
          <w:p w:rsidR="00000000" w:rsidRDefault="00000000">
            <w:pPr>
              <w:rPr>
                <w:sz w:val="20"/>
              </w:rPr>
            </w:pPr>
            <w:r>
              <w:rPr>
                <w:sz w:val="20"/>
              </w:rPr>
              <w:t>94</w:t>
            </w:r>
          </w:p>
        </w:tc>
        <w:tc>
          <w:tcPr>
            <w:tcW w:w="977" w:type="dxa"/>
            <w:tcBorders>
              <w:top w:val="nil"/>
              <w:bottom w:val="nil"/>
            </w:tcBorders>
          </w:tcPr>
          <w:p w:rsidR="00000000" w:rsidRDefault="00000000">
            <w:pPr>
              <w:tabs>
                <w:tab w:val="clear" w:pos="567"/>
              </w:tabs>
              <w:jc w:val="right"/>
              <w:rPr>
                <w:sz w:val="20"/>
              </w:rPr>
            </w:pPr>
            <w:r>
              <w:rPr>
                <w:sz w:val="20"/>
              </w:rPr>
              <w:t>21 098</w:t>
            </w:r>
          </w:p>
        </w:tc>
        <w:tc>
          <w:tcPr>
            <w:tcW w:w="1024" w:type="dxa"/>
            <w:tcBorders>
              <w:top w:val="nil"/>
              <w:bottom w:val="nil"/>
            </w:tcBorders>
          </w:tcPr>
          <w:p w:rsidR="00000000" w:rsidRDefault="00000000">
            <w:pPr>
              <w:ind w:right="16"/>
              <w:jc w:val="right"/>
              <w:rPr>
                <w:sz w:val="20"/>
              </w:rPr>
            </w:pPr>
            <w:r>
              <w:rPr>
                <w:sz w:val="20"/>
              </w:rPr>
              <w:t>19 527</w:t>
            </w:r>
          </w:p>
        </w:tc>
        <w:tc>
          <w:tcPr>
            <w:tcW w:w="548" w:type="dxa"/>
            <w:tcBorders>
              <w:top w:val="nil"/>
              <w:bottom w:val="nil"/>
            </w:tcBorders>
            <w:tcMar>
              <w:left w:w="57" w:type="dxa"/>
            </w:tcMar>
          </w:tcPr>
          <w:p w:rsidR="00000000" w:rsidRDefault="00000000">
            <w:pPr>
              <w:rPr>
                <w:sz w:val="20"/>
              </w:rPr>
            </w:pPr>
            <w:r>
              <w:rPr>
                <w:sz w:val="20"/>
              </w:rPr>
              <w:t>92</w:t>
            </w:r>
          </w:p>
        </w:tc>
        <w:tc>
          <w:tcPr>
            <w:tcW w:w="975" w:type="dxa"/>
            <w:tcBorders>
              <w:top w:val="nil"/>
              <w:bottom w:val="nil"/>
            </w:tcBorders>
          </w:tcPr>
          <w:p w:rsidR="00000000" w:rsidRDefault="00000000">
            <w:pPr>
              <w:ind w:right="99"/>
              <w:jc w:val="right"/>
              <w:rPr>
                <w:sz w:val="20"/>
              </w:rPr>
            </w:pPr>
            <w:r>
              <w:rPr>
                <w:sz w:val="20"/>
              </w:rPr>
              <w:t>24 292</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1995</w:t>
            </w:r>
          </w:p>
        </w:tc>
        <w:tc>
          <w:tcPr>
            <w:tcW w:w="976" w:type="dxa"/>
            <w:tcBorders>
              <w:top w:val="nil"/>
              <w:bottom w:val="nil"/>
            </w:tcBorders>
          </w:tcPr>
          <w:p w:rsidR="00000000" w:rsidRDefault="00000000">
            <w:pPr>
              <w:tabs>
                <w:tab w:val="clear" w:pos="567"/>
              </w:tabs>
              <w:jc w:val="right"/>
              <w:rPr>
                <w:sz w:val="20"/>
              </w:rPr>
            </w:pPr>
            <w:r>
              <w:rPr>
                <w:sz w:val="20"/>
              </w:rPr>
              <w:t>22 240</w:t>
            </w:r>
          </w:p>
        </w:tc>
        <w:tc>
          <w:tcPr>
            <w:tcW w:w="1024" w:type="dxa"/>
            <w:tcBorders>
              <w:top w:val="nil"/>
              <w:bottom w:val="nil"/>
            </w:tcBorders>
          </w:tcPr>
          <w:p w:rsidR="00000000" w:rsidRDefault="00000000">
            <w:pPr>
              <w:tabs>
                <w:tab w:val="clear" w:pos="567"/>
              </w:tabs>
              <w:ind w:right="25"/>
              <w:jc w:val="right"/>
              <w:rPr>
                <w:sz w:val="20"/>
              </w:rPr>
            </w:pPr>
            <w:r>
              <w:rPr>
                <w:sz w:val="20"/>
              </w:rPr>
              <w:t>21 074</w:t>
            </w:r>
          </w:p>
        </w:tc>
        <w:tc>
          <w:tcPr>
            <w:tcW w:w="548" w:type="dxa"/>
            <w:tcBorders>
              <w:top w:val="nil"/>
              <w:bottom w:val="nil"/>
            </w:tcBorders>
            <w:tcMar>
              <w:left w:w="57" w:type="dxa"/>
            </w:tcMar>
          </w:tcPr>
          <w:p w:rsidR="00000000" w:rsidRDefault="00000000">
            <w:pPr>
              <w:rPr>
                <w:sz w:val="20"/>
              </w:rPr>
            </w:pPr>
            <w:r>
              <w:rPr>
                <w:sz w:val="20"/>
              </w:rPr>
              <w:t>94,7</w:t>
            </w:r>
          </w:p>
        </w:tc>
        <w:tc>
          <w:tcPr>
            <w:tcW w:w="977" w:type="dxa"/>
            <w:tcBorders>
              <w:top w:val="nil"/>
              <w:bottom w:val="nil"/>
            </w:tcBorders>
          </w:tcPr>
          <w:p w:rsidR="00000000" w:rsidRDefault="00000000">
            <w:pPr>
              <w:tabs>
                <w:tab w:val="clear" w:pos="567"/>
              </w:tabs>
              <w:ind w:right="-18"/>
              <w:jc w:val="right"/>
              <w:rPr>
                <w:sz w:val="20"/>
              </w:rPr>
            </w:pPr>
            <w:r>
              <w:rPr>
                <w:sz w:val="20"/>
              </w:rPr>
              <w:t>22 341</w:t>
            </w:r>
          </w:p>
        </w:tc>
        <w:tc>
          <w:tcPr>
            <w:tcW w:w="1024" w:type="dxa"/>
            <w:tcBorders>
              <w:top w:val="nil"/>
              <w:bottom w:val="nil"/>
            </w:tcBorders>
          </w:tcPr>
          <w:p w:rsidR="00000000" w:rsidRDefault="00000000">
            <w:pPr>
              <w:tabs>
                <w:tab w:val="clear" w:pos="567"/>
              </w:tabs>
              <w:ind w:right="29"/>
              <w:jc w:val="right"/>
              <w:rPr>
                <w:sz w:val="20"/>
              </w:rPr>
            </w:pPr>
            <w:r>
              <w:rPr>
                <w:sz w:val="20"/>
              </w:rPr>
              <w:t>21 365</w:t>
            </w:r>
          </w:p>
        </w:tc>
        <w:tc>
          <w:tcPr>
            <w:tcW w:w="548" w:type="dxa"/>
            <w:tcBorders>
              <w:top w:val="nil"/>
              <w:bottom w:val="nil"/>
            </w:tcBorders>
            <w:tcMar>
              <w:left w:w="57" w:type="dxa"/>
            </w:tcMar>
          </w:tcPr>
          <w:p w:rsidR="00000000" w:rsidRDefault="00000000">
            <w:pPr>
              <w:rPr>
                <w:sz w:val="20"/>
              </w:rPr>
            </w:pPr>
            <w:r>
              <w:rPr>
                <w:sz w:val="20"/>
              </w:rPr>
              <w:t>95,6</w:t>
            </w:r>
          </w:p>
        </w:tc>
        <w:tc>
          <w:tcPr>
            <w:tcW w:w="977" w:type="dxa"/>
            <w:tcBorders>
              <w:top w:val="nil"/>
              <w:bottom w:val="nil"/>
            </w:tcBorders>
          </w:tcPr>
          <w:p w:rsidR="00000000" w:rsidRDefault="00000000">
            <w:pPr>
              <w:tabs>
                <w:tab w:val="clear" w:pos="567"/>
              </w:tabs>
              <w:jc w:val="right"/>
              <w:rPr>
                <w:sz w:val="20"/>
              </w:rPr>
            </w:pPr>
            <w:r>
              <w:rPr>
                <w:sz w:val="20"/>
              </w:rPr>
              <w:t>22 142</w:t>
            </w:r>
          </w:p>
        </w:tc>
        <w:tc>
          <w:tcPr>
            <w:tcW w:w="1024" w:type="dxa"/>
            <w:tcBorders>
              <w:top w:val="nil"/>
              <w:bottom w:val="nil"/>
            </w:tcBorders>
          </w:tcPr>
          <w:p w:rsidR="00000000" w:rsidRDefault="00000000">
            <w:pPr>
              <w:ind w:right="16"/>
              <w:jc w:val="right"/>
              <w:rPr>
                <w:sz w:val="20"/>
              </w:rPr>
            </w:pPr>
            <w:r>
              <w:rPr>
                <w:sz w:val="20"/>
              </w:rPr>
              <w:t>21 138</w:t>
            </w:r>
          </w:p>
        </w:tc>
        <w:tc>
          <w:tcPr>
            <w:tcW w:w="548" w:type="dxa"/>
            <w:tcBorders>
              <w:top w:val="nil"/>
              <w:bottom w:val="nil"/>
            </w:tcBorders>
            <w:tcMar>
              <w:left w:w="57" w:type="dxa"/>
            </w:tcMar>
          </w:tcPr>
          <w:p w:rsidR="00000000" w:rsidRDefault="00000000">
            <w:pPr>
              <w:rPr>
                <w:sz w:val="20"/>
              </w:rPr>
            </w:pPr>
            <w:r>
              <w:rPr>
                <w:sz w:val="20"/>
              </w:rPr>
              <w:t>95,5</w:t>
            </w:r>
          </w:p>
        </w:tc>
        <w:tc>
          <w:tcPr>
            <w:tcW w:w="975" w:type="dxa"/>
            <w:tcBorders>
              <w:top w:val="nil"/>
              <w:bottom w:val="nil"/>
            </w:tcBorders>
          </w:tcPr>
          <w:p w:rsidR="00000000" w:rsidRDefault="00000000">
            <w:pPr>
              <w:ind w:right="99"/>
              <w:jc w:val="right"/>
              <w:rPr>
                <w:sz w:val="20"/>
              </w:rPr>
            </w:pPr>
            <w:r>
              <w:rPr>
                <w:sz w:val="20"/>
              </w:rPr>
              <w:t>22 896</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1996</w:t>
            </w:r>
          </w:p>
        </w:tc>
        <w:tc>
          <w:tcPr>
            <w:tcW w:w="976" w:type="dxa"/>
            <w:tcBorders>
              <w:top w:val="nil"/>
              <w:bottom w:val="nil"/>
            </w:tcBorders>
          </w:tcPr>
          <w:p w:rsidR="00000000" w:rsidRDefault="00000000">
            <w:pPr>
              <w:tabs>
                <w:tab w:val="clear" w:pos="567"/>
              </w:tabs>
              <w:jc w:val="right"/>
              <w:rPr>
                <w:sz w:val="20"/>
              </w:rPr>
            </w:pPr>
            <w:r>
              <w:rPr>
                <w:sz w:val="20"/>
              </w:rPr>
              <w:t>22 220</w:t>
            </w:r>
          </w:p>
        </w:tc>
        <w:tc>
          <w:tcPr>
            <w:tcW w:w="1024" w:type="dxa"/>
            <w:tcBorders>
              <w:top w:val="nil"/>
              <w:bottom w:val="nil"/>
            </w:tcBorders>
          </w:tcPr>
          <w:p w:rsidR="00000000" w:rsidRDefault="00000000">
            <w:pPr>
              <w:tabs>
                <w:tab w:val="clear" w:pos="567"/>
              </w:tabs>
              <w:ind w:right="25"/>
              <w:jc w:val="right"/>
              <w:rPr>
                <w:sz w:val="20"/>
              </w:rPr>
            </w:pPr>
            <w:r>
              <w:rPr>
                <w:sz w:val="20"/>
              </w:rPr>
              <w:t>21 312</w:t>
            </w:r>
          </w:p>
        </w:tc>
        <w:tc>
          <w:tcPr>
            <w:tcW w:w="548" w:type="dxa"/>
            <w:tcBorders>
              <w:top w:val="nil"/>
              <w:bottom w:val="nil"/>
            </w:tcBorders>
            <w:tcMar>
              <w:left w:w="57" w:type="dxa"/>
            </w:tcMar>
          </w:tcPr>
          <w:p w:rsidR="00000000" w:rsidRDefault="00000000">
            <w:pPr>
              <w:rPr>
                <w:sz w:val="20"/>
              </w:rPr>
            </w:pPr>
            <w:r>
              <w:rPr>
                <w:sz w:val="20"/>
              </w:rPr>
              <w:t>95,5</w:t>
            </w:r>
          </w:p>
        </w:tc>
        <w:tc>
          <w:tcPr>
            <w:tcW w:w="977" w:type="dxa"/>
            <w:tcBorders>
              <w:top w:val="nil"/>
              <w:bottom w:val="nil"/>
            </w:tcBorders>
          </w:tcPr>
          <w:p w:rsidR="00000000" w:rsidRDefault="00000000">
            <w:pPr>
              <w:tabs>
                <w:tab w:val="clear" w:pos="567"/>
              </w:tabs>
              <w:ind w:right="-18"/>
              <w:jc w:val="right"/>
              <w:rPr>
                <w:sz w:val="20"/>
              </w:rPr>
            </w:pPr>
            <w:r>
              <w:rPr>
                <w:sz w:val="20"/>
              </w:rPr>
              <w:t>22 458</w:t>
            </w:r>
          </w:p>
        </w:tc>
        <w:tc>
          <w:tcPr>
            <w:tcW w:w="1024" w:type="dxa"/>
            <w:tcBorders>
              <w:top w:val="nil"/>
              <w:bottom w:val="nil"/>
            </w:tcBorders>
          </w:tcPr>
          <w:p w:rsidR="00000000" w:rsidRDefault="00000000">
            <w:pPr>
              <w:tabs>
                <w:tab w:val="clear" w:pos="567"/>
              </w:tabs>
              <w:ind w:right="29"/>
              <w:jc w:val="right"/>
              <w:rPr>
                <w:sz w:val="20"/>
              </w:rPr>
            </w:pPr>
            <w:r>
              <w:rPr>
                <w:sz w:val="20"/>
              </w:rPr>
              <w:t>21 536</w:t>
            </w:r>
          </w:p>
        </w:tc>
        <w:tc>
          <w:tcPr>
            <w:tcW w:w="548" w:type="dxa"/>
            <w:tcBorders>
              <w:top w:val="nil"/>
              <w:bottom w:val="nil"/>
            </w:tcBorders>
            <w:tcMar>
              <w:left w:w="57" w:type="dxa"/>
            </w:tcMar>
          </w:tcPr>
          <w:p w:rsidR="00000000" w:rsidRDefault="00000000">
            <w:pPr>
              <w:rPr>
                <w:sz w:val="20"/>
              </w:rPr>
            </w:pPr>
            <w:r>
              <w:rPr>
                <w:sz w:val="20"/>
              </w:rPr>
              <w:t>95,9</w:t>
            </w:r>
          </w:p>
        </w:tc>
        <w:tc>
          <w:tcPr>
            <w:tcW w:w="977" w:type="dxa"/>
            <w:tcBorders>
              <w:top w:val="nil"/>
              <w:bottom w:val="nil"/>
            </w:tcBorders>
          </w:tcPr>
          <w:p w:rsidR="00000000" w:rsidRDefault="00000000">
            <w:pPr>
              <w:tabs>
                <w:tab w:val="clear" w:pos="567"/>
              </w:tabs>
              <w:jc w:val="right"/>
              <w:rPr>
                <w:sz w:val="20"/>
              </w:rPr>
            </w:pPr>
            <w:r>
              <w:rPr>
                <w:sz w:val="20"/>
              </w:rPr>
              <w:t>23 297</w:t>
            </w:r>
          </w:p>
        </w:tc>
        <w:tc>
          <w:tcPr>
            <w:tcW w:w="1024" w:type="dxa"/>
            <w:tcBorders>
              <w:top w:val="nil"/>
              <w:bottom w:val="nil"/>
            </w:tcBorders>
          </w:tcPr>
          <w:p w:rsidR="00000000" w:rsidRDefault="00000000">
            <w:pPr>
              <w:ind w:right="16"/>
              <w:jc w:val="right"/>
              <w:rPr>
                <w:sz w:val="20"/>
              </w:rPr>
            </w:pPr>
            <w:r>
              <w:rPr>
                <w:sz w:val="20"/>
              </w:rPr>
              <w:t>22 473</w:t>
            </w:r>
          </w:p>
        </w:tc>
        <w:tc>
          <w:tcPr>
            <w:tcW w:w="548" w:type="dxa"/>
            <w:tcBorders>
              <w:top w:val="nil"/>
              <w:bottom w:val="nil"/>
            </w:tcBorders>
            <w:tcMar>
              <w:left w:w="57" w:type="dxa"/>
            </w:tcMar>
          </w:tcPr>
          <w:p w:rsidR="00000000" w:rsidRDefault="00000000">
            <w:pPr>
              <w:rPr>
                <w:sz w:val="20"/>
              </w:rPr>
            </w:pPr>
            <w:r>
              <w:rPr>
                <w:sz w:val="20"/>
              </w:rPr>
              <w:t>96,5</w:t>
            </w:r>
          </w:p>
        </w:tc>
        <w:tc>
          <w:tcPr>
            <w:tcW w:w="975" w:type="dxa"/>
            <w:tcBorders>
              <w:top w:val="nil"/>
              <w:bottom w:val="nil"/>
            </w:tcBorders>
          </w:tcPr>
          <w:p w:rsidR="00000000" w:rsidRDefault="00000000">
            <w:pPr>
              <w:ind w:right="99"/>
              <w:jc w:val="right"/>
              <w:rPr>
                <w:sz w:val="20"/>
              </w:rPr>
            </w:pPr>
            <w:r>
              <w:rPr>
                <w:sz w:val="20"/>
              </w:rPr>
              <w:t>16 057</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1997</w:t>
            </w:r>
          </w:p>
        </w:tc>
        <w:tc>
          <w:tcPr>
            <w:tcW w:w="976" w:type="dxa"/>
            <w:tcBorders>
              <w:top w:val="nil"/>
              <w:bottom w:val="nil"/>
            </w:tcBorders>
          </w:tcPr>
          <w:p w:rsidR="00000000" w:rsidRDefault="00000000">
            <w:pPr>
              <w:tabs>
                <w:tab w:val="clear" w:pos="567"/>
              </w:tabs>
              <w:jc w:val="right"/>
              <w:rPr>
                <w:sz w:val="20"/>
              </w:rPr>
            </w:pPr>
            <w:r>
              <w:rPr>
                <w:sz w:val="20"/>
              </w:rPr>
              <w:t>21 365</w:t>
            </w:r>
          </w:p>
        </w:tc>
        <w:tc>
          <w:tcPr>
            <w:tcW w:w="1024" w:type="dxa"/>
            <w:tcBorders>
              <w:top w:val="nil"/>
              <w:bottom w:val="nil"/>
            </w:tcBorders>
          </w:tcPr>
          <w:p w:rsidR="00000000" w:rsidRDefault="00000000">
            <w:pPr>
              <w:tabs>
                <w:tab w:val="clear" w:pos="567"/>
              </w:tabs>
              <w:ind w:right="25"/>
              <w:jc w:val="right"/>
              <w:rPr>
                <w:sz w:val="20"/>
              </w:rPr>
            </w:pPr>
            <w:r>
              <w:rPr>
                <w:sz w:val="20"/>
              </w:rPr>
              <w:t>20 558</w:t>
            </w:r>
          </w:p>
        </w:tc>
        <w:tc>
          <w:tcPr>
            <w:tcW w:w="548" w:type="dxa"/>
            <w:tcBorders>
              <w:top w:val="nil"/>
              <w:bottom w:val="nil"/>
            </w:tcBorders>
            <w:tcMar>
              <w:left w:w="57" w:type="dxa"/>
            </w:tcMar>
          </w:tcPr>
          <w:p w:rsidR="00000000" w:rsidRDefault="00000000">
            <w:pPr>
              <w:rPr>
                <w:sz w:val="20"/>
              </w:rPr>
            </w:pPr>
            <w:r>
              <w:rPr>
                <w:sz w:val="20"/>
              </w:rPr>
              <w:t>96,2</w:t>
            </w:r>
          </w:p>
        </w:tc>
        <w:tc>
          <w:tcPr>
            <w:tcW w:w="977" w:type="dxa"/>
            <w:tcBorders>
              <w:top w:val="nil"/>
              <w:bottom w:val="nil"/>
            </w:tcBorders>
          </w:tcPr>
          <w:p w:rsidR="00000000" w:rsidRDefault="00000000">
            <w:pPr>
              <w:tabs>
                <w:tab w:val="clear" w:pos="567"/>
              </w:tabs>
              <w:ind w:right="-18"/>
              <w:jc w:val="right"/>
              <w:rPr>
                <w:sz w:val="20"/>
              </w:rPr>
            </w:pPr>
            <w:r>
              <w:rPr>
                <w:sz w:val="20"/>
              </w:rPr>
              <w:t>21 533</w:t>
            </w:r>
          </w:p>
        </w:tc>
        <w:tc>
          <w:tcPr>
            <w:tcW w:w="1024" w:type="dxa"/>
            <w:tcBorders>
              <w:top w:val="nil"/>
              <w:bottom w:val="nil"/>
            </w:tcBorders>
          </w:tcPr>
          <w:p w:rsidR="00000000" w:rsidRDefault="00000000">
            <w:pPr>
              <w:tabs>
                <w:tab w:val="clear" w:pos="567"/>
              </w:tabs>
              <w:ind w:right="29"/>
              <w:jc w:val="right"/>
              <w:rPr>
                <w:sz w:val="20"/>
              </w:rPr>
            </w:pPr>
            <w:r>
              <w:rPr>
                <w:sz w:val="20"/>
              </w:rPr>
              <w:t>20 769</w:t>
            </w:r>
          </w:p>
        </w:tc>
        <w:tc>
          <w:tcPr>
            <w:tcW w:w="548" w:type="dxa"/>
            <w:tcBorders>
              <w:top w:val="nil"/>
              <w:bottom w:val="nil"/>
            </w:tcBorders>
            <w:tcMar>
              <w:left w:w="57" w:type="dxa"/>
            </w:tcMar>
          </w:tcPr>
          <w:p w:rsidR="00000000" w:rsidRDefault="00000000">
            <w:pPr>
              <w:rPr>
                <w:sz w:val="20"/>
              </w:rPr>
            </w:pPr>
            <w:r>
              <w:rPr>
                <w:sz w:val="20"/>
              </w:rPr>
              <w:t>96,5</w:t>
            </w:r>
          </w:p>
        </w:tc>
        <w:tc>
          <w:tcPr>
            <w:tcW w:w="977" w:type="dxa"/>
            <w:tcBorders>
              <w:top w:val="nil"/>
              <w:bottom w:val="nil"/>
            </w:tcBorders>
          </w:tcPr>
          <w:p w:rsidR="00000000" w:rsidRDefault="00000000">
            <w:pPr>
              <w:tabs>
                <w:tab w:val="clear" w:pos="567"/>
              </w:tabs>
              <w:jc w:val="right"/>
              <w:rPr>
                <w:sz w:val="20"/>
              </w:rPr>
            </w:pPr>
            <w:r>
              <w:rPr>
                <w:sz w:val="20"/>
              </w:rPr>
              <w:t>21 645</w:t>
            </w:r>
          </w:p>
        </w:tc>
        <w:tc>
          <w:tcPr>
            <w:tcW w:w="1024" w:type="dxa"/>
            <w:tcBorders>
              <w:top w:val="nil"/>
              <w:bottom w:val="nil"/>
            </w:tcBorders>
          </w:tcPr>
          <w:p w:rsidR="00000000" w:rsidRDefault="00000000">
            <w:pPr>
              <w:ind w:right="16"/>
              <w:jc w:val="right"/>
              <w:rPr>
                <w:sz w:val="20"/>
              </w:rPr>
            </w:pPr>
            <w:r>
              <w:rPr>
                <w:sz w:val="20"/>
              </w:rPr>
              <w:t>21 158</w:t>
            </w:r>
          </w:p>
        </w:tc>
        <w:tc>
          <w:tcPr>
            <w:tcW w:w="548" w:type="dxa"/>
            <w:tcBorders>
              <w:top w:val="nil"/>
              <w:bottom w:val="nil"/>
            </w:tcBorders>
            <w:tcMar>
              <w:left w:w="57" w:type="dxa"/>
            </w:tcMar>
          </w:tcPr>
          <w:p w:rsidR="00000000" w:rsidRDefault="00000000">
            <w:pPr>
              <w:rPr>
                <w:sz w:val="20"/>
              </w:rPr>
            </w:pPr>
            <w:r>
              <w:rPr>
                <w:sz w:val="20"/>
              </w:rPr>
              <w:t>97,8</w:t>
            </w:r>
          </w:p>
        </w:tc>
        <w:tc>
          <w:tcPr>
            <w:tcW w:w="975" w:type="dxa"/>
            <w:tcBorders>
              <w:top w:val="nil"/>
              <w:bottom w:val="nil"/>
            </w:tcBorders>
          </w:tcPr>
          <w:p w:rsidR="00000000" w:rsidRDefault="00000000">
            <w:pPr>
              <w:ind w:right="99"/>
              <w:jc w:val="right"/>
              <w:rPr>
                <w:sz w:val="20"/>
              </w:rPr>
            </w:pPr>
            <w:r>
              <w:rPr>
                <w:sz w:val="20"/>
              </w:rPr>
              <w:t>20 360</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1998</w:t>
            </w:r>
          </w:p>
        </w:tc>
        <w:tc>
          <w:tcPr>
            <w:tcW w:w="976" w:type="dxa"/>
            <w:tcBorders>
              <w:top w:val="nil"/>
              <w:bottom w:val="nil"/>
            </w:tcBorders>
          </w:tcPr>
          <w:p w:rsidR="00000000" w:rsidRDefault="00000000">
            <w:pPr>
              <w:tabs>
                <w:tab w:val="clear" w:pos="567"/>
              </w:tabs>
              <w:jc w:val="right"/>
              <w:rPr>
                <w:sz w:val="20"/>
              </w:rPr>
            </w:pPr>
            <w:r>
              <w:rPr>
                <w:sz w:val="20"/>
              </w:rPr>
              <w:t>20 166</w:t>
            </w:r>
          </w:p>
        </w:tc>
        <w:tc>
          <w:tcPr>
            <w:tcW w:w="1024" w:type="dxa"/>
            <w:tcBorders>
              <w:top w:val="nil"/>
              <w:bottom w:val="nil"/>
            </w:tcBorders>
          </w:tcPr>
          <w:p w:rsidR="00000000" w:rsidRDefault="00000000">
            <w:pPr>
              <w:tabs>
                <w:tab w:val="clear" w:pos="567"/>
              </w:tabs>
              <w:ind w:right="25"/>
              <w:jc w:val="right"/>
              <w:rPr>
                <w:sz w:val="20"/>
              </w:rPr>
            </w:pPr>
            <w:r>
              <w:rPr>
                <w:sz w:val="20"/>
              </w:rPr>
              <w:t>19 467</w:t>
            </w:r>
          </w:p>
        </w:tc>
        <w:tc>
          <w:tcPr>
            <w:tcW w:w="548" w:type="dxa"/>
            <w:tcBorders>
              <w:top w:val="nil"/>
              <w:bottom w:val="nil"/>
            </w:tcBorders>
            <w:tcMar>
              <w:left w:w="57" w:type="dxa"/>
            </w:tcMar>
          </w:tcPr>
          <w:p w:rsidR="00000000" w:rsidRDefault="00000000">
            <w:pPr>
              <w:rPr>
                <w:sz w:val="20"/>
              </w:rPr>
            </w:pPr>
            <w:r>
              <w:rPr>
                <w:sz w:val="20"/>
              </w:rPr>
              <w:t>96,5</w:t>
            </w:r>
          </w:p>
        </w:tc>
        <w:tc>
          <w:tcPr>
            <w:tcW w:w="977" w:type="dxa"/>
            <w:tcBorders>
              <w:top w:val="nil"/>
              <w:bottom w:val="nil"/>
            </w:tcBorders>
          </w:tcPr>
          <w:p w:rsidR="00000000" w:rsidRDefault="00000000">
            <w:pPr>
              <w:tabs>
                <w:tab w:val="clear" w:pos="567"/>
              </w:tabs>
              <w:ind w:right="-18"/>
              <w:jc w:val="right"/>
              <w:rPr>
                <w:sz w:val="20"/>
              </w:rPr>
            </w:pPr>
            <w:r>
              <w:rPr>
                <w:sz w:val="20"/>
              </w:rPr>
              <w:t>20 291</w:t>
            </w:r>
          </w:p>
        </w:tc>
        <w:tc>
          <w:tcPr>
            <w:tcW w:w="1024" w:type="dxa"/>
            <w:tcBorders>
              <w:top w:val="nil"/>
              <w:bottom w:val="nil"/>
            </w:tcBorders>
          </w:tcPr>
          <w:p w:rsidR="00000000" w:rsidRDefault="00000000">
            <w:pPr>
              <w:tabs>
                <w:tab w:val="clear" w:pos="567"/>
              </w:tabs>
              <w:ind w:right="29"/>
              <w:jc w:val="right"/>
              <w:rPr>
                <w:sz w:val="20"/>
              </w:rPr>
            </w:pPr>
            <w:r>
              <w:rPr>
                <w:sz w:val="20"/>
              </w:rPr>
              <w:t>19 553</w:t>
            </w:r>
          </w:p>
        </w:tc>
        <w:tc>
          <w:tcPr>
            <w:tcW w:w="548" w:type="dxa"/>
            <w:tcBorders>
              <w:top w:val="nil"/>
              <w:bottom w:val="nil"/>
            </w:tcBorders>
            <w:tcMar>
              <w:left w:w="57" w:type="dxa"/>
            </w:tcMar>
          </w:tcPr>
          <w:p w:rsidR="00000000" w:rsidRDefault="00000000">
            <w:pPr>
              <w:rPr>
                <w:sz w:val="20"/>
              </w:rPr>
            </w:pPr>
            <w:r>
              <w:rPr>
                <w:sz w:val="20"/>
              </w:rPr>
              <w:t>96,4</w:t>
            </w:r>
          </w:p>
        </w:tc>
        <w:tc>
          <w:tcPr>
            <w:tcW w:w="977" w:type="dxa"/>
            <w:tcBorders>
              <w:top w:val="nil"/>
              <w:bottom w:val="nil"/>
            </w:tcBorders>
          </w:tcPr>
          <w:p w:rsidR="00000000" w:rsidRDefault="00000000">
            <w:pPr>
              <w:tabs>
                <w:tab w:val="clear" w:pos="567"/>
              </w:tabs>
              <w:jc w:val="right"/>
              <w:rPr>
                <w:sz w:val="20"/>
              </w:rPr>
            </w:pPr>
            <w:r>
              <w:rPr>
                <w:sz w:val="20"/>
              </w:rPr>
              <w:t>20 565</w:t>
            </w:r>
          </w:p>
        </w:tc>
        <w:tc>
          <w:tcPr>
            <w:tcW w:w="1024" w:type="dxa"/>
            <w:tcBorders>
              <w:top w:val="nil"/>
              <w:bottom w:val="nil"/>
            </w:tcBorders>
          </w:tcPr>
          <w:p w:rsidR="00000000" w:rsidRDefault="00000000">
            <w:pPr>
              <w:ind w:right="16"/>
              <w:jc w:val="right"/>
              <w:rPr>
                <w:sz w:val="20"/>
              </w:rPr>
            </w:pPr>
            <w:r>
              <w:rPr>
                <w:sz w:val="20"/>
              </w:rPr>
              <w:t>19 821</w:t>
            </w:r>
          </w:p>
        </w:tc>
        <w:tc>
          <w:tcPr>
            <w:tcW w:w="548" w:type="dxa"/>
            <w:tcBorders>
              <w:top w:val="nil"/>
              <w:bottom w:val="nil"/>
            </w:tcBorders>
            <w:tcMar>
              <w:left w:w="57" w:type="dxa"/>
            </w:tcMar>
          </w:tcPr>
          <w:p w:rsidR="00000000" w:rsidRDefault="00000000">
            <w:pPr>
              <w:rPr>
                <w:sz w:val="20"/>
              </w:rPr>
            </w:pPr>
            <w:r>
              <w:rPr>
                <w:sz w:val="20"/>
              </w:rPr>
              <w:t>96,4</w:t>
            </w:r>
          </w:p>
        </w:tc>
        <w:tc>
          <w:tcPr>
            <w:tcW w:w="975" w:type="dxa"/>
            <w:tcBorders>
              <w:top w:val="nil"/>
              <w:bottom w:val="nil"/>
            </w:tcBorders>
          </w:tcPr>
          <w:p w:rsidR="00000000" w:rsidRDefault="00000000">
            <w:pPr>
              <w:ind w:right="99"/>
              <w:jc w:val="right"/>
              <w:rPr>
                <w:sz w:val="20"/>
              </w:rPr>
            </w:pPr>
            <w:r>
              <w:rPr>
                <w:sz w:val="20"/>
              </w:rPr>
              <w:t>19 424</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1999</w:t>
            </w:r>
          </w:p>
        </w:tc>
        <w:tc>
          <w:tcPr>
            <w:tcW w:w="976" w:type="dxa"/>
            <w:tcBorders>
              <w:top w:val="nil"/>
              <w:bottom w:val="nil"/>
            </w:tcBorders>
          </w:tcPr>
          <w:p w:rsidR="00000000" w:rsidRDefault="00000000">
            <w:pPr>
              <w:tabs>
                <w:tab w:val="clear" w:pos="567"/>
              </w:tabs>
              <w:jc w:val="right"/>
              <w:rPr>
                <w:sz w:val="20"/>
              </w:rPr>
            </w:pPr>
            <w:r>
              <w:rPr>
                <w:sz w:val="20"/>
              </w:rPr>
              <w:t>19 353</w:t>
            </w:r>
          </w:p>
        </w:tc>
        <w:tc>
          <w:tcPr>
            <w:tcW w:w="1024" w:type="dxa"/>
            <w:tcBorders>
              <w:top w:val="nil"/>
              <w:bottom w:val="nil"/>
            </w:tcBorders>
          </w:tcPr>
          <w:p w:rsidR="00000000" w:rsidRDefault="00000000">
            <w:pPr>
              <w:tabs>
                <w:tab w:val="clear" w:pos="567"/>
              </w:tabs>
              <w:ind w:right="25"/>
              <w:jc w:val="right"/>
              <w:rPr>
                <w:sz w:val="20"/>
              </w:rPr>
            </w:pPr>
            <w:r>
              <w:rPr>
                <w:sz w:val="20"/>
              </w:rPr>
              <w:t>18 841</w:t>
            </w:r>
          </w:p>
        </w:tc>
        <w:tc>
          <w:tcPr>
            <w:tcW w:w="548" w:type="dxa"/>
            <w:tcBorders>
              <w:top w:val="nil"/>
              <w:bottom w:val="nil"/>
            </w:tcBorders>
            <w:tcMar>
              <w:left w:w="57" w:type="dxa"/>
            </w:tcMar>
          </w:tcPr>
          <w:p w:rsidR="00000000" w:rsidRDefault="00000000">
            <w:pPr>
              <w:rPr>
                <w:sz w:val="20"/>
              </w:rPr>
            </w:pPr>
            <w:r>
              <w:rPr>
                <w:sz w:val="20"/>
              </w:rPr>
              <w:t>97,4</w:t>
            </w:r>
          </w:p>
        </w:tc>
        <w:tc>
          <w:tcPr>
            <w:tcW w:w="977" w:type="dxa"/>
            <w:tcBorders>
              <w:top w:val="nil"/>
              <w:bottom w:val="nil"/>
            </w:tcBorders>
          </w:tcPr>
          <w:p w:rsidR="00000000" w:rsidRDefault="00000000">
            <w:pPr>
              <w:tabs>
                <w:tab w:val="clear" w:pos="567"/>
              </w:tabs>
              <w:ind w:right="-18"/>
              <w:jc w:val="right"/>
              <w:rPr>
                <w:sz w:val="20"/>
              </w:rPr>
            </w:pPr>
            <w:r>
              <w:rPr>
                <w:sz w:val="20"/>
              </w:rPr>
              <w:t>19 443</w:t>
            </w:r>
          </w:p>
        </w:tc>
        <w:tc>
          <w:tcPr>
            <w:tcW w:w="1024" w:type="dxa"/>
            <w:tcBorders>
              <w:top w:val="nil"/>
              <w:bottom w:val="nil"/>
            </w:tcBorders>
          </w:tcPr>
          <w:p w:rsidR="00000000" w:rsidRDefault="00000000">
            <w:pPr>
              <w:tabs>
                <w:tab w:val="clear" w:pos="567"/>
              </w:tabs>
              <w:ind w:right="29"/>
              <w:jc w:val="right"/>
              <w:rPr>
                <w:sz w:val="20"/>
              </w:rPr>
            </w:pPr>
            <w:r>
              <w:rPr>
                <w:sz w:val="20"/>
              </w:rPr>
              <w:t>19 016</w:t>
            </w:r>
          </w:p>
        </w:tc>
        <w:tc>
          <w:tcPr>
            <w:tcW w:w="548" w:type="dxa"/>
            <w:tcBorders>
              <w:top w:val="nil"/>
              <w:bottom w:val="nil"/>
            </w:tcBorders>
            <w:tcMar>
              <w:left w:w="57" w:type="dxa"/>
            </w:tcMar>
          </w:tcPr>
          <w:p w:rsidR="00000000" w:rsidRDefault="00000000">
            <w:pPr>
              <w:rPr>
                <w:sz w:val="20"/>
              </w:rPr>
            </w:pPr>
            <w:r>
              <w:rPr>
                <w:sz w:val="20"/>
              </w:rPr>
              <w:t>97,8</w:t>
            </w:r>
          </w:p>
        </w:tc>
        <w:tc>
          <w:tcPr>
            <w:tcW w:w="977" w:type="dxa"/>
            <w:tcBorders>
              <w:top w:val="nil"/>
              <w:bottom w:val="nil"/>
            </w:tcBorders>
          </w:tcPr>
          <w:p w:rsidR="00000000" w:rsidRDefault="00000000">
            <w:pPr>
              <w:tabs>
                <w:tab w:val="clear" w:pos="567"/>
              </w:tabs>
              <w:jc w:val="right"/>
              <w:rPr>
                <w:sz w:val="20"/>
              </w:rPr>
            </w:pPr>
            <w:r>
              <w:rPr>
                <w:sz w:val="20"/>
              </w:rPr>
              <w:t>19 617</w:t>
            </w:r>
          </w:p>
        </w:tc>
        <w:tc>
          <w:tcPr>
            <w:tcW w:w="1024" w:type="dxa"/>
            <w:tcBorders>
              <w:top w:val="nil"/>
              <w:bottom w:val="nil"/>
            </w:tcBorders>
          </w:tcPr>
          <w:p w:rsidR="00000000" w:rsidRDefault="00000000">
            <w:pPr>
              <w:ind w:right="16"/>
              <w:jc w:val="right"/>
              <w:rPr>
                <w:sz w:val="20"/>
              </w:rPr>
            </w:pPr>
            <w:r>
              <w:rPr>
                <w:sz w:val="20"/>
              </w:rPr>
              <w:t>18 525</w:t>
            </w:r>
          </w:p>
        </w:tc>
        <w:tc>
          <w:tcPr>
            <w:tcW w:w="548" w:type="dxa"/>
            <w:tcBorders>
              <w:top w:val="nil"/>
              <w:bottom w:val="nil"/>
            </w:tcBorders>
            <w:tcMar>
              <w:left w:w="57" w:type="dxa"/>
            </w:tcMar>
          </w:tcPr>
          <w:p w:rsidR="00000000" w:rsidRDefault="00000000">
            <w:pPr>
              <w:rPr>
                <w:sz w:val="20"/>
              </w:rPr>
            </w:pPr>
            <w:r>
              <w:rPr>
                <w:sz w:val="20"/>
              </w:rPr>
              <w:t>94,4</w:t>
            </w:r>
          </w:p>
        </w:tc>
        <w:tc>
          <w:tcPr>
            <w:tcW w:w="975" w:type="dxa"/>
            <w:tcBorders>
              <w:top w:val="nil"/>
              <w:bottom w:val="nil"/>
            </w:tcBorders>
          </w:tcPr>
          <w:p w:rsidR="00000000" w:rsidRDefault="00000000">
            <w:pPr>
              <w:ind w:right="99"/>
              <w:jc w:val="right"/>
              <w:rPr>
                <w:sz w:val="20"/>
              </w:rPr>
            </w:pPr>
            <w:r>
              <w:rPr>
                <w:sz w:val="20"/>
              </w:rPr>
              <w:t>17 743</w:t>
            </w:r>
          </w:p>
        </w:tc>
      </w:tr>
      <w:tr w:rsidR="00000000">
        <w:tblPrEx>
          <w:tblCellMar>
            <w:top w:w="0" w:type="dxa"/>
            <w:bottom w:w="0" w:type="dxa"/>
          </w:tblCellMar>
        </w:tblPrEx>
        <w:trPr>
          <w:cantSplit/>
        </w:trPr>
        <w:tc>
          <w:tcPr>
            <w:tcW w:w="790" w:type="dxa"/>
            <w:tcBorders>
              <w:top w:val="nil"/>
              <w:bottom w:val="nil"/>
            </w:tcBorders>
          </w:tcPr>
          <w:p w:rsidR="00000000" w:rsidRDefault="00000000">
            <w:pPr>
              <w:pStyle w:val="Num-DocParagraph"/>
              <w:spacing w:after="0" w:line="288" w:lineRule="auto"/>
              <w:jc w:val="center"/>
              <w:rPr>
                <w:sz w:val="20"/>
                <w:lang w:val="ru-RU"/>
              </w:rPr>
            </w:pPr>
            <w:r>
              <w:rPr>
                <w:sz w:val="20"/>
                <w:lang w:val="ru-RU"/>
              </w:rPr>
              <w:t>2000</w:t>
            </w:r>
          </w:p>
        </w:tc>
        <w:tc>
          <w:tcPr>
            <w:tcW w:w="976" w:type="dxa"/>
            <w:tcBorders>
              <w:top w:val="nil"/>
              <w:bottom w:val="nil"/>
            </w:tcBorders>
          </w:tcPr>
          <w:p w:rsidR="00000000" w:rsidRDefault="00000000">
            <w:pPr>
              <w:tabs>
                <w:tab w:val="clear" w:pos="567"/>
              </w:tabs>
              <w:jc w:val="right"/>
              <w:rPr>
                <w:sz w:val="20"/>
              </w:rPr>
            </w:pPr>
            <w:r>
              <w:rPr>
                <w:sz w:val="20"/>
              </w:rPr>
              <w:t>18 626</w:t>
            </w:r>
          </w:p>
        </w:tc>
        <w:tc>
          <w:tcPr>
            <w:tcW w:w="1024" w:type="dxa"/>
            <w:tcBorders>
              <w:top w:val="nil"/>
              <w:bottom w:val="nil"/>
            </w:tcBorders>
          </w:tcPr>
          <w:p w:rsidR="00000000" w:rsidRDefault="00000000">
            <w:pPr>
              <w:tabs>
                <w:tab w:val="clear" w:pos="567"/>
              </w:tabs>
              <w:ind w:right="25"/>
              <w:jc w:val="right"/>
              <w:rPr>
                <w:sz w:val="20"/>
              </w:rPr>
            </w:pPr>
            <w:r>
              <w:rPr>
                <w:sz w:val="20"/>
              </w:rPr>
              <w:t>18 157</w:t>
            </w:r>
          </w:p>
        </w:tc>
        <w:tc>
          <w:tcPr>
            <w:tcW w:w="548" w:type="dxa"/>
            <w:tcBorders>
              <w:top w:val="nil"/>
              <w:bottom w:val="nil"/>
            </w:tcBorders>
            <w:tcMar>
              <w:left w:w="57" w:type="dxa"/>
            </w:tcMar>
          </w:tcPr>
          <w:p w:rsidR="00000000" w:rsidRDefault="00000000">
            <w:pPr>
              <w:rPr>
                <w:sz w:val="20"/>
              </w:rPr>
            </w:pPr>
            <w:r>
              <w:rPr>
                <w:sz w:val="20"/>
              </w:rPr>
              <w:t>97,5</w:t>
            </w:r>
          </w:p>
        </w:tc>
        <w:tc>
          <w:tcPr>
            <w:tcW w:w="977" w:type="dxa"/>
            <w:tcBorders>
              <w:top w:val="nil"/>
              <w:bottom w:val="nil"/>
            </w:tcBorders>
          </w:tcPr>
          <w:p w:rsidR="00000000" w:rsidRDefault="00000000">
            <w:pPr>
              <w:tabs>
                <w:tab w:val="clear" w:pos="567"/>
              </w:tabs>
              <w:ind w:right="-18"/>
              <w:jc w:val="right"/>
              <w:rPr>
                <w:sz w:val="20"/>
              </w:rPr>
            </w:pPr>
            <w:r>
              <w:rPr>
                <w:sz w:val="20"/>
              </w:rPr>
              <w:t>18 656</w:t>
            </w:r>
          </w:p>
        </w:tc>
        <w:tc>
          <w:tcPr>
            <w:tcW w:w="1024" w:type="dxa"/>
            <w:tcBorders>
              <w:top w:val="nil"/>
              <w:bottom w:val="nil"/>
            </w:tcBorders>
          </w:tcPr>
          <w:p w:rsidR="00000000" w:rsidRDefault="00000000">
            <w:pPr>
              <w:tabs>
                <w:tab w:val="clear" w:pos="567"/>
              </w:tabs>
              <w:ind w:right="29"/>
              <w:jc w:val="right"/>
              <w:rPr>
                <w:sz w:val="20"/>
              </w:rPr>
            </w:pPr>
            <w:r>
              <w:rPr>
                <w:sz w:val="20"/>
              </w:rPr>
              <w:t>18 163</w:t>
            </w:r>
          </w:p>
        </w:tc>
        <w:tc>
          <w:tcPr>
            <w:tcW w:w="548" w:type="dxa"/>
            <w:tcBorders>
              <w:top w:val="nil"/>
              <w:bottom w:val="nil"/>
            </w:tcBorders>
            <w:tcMar>
              <w:left w:w="57" w:type="dxa"/>
            </w:tcMar>
          </w:tcPr>
          <w:p w:rsidR="00000000" w:rsidRDefault="00000000">
            <w:pPr>
              <w:rPr>
                <w:sz w:val="20"/>
              </w:rPr>
            </w:pPr>
            <w:r>
              <w:rPr>
                <w:sz w:val="20"/>
              </w:rPr>
              <w:t>97,4</w:t>
            </w:r>
          </w:p>
        </w:tc>
        <w:tc>
          <w:tcPr>
            <w:tcW w:w="977" w:type="dxa"/>
            <w:tcBorders>
              <w:top w:val="nil"/>
              <w:bottom w:val="nil"/>
            </w:tcBorders>
          </w:tcPr>
          <w:p w:rsidR="00000000" w:rsidRDefault="00000000">
            <w:pPr>
              <w:tabs>
                <w:tab w:val="clear" w:pos="567"/>
              </w:tabs>
              <w:jc w:val="right"/>
              <w:rPr>
                <w:sz w:val="20"/>
              </w:rPr>
            </w:pPr>
            <w:r>
              <w:rPr>
                <w:sz w:val="20"/>
              </w:rPr>
              <w:t>19 030</w:t>
            </w:r>
          </w:p>
        </w:tc>
        <w:tc>
          <w:tcPr>
            <w:tcW w:w="1024" w:type="dxa"/>
            <w:tcBorders>
              <w:top w:val="nil"/>
              <w:bottom w:val="nil"/>
            </w:tcBorders>
          </w:tcPr>
          <w:p w:rsidR="00000000" w:rsidRDefault="00000000">
            <w:pPr>
              <w:ind w:right="16"/>
              <w:jc w:val="right"/>
              <w:rPr>
                <w:sz w:val="20"/>
              </w:rPr>
            </w:pPr>
            <w:r>
              <w:rPr>
                <w:sz w:val="20"/>
              </w:rPr>
              <w:t>15 620</w:t>
            </w:r>
          </w:p>
        </w:tc>
        <w:tc>
          <w:tcPr>
            <w:tcW w:w="548" w:type="dxa"/>
            <w:tcBorders>
              <w:top w:val="nil"/>
              <w:bottom w:val="nil"/>
            </w:tcBorders>
            <w:tcMar>
              <w:left w:w="57" w:type="dxa"/>
            </w:tcMar>
          </w:tcPr>
          <w:p w:rsidR="00000000" w:rsidRDefault="00000000">
            <w:pPr>
              <w:rPr>
                <w:sz w:val="20"/>
              </w:rPr>
            </w:pPr>
            <w:r>
              <w:rPr>
                <w:sz w:val="20"/>
              </w:rPr>
              <w:t>82,1</w:t>
            </w:r>
          </w:p>
        </w:tc>
        <w:tc>
          <w:tcPr>
            <w:tcW w:w="975" w:type="dxa"/>
            <w:tcBorders>
              <w:top w:val="nil"/>
              <w:bottom w:val="nil"/>
            </w:tcBorders>
          </w:tcPr>
          <w:p w:rsidR="00000000" w:rsidRDefault="00000000">
            <w:pPr>
              <w:ind w:right="99"/>
              <w:jc w:val="right"/>
              <w:rPr>
                <w:sz w:val="20"/>
              </w:rPr>
            </w:pPr>
            <w:r>
              <w:rPr>
                <w:sz w:val="20"/>
              </w:rPr>
              <w:t>18 406</w:t>
            </w:r>
          </w:p>
        </w:tc>
      </w:tr>
      <w:tr w:rsidR="00000000">
        <w:tblPrEx>
          <w:tblCellMar>
            <w:top w:w="0" w:type="dxa"/>
            <w:bottom w:w="0" w:type="dxa"/>
          </w:tblCellMar>
        </w:tblPrEx>
        <w:trPr>
          <w:cantSplit/>
        </w:trPr>
        <w:tc>
          <w:tcPr>
            <w:tcW w:w="790" w:type="dxa"/>
            <w:tcBorders>
              <w:top w:val="nil"/>
            </w:tcBorders>
          </w:tcPr>
          <w:p w:rsidR="00000000" w:rsidRDefault="00000000">
            <w:pPr>
              <w:pStyle w:val="Num-DocParagraph"/>
              <w:spacing w:after="0" w:line="288" w:lineRule="auto"/>
              <w:jc w:val="center"/>
              <w:rPr>
                <w:sz w:val="20"/>
                <w:lang w:val="ru-RU"/>
              </w:rPr>
            </w:pPr>
            <w:r>
              <w:rPr>
                <w:sz w:val="20"/>
                <w:lang w:val="ru-RU"/>
              </w:rPr>
              <w:t>2001</w:t>
            </w:r>
          </w:p>
        </w:tc>
        <w:tc>
          <w:tcPr>
            <w:tcW w:w="976" w:type="dxa"/>
            <w:tcBorders>
              <w:top w:val="nil"/>
            </w:tcBorders>
          </w:tcPr>
          <w:p w:rsidR="00000000" w:rsidRDefault="00000000">
            <w:pPr>
              <w:tabs>
                <w:tab w:val="clear" w:pos="567"/>
              </w:tabs>
              <w:jc w:val="right"/>
              <w:rPr>
                <w:sz w:val="20"/>
              </w:rPr>
            </w:pPr>
            <w:r>
              <w:rPr>
                <w:sz w:val="20"/>
              </w:rPr>
              <w:t>18 733</w:t>
            </w:r>
          </w:p>
        </w:tc>
        <w:tc>
          <w:tcPr>
            <w:tcW w:w="1024" w:type="dxa"/>
            <w:tcBorders>
              <w:top w:val="nil"/>
            </w:tcBorders>
          </w:tcPr>
          <w:p w:rsidR="00000000" w:rsidRDefault="00000000">
            <w:pPr>
              <w:tabs>
                <w:tab w:val="clear" w:pos="567"/>
              </w:tabs>
              <w:ind w:right="25"/>
              <w:jc w:val="right"/>
              <w:rPr>
                <w:sz w:val="20"/>
              </w:rPr>
            </w:pPr>
            <w:r>
              <w:rPr>
                <w:sz w:val="20"/>
              </w:rPr>
              <w:t>18 273</w:t>
            </w:r>
          </w:p>
        </w:tc>
        <w:tc>
          <w:tcPr>
            <w:tcW w:w="548" w:type="dxa"/>
            <w:tcBorders>
              <w:top w:val="nil"/>
            </w:tcBorders>
            <w:tcMar>
              <w:left w:w="57" w:type="dxa"/>
            </w:tcMar>
          </w:tcPr>
          <w:p w:rsidR="00000000" w:rsidRDefault="00000000">
            <w:pPr>
              <w:rPr>
                <w:sz w:val="20"/>
              </w:rPr>
            </w:pPr>
            <w:r>
              <w:rPr>
                <w:sz w:val="20"/>
              </w:rPr>
              <w:t>97,5</w:t>
            </w:r>
          </w:p>
        </w:tc>
        <w:tc>
          <w:tcPr>
            <w:tcW w:w="977" w:type="dxa"/>
            <w:tcBorders>
              <w:top w:val="nil"/>
            </w:tcBorders>
          </w:tcPr>
          <w:p w:rsidR="00000000" w:rsidRDefault="00000000">
            <w:pPr>
              <w:tabs>
                <w:tab w:val="clear" w:pos="567"/>
              </w:tabs>
              <w:ind w:right="-18"/>
              <w:jc w:val="right"/>
              <w:rPr>
                <w:sz w:val="20"/>
              </w:rPr>
            </w:pPr>
            <w:r>
              <w:rPr>
                <w:sz w:val="20"/>
              </w:rPr>
              <w:t>18 784</w:t>
            </w:r>
          </w:p>
        </w:tc>
        <w:tc>
          <w:tcPr>
            <w:tcW w:w="1024" w:type="dxa"/>
            <w:tcBorders>
              <w:top w:val="nil"/>
            </w:tcBorders>
          </w:tcPr>
          <w:p w:rsidR="00000000" w:rsidRDefault="00000000">
            <w:pPr>
              <w:tabs>
                <w:tab w:val="clear" w:pos="567"/>
              </w:tabs>
              <w:ind w:right="29"/>
              <w:jc w:val="right"/>
              <w:rPr>
                <w:sz w:val="20"/>
              </w:rPr>
            </w:pPr>
            <w:r>
              <w:rPr>
                <w:sz w:val="20"/>
              </w:rPr>
              <w:t>18 324</w:t>
            </w:r>
          </w:p>
        </w:tc>
        <w:tc>
          <w:tcPr>
            <w:tcW w:w="548" w:type="dxa"/>
            <w:tcBorders>
              <w:top w:val="nil"/>
            </w:tcBorders>
            <w:tcMar>
              <w:left w:w="57" w:type="dxa"/>
            </w:tcMar>
          </w:tcPr>
          <w:p w:rsidR="00000000" w:rsidRDefault="00000000">
            <w:pPr>
              <w:rPr>
                <w:sz w:val="20"/>
              </w:rPr>
            </w:pPr>
            <w:r>
              <w:rPr>
                <w:sz w:val="20"/>
              </w:rPr>
              <w:t>97,6</w:t>
            </w:r>
          </w:p>
        </w:tc>
        <w:tc>
          <w:tcPr>
            <w:tcW w:w="977" w:type="dxa"/>
            <w:tcBorders>
              <w:top w:val="nil"/>
            </w:tcBorders>
          </w:tcPr>
          <w:p w:rsidR="00000000" w:rsidRDefault="00000000">
            <w:pPr>
              <w:tabs>
                <w:tab w:val="clear" w:pos="567"/>
              </w:tabs>
              <w:jc w:val="right"/>
              <w:rPr>
                <w:sz w:val="20"/>
              </w:rPr>
            </w:pPr>
            <w:r>
              <w:rPr>
                <w:sz w:val="20"/>
              </w:rPr>
              <w:t>19 426</w:t>
            </w:r>
          </w:p>
        </w:tc>
        <w:tc>
          <w:tcPr>
            <w:tcW w:w="1024" w:type="dxa"/>
            <w:tcBorders>
              <w:top w:val="nil"/>
            </w:tcBorders>
          </w:tcPr>
          <w:p w:rsidR="00000000" w:rsidRDefault="00000000">
            <w:pPr>
              <w:ind w:right="16"/>
              <w:jc w:val="right"/>
              <w:rPr>
                <w:sz w:val="20"/>
              </w:rPr>
            </w:pPr>
            <w:r>
              <w:rPr>
                <w:sz w:val="20"/>
              </w:rPr>
              <w:t>18 840</w:t>
            </w:r>
          </w:p>
        </w:tc>
        <w:tc>
          <w:tcPr>
            <w:tcW w:w="548" w:type="dxa"/>
            <w:tcBorders>
              <w:top w:val="nil"/>
            </w:tcBorders>
            <w:tcMar>
              <w:left w:w="57" w:type="dxa"/>
            </w:tcMar>
          </w:tcPr>
          <w:p w:rsidR="00000000" w:rsidRDefault="00000000">
            <w:pPr>
              <w:rPr>
                <w:sz w:val="20"/>
              </w:rPr>
            </w:pPr>
            <w:r>
              <w:rPr>
                <w:sz w:val="20"/>
              </w:rPr>
              <w:t>97</w:t>
            </w:r>
          </w:p>
        </w:tc>
        <w:tc>
          <w:tcPr>
            <w:tcW w:w="975" w:type="dxa"/>
            <w:tcBorders>
              <w:top w:val="nil"/>
            </w:tcBorders>
          </w:tcPr>
          <w:p w:rsidR="00000000" w:rsidRDefault="00000000">
            <w:pPr>
              <w:ind w:right="99"/>
              <w:jc w:val="right"/>
              <w:rPr>
                <w:sz w:val="20"/>
              </w:rPr>
            </w:pPr>
            <w:r>
              <w:rPr>
                <w:sz w:val="20"/>
              </w:rPr>
              <w:t>18 190</w:t>
            </w:r>
          </w:p>
        </w:tc>
      </w:tr>
    </w:tbl>
    <w:p w:rsidR="00000000" w:rsidRDefault="00000000"/>
    <w:p w:rsidR="00000000" w:rsidRDefault="00000000">
      <w:pPr>
        <w:keepNext/>
        <w:pageBreakBefore/>
        <w:spacing w:line="240" w:lineRule="auto"/>
        <w:jc w:val="center"/>
        <w:rPr>
          <w:b/>
          <w:bCs/>
          <w:iCs/>
        </w:rPr>
      </w:pPr>
      <w:r>
        <w:rPr>
          <w:b/>
          <w:bCs/>
          <w:iCs/>
        </w:rPr>
        <w:t>Таблица 13</w:t>
      </w:r>
    </w:p>
    <w:p w:rsidR="00000000" w:rsidRDefault="00000000">
      <w:pPr>
        <w:keepNext/>
        <w:spacing w:line="240" w:lineRule="auto"/>
        <w:jc w:val="center"/>
        <w:rPr>
          <w:iCs/>
          <w:sz w:val="16"/>
        </w:rPr>
      </w:pPr>
    </w:p>
    <w:p w:rsidR="00000000" w:rsidRDefault="00000000">
      <w:pPr>
        <w:pStyle w:val="Heading3"/>
        <w:spacing w:line="240" w:lineRule="auto"/>
        <w:jc w:val="center"/>
        <w:rPr>
          <w:b/>
          <w:bCs/>
          <w:i w:val="0"/>
          <w:iCs/>
        </w:rPr>
      </w:pPr>
      <w:r>
        <w:rPr>
          <w:b/>
          <w:bCs/>
          <w:i w:val="0"/>
          <w:iCs/>
        </w:rPr>
        <w:t>Охват населения программами вакцинации в центральной Сербии,</w:t>
      </w:r>
    </w:p>
    <w:p w:rsidR="00000000" w:rsidRDefault="00000000">
      <w:pPr>
        <w:pStyle w:val="Heading3"/>
        <w:spacing w:line="240" w:lineRule="auto"/>
        <w:jc w:val="center"/>
        <w:rPr>
          <w:b/>
          <w:bCs/>
          <w:i w:val="0"/>
          <w:iCs/>
        </w:rPr>
      </w:pPr>
      <w:r>
        <w:rPr>
          <w:b/>
          <w:bCs/>
          <w:i w:val="0"/>
          <w:iCs/>
        </w:rPr>
        <w:t>1992–2001 годы</w:t>
      </w:r>
    </w:p>
    <w:p w:rsidR="00000000" w:rsidRDefault="00000000">
      <w:pPr>
        <w:spacing w:line="240" w:lineRule="auto"/>
        <w:rPr>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1087"/>
        <w:gridCol w:w="918"/>
        <w:gridCol w:w="918"/>
        <w:gridCol w:w="918"/>
        <w:gridCol w:w="918"/>
        <w:gridCol w:w="918"/>
        <w:gridCol w:w="918"/>
        <w:gridCol w:w="918"/>
        <w:gridCol w:w="918"/>
        <w:gridCol w:w="919"/>
      </w:tblGrid>
      <w:tr w:rsidR="00000000">
        <w:trPr>
          <w:cantSplit/>
        </w:trPr>
        <w:tc>
          <w:tcPr>
            <w:tcW w:w="1087" w:type="dxa"/>
            <w:vMerge w:val="restart"/>
            <w:vAlign w:val="center"/>
          </w:tcPr>
          <w:p w:rsidR="00000000" w:rsidRDefault="00000000">
            <w:pPr>
              <w:spacing w:line="240" w:lineRule="auto"/>
              <w:jc w:val="center"/>
              <w:rPr>
                <w:sz w:val="18"/>
              </w:rPr>
            </w:pPr>
            <w:r>
              <w:rPr>
                <w:sz w:val="18"/>
              </w:rPr>
              <w:t>Год вакцинации</w:t>
            </w:r>
          </w:p>
        </w:tc>
        <w:tc>
          <w:tcPr>
            <w:tcW w:w="8263" w:type="dxa"/>
            <w:gridSpan w:val="9"/>
            <w:vAlign w:val="center"/>
          </w:tcPr>
          <w:p w:rsidR="00000000" w:rsidRDefault="00000000">
            <w:pPr>
              <w:pStyle w:val="Num-DocParagraph"/>
              <w:spacing w:after="0"/>
              <w:jc w:val="center"/>
              <w:rPr>
                <w:sz w:val="20"/>
                <w:lang w:val="ru-RU"/>
              </w:rPr>
            </w:pPr>
            <w:r>
              <w:rPr>
                <w:sz w:val="20"/>
                <w:lang w:val="ru-RU"/>
              </w:rPr>
              <w:t>Тип вакцинации</w:t>
            </w:r>
          </w:p>
        </w:tc>
      </w:tr>
      <w:tr w:rsidR="00000000">
        <w:trPr>
          <w:cantSplit/>
        </w:trPr>
        <w:tc>
          <w:tcPr>
            <w:tcW w:w="1087" w:type="dxa"/>
            <w:vMerge/>
            <w:vAlign w:val="center"/>
          </w:tcPr>
          <w:p w:rsidR="00000000" w:rsidRDefault="00000000">
            <w:pPr>
              <w:spacing w:line="240" w:lineRule="auto"/>
              <w:jc w:val="center"/>
              <w:rPr>
                <w:sz w:val="18"/>
              </w:rPr>
            </w:pPr>
          </w:p>
        </w:tc>
        <w:tc>
          <w:tcPr>
            <w:tcW w:w="2754" w:type="dxa"/>
            <w:gridSpan w:val="3"/>
            <w:vAlign w:val="center"/>
          </w:tcPr>
          <w:p w:rsidR="00000000" w:rsidRDefault="00000000">
            <w:pPr>
              <w:spacing w:line="240" w:lineRule="auto"/>
              <w:jc w:val="center"/>
              <w:rPr>
                <w:sz w:val="18"/>
              </w:rPr>
            </w:pPr>
            <w:r>
              <w:rPr>
                <w:sz w:val="18"/>
              </w:rPr>
              <w:t>Дифтерия, столбняк, коклюш</w:t>
            </w:r>
          </w:p>
        </w:tc>
        <w:tc>
          <w:tcPr>
            <w:tcW w:w="2754" w:type="dxa"/>
            <w:gridSpan w:val="3"/>
            <w:vAlign w:val="center"/>
          </w:tcPr>
          <w:p w:rsidR="00000000" w:rsidRDefault="00000000">
            <w:pPr>
              <w:spacing w:line="240" w:lineRule="auto"/>
              <w:jc w:val="center"/>
              <w:rPr>
                <w:sz w:val="18"/>
              </w:rPr>
            </w:pPr>
            <w:r>
              <w:rPr>
                <w:sz w:val="18"/>
              </w:rPr>
              <w:t>Полиомиелит</w:t>
            </w:r>
          </w:p>
        </w:tc>
        <w:tc>
          <w:tcPr>
            <w:tcW w:w="2755" w:type="dxa"/>
            <w:gridSpan w:val="3"/>
            <w:vAlign w:val="center"/>
          </w:tcPr>
          <w:p w:rsidR="00000000" w:rsidRDefault="00000000">
            <w:pPr>
              <w:spacing w:line="240" w:lineRule="auto"/>
              <w:jc w:val="center"/>
              <w:rPr>
                <w:sz w:val="18"/>
              </w:rPr>
            </w:pPr>
            <w:proofErr w:type="spellStart"/>
            <w:r>
              <w:rPr>
                <w:sz w:val="18"/>
              </w:rPr>
              <w:t>КПК</w:t>
            </w:r>
            <w:proofErr w:type="spellEnd"/>
            <w:r>
              <w:rPr>
                <w:sz w:val="18"/>
              </w:rPr>
              <w:t>, 2-й год</w:t>
            </w:r>
          </w:p>
        </w:tc>
      </w:tr>
      <w:tr w:rsidR="00000000">
        <w:trPr>
          <w:cantSplit/>
        </w:trPr>
        <w:tc>
          <w:tcPr>
            <w:tcW w:w="1087" w:type="dxa"/>
            <w:vMerge/>
            <w:tcBorders>
              <w:bottom w:val="single" w:sz="4" w:space="0" w:color="auto"/>
            </w:tcBorders>
            <w:vAlign w:val="center"/>
          </w:tcPr>
          <w:p w:rsidR="00000000" w:rsidRDefault="00000000">
            <w:pPr>
              <w:spacing w:line="240" w:lineRule="auto"/>
              <w:jc w:val="center"/>
              <w:rPr>
                <w:sz w:val="18"/>
              </w:rPr>
            </w:pPr>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Заплани-ровано</w:t>
            </w:r>
            <w:proofErr w:type="spellEnd"/>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Вакцини-ровано</w:t>
            </w:r>
            <w:proofErr w:type="spellEnd"/>
          </w:p>
        </w:tc>
        <w:tc>
          <w:tcPr>
            <w:tcW w:w="918" w:type="dxa"/>
            <w:tcBorders>
              <w:bottom w:val="single" w:sz="4" w:space="0" w:color="auto"/>
            </w:tcBorders>
            <w:vAlign w:val="center"/>
          </w:tcPr>
          <w:p w:rsidR="00000000" w:rsidRDefault="00000000">
            <w:pPr>
              <w:pStyle w:val="16"/>
              <w:spacing w:line="240" w:lineRule="auto"/>
              <w:rPr>
                <w:sz w:val="18"/>
              </w:rPr>
            </w:pPr>
            <w:r>
              <w:rPr>
                <w:sz w:val="18"/>
              </w:rPr>
              <w:t>%</w:t>
            </w:r>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Заплани-ровано</w:t>
            </w:r>
            <w:proofErr w:type="spellEnd"/>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Вакцини-ровано</w:t>
            </w:r>
            <w:proofErr w:type="spellEnd"/>
          </w:p>
        </w:tc>
        <w:tc>
          <w:tcPr>
            <w:tcW w:w="918" w:type="dxa"/>
            <w:tcBorders>
              <w:bottom w:val="single" w:sz="4" w:space="0" w:color="auto"/>
            </w:tcBorders>
            <w:vAlign w:val="center"/>
          </w:tcPr>
          <w:p w:rsidR="00000000" w:rsidRDefault="00000000">
            <w:pPr>
              <w:spacing w:line="240" w:lineRule="auto"/>
              <w:jc w:val="center"/>
              <w:rPr>
                <w:sz w:val="18"/>
              </w:rPr>
            </w:pPr>
            <w:r>
              <w:rPr>
                <w:sz w:val="18"/>
              </w:rPr>
              <w:t>%</w:t>
            </w:r>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Заплани-ровано</w:t>
            </w:r>
            <w:proofErr w:type="spellEnd"/>
          </w:p>
        </w:tc>
        <w:tc>
          <w:tcPr>
            <w:tcW w:w="918" w:type="dxa"/>
            <w:tcBorders>
              <w:bottom w:val="single" w:sz="4" w:space="0" w:color="auto"/>
            </w:tcBorders>
            <w:vAlign w:val="center"/>
          </w:tcPr>
          <w:p w:rsidR="00000000" w:rsidRDefault="00000000">
            <w:pPr>
              <w:spacing w:line="240" w:lineRule="auto"/>
              <w:jc w:val="center"/>
              <w:rPr>
                <w:sz w:val="18"/>
              </w:rPr>
            </w:pPr>
            <w:proofErr w:type="spellStart"/>
            <w:r>
              <w:rPr>
                <w:sz w:val="18"/>
              </w:rPr>
              <w:t>Вакцини-ровано</w:t>
            </w:r>
            <w:proofErr w:type="spellEnd"/>
          </w:p>
        </w:tc>
        <w:tc>
          <w:tcPr>
            <w:tcW w:w="919" w:type="dxa"/>
            <w:tcBorders>
              <w:bottom w:val="single" w:sz="4" w:space="0" w:color="auto"/>
            </w:tcBorders>
            <w:vAlign w:val="center"/>
          </w:tcPr>
          <w:p w:rsidR="00000000" w:rsidRDefault="00000000">
            <w:pPr>
              <w:spacing w:line="240" w:lineRule="auto"/>
              <w:jc w:val="center"/>
              <w:rPr>
                <w:sz w:val="18"/>
              </w:rPr>
            </w:pPr>
            <w:r>
              <w:rPr>
                <w:sz w:val="18"/>
              </w:rPr>
              <w:t>%</w:t>
            </w:r>
          </w:p>
        </w:tc>
      </w:tr>
      <w:tr w:rsidR="00000000">
        <w:tc>
          <w:tcPr>
            <w:tcW w:w="1087" w:type="dxa"/>
            <w:tcBorders>
              <w:bottom w:val="nil"/>
            </w:tcBorders>
          </w:tcPr>
          <w:p w:rsidR="00000000" w:rsidRDefault="00000000">
            <w:pPr>
              <w:spacing w:line="240" w:lineRule="auto"/>
              <w:jc w:val="center"/>
              <w:rPr>
                <w:sz w:val="20"/>
              </w:rPr>
            </w:pPr>
            <w:r>
              <w:rPr>
                <w:sz w:val="20"/>
              </w:rPr>
              <w:t>1992</w:t>
            </w:r>
          </w:p>
        </w:tc>
        <w:tc>
          <w:tcPr>
            <w:tcW w:w="918" w:type="dxa"/>
            <w:tcBorders>
              <w:bottom w:val="nil"/>
            </w:tcBorders>
          </w:tcPr>
          <w:p w:rsidR="00000000" w:rsidRDefault="00000000">
            <w:pPr>
              <w:spacing w:line="240" w:lineRule="auto"/>
              <w:jc w:val="center"/>
              <w:rPr>
                <w:sz w:val="20"/>
              </w:rPr>
            </w:pPr>
            <w:r>
              <w:rPr>
                <w:sz w:val="20"/>
              </w:rPr>
              <w:t>62 844</w:t>
            </w:r>
          </w:p>
        </w:tc>
        <w:tc>
          <w:tcPr>
            <w:tcW w:w="918" w:type="dxa"/>
            <w:tcBorders>
              <w:bottom w:val="nil"/>
            </w:tcBorders>
          </w:tcPr>
          <w:p w:rsidR="00000000" w:rsidRDefault="00000000">
            <w:pPr>
              <w:spacing w:line="240" w:lineRule="auto"/>
              <w:jc w:val="center"/>
              <w:rPr>
                <w:sz w:val="20"/>
              </w:rPr>
            </w:pPr>
            <w:r>
              <w:rPr>
                <w:sz w:val="20"/>
              </w:rPr>
              <w:t>60 225</w:t>
            </w:r>
          </w:p>
        </w:tc>
        <w:tc>
          <w:tcPr>
            <w:tcW w:w="918" w:type="dxa"/>
            <w:tcBorders>
              <w:bottom w:val="nil"/>
            </w:tcBorders>
          </w:tcPr>
          <w:p w:rsidR="00000000" w:rsidRDefault="00000000">
            <w:pPr>
              <w:spacing w:line="240" w:lineRule="auto"/>
              <w:jc w:val="center"/>
              <w:rPr>
                <w:sz w:val="20"/>
              </w:rPr>
            </w:pPr>
            <w:r>
              <w:rPr>
                <w:sz w:val="20"/>
              </w:rPr>
              <w:t>96,0</w:t>
            </w:r>
          </w:p>
        </w:tc>
        <w:tc>
          <w:tcPr>
            <w:tcW w:w="918" w:type="dxa"/>
            <w:tcBorders>
              <w:bottom w:val="nil"/>
            </w:tcBorders>
          </w:tcPr>
          <w:p w:rsidR="00000000" w:rsidRDefault="00000000">
            <w:pPr>
              <w:spacing w:line="240" w:lineRule="auto"/>
              <w:jc w:val="center"/>
              <w:rPr>
                <w:sz w:val="20"/>
              </w:rPr>
            </w:pPr>
            <w:r>
              <w:rPr>
                <w:sz w:val="20"/>
              </w:rPr>
              <w:t>64 854</w:t>
            </w:r>
          </w:p>
        </w:tc>
        <w:tc>
          <w:tcPr>
            <w:tcW w:w="918" w:type="dxa"/>
            <w:tcBorders>
              <w:bottom w:val="nil"/>
            </w:tcBorders>
          </w:tcPr>
          <w:p w:rsidR="00000000" w:rsidRDefault="00000000">
            <w:pPr>
              <w:spacing w:line="240" w:lineRule="auto"/>
              <w:jc w:val="center"/>
              <w:rPr>
                <w:sz w:val="20"/>
              </w:rPr>
            </w:pPr>
            <w:r>
              <w:rPr>
                <w:sz w:val="20"/>
              </w:rPr>
              <w:t>60 947</w:t>
            </w:r>
          </w:p>
        </w:tc>
        <w:tc>
          <w:tcPr>
            <w:tcW w:w="918" w:type="dxa"/>
            <w:tcBorders>
              <w:bottom w:val="nil"/>
            </w:tcBorders>
          </w:tcPr>
          <w:p w:rsidR="00000000" w:rsidRDefault="00000000">
            <w:pPr>
              <w:spacing w:line="240" w:lineRule="auto"/>
              <w:jc w:val="center"/>
              <w:rPr>
                <w:sz w:val="20"/>
              </w:rPr>
            </w:pPr>
            <w:r>
              <w:rPr>
                <w:sz w:val="20"/>
              </w:rPr>
              <w:t>94,0</w:t>
            </w:r>
          </w:p>
        </w:tc>
        <w:tc>
          <w:tcPr>
            <w:tcW w:w="918" w:type="dxa"/>
            <w:tcBorders>
              <w:bottom w:val="nil"/>
            </w:tcBorders>
          </w:tcPr>
          <w:p w:rsidR="00000000" w:rsidRDefault="00000000">
            <w:pPr>
              <w:spacing w:line="240" w:lineRule="auto"/>
              <w:jc w:val="center"/>
              <w:rPr>
                <w:sz w:val="20"/>
              </w:rPr>
            </w:pPr>
            <w:r>
              <w:rPr>
                <w:sz w:val="20"/>
              </w:rPr>
              <w:t>63 223</w:t>
            </w:r>
          </w:p>
        </w:tc>
        <w:tc>
          <w:tcPr>
            <w:tcW w:w="918" w:type="dxa"/>
            <w:tcBorders>
              <w:bottom w:val="nil"/>
            </w:tcBorders>
          </w:tcPr>
          <w:p w:rsidR="00000000" w:rsidRDefault="00000000">
            <w:pPr>
              <w:spacing w:line="240" w:lineRule="auto"/>
              <w:jc w:val="center"/>
              <w:rPr>
                <w:sz w:val="20"/>
              </w:rPr>
            </w:pPr>
            <w:r>
              <w:rPr>
                <w:sz w:val="20"/>
              </w:rPr>
              <w:t>59 495</w:t>
            </w:r>
          </w:p>
        </w:tc>
        <w:tc>
          <w:tcPr>
            <w:tcW w:w="919" w:type="dxa"/>
            <w:tcBorders>
              <w:bottom w:val="nil"/>
            </w:tcBorders>
          </w:tcPr>
          <w:p w:rsidR="00000000" w:rsidRDefault="00000000">
            <w:pPr>
              <w:spacing w:line="240" w:lineRule="auto"/>
              <w:jc w:val="center"/>
              <w:rPr>
                <w:sz w:val="20"/>
              </w:rPr>
            </w:pPr>
            <w:r>
              <w:rPr>
                <w:sz w:val="20"/>
              </w:rPr>
              <w:t>94,0</w:t>
            </w:r>
          </w:p>
        </w:tc>
      </w:tr>
      <w:tr w:rsidR="00000000">
        <w:tc>
          <w:tcPr>
            <w:tcW w:w="1087" w:type="dxa"/>
            <w:tcBorders>
              <w:top w:val="nil"/>
              <w:bottom w:val="nil"/>
            </w:tcBorders>
          </w:tcPr>
          <w:p w:rsidR="00000000" w:rsidRDefault="00000000">
            <w:pPr>
              <w:spacing w:line="240" w:lineRule="auto"/>
              <w:jc w:val="center"/>
              <w:rPr>
                <w:sz w:val="20"/>
              </w:rPr>
            </w:pPr>
            <w:r>
              <w:rPr>
                <w:sz w:val="20"/>
              </w:rPr>
              <w:t>1993</w:t>
            </w:r>
          </w:p>
        </w:tc>
        <w:tc>
          <w:tcPr>
            <w:tcW w:w="918" w:type="dxa"/>
            <w:tcBorders>
              <w:top w:val="nil"/>
              <w:bottom w:val="nil"/>
            </w:tcBorders>
          </w:tcPr>
          <w:p w:rsidR="00000000" w:rsidRDefault="00000000">
            <w:pPr>
              <w:spacing w:line="240" w:lineRule="auto"/>
              <w:jc w:val="center"/>
              <w:rPr>
                <w:sz w:val="20"/>
              </w:rPr>
            </w:pPr>
            <w:r>
              <w:rPr>
                <w:sz w:val="20"/>
              </w:rPr>
              <w:t>63 487</w:t>
            </w:r>
          </w:p>
        </w:tc>
        <w:tc>
          <w:tcPr>
            <w:tcW w:w="918" w:type="dxa"/>
            <w:tcBorders>
              <w:top w:val="nil"/>
              <w:bottom w:val="nil"/>
            </w:tcBorders>
          </w:tcPr>
          <w:p w:rsidR="00000000" w:rsidRDefault="00000000">
            <w:pPr>
              <w:spacing w:line="240" w:lineRule="auto"/>
              <w:jc w:val="center"/>
              <w:rPr>
                <w:sz w:val="20"/>
              </w:rPr>
            </w:pPr>
            <w:r>
              <w:rPr>
                <w:sz w:val="20"/>
              </w:rPr>
              <w:t>60 954</w:t>
            </w:r>
          </w:p>
        </w:tc>
        <w:tc>
          <w:tcPr>
            <w:tcW w:w="918" w:type="dxa"/>
            <w:tcBorders>
              <w:top w:val="nil"/>
              <w:bottom w:val="nil"/>
            </w:tcBorders>
          </w:tcPr>
          <w:p w:rsidR="00000000" w:rsidRDefault="00000000">
            <w:pPr>
              <w:spacing w:line="240" w:lineRule="auto"/>
              <w:jc w:val="center"/>
              <w:rPr>
                <w:sz w:val="20"/>
              </w:rPr>
            </w:pPr>
            <w:r>
              <w:rPr>
                <w:sz w:val="20"/>
              </w:rPr>
              <w:t>96,0</w:t>
            </w:r>
          </w:p>
        </w:tc>
        <w:tc>
          <w:tcPr>
            <w:tcW w:w="918" w:type="dxa"/>
            <w:tcBorders>
              <w:top w:val="nil"/>
              <w:bottom w:val="nil"/>
            </w:tcBorders>
          </w:tcPr>
          <w:p w:rsidR="00000000" w:rsidRDefault="00000000">
            <w:pPr>
              <w:spacing w:line="240" w:lineRule="auto"/>
              <w:jc w:val="center"/>
              <w:rPr>
                <w:sz w:val="20"/>
              </w:rPr>
            </w:pPr>
            <w:r>
              <w:rPr>
                <w:sz w:val="20"/>
              </w:rPr>
              <w:t>64 609</w:t>
            </w:r>
          </w:p>
        </w:tc>
        <w:tc>
          <w:tcPr>
            <w:tcW w:w="918" w:type="dxa"/>
            <w:tcBorders>
              <w:top w:val="nil"/>
              <w:bottom w:val="nil"/>
            </w:tcBorders>
          </w:tcPr>
          <w:p w:rsidR="00000000" w:rsidRDefault="00000000">
            <w:pPr>
              <w:spacing w:line="240" w:lineRule="auto"/>
              <w:jc w:val="center"/>
              <w:rPr>
                <w:sz w:val="20"/>
              </w:rPr>
            </w:pPr>
            <w:r>
              <w:rPr>
                <w:sz w:val="20"/>
              </w:rPr>
              <w:t>61 685</w:t>
            </w:r>
          </w:p>
        </w:tc>
        <w:tc>
          <w:tcPr>
            <w:tcW w:w="918" w:type="dxa"/>
            <w:tcBorders>
              <w:top w:val="nil"/>
              <w:bottom w:val="nil"/>
            </w:tcBorders>
          </w:tcPr>
          <w:p w:rsidR="00000000" w:rsidRDefault="00000000">
            <w:pPr>
              <w:spacing w:line="240" w:lineRule="auto"/>
              <w:jc w:val="center"/>
              <w:rPr>
                <w:sz w:val="20"/>
              </w:rPr>
            </w:pPr>
            <w:r>
              <w:rPr>
                <w:sz w:val="20"/>
              </w:rPr>
              <w:t>95,0</w:t>
            </w:r>
          </w:p>
        </w:tc>
        <w:tc>
          <w:tcPr>
            <w:tcW w:w="918" w:type="dxa"/>
            <w:tcBorders>
              <w:top w:val="nil"/>
              <w:bottom w:val="nil"/>
            </w:tcBorders>
          </w:tcPr>
          <w:p w:rsidR="00000000" w:rsidRDefault="00000000">
            <w:pPr>
              <w:spacing w:line="240" w:lineRule="auto"/>
              <w:jc w:val="center"/>
              <w:rPr>
                <w:sz w:val="20"/>
              </w:rPr>
            </w:pPr>
            <w:r>
              <w:rPr>
                <w:sz w:val="20"/>
              </w:rPr>
              <w:t>66 050</w:t>
            </w:r>
          </w:p>
        </w:tc>
        <w:tc>
          <w:tcPr>
            <w:tcW w:w="918" w:type="dxa"/>
            <w:tcBorders>
              <w:top w:val="nil"/>
              <w:bottom w:val="nil"/>
            </w:tcBorders>
          </w:tcPr>
          <w:p w:rsidR="00000000" w:rsidRDefault="00000000">
            <w:pPr>
              <w:spacing w:line="240" w:lineRule="auto"/>
              <w:jc w:val="center"/>
              <w:rPr>
                <w:sz w:val="20"/>
              </w:rPr>
            </w:pPr>
            <w:r>
              <w:rPr>
                <w:sz w:val="20"/>
              </w:rPr>
              <w:t>63 055</w:t>
            </w:r>
          </w:p>
        </w:tc>
        <w:tc>
          <w:tcPr>
            <w:tcW w:w="919" w:type="dxa"/>
            <w:tcBorders>
              <w:top w:val="nil"/>
              <w:bottom w:val="nil"/>
            </w:tcBorders>
          </w:tcPr>
          <w:p w:rsidR="00000000" w:rsidRDefault="00000000">
            <w:pPr>
              <w:spacing w:line="240" w:lineRule="auto"/>
              <w:jc w:val="center"/>
              <w:rPr>
                <w:sz w:val="20"/>
              </w:rPr>
            </w:pPr>
            <w:r>
              <w:rPr>
                <w:sz w:val="20"/>
              </w:rPr>
              <w:t>95,0</w:t>
            </w:r>
          </w:p>
        </w:tc>
      </w:tr>
      <w:tr w:rsidR="00000000">
        <w:tc>
          <w:tcPr>
            <w:tcW w:w="1087" w:type="dxa"/>
            <w:tcBorders>
              <w:top w:val="nil"/>
              <w:bottom w:val="nil"/>
            </w:tcBorders>
          </w:tcPr>
          <w:p w:rsidR="00000000" w:rsidRDefault="00000000">
            <w:pPr>
              <w:spacing w:line="240" w:lineRule="auto"/>
              <w:jc w:val="center"/>
              <w:rPr>
                <w:sz w:val="20"/>
              </w:rPr>
            </w:pPr>
            <w:r>
              <w:rPr>
                <w:sz w:val="20"/>
              </w:rPr>
              <w:t>1994</w:t>
            </w:r>
          </w:p>
        </w:tc>
        <w:tc>
          <w:tcPr>
            <w:tcW w:w="918" w:type="dxa"/>
            <w:tcBorders>
              <w:top w:val="nil"/>
              <w:bottom w:val="nil"/>
            </w:tcBorders>
          </w:tcPr>
          <w:p w:rsidR="00000000" w:rsidRDefault="00000000">
            <w:pPr>
              <w:spacing w:line="240" w:lineRule="auto"/>
              <w:jc w:val="center"/>
              <w:rPr>
                <w:sz w:val="20"/>
              </w:rPr>
            </w:pPr>
            <w:r>
              <w:rPr>
                <w:sz w:val="20"/>
              </w:rPr>
              <w:t>69 135</w:t>
            </w:r>
          </w:p>
        </w:tc>
        <w:tc>
          <w:tcPr>
            <w:tcW w:w="918" w:type="dxa"/>
            <w:tcBorders>
              <w:top w:val="nil"/>
              <w:bottom w:val="nil"/>
            </w:tcBorders>
          </w:tcPr>
          <w:p w:rsidR="00000000" w:rsidRDefault="00000000">
            <w:pPr>
              <w:spacing w:line="240" w:lineRule="auto"/>
              <w:jc w:val="center"/>
              <w:rPr>
                <w:sz w:val="20"/>
              </w:rPr>
            </w:pPr>
            <w:r>
              <w:rPr>
                <w:sz w:val="20"/>
              </w:rPr>
              <w:t>59 915</w:t>
            </w:r>
          </w:p>
        </w:tc>
        <w:tc>
          <w:tcPr>
            <w:tcW w:w="918" w:type="dxa"/>
            <w:tcBorders>
              <w:top w:val="nil"/>
              <w:bottom w:val="nil"/>
            </w:tcBorders>
          </w:tcPr>
          <w:p w:rsidR="00000000" w:rsidRDefault="00000000">
            <w:pPr>
              <w:spacing w:line="240" w:lineRule="auto"/>
              <w:jc w:val="center"/>
              <w:rPr>
                <w:sz w:val="20"/>
              </w:rPr>
            </w:pPr>
            <w:r>
              <w:rPr>
                <w:sz w:val="20"/>
              </w:rPr>
              <w:t>96,0</w:t>
            </w:r>
          </w:p>
        </w:tc>
        <w:tc>
          <w:tcPr>
            <w:tcW w:w="918" w:type="dxa"/>
            <w:tcBorders>
              <w:top w:val="nil"/>
              <w:bottom w:val="nil"/>
            </w:tcBorders>
          </w:tcPr>
          <w:p w:rsidR="00000000" w:rsidRDefault="00000000">
            <w:pPr>
              <w:spacing w:line="240" w:lineRule="auto"/>
              <w:jc w:val="center"/>
              <w:rPr>
                <w:sz w:val="20"/>
              </w:rPr>
            </w:pPr>
            <w:r>
              <w:rPr>
                <w:sz w:val="20"/>
              </w:rPr>
              <w:t>62 924</w:t>
            </w:r>
          </w:p>
        </w:tc>
        <w:tc>
          <w:tcPr>
            <w:tcW w:w="918" w:type="dxa"/>
            <w:tcBorders>
              <w:top w:val="nil"/>
              <w:bottom w:val="nil"/>
            </w:tcBorders>
          </w:tcPr>
          <w:p w:rsidR="00000000" w:rsidRDefault="00000000">
            <w:pPr>
              <w:spacing w:line="240" w:lineRule="auto"/>
              <w:jc w:val="center"/>
              <w:rPr>
                <w:sz w:val="20"/>
              </w:rPr>
            </w:pPr>
            <w:r>
              <w:rPr>
                <w:sz w:val="20"/>
              </w:rPr>
              <w:t>59 951</w:t>
            </w:r>
          </w:p>
        </w:tc>
        <w:tc>
          <w:tcPr>
            <w:tcW w:w="918" w:type="dxa"/>
            <w:tcBorders>
              <w:top w:val="nil"/>
              <w:bottom w:val="nil"/>
            </w:tcBorders>
          </w:tcPr>
          <w:p w:rsidR="00000000" w:rsidRDefault="00000000">
            <w:pPr>
              <w:spacing w:line="240" w:lineRule="auto"/>
              <w:jc w:val="center"/>
              <w:rPr>
                <w:sz w:val="20"/>
              </w:rPr>
            </w:pPr>
            <w:r>
              <w:rPr>
                <w:sz w:val="20"/>
              </w:rPr>
              <w:t>95,0</w:t>
            </w:r>
          </w:p>
        </w:tc>
        <w:tc>
          <w:tcPr>
            <w:tcW w:w="918" w:type="dxa"/>
            <w:tcBorders>
              <w:top w:val="nil"/>
              <w:bottom w:val="nil"/>
            </w:tcBorders>
          </w:tcPr>
          <w:p w:rsidR="00000000" w:rsidRDefault="00000000">
            <w:pPr>
              <w:spacing w:line="240" w:lineRule="auto"/>
              <w:jc w:val="center"/>
              <w:rPr>
                <w:sz w:val="20"/>
              </w:rPr>
            </w:pPr>
            <w:r>
              <w:rPr>
                <w:sz w:val="20"/>
              </w:rPr>
              <w:t>60 007</w:t>
            </w:r>
          </w:p>
        </w:tc>
        <w:tc>
          <w:tcPr>
            <w:tcW w:w="918" w:type="dxa"/>
            <w:tcBorders>
              <w:top w:val="nil"/>
              <w:bottom w:val="nil"/>
            </w:tcBorders>
          </w:tcPr>
          <w:p w:rsidR="00000000" w:rsidRDefault="00000000">
            <w:pPr>
              <w:spacing w:line="240" w:lineRule="auto"/>
              <w:jc w:val="center"/>
              <w:rPr>
                <w:sz w:val="20"/>
              </w:rPr>
            </w:pPr>
            <w:r>
              <w:rPr>
                <w:sz w:val="20"/>
              </w:rPr>
              <w:t>53 591</w:t>
            </w:r>
          </w:p>
        </w:tc>
        <w:tc>
          <w:tcPr>
            <w:tcW w:w="919" w:type="dxa"/>
            <w:tcBorders>
              <w:top w:val="nil"/>
              <w:bottom w:val="nil"/>
            </w:tcBorders>
          </w:tcPr>
          <w:p w:rsidR="00000000" w:rsidRDefault="00000000">
            <w:pPr>
              <w:spacing w:line="240" w:lineRule="auto"/>
              <w:jc w:val="center"/>
              <w:rPr>
                <w:sz w:val="20"/>
              </w:rPr>
            </w:pPr>
            <w:r>
              <w:rPr>
                <w:sz w:val="20"/>
              </w:rPr>
              <w:t>89,0</w:t>
            </w:r>
          </w:p>
        </w:tc>
      </w:tr>
      <w:tr w:rsidR="00000000">
        <w:tc>
          <w:tcPr>
            <w:tcW w:w="1087" w:type="dxa"/>
            <w:tcBorders>
              <w:top w:val="nil"/>
              <w:bottom w:val="nil"/>
            </w:tcBorders>
          </w:tcPr>
          <w:p w:rsidR="00000000" w:rsidRDefault="00000000">
            <w:pPr>
              <w:spacing w:line="240" w:lineRule="auto"/>
              <w:jc w:val="center"/>
              <w:rPr>
                <w:sz w:val="20"/>
              </w:rPr>
            </w:pPr>
            <w:r>
              <w:rPr>
                <w:sz w:val="20"/>
              </w:rPr>
              <w:t>1995</w:t>
            </w:r>
          </w:p>
        </w:tc>
        <w:tc>
          <w:tcPr>
            <w:tcW w:w="918" w:type="dxa"/>
            <w:tcBorders>
              <w:top w:val="nil"/>
              <w:bottom w:val="nil"/>
            </w:tcBorders>
          </w:tcPr>
          <w:p w:rsidR="00000000" w:rsidRDefault="00000000">
            <w:pPr>
              <w:spacing w:line="240" w:lineRule="auto"/>
              <w:jc w:val="center"/>
              <w:rPr>
                <w:sz w:val="20"/>
              </w:rPr>
            </w:pPr>
            <w:r>
              <w:rPr>
                <w:sz w:val="20"/>
              </w:rPr>
              <w:t>60 009</w:t>
            </w:r>
          </w:p>
        </w:tc>
        <w:tc>
          <w:tcPr>
            <w:tcW w:w="918" w:type="dxa"/>
            <w:tcBorders>
              <w:top w:val="nil"/>
              <w:bottom w:val="nil"/>
            </w:tcBorders>
          </w:tcPr>
          <w:p w:rsidR="00000000" w:rsidRDefault="00000000">
            <w:pPr>
              <w:spacing w:line="240" w:lineRule="auto"/>
              <w:jc w:val="center"/>
              <w:rPr>
                <w:sz w:val="20"/>
              </w:rPr>
            </w:pPr>
            <w:r>
              <w:rPr>
                <w:sz w:val="20"/>
              </w:rPr>
              <w:t>58 311</w:t>
            </w:r>
          </w:p>
        </w:tc>
        <w:tc>
          <w:tcPr>
            <w:tcW w:w="918" w:type="dxa"/>
            <w:tcBorders>
              <w:top w:val="nil"/>
              <w:bottom w:val="nil"/>
            </w:tcBorders>
          </w:tcPr>
          <w:p w:rsidR="00000000" w:rsidRDefault="00000000">
            <w:pPr>
              <w:spacing w:line="240" w:lineRule="auto"/>
              <w:jc w:val="center"/>
              <w:rPr>
                <w:sz w:val="20"/>
              </w:rPr>
            </w:pPr>
            <w:r>
              <w:rPr>
                <w:sz w:val="20"/>
              </w:rPr>
              <w:t>97,0</w:t>
            </w:r>
          </w:p>
        </w:tc>
        <w:tc>
          <w:tcPr>
            <w:tcW w:w="918" w:type="dxa"/>
            <w:tcBorders>
              <w:top w:val="nil"/>
              <w:bottom w:val="nil"/>
            </w:tcBorders>
          </w:tcPr>
          <w:p w:rsidR="00000000" w:rsidRDefault="00000000">
            <w:pPr>
              <w:spacing w:line="240" w:lineRule="auto"/>
              <w:jc w:val="center"/>
              <w:rPr>
                <w:sz w:val="20"/>
              </w:rPr>
            </w:pPr>
            <w:r>
              <w:rPr>
                <w:sz w:val="20"/>
              </w:rPr>
              <w:t>60 315</w:t>
            </w:r>
          </w:p>
        </w:tc>
        <w:tc>
          <w:tcPr>
            <w:tcW w:w="918" w:type="dxa"/>
            <w:tcBorders>
              <w:top w:val="nil"/>
              <w:bottom w:val="nil"/>
            </w:tcBorders>
          </w:tcPr>
          <w:p w:rsidR="00000000" w:rsidRDefault="00000000">
            <w:pPr>
              <w:spacing w:line="240" w:lineRule="auto"/>
              <w:jc w:val="center"/>
              <w:rPr>
                <w:sz w:val="20"/>
              </w:rPr>
            </w:pPr>
            <w:r>
              <w:rPr>
                <w:sz w:val="20"/>
              </w:rPr>
              <w:t>58 670</w:t>
            </w:r>
          </w:p>
        </w:tc>
        <w:tc>
          <w:tcPr>
            <w:tcW w:w="918" w:type="dxa"/>
            <w:tcBorders>
              <w:top w:val="nil"/>
              <w:bottom w:val="nil"/>
            </w:tcBorders>
          </w:tcPr>
          <w:p w:rsidR="00000000" w:rsidRDefault="00000000">
            <w:pPr>
              <w:spacing w:line="240" w:lineRule="auto"/>
              <w:jc w:val="center"/>
              <w:rPr>
                <w:sz w:val="20"/>
              </w:rPr>
            </w:pPr>
            <w:r>
              <w:rPr>
                <w:sz w:val="20"/>
              </w:rPr>
              <w:t>97,2</w:t>
            </w:r>
          </w:p>
        </w:tc>
        <w:tc>
          <w:tcPr>
            <w:tcW w:w="918" w:type="dxa"/>
            <w:tcBorders>
              <w:top w:val="nil"/>
              <w:bottom w:val="nil"/>
            </w:tcBorders>
          </w:tcPr>
          <w:p w:rsidR="00000000" w:rsidRDefault="00000000">
            <w:pPr>
              <w:spacing w:line="240" w:lineRule="auto"/>
              <w:jc w:val="center"/>
              <w:rPr>
                <w:sz w:val="20"/>
              </w:rPr>
            </w:pPr>
            <w:r>
              <w:rPr>
                <w:sz w:val="20"/>
              </w:rPr>
              <w:t>59 146</w:t>
            </w:r>
          </w:p>
        </w:tc>
        <w:tc>
          <w:tcPr>
            <w:tcW w:w="918" w:type="dxa"/>
            <w:tcBorders>
              <w:top w:val="nil"/>
              <w:bottom w:val="nil"/>
            </w:tcBorders>
          </w:tcPr>
          <w:p w:rsidR="00000000" w:rsidRDefault="00000000">
            <w:pPr>
              <w:spacing w:line="240" w:lineRule="auto"/>
              <w:jc w:val="center"/>
              <w:rPr>
                <w:sz w:val="20"/>
              </w:rPr>
            </w:pPr>
            <w:r>
              <w:rPr>
                <w:sz w:val="20"/>
              </w:rPr>
              <w:t>55 193</w:t>
            </w:r>
          </w:p>
        </w:tc>
        <w:tc>
          <w:tcPr>
            <w:tcW w:w="919" w:type="dxa"/>
            <w:tcBorders>
              <w:top w:val="nil"/>
              <w:bottom w:val="nil"/>
            </w:tcBorders>
          </w:tcPr>
          <w:p w:rsidR="00000000" w:rsidRDefault="00000000">
            <w:pPr>
              <w:spacing w:line="240" w:lineRule="auto"/>
              <w:jc w:val="center"/>
              <w:rPr>
                <w:sz w:val="20"/>
              </w:rPr>
            </w:pPr>
            <w:r>
              <w:rPr>
                <w:sz w:val="20"/>
              </w:rPr>
              <w:t>93,3</w:t>
            </w:r>
          </w:p>
        </w:tc>
      </w:tr>
      <w:tr w:rsidR="00000000">
        <w:tc>
          <w:tcPr>
            <w:tcW w:w="1087" w:type="dxa"/>
            <w:tcBorders>
              <w:top w:val="nil"/>
              <w:bottom w:val="nil"/>
            </w:tcBorders>
          </w:tcPr>
          <w:p w:rsidR="00000000" w:rsidRDefault="00000000">
            <w:pPr>
              <w:spacing w:line="240" w:lineRule="auto"/>
              <w:jc w:val="center"/>
              <w:rPr>
                <w:sz w:val="20"/>
              </w:rPr>
            </w:pPr>
            <w:r>
              <w:rPr>
                <w:sz w:val="20"/>
              </w:rPr>
              <w:t>1996</w:t>
            </w:r>
          </w:p>
        </w:tc>
        <w:tc>
          <w:tcPr>
            <w:tcW w:w="918" w:type="dxa"/>
            <w:tcBorders>
              <w:top w:val="nil"/>
              <w:bottom w:val="nil"/>
            </w:tcBorders>
          </w:tcPr>
          <w:p w:rsidR="00000000" w:rsidRDefault="00000000">
            <w:pPr>
              <w:spacing w:line="240" w:lineRule="auto"/>
              <w:jc w:val="center"/>
              <w:rPr>
                <w:sz w:val="20"/>
              </w:rPr>
            </w:pPr>
            <w:r>
              <w:rPr>
                <w:sz w:val="20"/>
              </w:rPr>
              <w:t>59 957</w:t>
            </w:r>
          </w:p>
        </w:tc>
        <w:tc>
          <w:tcPr>
            <w:tcW w:w="918" w:type="dxa"/>
            <w:tcBorders>
              <w:top w:val="nil"/>
              <w:bottom w:val="nil"/>
            </w:tcBorders>
          </w:tcPr>
          <w:p w:rsidR="00000000" w:rsidRDefault="00000000">
            <w:pPr>
              <w:spacing w:line="240" w:lineRule="auto"/>
              <w:jc w:val="center"/>
              <w:rPr>
                <w:sz w:val="20"/>
              </w:rPr>
            </w:pPr>
            <w:r>
              <w:rPr>
                <w:sz w:val="20"/>
              </w:rPr>
              <w:t>58 661</w:t>
            </w:r>
          </w:p>
        </w:tc>
        <w:tc>
          <w:tcPr>
            <w:tcW w:w="918" w:type="dxa"/>
            <w:tcBorders>
              <w:top w:val="nil"/>
              <w:bottom w:val="nil"/>
            </w:tcBorders>
          </w:tcPr>
          <w:p w:rsidR="00000000" w:rsidRDefault="00000000">
            <w:pPr>
              <w:spacing w:line="240" w:lineRule="auto"/>
              <w:jc w:val="center"/>
              <w:rPr>
                <w:sz w:val="20"/>
              </w:rPr>
            </w:pPr>
            <w:r>
              <w:rPr>
                <w:sz w:val="20"/>
              </w:rPr>
              <w:t>97,8</w:t>
            </w:r>
          </w:p>
        </w:tc>
        <w:tc>
          <w:tcPr>
            <w:tcW w:w="918" w:type="dxa"/>
            <w:tcBorders>
              <w:top w:val="nil"/>
              <w:bottom w:val="nil"/>
            </w:tcBorders>
          </w:tcPr>
          <w:p w:rsidR="00000000" w:rsidRDefault="00000000">
            <w:pPr>
              <w:spacing w:line="240" w:lineRule="auto"/>
              <w:jc w:val="center"/>
              <w:rPr>
                <w:sz w:val="20"/>
              </w:rPr>
            </w:pPr>
            <w:r>
              <w:rPr>
                <w:sz w:val="20"/>
              </w:rPr>
              <w:t>59 998</w:t>
            </w:r>
          </w:p>
        </w:tc>
        <w:tc>
          <w:tcPr>
            <w:tcW w:w="918" w:type="dxa"/>
            <w:tcBorders>
              <w:top w:val="nil"/>
              <w:bottom w:val="nil"/>
            </w:tcBorders>
          </w:tcPr>
          <w:p w:rsidR="00000000" w:rsidRDefault="00000000">
            <w:pPr>
              <w:spacing w:line="240" w:lineRule="auto"/>
              <w:jc w:val="center"/>
              <w:rPr>
                <w:sz w:val="20"/>
              </w:rPr>
            </w:pPr>
            <w:r>
              <w:rPr>
                <w:sz w:val="20"/>
              </w:rPr>
              <w:t>58 750</w:t>
            </w:r>
          </w:p>
        </w:tc>
        <w:tc>
          <w:tcPr>
            <w:tcW w:w="918" w:type="dxa"/>
            <w:tcBorders>
              <w:top w:val="nil"/>
              <w:bottom w:val="nil"/>
            </w:tcBorders>
          </w:tcPr>
          <w:p w:rsidR="00000000" w:rsidRDefault="00000000">
            <w:pPr>
              <w:spacing w:line="240" w:lineRule="auto"/>
              <w:jc w:val="center"/>
              <w:rPr>
                <w:sz w:val="20"/>
              </w:rPr>
            </w:pPr>
            <w:r>
              <w:rPr>
                <w:sz w:val="20"/>
              </w:rPr>
              <w:t>97,9</w:t>
            </w:r>
          </w:p>
        </w:tc>
        <w:tc>
          <w:tcPr>
            <w:tcW w:w="918" w:type="dxa"/>
            <w:tcBorders>
              <w:top w:val="nil"/>
              <w:bottom w:val="nil"/>
            </w:tcBorders>
          </w:tcPr>
          <w:p w:rsidR="00000000" w:rsidRDefault="00000000">
            <w:pPr>
              <w:spacing w:line="240" w:lineRule="auto"/>
              <w:jc w:val="center"/>
              <w:rPr>
                <w:sz w:val="20"/>
              </w:rPr>
            </w:pPr>
            <w:r>
              <w:rPr>
                <w:sz w:val="20"/>
              </w:rPr>
              <w:t>60 396</w:t>
            </w:r>
          </w:p>
        </w:tc>
        <w:tc>
          <w:tcPr>
            <w:tcW w:w="918" w:type="dxa"/>
            <w:tcBorders>
              <w:top w:val="nil"/>
              <w:bottom w:val="nil"/>
            </w:tcBorders>
          </w:tcPr>
          <w:p w:rsidR="00000000" w:rsidRDefault="00000000">
            <w:pPr>
              <w:spacing w:line="240" w:lineRule="auto"/>
              <w:jc w:val="center"/>
              <w:rPr>
                <w:sz w:val="20"/>
              </w:rPr>
            </w:pPr>
            <w:r>
              <w:rPr>
                <w:sz w:val="20"/>
              </w:rPr>
              <w:t>58 535</w:t>
            </w:r>
          </w:p>
        </w:tc>
        <w:tc>
          <w:tcPr>
            <w:tcW w:w="919" w:type="dxa"/>
            <w:tcBorders>
              <w:top w:val="nil"/>
              <w:bottom w:val="nil"/>
            </w:tcBorders>
          </w:tcPr>
          <w:p w:rsidR="00000000" w:rsidRDefault="00000000">
            <w:pPr>
              <w:spacing w:line="240" w:lineRule="auto"/>
              <w:jc w:val="center"/>
              <w:rPr>
                <w:sz w:val="20"/>
              </w:rPr>
            </w:pPr>
            <w:r>
              <w:rPr>
                <w:sz w:val="20"/>
              </w:rPr>
              <w:t>96,9</w:t>
            </w:r>
          </w:p>
        </w:tc>
      </w:tr>
      <w:tr w:rsidR="00000000">
        <w:tc>
          <w:tcPr>
            <w:tcW w:w="1087" w:type="dxa"/>
            <w:tcBorders>
              <w:top w:val="nil"/>
              <w:bottom w:val="nil"/>
            </w:tcBorders>
          </w:tcPr>
          <w:p w:rsidR="00000000" w:rsidRDefault="00000000">
            <w:pPr>
              <w:spacing w:line="240" w:lineRule="auto"/>
              <w:jc w:val="center"/>
              <w:rPr>
                <w:sz w:val="20"/>
              </w:rPr>
            </w:pPr>
            <w:r>
              <w:rPr>
                <w:sz w:val="20"/>
              </w:rPr>
              <w:t>1997</w:t>
            </w:r>
          </w:p>
        </w:tc>
        <w:tc>
          <w:tcPr>
            <w:tcW w:w="918" w:type="dxa"/>
            <w:tcBorders>
              <w:top w:val="nil"/>
              <w:bottom w:val="nil"/>
            </w:tcBorders>
          </w:tcPr>
          <w:p w:rsidR="00000000" w:rsidRDefault="00000000">
            <w:pPr>
              <w:spacing w:line="240" w:lineRule="auto"/>
              <w:jc w:val="center"/>
              <w:rPr>
                <w:sz w:val="20"/>
              </w:rPr>
            </w:pPr>
            <w:r>
              <w:rPr>
                <w:sz w:val="20"/>
              </w:rPr>
              <w:t>57 480</w:t>
            </w:r>
          </w:p>
        </w:tc>
        <w:tc>
          <w:tcPr>
            <w:tcW w:w="918" w:type="dxa"/>
            <w:tcBorders>
              <w:top w:val="nil"/>
              <w:bottom w:val="nil"/>
            </w:tcBorders>
          </w:tcPr>
          <w:p w:rsidR="00000000" w:rsidRDefault="00000000">
            <w:pPr>
              <w:spacing w:line="240" w:lineRule="auto"/>
              <w:jc w:val="center"/>
              <w:rPr>
                <w:sz w:val="20"/>
              </w:rPr>
            </w:pPr>
            <w:r>
              <w:rPr>
                <w:sz w:val="20"/>
              </w:rPr>
              <w:t>56 053</w:t>
            </w:r>
          </w:p>
        </w:tc>
        <w:tc>
          <w:tcPr>
            <w:tcW w:w="918" w:type="dxa"/>
            <w:tcBorders>
              <w:top w:val="nil"/>
              <w:bottom w:val="nil"/>
            </w:tcBorders>
          </w:tcPr>
          <w:p w:rsidR="00000000" w:rsidRDefault="00000000">
            <w:pPr>
              <w:spacing w:line="240" w:lineRule="auto"/>
              <w:jc w:val="center"/>
              <w:rPr>
                <w:sz w:val="20"/>
              </w:rPr>
            </w:pPr>
            <w:r>
              <w:rPr>
                <w:sz w:val="20"/>
              </w:rPr>
              <w:t>97,5</w:t>
            </w:r>
          </w:p>
        </w:tc>
        <w:tc>
          <w:tcPr>
            <w:tcW w:w="918" w:type="dxa"/>
            <w:tcBorders>
              <w:top w:val="nil"/>
              <w:bottom w:val="nil"/>
            </w:tcBorders>
          </w:tcPr>
          <w:p w:rsidR="00000000" w:rsidRDefault="00000000">
            <w:pPr>
              <w:spacing w:line="240" w:lineRule="auto"/>
              <w:jc w:val="center"/>
              <w:rPr>
                <w:sz w:val="20"/>
              </w:rPr>
            </w:pPr>
            <w:r>
              <w:rPr>
                <w:sz w:val="20"/>
              </w:rPr>
              <w:t>57 516</w:t>
            </w:r>
          </w:p>
        </w:tc>
        <w:tc>
          <w:tcPr>
            <w:tcW w:w="918" w:type="dxa"/>
            <w:tcBorders>
              <w:top w:val="nil"/>
              <w:bottom w:val="nil"/>
            </w:tcBorders>
          </w:tcPr>
          <w:p w:rsidR="00000000" w:rsidRDefault="00000000">
            <w:pPr>
              <w:spacing w:line="240" w:lineRule="auto"/>
              <w:jc w:val="center"/>
              <w:rPr>
                <w:sz w:val="20"/>
              </w:rPr>
            </w:pPr>
            <w:r>
              <w:rPr>
                <w:sz w:val="20"/>
              </w:rPr>
              <w:t>55 991</w:t>
            </w:r>
          </w:p>
        </w:tc>
        <w:tc>
          <w:tcPr>
            <w:tcW w:w="918" w:type="dxa"/>
            <w:tcBorders>
              <w:top w:val="nil"/>
              <w:bottom w:val="nil"/>
            </w:tcBorders>
          </w:tcPr>
          <w:p w:rsidR="00000000" w:rsidRDefault="00000000">
            <w:pPr>
              <w:spacing w:line="240" w:lineRule="auto"/>
              <w:jc w:val="center"/>
              <w:rPr>
                <w:sz w:val="20"/>
              </w:rPr>
            </w:pPr>
            <w:r>
              <w:rPr>
                <w:sz w:val="20"/>
              </w:rPr>
              <w:t>97,3</w:t>
            </w:r>
          </w:p>
        </w:tc>
        <w:tc>
          <w:tcPr>
            <w:tcW w:w="918" w:type="dxa"/>
            <w:tcBorders>
              <w:top w:val="nil"/>
              <w:bottom w:val="nil"/>
            </w:tcBorders>
          </w:tcPr>
          <w:p w:rsidR="00000000" w:rsidRDefault="00000000">
            <w:pPr>
              <w:spacing w:line="240" w:lineRule="auto"/>
              <w:jc w:val="center"/>
              <w:rPr>
                <w:sz w:val="20"/>
              </w:rPr>
            </w:pPr>
            <w:r>
              <w:rPr>
                <w:sz w:val="20"/>
              </w:rPr>
              <w:t>58 167</w:t>
            </w:r>
          </w:p>
        </w:tc>
        <w:tc>
          <w:tcPr>
            <w:tcW w:w="918" w:type="dxa"/>
            <w:tcBorders>
              <w:top w:val="nil"/>
              <w:bottom w:val="nil"/>
            </w:tcBorders>
          </w:tcPr>
          <w:p w:rsidR="00000000" w:rsidRDefault="00000000">
            <w:pPr>
              <w:spacing w:line="240" w:lineRule="auto"/>
              <w:jc w:val="center"/>
              <w:rPr>
                <w:sz w:val="20"/>
              </w:rPr>
            </w:pPr>
            <w:r>
              <w:rPr>
                <w:sz w:val="20"/>
              </w:rPr>
              <w:t>56 325</w:t>
            </w:r>
          </w:p>
        </w:tc>
        <w:tc>
          <w:tcPr>
            <w:tcW w:w="919" w:type="dxa"/>
            <w:tcBorders>
              <w:top w:val="nil"/>
              <w:bottom w:val="nil"/>
            </w:tcBorders>
          </w:tcPr>
          <w:p w:rsidR="00000000" w:rsidRDefault="00000000">
            <w:pPr>
              <w:spacing w:line="240" w:lineRule="auto"/>
              <w:jc w:val="center"/>
              <w:rPr>
                <w:sz w:val="20"/>
              </w:rPr>
            </w:pPr>
            <w:r>
              <w:rPr>
                <w:sz w:val="20"/>
              </w:rPr>
              <w:t>96,8</w:t>
            </w:r>
          </w:p>
        </w:tc>
      </w:tr>
      <w:tr w:rsidR="00000000">
        <w:tc>
          <w:tcPr>
            <w:tcW w:w="1087" w:type="dxa"/>
            <w:tcBorders>
              <w:top w:val="nil"/>
              <w:bottom w:val="nil"/>
            </w:tcBorders>
          </w:tcPr>
          <w:p w:rsidR="00000000" w:rsidRDefault="00000000">
            <w:pPr>
              <w:spacing w:line="240" w:lineRule="auto"/>
              <w:jc w:val="center"/>
              <w:rPr>
                <w:sz w:val="20"/>
              </w:rPr>
            </w:pPr>
            <w:r>
              <w:rPr>
                <w:sz w:val="20"/>
              </w:rPr>
              <w:t>1998</w:t>
            </w:r>
          </w:p>
        </w:tc>
        <w:tc>
          <w:tcPr>
            <w:tcW w:w="918" w:type="dxa"/>
            <w:tcBorders>
              <w:top w:val="nil"/>
              <w:bottom w:val="nil"/>
            </w:tcBorders>
          </w:tcPr>
          <w:p w:rsidR="00000000" w:rsidRDefault="00000000">
            <w:pPr>
              <w:spacing w:line="240" w:lineRule="auto"/>
              <w:jc w:val="center"/>
              <w:rPr>
                <w:sz w:val="20"/>
              </w:rPr>
            </w:pPr>
            <w:r>
              <w:rPr>
                <w:sz w:val="20"/>
              </w:rPr>
              <w:t>52 879</w:t>
            </w:r>
          </w:p>
        </w:tc>
        <w:tc>
          <w:tcPr>
            <w:tcW w:w="918" w:type="dxa"/>
            <w:tcBorders>
              <w:top w:val="nil"/>
              <w:bottom w:val="nil"/>
            </w:tcBorders>
          </w:tcPr>
          <w:p w:rsidR="00000000" w:rsidRDefault="00000000">
            <w:pPr>
              <w:spacing w:line="240" w:lineRule="auto"/>
              <w:jc w:val="center"/>
              <w:rPr>
                <w:sz w:val="20"/>
              </w:rPr>
            </w:pPr>
            <w:r>
              <w:rPr>
                <w:sz w:val="20"/>
              </w:rPr>
              <w:t>51 694</w:t>
            </w:r>
          </w:p>
        </w:tc>
        <w:tc>
          <w:tcPr>
            <w:tcW w:w="918" w:type="dxa"/>
            <w:tcBorders>
              <w:top w:val="nil"/>
              <w:bottom w:val="nil"/>
            </w:tcBorders>
          </w:tcPr>
          <w:p w:rsidR="00000000" w:rsidRDefault="00000000">
            <w:pPr>
              <w:spacing w:line="240" w:lineRule="auto"/>
              <w:jc w:val="center"/>
              <w:rPr>
                <w:sz w:val="20"/>
              </w:rPr>
            </w:pPr>
            <w:r>
              <w:rPr>
                <w:sz w:val="20"/>
              </w:rPr>
              <w:t>97,8</w:t>
            </w:r>
          </w:p>
        </w:tc>
        <w:tc>
          <w:tcPr>
            <w:tcW w:w="918" w:type="dxa"/>
            <w:tcBorders>
              <w:top w:val="nil"/>
              <w:bottom w:val="nil"/>
            </w:tcBorders>
          </w:tcPr>
          <w:p w:rsidR="00000000" w:rsidRDefault="00000000">
            <w:pPr>
              <w:spacing w:line="240" w:lineRule="auto"/>
              <w:jc w:val="center"/>
              <w:rPr>
                <w:sz w:val="20"/>
              </w:rPr>
            </w:pPr>
            <w:r>
              <w:rPr>
                <w:sz w:val="20"/>
              </w:rPr>
              <w:t>52 889</w:t>
            </w:r>
          </w:p>
        </w:tc>
        <w:tc>
          <w:tcPr>
            <w:tcW w:w="918" w:type="dxa"/>
            <w:tcBorders>
              <w:top w:val="nil"/>
              <w:bottom w:val="nil"/>
            </w:tcBorders>
          </w:tcPr>
          <w:p w:rsidR="00000000" w:rsidRDefault="00000000">
            <w:pPr>
              <w:spacing w:line="240" w:lineRule="auto"/>
              <w:jc w:val="center"/>
              <w:rPr>
                <w:sz w:val="20"/>
              </w:rPr>
            </w:pPr>
            <w:r>
              <w:rPr>
                <w:sz w:val="20"/>
              </w:rPr>
              <w:t>51 779</w:t>
            </w:r>
          </w:p>
        </w:tc>
        <w:tc>
          <w:tcPr>
            <w:tcW w:w="918" w:type="dxa"/>
            <w:tcBorders>
              <w:top w:val="nil"/>
              <w:bottom w:val="nil"/>
            </w:tcBorders>
          </w:tcPr>
          <w:p w:rsidR="00000000" w:rsidRDefault="00000000">
            <w:pPr>
              <w:spacing w:line="240" w:lineRule="auto"/>
              <w:jc w:val="center"/>
              <w:rPr>
                <w:sz w:val="20"/>
              </w:rPr>
            </w:pPr>
            <w:r>
              <w:rPr>
                <w:sz w:val="20"/>
              </w:rPr>
              <w:t>97,9</w:t>
            </w:r>
          </w:p>
        </w:tc>
        <w:tc>
          <w:tcPr>
            <w:tcW w:w="918" w:type="dxa"/>
            <w:tcBorders>
              <w:top w:val="nil"/>
              <w:bottom w:val="nil"/>
            </w:tcBorders>
          </w:tcPr>
          <w:p w:rsidR="00000000" w:rsidRDefault="00000000">
            <w:pPr>
              <w:spacing w:line="240" w:lineRule="auto"/>
              <w:jc w:val="center"/>
              <w:rPr>
                <w:sz w:val="20"/>
              </w:rPr>
            </w:pPr>
            <w:r>
              <w:rPr>
                <w:sz w:val="20"/>
              </w:rPr>
              <w:t>53 961</w:t>
            </w:r>
          </w:p>
        </w:tc>
        <w:tc>
          <w:tcPr>
            <w:tcW w:w="918" w:type="dxa"/>
            <w:tcBorders>
              <w:top w:val="nil"/>
              <w:bottom w:val="nil"/>
            </w:tcBorders>
          </w:tcPr>
          <w:p w:rsidR="00000000" w:rsidRDefault="00000000">
            <w:pPr>
              <w:spacing w:line="240" w:lineRule="auto"/>
              <w:jc w:val="center"/>
              <w:rPr>
                <w:sz w:val="20"/>
              </w:rPr>
            </w:pPr>
            <w:r>
              <w:rPr>
                <w:sz w:val="20"/>
              </w:rPr>
              <w:t>52 096</w:t>
            </w:r>
          </w:p>
        </w:tc>
        <w:tc>
          <w:tcPr>
            <w:tcW w:w="919" w:type="dxa"/>
            <w:tcBorders>
              <w:top w:val="nil"/>
              <w:bottom w:val="nil"/>
            </w:tcBorders>
          </w:tcPr>
          <w:p w:rsidR="00000000" w:rsidRDefault="00000000">
            <w:pPr>
              <w:spacing w:line="240" w:lineRule="auto"/>
              <w:jc w:val="center"/>
              <w:rPr>
                <w:sz w:val="20"/>
              </w:rPr>
            </w:pPr>
            <w:r>
              <w:rPr>
                <w:sz w:val="20"/>
              </w:rPr>
              <w:t>96,5</w:t>
            </w:r>
          </w:p>
        </w:tc>
      </w:tr>
      <w:tr w:rsidR="00000000">
        <w:tc>
          <w:tcPr>
            <w:tcW w:w="1087" w:type="dxa"/>
            <w:tcBorders>
              <w:top w:val="nil"/>
              <w:bottom w:val="nil"/>
            </w:tcBorders>
          </w:tcPr>
          <w:p w:rsidR="00000000" w:rsidRDefault="00000000">
            <w:pPr>
              <w:spacing w:line="240" w:lineRule="auto"/>
              <w:jc w:val="center"/>
              <w:rPr>
                <w:sz w:val="20"/>
              </w:rPr>
            </w:pPr>
            <w:r>
              <w:rPr>
                <w:sz w:val="20"/>
              </w:rPr>
              <w:t>1999</w:t>
            </w:r>
          </w:p>
        </w:tc>
        <w:tc>
          <w:tcPr>
            <w:tcW w:w="918" w:type="dxa"/>
            <w:tcBorders>
              <w:top w:val="nil"/>
              <w:bottom w:val="nil"/>
            </w:tcBorders>
          </w:tcPr>
          <w:p w:rsidR="00000000" w:rsidRDefault="00000000">
            <w:pPr>
              <w:spacing w:line="240" w:lineRule="auto"/>
              <w:jc w:val="center"/>
              <w:rPr>
                <w:sz w:val="20"/>
              </w:rPr>
            </w:pPr>
            <w:r>
              <w:rPr>
                <w:sz w:val="20"/>
              </w:rPr>
              <w:t>50 026</w:t>
            </w:r>
          </w:p>
        </w:tc>
        <w:tc>
          <w:tcPr>
            <w:tcW w:w="918" w:type="dxa"/>
            <w:tcBorders>
              <w:top w:val="nil"/>
              <w:bottom w:val="nil"/>
            </w:tcBorders>
          </w:tcPr>
          <w:p w:rsidR="00000000" w:rsidRDefault="00000000">
            <w:pPr>
              <w:spacing w:line="240" w:lineRule="auto"/>
              <w:jc w:val="center"/>
              <w:rPr>
                <w:sz w:val="20"/>
              </w:rPr>
            </w:pPr>
            <w:r>
              <w:rPr>
                <w:sz w:val="20"/>
              </w:rPr>
              <w:t>48 509</w:t>
            </w:r>
          </w:p>
        </w:tc>
        <w:tc>
          <w:tcPr>
            <w:tcW w:w="918" w:type="dxa"/>
            <w:tcBorders>
              <w:top w:val="nil"/>
              <w:bottom w:val="nil"/>
            </w:tcBorders>
          </w:tcPr>
          <w:p w:rsidR="00000000" w:rsidRDefault="00000000">
            <w:pPr>
              <w:spacing w:line="240" w:lineRule="auto"/>
              <w:jc w:val="center"/>
              <w:rPr>
                <w:sz w:val="20"/>
              </w:rPr>
            </w:pPr>
            <w:r>
              <w:rPr>
                <w:sz w:val="20"/>
              </w:rPr>
              <w:t>97,0</w:t>
            </w:r>
          </w:p>
        </w:tc>
        <w:tc>
          <w:tcPr>
            <w:tcW w:w="918" w:type="dxa"/>
            <w:tcBorders>
              <w:top w:val="nil"/>
              <w:bottom w:val="nil"/>
            </w:tcBorders>
          </w:tcPr>
          <w:p w:rsidR="00000000" w:rsidRDefault="00000000">
            <w:pPr>
              <w:spacing w:line="240" w:lineRule="auto"/>
              <w:jc w:val="center"/>
              <w:rPr>
                <w:sz w:val="20"/>
              </w:rPr>
            </w:pPr>
            <w:r>
              <w:rPr>
                <w:sz w:val="20"/>
              </w:rPr>
              <w:t>50 115</w:t>
            </w:r>
          </w:p>
        </w:tc>
        <w:tc>
          <w:tcPr>
            <w:tcW w:w="918" w:type="dxa"/>
            <w:tcBorders>
              <w:top w:val="nil"/>
              <w:bottom w:val="nil"/>
            </w:tcBorders>
          </w:tcPr>
          <w:p w:rsidR="00000000" w:rsidRDefault="00000000">
            <w:pPr>
              <w:spacing w:line="240" w:lineRule="auto"/>
              <w:jc w:val="center"/>
              <w:rPr>
                <w:sz w:val="20"/>
              </w:rPr>
            </w:pPr>
            <w:r>
              <w:rPr>
                <w:sz w:val="20"/>
              </w:rPr>
              <w:t>48 709</w:t>
            </w:r>
          </w:p>
        </w:tc>
        <w:tc>
          <w:tcPr>
            <w:tcW w:w="918" w:type="dxa"/>
            <w:tcBorders>
              <w:top w:val="nil"/>
              <w:bottom w:val="nil"/>
            </w:tcBorders>
          </w:tcPr>
          <w:p w:rsidR="00000000" w:rsidRDefault="00000000">
            <w:pPr>
              <w:spacing w:line="240" w:lineRule="auto"/>
              <w:jc w:val="center"/>
              <w:rPr>
                <w:sz w:val="20"/>
              </w:rPr>
            </w:pPr>
            <w:r>
              <w:rPr>
                <w:sz w:val="20"/>
              </w:rPr>
              <w:t>97,2</w:t>
            </w:r>
          </w:p>
        </w:tc>
        <w:tc>
          <w:tcPr>
            <w:tcW w:w="918" w:type="dxa"/>
            <w:tcBorders>
              <w:top w:val="nil"/>
              <w:bottom w:val="nil"/>
            </w:tcBorders>
          </w:tcPr>
          <w:p w:rsidR="00000000" w:rsidRDefault="00000000">
            <w:pPr>
              <w:spacing w:line="240" w:lineRule="auto"/>
              <w:jc w:val="center"/>
              <w:rPr>
                <w:sz w:val="20"/>
              </w:rPr>
            </w:pPr>
            <w:r>
              <w:rPr>
                <w:sz w:val="20"/>
              </w:rPr>
              <w:t>50 782</w:t>
            </w:r>
          </w:p>
        </w:tc>
        <w:tc>
          <w:tcPr>
            <w:tcW w:w="918" w:type="dxa"/>
            <w:tcBorders>
              <w:top w:val="nil"/>
              <w:bottom w:val="nil"/>
            </w:tcBorders>
          </w:tcPr>
          <w:p w:rsidR="00000000" w:rsidRDefault="00000000">
            <w:pPr>
              <w:spacing w:line="240" w:lineRule="auto"/>
              <w:jc w:val="center"/>
              <w:rPr>
                <w:sz w:val="20"/>
              </w:rPr>
            </w:pPr>
            <w:r>
              <w:rPr>
                <w:sz w:val="20"/>
              </w:rPr>
              <w:t>46 354</w:t>
            </w:r>
          </w:p>
        </w:tc>
        <w:tc>
          <w:tcPr>
            <w:tcW w:w="919" w:type="dxa"/>
            <w:tcBorders>
              <w:top w:val="nil"/>
              <w:bottom w:val="nil"/>
            </w:tcBorders>
          </w:tcPr>
          <w:p w:rsidR="00000000" w:rsidRDefault="00000000">
            <w:pPr>
              <w:spacing w:line="240" w:lineRule="auto"/>
              <w:jc w:val="center"/>
              <w:rPr>
                <w:sz w:val="20"/>
              </w:rPr>
            </w:pPr>
            <w:r>
              <w:rPr>
                <w:sz w:val="20"/>
              </w:rPr>
              <w:t>91,3</w:t>
            </w:r>
          </w:p>
        </w:tc>
      </w:tr>
      <w:tr w:rsidR="00000000">
        <w:tc>
          <w:tcPr>
            <w:tcW w:w="1087" w:type="dxa"/>
            <w:tcBorders>
              <w:top w:val="nil"/>
              <w:bottom w:val="nil"/>
            </w:tcBorders>
          </w:tcPr>
          <w:p w:rsidR="00000000" w:rsidRDefault="00000000">
            <w:pPr>
              <w:spacing w:line="240" w:lineRule="auto"/>
              <w:jc w:val="center"/>
              <w:rPr>
                <w:sz w:val="20"/>
              </w:rPr>
            </w:pPr>
            <w:r>
              <w:rPr>
                <w:sz w:val="20"/>
              </w:rPr>
              <w:t>2000</w:t>
            </w:r>
          </w:p>
        </w:tc>
        <w:tc>
          <w:tcPr>
            <w:tcW w:w="918" w:type="dxa"/>
            <w:tcBorders>
              <w:top w:val="nil"/>
              <w:bottom w:val="nil"/>
            </w:tcBorders>
          </w:tcPr>
          <w:p w:rsidR="00000000" w:rsidRDefault="00000000">
            <w:pPr>
              <w:spacing w:line="240" w:lineRule="auto"/>
              <w:jc w:val="center"/>
              <w:rPr>
                <w:sz w:val="20"/>
              </w:rPr>
            </w:pPr>
            <w:r>
              <w:rPr>
                <w:sz w:val="20"/>
              </w:rPr>
              <w:t>49 418</w:t>
            </w:r>
          </w:p>
        </w:tc>
        <w:tc>
          <w:tcPr>
            <w:tcW w:w="918" w:type="dxa"/>
            <w:tcBorders>
              <w:top w:val="nil"/>
              <w:bottom w:val="nil"/>
            </w:tcBorders>
          </w:tcPr>
          <w:p w:rsidR="00000000" w:rsidRDefault="00000000">
            <w:pPr>
              <w:spacing w:line="240" w:lineRule="auto"/>
              <w:jc w:val="center"/>
              <w:rPr>
                <w:sz w:val="20"/>
              </w:rPr>
            </w:pPr>
            <w:r>
              <w:rPr>
                <w:sz w:val="20"/>
              </w:rPr>
              <w:t>47 751</w:t>
            </w:r>
          </w:p>
        </w:tc>
        <w:tc>
          <w:tcPr>
            <w:tcW w:w="918" w:type="dxa"/>
            <w:tcBorders>
              <w:top w:val="nil"/>
              <w:bottom w:val="nil"/>
            </w:tcBorders>
          </w:tcPr>
          <w:p w:rsidR="00000000" w:rsidRDefault="00000000">
            <w:pPr>
              <w:spacing w:line="240" w:lineRule="auto"/>
              <w:jc w:val="center"/>
              <w:rPr>
                <w:sz w:val="20"/>
              </w:rPr>
            </w:pPr>
            <w:r>
              <w:rPr>
                <w:sz w:val="20"/>
              </w:rPr>
              <w:t>96,6</w:t>
            </w:r>
          </w:p>
        </w:tc>
        <w:tc>
          <w:tcPr>
            <w:tcW w:w="918" w:type="dxa"/>
            <w:tcBorders>
              <w:top w:val="nil"/>
              <w:bottom w:val="nil"/>
            </w:tcBorders>
          </w:tcPr>
          <w:p w:rsidR="00000000" w:rsidRDefault="00000000">
            <w:pPr>
              <w:spacing w:line="240" w:lineRule="auto"/>
              <w:jc w:val="center"/>
              <w:rPr>
                <w:sz w:val="20"/>
              </w:rPr>
            </w:pPr>
            <w:r>
              <w:rPr>
                <w:sz w:val="20"/>
              </w:rPr>
              <w:t>49 390</w:t>
            </w:r>
          </w:p>
        </w:tc>
        <w:tc>
          <w:tcPr>
            <w:tcW w:w="918" w:type="dxa"/>
            <w:tcBorders>
              <w:top w:val="nil"/>
              <w:bottom w:val="nil"/>
            </w:tcBorders>
          </w:tcPr>
          <w:p w:rsidR="00000000" w:rsidRDefault="00000000">
            <w:pPr>
              <w:spacing w:line="240" w:lineRule="auto"/>
              <w:jc w:val="center"/>
              <w:rPr>
                <w:sz w:val="20"/>
              </w:rPr>
            </w:pPr>
            <w:r>
              <w:rPr>
                <w:sz w:val="20"/>
              </w:rPr>
              <w:t>47 702</w:t>
            </w:r>
          </w:p>
        </w:tc>
        <w:tc>
          <w:tcPr>
            <w:tcW w:w="918" w:type="dxa"/>
            <w:tcBorders>
              <w:top w:val="nil"/>
              <w:bottom w:val="nil"/>
            </w:tcBorders>
          </w:tcPr>
          <w:p w:rsidR="00000000" w:rsidRDefault="00000000">
            <w:pPr>
              <w:spacing w:line="240" w:lineRule="auto"/>
              <w:jc w:val="center"/>
              <w:rPr>
                <w:sz w:val="20"/>
              </w:rPr>
            </w:pPr>
            <w:r>
              <w:rPr>
                <w:sz w:val="20"/>
              </w:rPr>
              <w:t>96,6</w:t>
            </w:r>
          </w:p>
        </w:tc>
        <w:tc>
          <w:tcPr>
            <w:tcW w:w="918" w:type="dxa"/>
            <w:tcBorders>
              <w:top w:val="nil"/>
              <w:bottom w:val="nil"/>
            </w:tcBorders>
          </w:tcPr>
          <w:p w:rsidR="00000000" w:rsidRDefault="00000000">
            <w:pPr>
              <w:spacing w:line="240" w:lineRule="auto"/>
              <w:jc w:val="center"/>
              <w:rPr>
                <w:sz w:val="20"/>
              </w:rPr>
            </w:pPr>
            <w:r>
              <w:rPr>
                <w:sz w:val="20"/>
              </w:rPr>
              <w:t>52 416</w:t>
            </w:r>
          </w:p>
        </w:tc>
        <w:tc>
          <w:tcPr>
            <w:tcW w:w="918" w:type="dxa"/>
            <w:tcBorders>
              <w:top w:val="nil"/>
              <w:bottom w:val="nil"/>
            </w:tcBorders>
          </w:tcPr>
          <w:p w:rsidR="00000000" w:rsidRDefault="00000000">
            <w:pPr>
              <w:spacing w:line="240" w:lineRule="auto"/>
              <w:jc w:val="center"/>
              <w:rPr>
                <w:sz w:val="20"/>
              </w:rPr>
            </w:pPr>
            <w:r>
              <w:rPr>
                <w:sz w:val="20"/>
              </w:rPr>
              <w:t>46 277</w:t>
            </w:r>
          </w:p>
        </w:tc>
        <w:tc>
          <w:tcPr>
            <w:tcW w:w="919" w:type="dxa"/>
            <w:tcBorders>
              <w:top w:val="nil"/>
              <w:bottom w:val="nil"/>
            </w:tcBorders>
          </w:tcPr>
          <w:p w:rsidR="00000000" w:rsidRDefault="00000000">
            <w:pPr>
              <w:spacing w:line="240" w:lineRule="auto"/>
              <w:jc w:val="center"/>
              <w:rPr>
                <w:sz w:val="20"/>
              </w:rPr>
            </w:pPr>
            <w:r>
              <w:rPr>
                <w:sz w:val="20"/>
              </w:rPr>
              <w:t>88,3</w:t>
            </w:r>
          </w:p>
        </w:tc>
      </w:tr>
      <w:tr w:rsidR="00000000">
        <w:tc>
          <w:tcPr>
            <w:tcW w:w="1087" w:type="dxa"/>
            <w:tcBorders>
              <w:top w:val="nil"/>
            </w:tcBorders>
          </w:tcPr>
          <w:p w:rsidR="00000000" w:rsidRDefault="00000000">
            <w:pPr>
              <w:spacing w:line="240" w:lineRule="auto"/>
              <w:jc w:val="center"/>
              <w:rPr>
                <w:sz w:val="20"/>
              </w:rPr>
            </w:pPr>
            <w:r>
              <w:rPr>
                <w:sz w:val="20"/>
              </w:rPr>
              <w:t>2001</w:t>
            </w:r>
          </w:p>
        </w:tc>
        <w:tc>
          <w:tcPr>
            <w:tcW w:w="918" w:type="dxa"/>
            <w:tcBorders>
              <w:top w:val="nil"/>
            </w:tcBorders>
          </w:tcPr>
          <w:p w:rsidR="00000000" w:rsidRDefault="00000000">
            <w:pPr>
              <w:spacing w:line="240" w:lineRule="auto"/>
              <w:jc w:val="center"/>
              <w:rPr>
                <w:sz w:val="20"/>
              </w:rPr>
            </w:pPr>
            <w:r>
              <w:rPr>
                <w:sz w:val="20"/>
              </w:rPr>
              <w:t>50 435</w:t>
            </w:r>
          </w:p>
        </w:tc>
        <w:tc>
          <w:tcPr>
            <w:tcW w:w="918" w:type="dxa"/>
            <w:tcBorders>
              <w:top w:val="nil"/>
            </w:tcBorders>
          </w:tcPr>
          <w:p w:rsidR="00000000" w:rsidRDefault="00000000">
            <w:pPr>
              <w:spacing w:line="240" w:lineRule="auto"/>
              <w:jc w:val="center"/>
              <w:rPr>
                <w:sz w:val="20"/>
              </w:rPr>
            </w:pPr>
            <w:r>
              <w:rPr>
                <w:sz w:val="20"/>
              </w:rPr>
              <w:t>49 367</w:t>
            </w:r>
          </w:p>
        </w:tc>
        <w:tc>
          <w:tcPr>
            <w:tcW w:w="918" w:type="dxa"/>
            <w:tcBorders>
              <w:top w:val="nil"/>
            </w:tcBorders>
          </w:tcPr>
          <w:p w:rsidR="00000000" w:rsidRDefault="00000000">
            <w:pPr>
              <w:spacing w:line="240" w:lineRule="auto"/>
              <w:jc w:val="center"/>
              <w:rPr>
                <w:sz w:val="20"/>
              </w:rPr>
            </w:pPr>
            <w:r>
              <w:rPr>
                <w:sz w:val="20"/>
              </w:rPr>
              <w:t>97,9</w:t>
            </w:r>
          </w:p>
        </w:tc>
        <w:tc>
          <w:tcPr>
            <w:tcW w:w="918" w:type="dxa"/>
            <w:tcBorders>
              <w:top w:val="nil"/>
            </w:tcBorders>
          </w:tcPr>
          <w:p w:rsidR="00000000" w:rsidRDefault="00000000">
            <w:pPr>
              <w:spacing w:line="240" w:lineRule="auto"/>
              <w:jc w:val="center"/>
              <w:rPr>
                <w:sz w:val="20"/>
              </w:rPr>
            </w:pPr>
            <w:r>
              <w:rPr>
                <w:sz w:val="20"/>
              </w:rPr>
              <w:t>50 500</w:t>
            </w:r>
          </w:p>
        </w:tc>
        <w:tc>
          <w:tcPr>
            <w:tcW w:w="918" w:type="dxa"/>
            <w:tcBorders>
              <w:top w:val="nil"/>
            </w:tcBorders>
          </w:tcPr>
          <w:p w:rsidR="00000000" w:rsidRDefault="00000000">
            <w:pPr>
              <w:spacing w:line="240" w:lineRule="auto"/>
              <w:jc w:val="center"/>
              <w:rPr>
                <w:sz w:val="20"/>
              </w:rPr>
            </w:pPr>
            <w:r>
              <w:rPr>
                <w:sz w:val="20"/>
              </w:rPr>
              <w:t>49 328</w:t>
            </w:r>
          </w:p>
        </w:tc>
        <w:tc>
          <w:tcPr>
            <w:tcW w:w="918" w:type="dxa"/>
            <w:tcBorders>
              <w:top w:val="nil"/>
            </w:tcBorders>
          </w:tcPr>
          <w:p w:rsidR="00000000" w:rsidRDefault="00000000">
            <w:pPr>
              <w:spacing w:line="240" w:lineRule="auto"/>
              <w:jc w:val="center"/>
              <w:rPr>
                <w:sz w:val="20"/>
              </w:rPr>
            </w:pPr>
            <w:r>
              <w:rPr>
                <w:sz w:val="20"/>
              </w:rPr>
              <w:t>97,7</w:t>
            </w:r>
          </w:p>
        </w:tc>
        <w:tc>
          <w:tcPr>
            <w:tcW w:w="918" w:type="dxa"/>
            <w:tcBorders>
              <w:top w:val="nil"/>
            </w:tcBorders>
          </w:tcPr>
          <w:p w:rsidR="00000000" w:rsidRDefault="00000000">
            <w:pPr>
              <w:spacing w:line="240" w:lineRule="auto"/>
              <w:jc w:val="center"/>
              <w:rPr>
                <w:sz w:val="20"/>
              </w:rPr>
            </w:pPr>
            <w:r>
              <w:rPr>
                <w:sz w:val="20"/>
              </w:rPr>
              <w:t>52 771</w:t>
            </w:r>
          </w:p>
        </w:tc>
        <w:tc>
          <w:tcPr>
            <w:tcW w:w="918" w:type="dxa"/>
            <w:tcBorders>
              <w:top w:val="nil"/>
            </w:tcBorders>
          </w:tcPr>
          <w:p w:rsidR="00000000" w:rsidRDefault="00000000">
            <w:pPr>
              <w:spacing w:line="240" w:lineRule="auto"/>
              <w:jc w:val="center"/>
              <w:rPr>
                <w:sz w:val="20"/>
              </w:rPr>
            </w:pPr>
            <w:r>
              <w:rPr>
                <w:sz w:val="20"/>
              </w:rPr>
              <w:t>50 262</w:t>
            </w:r>
          </w:p>
        </w:tc>
        <w:tc>
          <w:tcPr>
            <w:tcW w:w="919" w:type="dxa"/>
            <w:tcBorders>
              <w:top w:val="nil"/>
            </w:tcBorders>
          </w:tcPr>
          <w:p w:rsidR="00000000" w:rsidRDefault="00000000">
            <w:pPr>
              <w:spacing w:line="240" w:lineRule="auto"/>
              <w:jc w:val="center"/>
              <w:rPr>
                <w:sz w:val="20"/>
              </w:rPr>
            </w:pPr>
            <w:r>
              <w:rPr>
                <w:sz w:val="20"/>
              </w:rPr>
              <w:t>95,2</w:t>
            </w:r>
          </w:p>
        </w:tc>
      </w:tr>
    </w:tbl>
    <w:p w:rsidR="00000000" w:rsidRDefault="00000000"/>
    <w:p w:rsidR="00000000" w:rsidRDefault="00000000">
      <w:pPr>
        <w:pStyle w:val="Heading1"/>
        <w:rPr>
          <w:b w:val="0"/>
        </w:rPr>
      </w:pPr>
      <w:r>
        <w:t>Наличие систем водоснабжения и канализации</w:t>
      </w:r>
    </w:p>
    <w:p w:rsidR="00000000" w:rsidRDefault="00000000">
      <w:pPr>
        <w:pStyle w:val="Heading1"/>
        <w:rPr>
          <w:b w:val="0"/>
          <w:sz w:val="16"/>
        </w:rPr>
      </w:pPr>
    </w:p>
    <w:p w:rsidR="00000000" w:rsidRDefault="00000000">
      <w:r>
        <w:t>310.</w:t>
      </w:r>
      <w:r>
        <w:tab/>
        <w:t xml:space="preserve">В Республике Сербии около </w:t>
      </w:r>
      <w:proofErr w:type="spellStart"/>
      <w:r>
        <w:t>81,8%</w:t>
      </w:r>
      <w:proofErr w:type="spellEnd"/>
      <w:r>
        <w:t xml:space="preserve"> домохозяйств имеют в своих домах/квартирах или во дворе доступ к питьевой воде, подаваемой по городской или поселковой системе водоснабжения.  В городских населенных пунктах доступ к питьевой воде имеют 98% домохозяйств, при этом различия между регионами крайне незначительны.  В сельской местности лишь 63,3% домохозяйств пользуются водой, подаваемой по общим системам водоснабжения.</w:t>
      </w:r>
    </w:p>
    <w:p w:rsidR="00000000" w:rsidRDefault="00000000">
      <w:pPr>
        <w:spacing w:line="240" w:lineRule="auto"/>
      </w:pPr>
    </w:p>
    <w:p w:rsidR="00000000" w:rsidRDefault="00000000">
      <w:pPr>
        <w:pStyle w:val="16"/>
        <w:keepNext/>
        <w:spacing w:line="240" w:lineRule="auto"/>
        <w:rPr>
          <w:b/>
          <w:bCs/>
        </w:rPr>
      </w:pPr>
      <w:r>
        <w:rPr>
          <w:b/>
          <w:bCs/>
        </w:rPr>
        <w:t>Таблица 14</w:t>
      </w:r>
    </w:p>
    <w:p w:rsidR="00000000" w:rsidRDefault="00000000">
      <w:pPr>
        <w:pStyle w:val="16"/>
        <w:keepNext/>
        <w:spacing w:line="240" w:lineRule="auto"/>
        <w:rPr>
          <w:sz w:val="16"/>
        </w:rPr>
      </w:pPr>
    </w:p>
    <w:p w:rsidR="00000000" w:rsidRDefault="00000000">
      <w:pPr>
        <w:keepNext/>
        <w:spacing w:line="240" w:lineRule="auto"/>
        <w:jc w:val="center"/>
        <w:rPr>
          <w:b/>
          <w:bCs/>
          <w:iCs/>
        </w:rPr>
      </w:pPr>
      <w:r>
        <w:rPr>
          <w:b/>
          <w:bCs/>
          <w:iCs/>
        </w:rPr>
        <w:t>Снабжение домохозяйств питьевой водой, соответствующей санитарно-гигиеническим нормам, в разбивке по типу населенных пунктов (в %)</w:t>
      </w:r>
    </w:p>
    <w:p w:rsidR="00000000" w:rsidRDefault="00000000">
      <w:pPr>
        <w:keepNext/>
        <w:spacing w:line="240" w:lineRule="auto"/>
        <w:jc w:val="center"/>
        <w:rPr>
          <w:b/>
          <w:bCs/>
          <w:iCs/>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337"/>
        <w:gridCol w:w="1964"/>
        <w:gridCol w:w="2524"/>
        <w:gridCol w:w="2525"/>
      </w:tblGrid>
      <w:tr w:rsidR="00000000">
        <w:tc>
          <w:tcPr>
            <w:tcW w:w="2337" w:type="dxa"/>
            <w:tcBorders>
              <w:bottom w:val="single" w:sz="4" w:space="0" w:color="auto"/>
            </w:tcBorders>
            <w:vAlign w:val="center"/>
          </w:tcPr>
          <w:p w:rsidR="00000000" w:rsidRDefault="00000000">
            <w:pPr>
              <w:pStyle w:val="FootnoteText"/>
              <w:rPr>
                <w:sz w:val="20"/>
              </w:rPr>
            </w:pPr>
            <w:r>
              <w:rPr>
                <w:sz w:val="20"/>
              </w:rPr>
              <w:t>Территория</w:t>
            </w:r>
          </w:p>
        </w:tc>
        <w:tc>
          <w:tcPr>
            <w:tcW w:w="1964" w:type="dxa"/>
            <w:tcBorders>
              <w:bottom w:val="single" w:sz="4" w:space="0" w:color="auto"/>
            </w:tcBorders>
            <w:vAlign w:val="center"/>
          </w:tcPr>
          <w:p w:rsidR="00000000" w:rsidRDefault="00000000">
            <w:pPr>
              <w:spacing w:line="240" w:lineRule="auto"/>
              <w:jc w:val="center"/>
              <w:rPr>
                <w:sz w:val="20"/>
              </w:rPr>
            </w:pPr>
            <w:r>
              <w:rPr>
                <w:sz w:val="20"/>
              </w:rPr>
              <w:t>Всего</w:t>
            </w:r>
          </w:p>
        </w:tc>
        <w:tc>
          <w:tcPr>
            <w:tcW w:w="2524" w:type="dxa"/>
            <w:tcBorders>
              <w:bottom w:val="single" w:sz="4" w:space="0" w:color="auto"/>
            </w:tcBorders>
            <w:vAlign w:val="center"/>
          </w:tcPr>
          <w:p w:rsidR="00000000" w:rsidRDefault="00000000">
            <w:pPr>
              <w:spacing w:line="240" w:lineRule="auto"/>
              <w:jc w:val="center"/>
              <w:rPr>
                <w:sz w:val="20"/>
              </w:rPr>
            </w:pPr>
            <w:r>
              <w:rPr>
                <w:sz w:val="20"/>
              </w:rPr>
              <w:t>Городские населенные пункты</w:t>
            </w:r>
          </w:p>
        </w:tc>
        <w:tc>
          <w:tcPr>
            <w:tcW w:w="2525" w:type="dxa"/>
            <w:tcBorders>
              <w:bottom w:val="single" w:sz="4" w:space="0" w:color="auto"/>
            </w:tcBorders>
            <w:vAlign w:val="center"/>
          </w:tcPr>
          <w:p w:rsidR="00000000" w:rsidRDefault="00000000">
            <w:pPr>
              <w:spacing w:line="240" w:lineRule="auto"/>
              <w:jc w:val="center"/>
              <w:rPr>
                <w:sz w:val="20"/>
              </w:rPr>
            </w:pPr>
            <w:r>
              <w:rPr>
                <w:sz w:val="20"/>
              </w:rPr>
              <w:t>Населенные пункты в сельской местности</w:t>
            </w:r>
          </w:p>
        </w:tc>
      </w:tr>
      <w:tr w:rsidR="00000000">
        <w:tc>
          <w:tcPr>
            <w:tcW w:w="2337" w:type="dxa"/>
            <w:tcBorders>
              <w:bottom w:val="nil"/>
            </w:tcBorders>
            <w:vAlign w:val="center"/>
          </w:tcPr>
          <w:p w:rsidR="00000000" w:rsidRDefault="00000000">
            <w:pPr>
              <w:spacing w:line="240" w:lineRule="auto"/>
              <w:rPr>
                <w:sz w:val="20"/>
              </w:rPr>
            </w:pPr>
            <w:r>
              <w:rPr>
                <w:sz w:val="20"/>
              </w:rPr>
              <w:t>Центральная Сербия</w:t>
            </w:r>
          </w:p>
        </w:tc>
        <w:tc>
          <w:tcPr>
            <w:tcW w:w="1964" w:type="dxa"/>
            <w:tcBorders>
              <w:bottom w:val="nil"/>
            </w:tcBorders>
            <w:vAlign w:val="center"/>
          </w:tcPr>
          <w:p w:rsidR="00000000" w:rsidRDefault="00000000">
            <w:pPr>
              <w:spacing w:line="240" w:lineRule="auto"/>
              <w:jc w:val="center"/>
              <w:rPr>
                <w:sz w:val="20"/>
              </w:rPr>
            </w:pPr>
            <w:r>
              <w:rPr>
                <w:sz w:val="20"/>
              </w:rPr>
              <w:t>80,7</w:t>
            </w:r>
          </w:p>
        </w:tc>
        <w:tc>
          <w:tcPr>
            <w:tcW w:w="2524" w:type="dxa"/>
            <w:tcBorders>
              <w:bottom w:val="nil"/>
            </w:tcBorders>
            <w:vAlign w:val="center"/>
          </w:tcPr>
          <w:p w:rsidR="00000000" w:rsidRDefault="00000000">
            <w:pPr>
              <w:spacing w:line="240" w:lineRule="auto"/>
              <w:jc w:val="center"/>
              <w:rPr>
                <w:sz w:val="20"/>
              </w:rPr>
            </w:pPr>
            <w:r>
              <w:rPr>
                <w:sz w:val="20"/>
              </w:rPr>
              <w:t>99,0</w:t>
            </w:r>
          </w:p>
        </w:tc>
        <w:tc>
          <w:tcPr>
            <w:tcW w:w="2525" w:type="dxa"/>
            <w:tcBorders>
              <w:bottom w:val="nil"/>
            </w:tcBorders>
            <w:vAlign w:val="center"/>
          </w:tcPr>
          <w:p w:rsidR="00000000" w:rsidRDefault="00000000">
            <w:pPr>
              <w:spacing w:line="240" w:lineRule="auto"/>
              <w:jc w:val="center"/>
              <w:rPr>
                <w:sz w:val="20"/>
              </w:rPr>
            </w:pPr>
            <w:r>
              <w:rPr>
                <w:sz w:val="20"/>
              </w:rPr>
              <w:t>59,2</w:t>
            </w:r>
          </w:p>
        </w:tc>
      </w:tr>
      <w:tr w:rsidR="00000000">
        <w:tc>
          <w:tcPr>
            <w:tcW w:w="2337" w:type="dxa"/>
            <w:tcBorders>
              <w:top w:val="nil"/>
              <w:bottom w:val="nil"/>
            </w:tcBorders>
            <w:vAlign w:val="center"/>
          </w:tcPr>
          <w:p w:rsidR="00000000" w:rsidRDefault="00000000">
            <w:pPr>
              <w:spacing w:line="240" w:lineRule="auto"/>
              <w:rPr>
                <w:sz w:val="20"/>
              </w:rPr>
            </w:pPr>
            <w:r>
              <w:rPr>
                <w:sz w:val="20"/>
              </w:rPr>
              <w:t>Воеводина</w:t>
            </w:r>
          </w:p>
        </w:tc>
        <w:tc>
          <w:tcPr>
            <w:tcW w:w="1964" w:type="dxa"/>
            <w:tcBorders>
              <w:top w:val="nil"/>
              <w:bottom w:val="nil"/>
            </w:tcBorders>
            <w:vAlign w:val="center"/>
          </w:tcPr>
          <w:p w:rsidR="00000000" w:rsidRDefault="00000000">
            <w:pPr>
              <w:spacing w:line="240" w:lineRule="auto"/>
              <w:jc w:val="center"/>
              <w:rPr>
                <w:sz w:val="20"/>
              </w:rPr>
            </w:pPr>
            <w:r>
              <w:rPr>
                <w:sz w:val="20"/>
              </w:rPr>
              <w:t>92,1</w:t>
            </w:r>
          </w:p>
        </w:tc>
        <w:tc>
          <w:tcPr>
            <w:tcW w:w="2524" w:type="dxa"/>
            <w:tcBorders>
              <w:top w:val="nil"/>
              <w:bottom w:val="nil"/>
            </w:tcBorders>
            <w:vAlign w:val="center"/>
          </w:tcPr>
          <w:p w:rsidR="00000000" w:rsidRDefault="00000000">
            <w:pPr>
              <w:spacing w:line="240" w:lineRule="auto"/>
              <w:jc w:val="center"/>
              <w:rPr>
                <w:sz w:val="20"/>
              </w:rPr>
            </w:pPr>
            <w:r>
              <w:rPr>
                <w:sz w:val="20"/>
              </w:rPr>
              <w:t>96,1</w:t>
            </w:r>
          </w:p>
        </w:tc>
        <w:tc>
          <w:tcPr>
            <w:tcW w:w="2525" w:type="dxa"/>
            <w:tcBorders>
              <w:top w:val="nil"/>
              <w:bottom w:val="nil"/>
            </w:tcBorders>
            <w:vAlign w:val="center"/>
          </w:tcPr>
          <w:p w:rsidR="00000000" w:rsidRDefault="00000000">
            <w:pPr>
              <w:spacing w:line="240" w:lineRule="auto"/>
              <w:jc w:val="center"/>
              <w:rPr>
                <w:sz w:val="20"/>
              </w:rPr>
            </w:pPr>
            <w:r>
              <w:rPr>
                <w:sz w:val="20"/>
              </w:rPr>
              <w:t>86,8</w:t>
            </w:r>
          </w:p>
        </w:tc>
      </w:tr>
      <w:tr w:rsidR="00000000">
        <w:tc>
          <w:tcPr>
            <w:tcW w:w="2337" w:type="dxa"/>
            <w:tcBorders>
              <w:top w:val="nil"/>
              <w:bottom w:val="nil"/>
            </w:tcBorders>
            <w:vAlign w:val="center"/>
          </w:tcPr>
          <w:p w:rsidR="00000000" w:rsidRDefault="00000000">
            <w:pPr>
              <w:spacing w:line="240" w:lineRule="auto"/>
              <w:rPr>
                <w:sz w:val="20"/>
              </w:rPr>
            </w:pPr>
            <w:r>
              <w:rPr>
                <w:sz w:val="20"/>
              </w:rPr>
              <w:t>Белградская область</w:t>
            </w:r>
          </w:p>
        </w:tc>
        <w:tc>
          <w:tcPr>
            <w:tcW w:w="1964" w:type="dxa"/>
            <w:tcBorders>
              <w:top w:val="nil"/>
              <w:bottom w:val="nil"/>
            </w:tcBorders>
            <w:vAlign w:val="center"/>
          </w:tcPr>
          <w:p w:rsidR="00000000" w:rsidRDefault="00000000">
            <w:pPr>
              <w:spacing w:line="240" w:lineRule="auto"/>
              <w:jc w:val="center"/>
              <w:rPr>
                <w:sz w:val="20"/>
              </w:rPr>
            </w:pPr>
            <w:r>
              <w:rPr>
                <w:sz w:val="20"/>
              </w:rPr>
              <w:t>95,9</w:t>
            </w:r>
          </w:p>
        </w:tc>
        <w:tc>
          <w:tcPr>
            <w:tcW w:w="2524" w:type="dxa"/>
            <w:tcBorders>
              <w:top w:val="nil"/>
              <w:bottom w:val="nil"/>
            </w:tcBorders>
            <w:vAlign w:val="center"/>
          </w:tcPr>
          <w:p w:rsidR="00000000" w:rsidRDefault="00000000">
            <w:pPr>
              <w:spacing w:line="240" w:lineRule="auto"/>
              <w:jc w:val="center"/>
              <w:rPr>
                <w:sz w:val="20"/>
              </w:rPr>
            </w:pPr>
            <w:r>
              <w:rPr>
                <w:sz w:val="20"/>
              </w:rPr>
              <w:t>99,5</w:t>
            </w:r>
          </w:p>
        </w:tc>
        <w:tc>
          <w:tcPr>
            <w:tcW w:w="2525" w:type="dxa"/>
            <w:tcBorders>
              <w:top w:val="nil"/>
              <w:bottom w:val="nil"/>
            </w:tcBorders>
            <w:vAlign w:val="center"/>
          </w:tcPr>
          <w:p w:rsidR="00000000" w:rsidRDefault="00000000">
            <w:pPr>
              <w:spacing w:line="240" w:lineRule="auto"/>
              <w:jc w:val="center"/>
              <w:rPr>
                <w:sz w:val="20"/>
              </w:rPr>
            </w:pPr>
            <w:r>
              <w:rPr>
                <w:sz w:val="20"/>
              </w:rPr>
              <w:t>82,7</w:t>
            </w:r>
          </w:p>
        </w:tc>
      </w:tr>
      <w:tr w:rsidR="00000000">
        <w:tc>
          <w:tcPr>
            <w:tcW w:w="2337" w:type="dxa"/>
            <w:tcBorders>
              <w:top w:val="nil"/>
            </w:tcBorders>
            <w:vAlign w:val="center"/>
          </w:tcPr>
          <w:p w:rsidR="00000000" w:rsidRDefault="00000000">
            <w:pPr>
              <w:spacing w:line="240" w:lineRule="auto"/>
              <w:rPr>
                <w:sz w:val="20"/>
              </w:rPr>
            </w:pPr>
            <w:r>
              <w:rPr>
                <w:sz w:val="20"/>
              </w:rPr>
              <w:t>Сербия</w:t>
            </w:r>
          </w:p>
        </w:tc>
        <w:tc>
          <w:tcPr>
            <w:tcW w:w="1964" w:type="dxa"/>
            <w:tcBorders>
              <w:top w:val="nil"/>
            </w:tcBorders>
            <w:vAlign w:val="center"/>
          </w:tcPr>
          <w:p w:rsidR="00000000" w:rsidRDefault="00000000">
            <w:pPr>
              <w:spacing w:line="240" w:lineRule="auto"/>
              <w:jc w:val="center"/>
              <w:rPr>
                <w:sz w:val="20"/>
              </w:rPr>
            </w:pPr>
            <w:r>
              <w:rPr>
                <w:sz w:val="20"/>
              </w:rPr>
              <w:t>81,8</w:t>
            </w:r>
          </w:p>
        </w:tc>
        <w:tc>
          <w:tcPr>
            <w:tcW w:w="2524" w:type="dxa"/>
            <w:tcBorders>
              <w:top w:val="nil"/>
            </w:tcBorders>
            <w:vAlign w:val="center"/>
          </w:tcPr>
          <w:p w:rsidR="00000000" w:rsidRDefault="00000000">
            <w:pPr>
              <w:spacing w:line="240" w:lineRule="auto"/>
              <w:jc w:val="center"/>
              <w:rPr>
                <w:sz w:val="20"/>
              </w:rPr>
            </w:pPr>
            <w:r>
              <w:rPr>
                <w:sz w:val="20"/>
              </w:rPr>
              <w:t>98,0</w:t>
            </w:r>
          </w:p>
        </w:tc>
        <w:tc>
          <w:tcPr>
            <w:tcW w:w="2525" w:type="dxa"/>
            <w:tcBorders>
              <w:top w:val="nil"/>
            </w:tcBorders>
            <w:vAlign w:val="center"/>
          </w:tcPr>
          <w:p w:rsidR="00000000" w:rsidRDefault="00000000">
            <w:pPr>
              <w:spacing w:line="240" w:lineRule="auto"/>
              <w:jc w:val="center"/>
              <w:rPr>
                <w:sz w:val="20"/>
              </w:rPr>
            </w:pPr>
            <w:r>
              <w:rPr>
                <w:sz w:val="20"/>
              </w:rPr>
              <w:t>63,3</w:t>
            </w:r>
          </w:p>
        </w:tc>
      </w:tr>
    </w:tbl>
    <w:p w:rsidR="00000000" w:rsidRDefault="00000000">
      <w:pPr>
        <w:spacing w:line="216" w:lineRule="auto"/>
        <w:rPr>
          <w:sz w:val="16"/>
        </w:rPr>
      </w:pPr>
    </w:p>
    <w:p w:rsidR="00000000" w:rsidRDefault="00000000">
      <w:pPr>
        <w:spacing w:line="216" w:lineRule="auto"/>
        <w:rPr>
          <w:iCs/>
          <w:lang w:val="en-US"/>
        </w:rPr>
      </w:pPr>
      <w:r>
        <w:tab/>
      </w:r>
      <w:r>
        <w:rPr>
          <w:i/>
          <w:iCs/>
        </w:rPr>
        <w:t>Источник</w:t>
      </w:r>
      <w:r>
        <w:rPr>
          <w:i/>
          <w:iCs/>
          <w:lang w:val="en-GB"/>
        </w:rPr>
        <w:t>:</w:t>
      </w:r>
      <w:r>
        <w:rPr>
          <w:lang w:val="en-GB"/>
        </w:rPr>
        <w:t xml:space="preserve">  </w:t>
      </w:r>
      <w:r>
        <w:rPr>
          <w:iCs/>
          <w:lang w:val="en-GB"/>
        </w:rPr>
        <w:t>Monitoring of Progress Toward Implementation of the Goals of the World Summit for Children – Report for the Federal Republic of Yugoslavia, 1997.</w:t>
      </w:r>
    </w:p>
    <w:p w:rsidR="00000000" w:rsidRDefault="00000000">
      <w:pPr>
        <w:rPr>
          <w:iCs/>
          <w:lang w:val="en-US"/>
        </w:rPr>
      </w:pPr>
    </w:p>
    <w:p w:rsidR="00000000" w:rsidRDefault="00000000">
      <w:r>
        <w:t>311.</w:t>
      </w:r>
      <w:r>
        <w:tab/>
        <w:t>Система регулярного мониторинга санитарно-гигиенической безопасности главным образом охватывает население, имеющее доступ к централизованным муниципальным системам водоснабжения, долю которого составляют около 48% от общей численности населения.</w:t>
      </w:r>
    </w:p>
    <w:p w:rsidR="00000000" w:rsidRDefault="00000000">
      <w:pPr>
        <w:spacing w:line="240" w:lineRule="auto"/>
      </w:pPr>
    </w:p>
    <w:p w:rsidR="00000000" w:rsidRDefault="00000000">
      <w:pPr>
        <w:spacing w:line="240" w:lineRule="auto"/>
        <w:jc w:val="center"/>
        <w:rPr>
          <w:b/>
          <w:bCs/>
        </w:rPr>
      </w:pPr>
      <w:r>
        <w:rPr>
          <w:b/>
          <w:bCs/>
        </w:rPr>
        <w:t>Таблица 15</w:t>
      </w:r>
    </w:p>
    <w:p w:rsidR="00000000" w:rsidRDefault="00000000">
      <w:pPr>
        <w:spacing w:line="240" w:lineRule="auto"/>
        <w:jc w:val="center"/>
        <w:rPr>
          <w:b/>
          <w:bCs/>
          <w:sz w:val="16"/>
        </w:rPr>
      </w:pPr>
    </w:p>
    <w:p w:rsidR="00000000" w:rsidRDefault="00000000">
      <w:pPr>
        <w:spacing w:line="240" w:lineRule="auto"/>
        <w:jc w:val="center"/>
        <w:rPr>
          <w:b/>
          <w:bCs/>
        </w:rPr>
      </w:pPr>
      <w:r>
        <w:rPr>
          <w:b/>
          <w:bCs/>
        </w:rPr>
        <w:t>Процентная доля питьевой воды, не соответствующей санитарно-гигиеническим нормам, в централизованных системах водоснабжения</w:t>
      </w:r>
    </w:p>
    <w:p w:rsidR="00000000" w:rsidRDefault="00000000">
      <w:pPr>
        <w:spacing w:line="240" w:lineRule="auto"/>
        <w:jc w:val="center"/>
        <w:rPr>
          <w:b/>
          <w:bCs/>
        </w:rPr>
      </w:pPr>
      <w:r>
        <w:rPr>
          <w:b/>
          <w:bCs/>
        </w:rPr>
        <w:t>в центральной Сербии, 1981-2001 годы</w:t>
      </w:r>
    </w:p>
    <w:p w:rsidR="00000000" w:rsidRDefault="00000000">
      <w:pPr>
        <w:spacing w:line="240" w:lineRule="auto"/>
        <w:jc w:val="center"/>
        <w:rPr>
          <w:b/>
          <w:bCs/>
          <w:sz w:val="16"/>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22"/>
        <w:gridCol w:w="3119"/>
        <w:gridCol w:w="2835"/>
        <w:gridCol w:w="2268"/>
      </w:tblGrid>
      <w:tr w:rsidR="00000000">
        <w:tc>
          <w:tcPr>
            <w:tcW w:w="1122" w:type="dxa"/>
            <w:tcBorders>
              <w:bottom w:val="single" w:sz="4" w:space="0" w:color="auto"/>
            </w:tcBorders>
            <w:vAlign w:val="center"/>
          </w:tcPr>
          <w:p w:rsidR="00000000" w:rsidRDefault="00000000">
            <w:pPr>
              <w:pStyle w:val="16"/>
              <w:spacing w:line="240" w:lineRule="auto"/>
              <w:rPr>
                <w:sz w:val="20"/>
              </w:rPr>
            </w:pPr>
            <w:r>
              <w:rPr>
                <w:sz w:val="20"/>
              </w:rPr>
              <w:t>Год</w:t>
            </w:r>
          </w:p>
        </w:tc>
        <w:tc>
          <w:tcPr>
            <w:tcW w:w="3119" w:type="dxa"/>
            <w:tcBorders>
              <w:bottom w:val="single" w:sz="4" w:space="0" w:color="auto"/>
            </w:tcBorders>
            <w:vAlign w:val="center"/>
          </w:tcPr>
          <w:p w:rsidR="00000000" w:rsidRDefault="00000000">
            <w:pPr>
              <w:spacing w:line="240" w:lineRule="auto"/>
              <w:jc w:val="center"/>
              <w:rPr>
                <w:sz w:val="20"/>
              </w:rPr>
            </w:pPr>
            <w:r>
              <w:rPr>
                <w:sz w:val="20"/>
              </w:rPr>
              <w:t>Процентная доля проверенных систем водоснабжения, в которых допустимое содержание вредных микробиологических примесей было превышено в более 5% проб</w:t>
            </w:r>
          </w:p>
        </w:tc>
        <w:tc>
          <w:tcPr>
            <w:tcW w:w="2835" w:type="dxa"/>
            <w:tcBorders>
              <w:bottom w:val="single" w:sz="4" w:space="0" w:color="auto"/>
            </w:tcBorders>
            <w:vAlign w:val="center"/>
          </w:tcPr>
          <w:p w:rsidR="00000000" w:rsidRDefault="00000000">
            <w:pPr>
              <w:spacing w:line="240" w:lineRule="auto"/>
              <w:jc w:val="center"/>
              <w:rPr>
                <w:sz w:val="20"/>
              </w:rPr>
            </w:pPr>
            <w:r>
              <w:rPr>
                <w:sz w:val="20"/>
              </w:rPr>
              <w:t>Процент проверенных систем водоснабжения, в которых допустимое содержание механических и/или химических примесей было превышено в более 20% проб</w:t>
            </w:r>
          </w:p>
        </w:tc>
        <w:tc>
          <w:tcPr>
            <w:tcW w:w="2268" w:type="dxa"/>
            <w:tcBorders>
              <w:bottom w:val="single" w:sz="4" w:space="0" w:color="auto"/>
            </w:tcBorders>
            <w:vAlign w:val="center"/>
          </w:tcPr>
          <w:p w:rsidR="00000000" w:rsidRDefault="00000000">
            <w:pPr>
              <w:spacing w:line="240" w:lineRule="auto"/>
              <w:jc w:val="center"/>
              <w:rPr>
                <w:sz w:val="20"/>
              </w:rPr>
            </w:pPr>
            <w:r>
              <w:rPr>
                <w:sz w:val="20"/>
              </w:rPr>
              <w:t>Процент проверенных систем водоснабжения с совокупным превышением допустимых концентраций примесей</w:t>
            </w:r>
          </w:p>
        </w:tc>
      </w:tr>
      <w:tr w:rsidR="00000000">
        <w:tc>
          <w:tcPr>
            <w:tcW w:w="1122" w:type="dxa"/>
            <w:tcBorders>
              <w:bottom w:val="nil"/>
            </w:tcBorders>
          </w:tcPr>
          <w:p w:rsidR="00000000" w:rsidRDefault="00000000">
            <w:pPr>
              <w:spacing w:line="240" w:lineRule="auto"/>
              <w:jc w:val="center"/>
              <w:rPr>
                <w:sz w:val="20"/>
              </w:rPr>
            </w:pPr>
            <w:r>
              <w:rPr>
                <w:sz w:val="20"/>
              </w:rPr>
              <w:t>1981</w:t>
            </w:r>
          </w:p>
        </w:tc>
        <w:tc>
          <w:tcPr>
            <w:tcW w:w="3119" w:type="dxa"/>
            <w:tcBorders>
              <w:bottom w:val="nil"/>
            </w:tcBorders>
          </w:tcPr>
          <w:p w:rsidR="00000000" w:rsidRDefault="00000000">
            <w:pPr>
              <w:spacing w:line="240" w:lineRule="auto"/>
              <w:jc w:val="center"/>
              <w:rPr>
                <w:sz w:val="20"/>
              </w:rPr>
            </w:pPr>
            <w:r>
              <w:rPr>
                <w:sz w:val="20"/>
              </w:rPr>
              <w:t>29,59</w:t>
            </w:r>
          </w:p>
        </w:tc>
        <w:tc>
          <w:tcPr>
            <w:tcW w:w="2835" w:type="dxa"/>
            <w:tcBorders>
              <w:bottom w:val="nil"/>
            </w:tcBorders>
          </w:tcPr>
          <w:p w:rsidR="00000000" w:rsidRDefault="00000000">
            <w:pPr>
              <w:spacing w:line="240" w:lineRule="auto"/>
              <w:jc w:val="center"/>
              <w:rPr>
                <w:sz w:val="20"/>
              </w:rPr>
            </w:pPr>
            <w:r>
              <w:rPr>
                <w:sz w:val="20"/>
              </w:rPr>
              <w:t>18,37</w:t>
            </w:r>
          </w:p>
        </w:tc>
        <w:tc>
          <w:tcPr>
            <w:tcW w:w="2268" w:type="dxa"/>
            <w:tcBorders>
              <w:bottom w:val="nil"/>
            </w:tcBorders>
          </w:tcPr>
          <w:p w:rsidR="00000000" w:rsidRDefault="00000000">
            <w:pPr>
              <w:spacing w:line="240" w:lineRule="auto"/>
              <w:jc w:val="center"/>
              <w:rPr>
                <w:sz w:val="20"/>
              </w:rPr>
            </w:pPr>
            <w:r>
              <w:rPr>
                <w:sz w:val="20"/>
              </w:rPr>
              <w:t>9,18</w:t>
            </w:r>
          </w:p>
        </w:tc>
      </w:tr>
      <w:tr w:rsidR="00000000">
        <w:tc>
          <w:tcPr>
            <w:tcW w:w="1122" w:type="dxa"/>
            <w:tcBorders>
              <w:top w:val="nil"/>
              <w:bottom w:val="nil"/>
            </w:tcBorders>
          </w:tcPr>
          <w:p w:rsidR="00000000" w:rsidRDefault="00000000">
            <w:pPr>
              <w:spacing w:line="240" w:lineRule="auto"/>
              <w:jc w:val="center"/>
              <w:rPr>
                <w:sz w:val="20"/>
              </w:rPr>
            </w:pPr>
            <w:r>
              <w:rPr>
                <w:sz w:val="20"/>
              </w:rPr>
              <w:t>1982</w:t>
            </w:r>
          </w:p>
        </w:tc>
        <w:tc>
          <w:tcPr>
            <w:tcW w:w="3119" w:type="dxa"/>
            <w:tcBorders>
              <w:top w:val="nil"/>
              <w:bottom w:val="nil"/>
            </w:tcBorders>
          </w:tcPr>
          <w:p w:rsidR="00000000" w:rsidRDefault="00000000">
            <w:pPr>
              <w:spacing w:line="240" w:lineRule="auto"/>
              <w:jc w:val="center"/>
              <w:rPr>
                <w:sz w:val="20"/>
              </w:rPr>
            </w:pPr>
            <w:r>
              <w:rPr>
                <w:sz w:val="20"/>
              </w:rPr>
              <w:t>46,36</w:t>
            </w:r>
          </w:p>
        </w:tc>
        <w:tc>
          <w:tcPr>
            <w:tcW w:w="2835" w:type="dxa"/>
            <w:tcBorders>
              <w:top w:val="nil"/>
              <w:bottom w:val="nil"/>
            </w:tcBorders>
          </w:tcPr>
          <w:p w:rsidR="00000000" w:rsidRDefault="00000000">
            <w:pPr>
              <w:spacing w:line="240" w:lineRule="auto"/>
              <w:jc w:val="center"/>
              <w:rPr>
                <w:sz w:val="20"/>
              </w:rPr>
            </w:pPr>
            <w:r>
              <w:rPr>
                <w:sz w:val="20"/>
              </w:rPr>
              <w:t>24,54</w:t>
            </w:r>
          </w:p>
        </w:tc>
        <w:tc>
          <w:tcPr>
            <w:tcW w:w="2268" w:type="dxa"/>
            <w:tcBorders>
              <w:top w:val="nil"/>
              <w:bottom w:val="nil"/>
            </w:tcBorders>
          </w:tcPr>
          <w:p w:rsidR="00000000" w:rsidRDefault="00000000">
            <w:pPr>
              <w:spacing w:line="240" w:lineRule="auto"/>
              <w:jc w:val="center"/>
              <w:rPr>
                <w:sz w:val="20"/>
              </w:rPr>
            </w:pPr>
            <w:r>
              <w:rPr>
                <w:sz w:val="20"/>
              </w:rPr>
              <w:t>6,36</w:t>
            </w:r>
          </w:p>
        </w:tc>
      </w:tr>
      <w:tr w:rsidR="00000000">
        <w:tc>
          <w:tcPr>
            <w:tcW w:w="1122" w:type="dxa"/>
            <w:tcBorders>
              <w:top w:val="nil"/>
              <w:bottom w:val="nil"/>
            </w:tcBorders>
          </w:tcPr>
          <w:p w:rsidR="00000000" w:rsidRDefault="00000000">
            <w:pPr>
              <w:spacing w:line="240" w:lineRule="auto"/>
              <w:jc w:val="center"/>
              <w:rPr>
                <w:sz w:val="20"/>
              </w:rPr>
            </w:pPr>
            <w:r>
              <w:rPr>
                <w:sz w:val="20"/>
              </w:rPr>
              <w:t>1983</w:t>
            </w:r>
          </w:p>
        </w:tc>
        <w:tc>
          <w:tcPr>
            <w:tcW w:w="3119" w:type="dxa"/>
            <w:tcBorders>
              <w:top w:val="nil"/>
              <w:bottom w:val="nil"/>
            </w:tcBorders>
          </w:tcPr>
          <w:p w:rsidR="00000000" w:rsidRDefault="00000000">
            <w:pPr>
              <w:spacing w:line="240" w:lineRule="auto"/>
              <w:jc w:val="center"/>
              <w:rPr>
                <w:sz w:val="20"/>
              </w:rPr>
            </w:pPr>
            <w:r>
              <w:rPr>
                <w:sz w:val="20"/>
              </w:rPr>
              <w:t>33,96</w:t>
            </w:r>
          </w:p>
        </w:tc>
        <w:tc>
          <w:tcPr>
            <w:tcW w:w="2835" w:type="dxa"/>
            <w:tcBorders>
              <w:top w:val="nil"/>
              <w:bottom w:val="nil"/>
            </w:tcBorders>
          </w:tcPr>
          <w:p w:rsidR="00000000" w:rsidRDefault="00000000">
            <w:pPr>
              <w:spacing w:line="240" w:lineRule="auto"/>
              <w:jc w:val="center"/>
              <w:rPr>
                <w:sz w:val="20"/>
              </w:rPr>
            </w:pPr>
            <w:r>
              <w:rPr>
                <w:sz w:val="20"/>
              </w:rPr>
              <w:t>28,30</w:t>
            </w:r>
          </w:p>
        </w:tc>
        <w:tc>
          <w:tcPr>
            <w:tcW w:w="2268" w:type="dxa"/>
            <w:tcBorders>
              <w:top w:val="nil"/>
              <w:bottom w:val="nil"/>
            </w:tcBorders>
          </w:tcPr>
          <w:p w:rsidR="00000000" w:rsidRDefault="00000000">
            <w:pPr>
              <w:spacing w:line="240" w:lineRule="auto"/>
              <w:jc w:val="center"/>
              <w:rPr>
                <w:sz w:val="20"/>
              </w:rPr>
            </w:pPr>
            <w:r>
              <w:rPr>
                <w:sz w:val="20"/>
              </w:rPr>
              <w:t>данные отсутствуют</w:t>
            </w:r>
          </w:p>
        </w:tc>
      </w:tr>
      <w:tr w:rsidR="00000000">
        <w:tc>
          <w:tcPr>
            <w:tcW w:w="1122" w:type="dxa"/>
            <w:tcBorders>
              <w:top w:val="nil"/>
              <w:bottom w:val="nil"/>
            </w:tcBorders>
          </w:tcPr>
          <w:p w:rsidR="00000000" w:rsidRDefault="00000000">
            <w:pPr>
              <w:spacing w:line="240" w:lineRule="auto"/>
              <w:jc w:val="center"/>
              <w:rPr>
                <w:sz w:val="20"/>
              </w:rPr>
            </w:pPr>
            <w:r>
              <w:rPr>
                <w:sz w:val="20"/>
              </w:rPr>
              <w:t>1984</w:t>
            </w:r>
          </w:p>
        </w:tc>
        <w:tc>
          <w:tcPr>
            <w:tcW w:w="3119" w:type="dxa"/>
            <w:tcBorders>
              <w:top w:val="nil"/>
              <w:bottom w:val="nil"/>
            </w:tcBorders>
          </w:tcPr>
          <w:p w:rsidR="00000000" w:rsidRDefault="00000000">
            <w:pPr>
              <w:spacing w:line="240" w:lineRule="auto"/>
              <w:jc w:val="center"/>
              <w:rPr>
                <w:sz w:val="20"/>
              </w:rPr>
            </w:pPr>
            <w:r>
              <w:rPr>
                <w:sz w:val="20"/>
              </w:rPr>
              <w:t>37,00</w:t>
            </w:r>
          </w:p>
        </w:tc>
        <w:tc>
          <w:tcPr>
            <w:tcW w:w="2835" w:type="dxa"/>
            <w:tcBorders>
              <w:top w:val="nil"/>
              <w:bottom w:val="nil"/>
            </w:tcBorders>
          </w:tcPr>
          <w:p w:rsidR="00000000" w:rsidRDefault="00000000">
            <w:pPr>
              <w:spacing w:line="240" w:lineRule="auto"/>
              <w:jc w:val="center"/>
              <w:rPr>
                <w:sz w:val="20"/>
              </w:rPr>
            </w:pPr>
            <w:r>
              <w:rPr>
                <w:sz w:val="20"/>
              </w:rPr>
              <w:t>17,00</w:t>
            </w:r>
          </w:p>
        </w:tc>
        <w:tc>
          <w:tcPr>
            <w:tcW w:w="2268" w:type="dxa"/>
            <w:tcBorders>
              <w:top w:val="nil"/>
              <w:bottom w:val="nil"/>
            </w:tcBorders>
          </w:tcPr>
          <w:p w:rsidR="00000000" w:rsidRDefault="00000000">
            <w:pPr>
              <w:spacing w:line="240" w:lineRule="auto"/>
              <w:jc w:val="center"/>
              <w:rPr>
                <w:sz w:val="20"/>
              </w:rPr>
            </w:pPr>
            <w:r>
              <w:rPr>
                <w:sz w:val="20"/>
              </w:rPr>
              <w:t>11,00</w:t>
            </w:r>
          </w:p>
        </w:tc>
      </w:tr>
      <w:tr w:rsidR="00000000">
        <w:tc>
          <w:tcPr>
            <w:tcW w:w="1122" w:type="dxa"/>
            <w:tcBorders>
              <w:top w:val="nil"/>
              <w:bottom w:val="nil"/>
            </w:tcBorders>
          </w:tcPr>
          <w:p w:rsidR="00000000" w:rsidRDefault="00000000">
            <w:pPr>
              <w:spacing w:line="240" w:lineRule="auto"/>
              <w:jc w:val="center"/>
              <w:rPr>
                <w:sz w:val="20"/>
              </w:rPr>
            </w:pPr>
            <w:r>
              <w:rPr>
                <w:sz w:val="20"/>
              </w:rPr>
              <w:t>1985</w:t>
            </w:r>
          </w:p>
        </w:tc>
        <w:tc>
          <w:tcPr>
            <w:tcW w:w="3119" w:type="dxa"/>
            <w:tcBorders>
              <w:top w:val="nil"/>
              <w:bottom w:val="nil"/>
            </w:tcBorders>
          </w:tcPr>
          <w:p w:rsidR="00000000" w:rsidRDefault="00000000">
            <w:pPr>
              <w:spacing w:line="240" w:lineRule="auto"/>
              <w:jc w:val="center"/>
              <w:rPr>
                <w:sz w:val="20"/>
              </w:rPr>
            </w:pPr>
            <w:r>
              <w:rPr>
                <w:sz w:val="20"/>
              </w:rPr>
              <w:t>36,06</w:t>
            </w:r>
          </w:p>
        </w:tc>
        <w:tc>
          <w:tcPr>
            <w:tcW w:w="2835" w:type="dxa"/>
            <w:tcBorders>
              <w:top w:val="nil"/>
              <w:bottom w:val="nil"/>
            </w:tcBorders>
          </w:tcPr>
          <w:p w:rsidR="00000000" w:rsidRDefault="00000000">
            <w:pPr>
              <w:spacing w:line="240" w:lineRule="auto"/>
              <w:jc w:val="center"/>
              <w:rPr>
                <w:sz w:val="20"/>
              </w:rPr>
            </w:pPr>
            <w:r>
              <w:rPr>
                <w:sz w:val="20"/>
              </w:rPr>
              <w:t>26,74</w:t>
            </w:r>
          </w:p>
        </w:tc>
        <w:tc>
          <w:tcPr>
            <w:tcW w:w="2268" w:type="dxa"/>
            <w:tcBorders>
              <w:top w:val="nil"/>
              <w:bottom w:val="nil"/>
            </w:tcBorders>
          </w:tcPr>
          <w:p w:rsidR="00000000" w:rsidRDefault="00000000">
            <w:pPr>
              <w:spacing w:line="240" w:lineRule="auto"/>
              <w:jc w:val="center"/>
              <w:rPr>
                <w:sz w:val="20"/>
              </w:rPr>
            </w:pPr>
            <w:r>
              <w:rPr>
                <w:sz w:val="20"/>
              </w:rPr>
              <w:t>18,60</w:t>
            </w:r>
          </w:p>
        </w:tc>
      </w:tr>
      <w:tr w:rsidR="00000000">
        <w:tc>
          <w:tcPr>
            <w:tcW w:w="1122" w:type="dxa"/>
            <w:tcBorders>
              <w:top w:val="nil"/>
              <w:bottom w:val="nil"/>
            </w:tcBorders>
          </w:tcPr>
          <w:p w:rsidR="00000000" w:rsidRDefault="00000000">
            <w:pPr>
              <w:spacing w:line="240" w:lineRule="auto"/>
              <w:jc w:val="center"/>
              <w:rPr>
                <w:sz w:val="20"/>
              </w:rPr>
            </w:pPr>
            <w:r>
              <w:rPr>
                <w:sz w:val="20"/>
              </w:rPr>
              <w:t>1986</w:t>
            </w:r>
          </w:p>
        </w:tc>
        <w:tc>
          <w:tcPr>
            <w:tcW w:w="3119" w:type="dxa"/>
            <w:tcBorders>
              <w:top w:val="nil"/>
              <w:bottom w:val="nil"/>
            </w:tcBorders>
          </w:tcPr>
          <w:p w:rsidR="00000000" w:rsidRDefault="00000000">
            <w:pPr>
              <w:spacing w:line="240" w:lineRule="auto"/>
              <w:jc w:val="center"/>
              <w:rPr>
                <w:sz w:val="20"/>
              </w:rPr>
            </w:pPr>
            <w:r>
              <w:rPr>
                <w:sz w:val="20"/>
              </w:rPr>
              <w:t>37,50</w:t>
            </w:r>
          </w:p>
        </w:tc>
        <w:tc>
          <w:tcPr>
            <w:tcW w:w="2835" w:type="dxa"/>
            <w:tcBorders>
              <w:top w:val="nil"/>
              <w:bottom w:val="nil"/>
            </w:tcBorders>
          </w:tcPr>
          <w:p w:rsidR="00000000" w:rsidRDefault="00000000">
            <w:pPr>
              <w:spacing w:line="240" w:lineRule="auto"/>
              <w:jc w:val="center"/>
              <w:rPr>
                <w:sz w:val="20"/>
              </w:rPr>
            </w:pPr>
            <w:r>
              <w:rPr>
                <w:sz w:val="20"/>
              </w:rPr>
              <w:t>19,79</w:t>
            </w:r>
          </w:p>
        </w:tc>
        <w:tc>
          <w:tcPr>
            <w:tcW w:w="2268" w:type="dxa"/>
            <w:tcBorders>
              <w:top w:val="nil"/>
              <w:bottom w:val="nil"/>
            </w:tcBorders>
          </w:tcPr>
          <w:p w:rsidR="00000000" w:rsidRDefault="00000000">
            <w:pPr>
              <w:spacing w:line="240" w:lineRule="auto"/>
              <w:jc w:val="center"/>
              <w:rPr>
                <w:sz w:val="20"/>
              </w:rPr>
            </w:pPr>
            <w:r>
              <w:rPr>
                <w:sz w:val="20"/>
              </w:rPr>
              <w:t>данные отсутствуют</w:t>
            </w:r>
          </w:p>
        </w:tc>
      </w:tr>
      <w:tr w:rsidR="00000000">
        <w:tc>
          <w:tcPr>
            <w:tcW w:w="1122" w:type="dxa"/>
            <w:tcBorders>
              <w:top w:val="nil"/>
              <w:bottom w:val="nil"/>
            </w:tcBorders>
          </w:tcPr>
          <w:p w:rsidR="00000000" w:rsidRDefault="00000000">
            <w:pPr>
              <w:spacing w:line="240" w:lineRule="auto"/>
              <w:jc w:val="center"/>
              <w:rPr>
                <w:sz w:val="20"/>
              </w:rPr>
            </w:pPr>
            <w:r>
              <w:rPr>
                <w:sz w:val="20"/>
              </w:rPr>
              <w:t>1987</w:t>
            </w:r>
          </w:p>
        </w:tc>
        <w:tc>
          <w:tcPr>
            <w:tcW w:w="3119" w:type="dxa"/>
            <w:tcBorders>
              <w:top w:val="nil"/>
              <w:bottom w:val="nil"/>
            </w:tcBorders>
          </w:tcPr>
          <w:p w:rsidR="00000000" w:rsidRDefault="00000000">
            <w:pPr>
              <w:spacing w:line="240" w:lineRule="auto"/>
              <w:jc w:val="center"/>
              <w:rPr>
                <w:sz w:val="20"/>
              </w:rPr>
            </w:pPr>
            <w:r>
              <w:rPr>
                <w:sz w:val="20"/>
              </w:rPr>
              <w:t>35,79</w:t>
            </w:r>
          </w:p>
        </w:tc>
        <w:tc>
          <w:tcPr>
            <w:tcW w:w="2835" w:type="dxa"/>
            <w:tcBorders>
              <w:top w:val="nil"/>
              <w:bottom w:val="nil"/>
            </w:tcBorders>
          </w:tcPr>
          <w:p w:rsidR="00000000" w:rsidRDefault="00000000">
            <w:pPr>
              <w:spacing w:line="240" w:lineRule="auto"/>
              <w:jc w:val="center"/>
              <w:rPr>
                <w:sz w:val="20"/>
              </w:rPr>
            </w:pPr>
            <w:r>
              <w:rPr>
                <w:sz w:val="20"/>
              </w:rPr>
              <w:t>20,00</w:t>
            </w:r>
          </w:p>
        </w:tc>
        <w:tc>
          <w:tcPr>
            <w:tcW w:w="2268" w:type="dxa"/>
            <w:tcBorders>
              <w:top w:val="nil"/>
              <w:bottom w:val="nil"/>
            </w:tcBorders>
          </w:tcPr>
          <w:p w:rsidR="00000000" w:rsidRDefault="00000000">
            <w:pPr>
              <w:spacing w:line="240" w:lineRule="auto"/>
              <w:jc w:val="center"/>
              <w:rPr>
                <w:sz w:val="20"/>
              </w:rPr>
            </w:pPr>
            <w:r>
              <w:rPr>
                <w:sz w:val="20"/>
              </w:rPr>
              <w:t>15,79</w:t>
            </w:r>
          </w:p>
        </w:tc>
      </w:tr>
      <w:tr w:rsidR="00000000">
        <w:tc>
          <w:tcPr>
            <w:tcW w:w="1122" w:type="dxa"/>
            <w:tcBorders>
              <w:top w:val="nil"/>
              <w:bottom w:val="nil"/>
            </w:tcBorders>
          </w:tcPr>
          <w:p w:rsidR="00000000" w:rsidRDefault="00000000">
            <w:pPr>
              <w:spacing w:line="240" w:lineRule="auto"/>
              <w:jc w:val="center"/>
              <w:rPr>
                <w:sz w:val="20"/>
              </w:rPr>
            </w:pPr>
            <w:r>
              <w:rPr>
                <w:sz w:val="20"/>
              </w:rPr>
              <w:t>1988</w:t>
            </w:r>
          </w:p>
        </w:tc>
        <w:tc>
          <w:tcPr>
            <w:tcW w:w="3119" w:type="dxa"/>
            <w:tcBorders>
              <w:top w:val="nil"/>
              <w:bottom w:val="nil"/>
            </w:tcBorders>
          </w:tcPr>
          <w:p w:rsidR="00000000" w:rsidRDefault="00000000">
            <w:pPr>
              <w:spacing w:line="240" w:lineRule="auto"/>
              <w:jc w:val="center"/>
              <w:rPr>
                <w:sz w:val="20"/>
              </w:rPr>
            </w:pPr>
            <w:r>
              <w:rPr>
                <w:sz w:val="20"/>
              </w:rPr>
              <w:t>33,33</w:t>
            </w:r>
          </w:p>
        </w:tc>
        <w:tc>
          <w:tcPr>
            <w:tcW w:w="2835" w:type="dxa"/>
            <w:tcBorders>
              <w:top w:val="nil"/>
              <w:bottom w:val="nil"/>
            </w:tcBorders>
          </w:tcPr>
          <w:p w:rsidR="00000000" w:rsidRDefault="00000000">
            <w:pPr>
              <w:spacing w:line="240" w:lineRule="auto"/>
              <w:jc w:val="center"/>
              <w:rPr>
                <w:sz w:val="20"/>
              </w:rPr>
            </w:pPr>
            <w:r>
              <w:rPr>
                <w:sz w:val="20"/>
              </w:rPr>
              <w:t>22,91</w:t>
            </w:r>
          </w:p>
        </w:tc>
        <w:tc>
          <w:tcPr>
            <w:tcW w:w="2268" w:type="dxa"/>
            <w:tcBorders>
              <w:top w:val="nil"/>
              <w:bottom w:val="nil"/>
            </w:tcBorders>
          </w:tcPr>
          <w:p w:rsidR="00000000" w:rsidRDefault="00000000">
            <w:pPr>
              <w:spacing w:line="240" w:lineRule="auto"/>
              <w:jc w:val="center"/>
              <w:rPr>
                <w:sz w:val="20"/>
              </w:rPr>
            </w:pPr>
            <w:r>
              <w:rPr>
                <w:sz w:val="20"/>
              </w:rPr>
              <w:t>16,67</w:t>
            </w:r>
          </w:p>
        </w:tc>
      </w:tr>
      <w:tr w:rsidR="00000000">
        <w:tc>
          <w:tcPr>
            <w:tcW w:w="1122" w:type="dxa"/>
            <w:tcBorders>
              <w:top w:val="nil"/>
              <w:bottom w:val="nil"/>
            </w:tcBorders>
          </w:tcPr>
          <w:p w:rsidR="00000000" w:rsidRDefault="00000000">
            <w:pPr>
              <w:spacing w:line="240" w:lineRule="auto"/>
              <w:jc w:val="center"/>
              <w:rPr>
                <w:sz w:val="20"/>
              </w:rPr>
            </w:pPr>
            <w:r>
              <w:rPr>
                <w:sz w:val="20"/>
              </w:rPr>
              <w:t>1989</w:t>
            </w:r>
          </w:p>
        </w:tc>
        <w:tc>
          <w:tcPr>
            <w:tcW w:w="3119" w:type="dxa"/>
            <w:tcBorders>
              <w:top w:val="nil"/>
              <w:bottom w:val="nil"/>
            </w:tcBorders>
          </w:tcPr>
          <w:p w:rsidR="00000000" w:rsidRDefault="00000000">
            <w:pPr>
              <w:spacing w:line="240" w:lineRule="auto"/>
              <w:jc w:val="center"/>
              <w:rPr>
                <w:sz w:val="20"/>
              </w:rPr>
            </w:pPr>
            <w:r>
              <w:rPr>
                <w:sz w:val="20"/>
              </w:rPr>
              <w:t>32,69</w:t>
            </w:r>
          </w:p>
        </w:tc>
        <w:tc>
          <w:tcPr>
            <w:tcW w:w="2835" w:type="dxa"/>
            <w:tcBorders>
              <w:top w:val="nil"/>
              <w:bottom w:val="nil"/>
            </w:tcBorders>
          </w:tcPr>
          <w:p w:rsidR="00000000" w:rsidRDefault="00000000">
            <w:pPr>
              <w:spacing w:line="240" w:lineRule="auto"/>
              <w:jc w:val="center"/>
              <w:rPr>
                <w:sz w:val="20"/>
              </w:rPr>
            </w:pPr>
            <w:r>
              <w:rPr>
                <w:sz w:val="20"/>
              </w:rPr>
              <w:t>30,77</w:t>
            </w:r>
          </w:p>
        </w:tc>
        <w:tc>
          <w:tcPr>
            <w:tcW w:w="2268" w:type="dxa"/>
            <w:tcBorders>
              <w:top w:val="nil"/>
              <w:bottom w:val="nil"/>
            </w:tcBorders>
          </w:tcPr>
          <w:p w:rsidR="00000000" w:rsidRDefault="00000000">
            <w:pPr>
              <w:spacing w:line="240" w:lineRule="auto"/>
              <w:jc w:val="center"/>
              <w:rPr>
                <w:sz w:val="20"/>
              </w:rPr>
            </w:pPr>
            <w:r>
              <w:rPr>
                <w:sz w:val="20"/>
              </w:rPr>
              <w:t>данные отсутствуют</w:t>
            </w:r>
          </w:p>
        </w:tc>
      </w:tr>
      <w:tr w:rsidR="00000000">
        <w:tc>
          <w:tcPr>
            <w:tcW w:w="1122" w:type="dxa"/>
            <w:tcBorders>
              <w:top w:val="nil"/>
              <w:bottom w:val="nil"/>
            </w:tcBorders>
          </w:tcPr>
          <w:p w:rsidR="00000000" w:rsidRDefault="00000000">
            <w:pPr>
              <w:spacing w:line="240" w:lineRule="auto"/>
              <w:jc w:val="center"/>
              <w:rPr>
                <w:sz w:val="20"/>
              </w:rPr>
            </w:pPr>
            <w:r>
              <w:rPr>
                <w:sz w:val="20"/>
              </w:rPr>
              <w:t>1990</w:t>
            </w:r>
          </w:p>
        </w:tc>
        <w:tc>
          <w:tcPr>
            <w:tcW w:w="3119" w:type="dxa"/>
            <w:tcBorders>
              <w:top w:val="nil"/>
              <w:bottom w:val="nil"/>
            </w:tcBorders>
          </w:tcPr>
          <w:p w:rsidR="00000000" w:rsidRDefault="00000000">
            <w:pPr>
              <w:spacing w:line="240" w:lineRule="auto"/>
              <w:jc w:val="center"/>
              <w:rPr>
                <w:sz w:val="20"/>
              </w:rPr>
            </w:pPr>
            <w:r>
              <w:rPr>
                <w:sz w:val="20"/>
              </w:rPr>
              <w:t>24,27</w:t>
            </w:r>
          </w:p>
        </w:tc>
        <w:tc>
          <w:tcPr>
            <w:tcW w:w="2835" w:type="dxa"/>
            <w:tcBorders>
              <w:top w:val="nil"/>
              <w:bottom w:val="nil"/>
            </w:tcBorders>
          </w:tcPr>
          <w:p w:rsidR="00000000" w:rsidRDefault="00000000">
            <w:pPr>
              <w:spacing w:line="240" w:lineRule="auto"/>
              <w:jc w:val="center"/>
              <w:rPr>
                <w:sz w:val="20"/>
              </w:rPr>
            </w:pPr>
            <w:r>
              <w:rPr>
                <w:sz w:val="20"/>
              </w:rPr>
              <w:t>16,50</w:t>
            </w:r>
          </w:p>
        </w:tc>
        <w:tc>
          <w:tcPr>
            <w:tcW w:w="2268" w:type="dxa"/>
            <w:tcBorders>
              <w:top w:val="nil"/>
              <w:bottom w:val="nil"/>
            </w:tcBorders>
          </w:tcPr>
          <w:p w:rsidR="00000000" w:rsidRDefault="00000000">
            <w:pPr>
              <w:spacing w:line="240" w:lineRule="auto"/>
              <w:jc w:val="center"/>
              <w:rPr>
                <w:sz w:val="20"/>
              </w:rPr>
            </w:pPr>
            <w:r>
              <w:rPr>
                <w:sz w:val="20"/>
              </w:rPr>
              <w:t>данные отсутствуют</w:t>
            </w:r>
          </w:p>
        </w:tc>
      </w:tr>
      <w:tr w:rsidR="00000000">
        <w:tc>
          <w:tcPr>
            <w:tcW w:w="1122" w:type="dxa"/>
            <w:tcBorders>
              <w:top w:val="nil"/>
              <w:bottom w:val="nil"/>
            </w:tcBorders>
          </w:tcPr>
          <w:p w:rsidR="00000000" w:rsidRDefault="00000000">
            <w:pPr>
              <w:spacing w:line="240" w:lineRule="auto"/>
              <w:jc w:val="center"/>
              <w:rPr>
                <w:sz w:val="20"/>
              </w:rPr>
            </w:pPr>
            <w:r>
              <w:rPr>
                <w:sz w:val="20"/>
              </w:rPr>
              <w:t>1991</w:t>
            </w:r>
          </w:p>
        </w:tc>
        <w:tc>
          <w:tcPr>
            <w:tcW w:w="3119" w:type="dxa"/>
            <w:tcBorders>
              <w:top w:val="nil"/>
              <w:bottom w:val="nil"/>
            </w:tcBorders>
          </w:tcPr>
          <w:p w:rsidR="00000000" w:rsidRDefault="00000000">
            <w:pPr>
              <w:spacing w:line="240" w:lineRule="auto"/>
              <w:jc w:val="center"/>
              <w:rPr>
                <w:sz w:val="20"/>
              </w:rPr>
            </w:pPr>
            <w:r>
              <w:rPr>
                <w:sz w:val="20"/>
              </w:rPr>
              <w:t>35,92</w:t>
            </w:r>
          </w:p>
        </w:tc>
        <w:tc>
          <w:tcPr>
            <w:tcW w:w="2835" w:type="dxa"/>
            <w:tcBorders>
              <w:top w:val="nil"/>
              <w:bottom w:val="nil"/>
            </w:tcBorders>
          </w:tcPr>
          <w:p w:rsidR="00000000" w:rsidRDefault="00000000">
            <w:pPr>
              <w:spacing w:line="240" w:lineRule="auto"/>
              <w:jc w:val="center"/>
              <w:rPr>
                <w:sz w:val="20"/>
              </w:rPr>
            </w:pPr>
            <w:r>
              <w:rPr>
                <w:sz w:val="20"/>
              </w:rPr>
              <w:t>26,21</w:t>
            </w:r>
          </w:p>
        </w:tc>
        <w:tc>
          <w:tcPr>
            <w:tcW w:w="2268" w:type="dxa"/>
            <w:tcBorders>
              <w:top w:val="nil"/>
              <w:bottom w:val="nil"/>
            </w:tcBorders>
          </w:tcPr>
          <w:p w:rsidR="00000000" w:rsidRDefault="00000000">
            <w:pPr>
              <w:spacing w:line="240" w:lineRule="auto"/>
              <w:jc w:val="center"/>
              <w:rPr>
                <w:sz w:val="20"/>
              </w:rPr>
            </w:pPr>
            <w:r>
              <w:rPr>
                <w:sz w:val="20"/>
              </w:rPr>
              <w:t>14,56</w:t>
            </w:r>
          </w:p>
        </w:tc>
      </w:tr>
      <w:tr w:rsidR="00000000">
        <w:tc>
          <w:tcPr>
            <w:tcW w:w="1122" w:type="dxa"/>
            <w:tcBorders>
              <w:top w:val="nil"/>
              <w:bottom w:val="nil"/>
            </w:tcBorders>
          </w:tcPr>
          <w:p w:rsidR="00000000" w:rsidRDefault="00000000">
            <w:pPr>
              <w:spacing w:line="240" w:lineRule="auto"/>
              <w:jc w:val="center"/>
              <w:rPr>
                <w:sz w:val="20"/>
              </w:rPr>
            </w:pPr>
            <w:r>
              <w:rPr>
                <w:sz w:val="20"/>
              </w:rPr>
              <w:t>1992</w:t>
            </w:r>
          </w:p>
        </w:tc>
        <w:tc>
          <w:tcPr>
            <w:tcW w:w="3119" w:type="dxa"/>
            <w:tcBorders>
              <w:top w:val="nil"/>
              <w:bottom w:val="nil"/>
            </w:tcBorders>
          </w:tcPr>
          <w:p w:rsidR="00000000" w:rsidRDefault="00000000">
            <w:pPr>
              <w:spacing w:line="240" w:lineRule="auto"/>
              <w:jc w:val="center"/>
              <w:rPr>
                <w:sz w:val="20"/>
              </w:rPr>
            </w:pPr>
            <w:r>
              <w:rPr>
                <w:sz w:val="20"/>
              </w:rPr>
              <w:t>42,34</w:t>
            </w:r>
          </w:p>
        </w:tc>
        <w:tc>
          <w:tcPr>
            <w:tcW w:w="2835" w:type="dxa"/>
            <w:tcBorders>
              <w:top w:val="nil"/>
              <w:bottom w:val="nil"/>
            </w:tcBorders>
          </w:tcPr>
          <w:p w:rsidR="00000000" w:rsidRDefault="00000000">
            <w:pPr>
              <w:spacing w:line="240" w:lineRule="auto"/>
              <w:jc w:val="center"/>
              <w:rPr>
                <w:sz w:val="20"/>
              </w:rPr>
            </w:pPr>
            <w:r>
              <w:rPr>
                <w:sz w:val="20"/>
              </w:rPr>
              <w:t>31,53</w:t>
            </w:r>
          </w:p>
        </w:tc>
        <w:tc>
          <w:tcPr>
            <w:tcW w:w="2268" w:type="dxa"/>
            <w:tcBorders>
              <w:top w:val="nil"/>
              <w:bottom w:val="nil"/>
            </w:tcBorders>
          </w:tcPr>
          <w:p w:rsidR="00000000" w:rsidRDefault="00000000">
            <w:pPr>
              <w:spacing w:line="240" w:lineRule="auto"/>
              <w:jc w:val="center"/>
              <w:rPr>
                <w:sz w:val="20"/>
              </w:rPr>
            </w:pPr>
            <w:r>
              <w:rPr>
                <w:sz w:val="20"/>
              </w:rPr>
              <w:t>данные отсутствуют</w:t>
            </w:r>
          </w:p>
        </w:tc>
      </w:tr>
      <w:tr w:rsidR="00000000">
        <w:tc>
          <w:tcPr>
            <w:tcW w:w="1122" w:type="dxa"/>
            <w:tcBorders>
              <w:top w:val="nil"/>
              <w:bottom w:val="nil"/>
            </w:tcBorders>
          </w:tcPr>
          <w:p w:rsidR="00000000" w:rsidRDefault="00000000">
            <w:pPr>
              <w:spacing w:line="240" w:lineRule="auto"/>
              <w:jc w:val="center"/>
              <w:rPr>
                <w:sz w:val="20"/>
              </w:rPr>
            </w:pPr>
            <w:r>
              <w:rPr>
                <w:sz w:val="20"/>
              </w:rPr>
              <w:t>1993</w:t>
            </w:r>
          </w:p>
        </w:tc>
        <w:tc>
          <w:tcPr>
            <w:tcW w:w="3119" w:type="dxa"/>
            <w:tcBorders>
              <w:top w:val="nil"/>
              <w:bottom w:val="nil"/>
            </w:tcBorders>
          </w:tcPr>
          <w:p w:rsidR="00000000" w:rsidRDefault="00000000">
            <w:pPr>
              <w:spacing w:line="240" w:lineRule="auto"/>
              <w:jc w:val="center"/>
              <w:rPr>
                <w:sz w:val="20"/>
              </w:rPr>
            </w:pPr>
            <w:r>
              <w:rPr>
                <w:sz w:val="20"/>
              </w:rPr>
              <w:t>35,13</w:t>
            </w:r>
          </w:p>
        </w:tc>
        <w:tc>
          <w:tcPr>
            <w:tcW w:w="2835" w:type="dxa"/>
            <w:tcBorders>
              <w:top w:val="nil"/>
              <w:bottom w:val="nil"/>
            </w:tcBorders>
          </w:tcPr>
          <w:p w:rsidR="00000000" w:rsidRDefault="00000000">
            <w:pPr>
              <w:spacing w:line="240" w:lineRule="auto"/>
              <w:jc w:val="center"/>
              <w:rPr>
                <w:sz w:val="20"/>
              </w:rPr>
            </w:pPr>
            <w:r>
              <w:rPr>
                <w:sz w:val="20"/>
              </w:rPr>
              <w:t>28,82</w:t>
            </w:r>
          </w:p>
        </w:tc>
        <w:tc>
          <w:tcPr>
            <w:tcW w:w="2268" w:type="dxa"/>
            <w:tcBorders>
              <w:top w:val="nil"/>
              <w:bottom w:val="nil"/>
            </w:tcBorders>
          </w:tcPr>
          <w:p w:rsidR="00000000" w:rsidRDefault="00000000">
            <w:pPr>
              <w:spacing w:line="240" w:lineRule="auto"/>
              <w:jc w:val="center"/>
              <w:rPr>
                <w:sz w:val="20"/>
              </w:rPr>
            </w:pPr>
            <w:r>
              <w:rPr>
                <w:sz w:val="20"/>
              </w:rPr>
              <w:t>13,51</w:t>
            </w:r>
          </w:p>
        </w:tc>
      </w:tr>
      <w:tr w:rsidR="00000000">
        <w:tc>
          <w:tcPr>
            <w:tcW w:w="1122" w:type="dxa"/>
            <w:tcBorders>
              <w:top w:val="nil"/>
              <w:bottom w:val="nil"/>
            </w:tcBorders>
          </w:tcPr>
          <w:p w:rsidR="00000000" w:rsidRDefault="00000000">
            <w:pPr>
              <w:spacing w:line="240" w:lineRule="auto"/>
              <w:jc w:val="center"/>
              <w:rPr>
                <w:sz w:val="20"/>
              </w:rPr>
            </w:pPr>
            <w:r>
              <w:rPr>
                <w:sz w:val="20"/>
              </w:rPr>
              <w:t>1994</w:t>
            </w:r>
          </w:p>
        </w:tc>
        <w:tc>
          <w:tcPr>
            <w:tcW w:w="3119" w:type="dxa"/>
            <w:tcBorders>
              <w:top w:val="nil"/>
              <w:bottom w:val="nil"/>
            </w:tcBorders>
          </w:tcPr>
          <w:p w:rsidR="00000000" w:rsidRDefault="00000000">
            <w:pPr>
              <w:spacing w:line="240" w:lineRule="auto"/>
              <w:jc w:val="center"/>
              <w:rPr>
                <w:sz w:val="20"/>
              </w:rPr>
            </w:pPr>
            <w:r>
              <w:rPr>
                <w:sz w:val="20"/>
              </w:rPr>
              <w:t>35,45</w:t>
            </w:r>
          </w:p>
        </w:tc>
        <w:tc>
          <w:tcPr>
            <w:tcW w:w="2835" w:type="dxa"/>
            <w:tcBorders>
              <w:top w:val="nil"/>
              <w:bottom w:val="nil"/>
            </w:tcBorders>
          </w:tcPr>
          <w:p w:rsidR="00000000" w:rsidRDefault="00000000">
            <w:pPr>
              <w:spacing w:line="240" w:lineRule="auto"/>
              <w:jc w:val="center"/>
              <w:rPr>
                <w:sz w:val="20"/>
              </w:rPr>
            </w:pPr>
            <w:r>
              <w:rPr>
                <w:sz w:val="20"/>
              </w:rPr>
              <w:t>31,81</w:t>
            </w:r>
          </w:p>
        </w:tc>
        <w:tc>
          <w:tcPr>
            <w:tcW w:w="2268" w:type="dxa"/>
            <w:tcBorders>
              <w:top w:val="nil"/>
              <w:bottom w:val="nil"/>
            </w:tcBorders>
          </w:tcPr>
          <w:p w:rsidR="00000000" w:rsidRDefault="00000000">
            <w:pPr>
              <w:spacing w:line="240" w:lineRule="auto"/>
              <w:jc w:val="center"/>
              <w:rPr>
                <w:sz w:val="20"/>
              </w:rPr>
            </w:pPr>
            <w:r>
              <w:rPr>
                <w:sz w:val="20"/>
              </w:rPr>
              <w:t>16,36</w:t>
            </w:r>
          </w:p>
        </w:tc>
      </w:tr>
      <w:tr w:rsidR="00000000">
        <w:tc>
          <w:tcPr>
            <w:tcW w:w="1122" w:type="dxa"/>
            <w:tcBorders>
              <w:top w:val="nil"/>
              <w:bottom w:val="nil"/>
            </w:tcBorders>
          </w:tcPr>
          <w:p w:rsidR="00000000" w:rsidRDefault="00000000">
            <w:pPr>
              <w:spacing w:line="240" w:lineRule="auto"/>
              <w:jc w:val="center"/>
              <w:rPr>
                <w:sz w:val="20"/>
              </w:rPr>
            </w:pPr>
            <w:r>
              <w:rPr>
                <w:sz w:val="20"/>
              </w:rPr>
              <w:t>1995</w:t>
            </w:r>
          </w:p>
        </w:tc>
        <w:tc>
          <w:tcPr>
            <w:tcW w:w="3119" w:type="dxa"/>
            <w:tcBorders>
              <w:top w:val="nil"/>
              <w:bottom w:val="nil"/>
            </w:tcBorders>
          </w:tcPr>
          <w:p w:rsidR="00000000" w:rsidRDefault="00000000">
            <w:pPr>
              <w:spacing w:line="240" w:lineRule="auto"/>
              <w:jc w:val="center"/>
              <w:rPr>
                <w:sz w:val="20"/>
              </w:rPr>
            </w:pPr>
            <w:r>
              <w:rPr>
                <w:sz w:val="20"/>
              </w:rPr>
              <w:t>35,78</w:t>
            </w:r>
          </w:p>
        </w:tc>
        <w:tc>
          <w:tcPr>
            <w:tcW w:w="2835" w:type="dxa"/>
            <w:tcBorders>
              <w:top w:val="nil"/>
              <w:bottom w:val="nil"/>
            </w:tcBorders>
          </w:tcPr>
          <w:p w:rsidR="00000000" w:rsidRDefault="00000000">
            <w:pPr>
              <w:spacing w:line="240" w:lineRule="auto"/>
              <w:jc w:val="center"/>
              <w:rPr>
                <w:sz w:val="20"/>
              </w:rPr>
            </w:pPr>
            <w:r>
              <w:rPr>
                <w:sz w:val="20"/>
              </w:rPr>
              <w:t>33,03</w:t>
            </w:r>
          </w:p>
        </w:tc>
        <w:tc>
          <w:tcPr>
            <w:tcW w:w="2268" w:type="dxa"/>
            <w:tcBorders>
              <w:top w:val="nil"/>
              <w:bottom w:val="nil"/>
            </w:tcBorders>
          </w:tcPr>
          <w:p w:rsidR="00000000" w:rsidRDefault="00000000">
            <w:pPr>
              <w:spacing w:line="240" w:lineRule="auto"/>
              <w:jc w:val="center"/>
              <w:rPr>
                <w:sz w:val="20"/>
              </w:rPr>
            </w:pPr>
            <w:r>
              <w:rPr>
                <w:sz w:val="20"/>
              </w:rPr>
              <w:t>18,35</w:t>
            </w:r>
          </w:p>
        </w:tc>
      </w:tr>
      <w:tr w:rsidR="00000000">
        <w:tc>
          <w:tcPr>
            <w:tcW w:w="1122" w:type="dxa"/>
            <w:tcBorders>
              <w:top w:val="nil"/>
              <w:bottom w:val="nil"/>
            </w:tcBorders>
          </w:tcPr>
          <w:p w:rsidR="00000000" w:rsidRDefault="00000000">
            <w:pPr>
              <w:spacing w:line="240" w:lineRule="auto"/>
              <w:jc w:val="center"/>
              <w:rPr>
                <w:sz w:val="20"/>
              </w:rPr>
            </w:pPr>
            <w:r>
              <w:rPr>
                <w:sz w:val="20"/>
              </w:rPr>
              <w:t>1996</w:t>
            </w:r>
          </w:p>
        </w:tc>
        <w:tc>
          <w:tcPr>
            <w:tcW w:w="3119" w:type="dxa"/>
            <w:tcBorders>
              <w:top w:val="nil"/>
              <w:bottom w:val="nil"/>
            </w:tcBorders>
          </w:tcPr>
          <w:p w:rsidR="00000000" w:rsidRDefault="00000000">
            <w:pPr>
              <w:spacing w:line="240" w:lineRule="auto"/>
              <w:jc w:val="center"/>
              <w:rPr>
                <w:sz w:val="20"/>
              </w:rPr>
            </w:pPr>
            <w:r>
              <w:rPr>
                <w:sz w:val="20"/>
              </w:rPr>
              <w:t>36,52</w:t>
            </w:r>
          </w:p>
        </w:tc>
        <w:tc>
          <w:tcPr>
            <w:tcW w:w="2835" w:type="dxa"/>
            <w:tcBorders>
              <w:top w:val="nil"/>
              <w:bottom w:val="nil"/>
            </w:tcBorders>
          </w:tcPr>
          <w:p w:rsidR="00000000" w:rsidRDefault="00000000">
            <w:pPr>
              <w:spacing w:line="240" w:lineRule="auto"/>
              <w:jc w:val="center"/>
              <w:rPr>
                <w:sz w:val="20"/>
              </w:rPr>
            </w:pPr>
            <w:r>
              <w:rPr>
                <w:sz w:val="20"/>
              </w:rPr>
              <w:t>31,30</w:t>
            </w:r>
          </w:p>
        </w:tc>
        <w:tc>
          <w:tcPr>
            <w:tcW w:w="2268" w:type="dxa"/>
            <w:tcBorders>
              <w:top w:val="nil"/>
              <w:bottom w:val="nil"/>
            </w:tcBorders>
          </w:tcPr>
          <w:p w:rsidR="00000000" w:rsidRDefault="00000000">
            <w:pPr>
              <w:spacing w:line="240" w:lineRule="auto"/>
              <w:jc w:val="center"/>
              <w:rPr>
                <w:sz w:val="20"/>
              </w:rPr>
            </w:pPr>
            <w:r>
              <w:rPr>
                <w:sz w:val="20"/>
              </w:rPr>
              <w:t>20,00</w:t>
            </w:r>
          </w:p>
        </w:tc>
      </w:tr>
      <w:tr w:rsidR="00000000">
        <w:tc>
          <w:tcPr>
            <w:tcW w:w="1122" w:type="dxa"/>
            <w:tcBorders>
              <w:top w:val="nil"/>
              <w:bottom w:val="nil"/>
            </w:tcBorders>
          </w:tcPr>
          <w:p w:rsidR="00000000" w:rsidRDefault="00000000">
            <w:pPr>
              <w:spacing w:line="240" w:lineRule="auto"/>
              <w:jc w:val="center"/>
              <w:rPr>
                <w:sz w:val="20"/>
              </w:rPr>
            </w:pPr>
            <w:r>
              <w:rPr>
                <w:sz w:val="20"/>
              </w:rPr>
              <w:t>1997</w:t>
            </w:r>
          </w:p>
        </w:tc>
        <w:tc>
          <w:tcPr>
            <w:tcW w:w="3119" w:type="dxa"/>
            <w:tcBorders>
              <w:top w:val="nil"/>
              <w:bottom w:val="nil"/>
            </w:tcBorders>
          </w:tcPr>
          <w:p w:rsidR="00000000" w:rsidRDefault="00000000">
            <w:pPr>
              <w:spacing w:line="240" w:lineRule="auto"/>
              <w:jc w:val="center"/>
              <w:rPr>
                <w:sz w:val="20"/>
              </w:rPr>
            </w:pPr>
            <w:r>
              <w:rPr>
                <w:sz w:val="20"/>
              </w:rPr>
              <w:t>48,60</w:t>
            </w:r>
          </w:p>
        </w:tc>
        <w:tc>
          <w:tcPr>
            <w:tcW w:w="2835" w:type="dxa"/>
            <w:tcBorders>
              <w:top w:val="nil"/>
              <w:bottom w:val="nil"/>
            </w:tcBorders>
          </w:tcPr>
          <w:p w:rsidR="00000000" w:rsidRDefault="00000000">
            <w:pPr>
              <w:spacing w:line="240" w:lineRule="auto"/>
              <w:jc w:val="center"/>
              <w:rPr>
                <w:sz w:val="20"/>
              </w:rPr>
            </w:pPr>
            <w:r>
              <w:rPr>
                <w:sz w:val="20"/>
              </w:rPr>
              <w:t>45,76</w:t>
            </w:r>
          </w:p>
        </w:tc>
        <w:tc>
          <w:tcPr>
            <w:tcW w:w="2268" w:type="dxa"/>
            <w:tcBorders>
              <w:top w:val="nil"/>
              <w:bottom w:val="nil"/>
            </w:tcBorders>
          </w:tcPr>
          <w:p w:rsidR="00000000" w:rsidRDefault="00000000">
            <w:pPr>
              <w:spacing w:line="240" w:lineRule="auto"/>
              <w:jc w:val="center"/>
              <w:rPr>
                <w:sz w:val="20"/>
              </w:rPr>
            </w:pPr>
            <w:r>
              <w:rPr>
                <w:sz w:val="20"/>
              </w:rPr>
              <w:t>29,94</w:t>
            </w:r>
          </w:p>
        </w:tc>
      </w:tr>
      <w:tr w:rsidR="00000000">
        <w:tc>
          <w:tcPr>
            <w:tcW w:w="1122" w:type="dxa"/>
            <w:tcBorders>
              <w:top w:val="nil"/>
              <w:bottom w:val="nil"/>
            </w:tcBorders>
          </w:tcPr>
          <w:p w:rsidR="00000000" w:rsidRDefault="00000000">
            <w:pPr>
              <w:spacing w:line="240" w:lineRule="auto"/>
              <w:jc w:val="center"/>
              <w:rPr>
                <w:sz w:val="20"/>
              </w:rPr>
            </w:pPr>
            <w:r>
              <w:rPr>
                <w:sz w:val="20"/>
              </w:rPr>
              <w:t>1998</w:t>
            </w:r>
          </w:p>
        </w:tc>
        <w:tc>
          <w:tcPr>
            <w:tcW w:w="3119" w:type="dxa"/>
            <w:tcBorders>
              <w:top w:val="nil"/>
              <w:bottom w:val="nil"/>
            </w:tcBorders>
          </w:tcPr>
          <w:p w:rsidR="00000000" w:rsidRDefault="00000000">
            <w:pPr>
              <w:spacing w:line="240" w:lineRule="auto"/>
              <w:jc w:val="center"/>
              <w:rPr>
                <w:sz w:val="20"/>
              </w:rPr>
            </w:pPr>
            <w:r>
              <w:rPr>
                <w:sz w:val="20"/>
              </w:rPr>
              <w:t>38,53</w:t>
            </w:r>
          </w:p>
        </w:tc>
        <w:tc>
          <w:tcPr>
            <w:tcW w:w="2835" w:type="dxa"/>
            <w:tcBorders>
              <w:top w:val="nil"/>
              <w:bottom w:val="nil"/>
            </w:tcBorders>
          </w:tcPr>
          <w:p w:rsidR="00000000" w:rsidRDefault="00000000">
            <w:pPr>
              <w:spacing w:line="240" w:lineRule="auto"/>
              <w:jc w:val="center"/>
              <w:rPr>
                <w:sz w:val="20"/>
              </w:rPr>
            </w:pPr>
            <w:r>
              <w:rPr>
                <w:sz w:val="20"/>
              </w:rPr>
              <w:t>36,70</w:t>
            </w:r>
          </w:p>
        </w:tc>
        <w:tc>
          <w:tcPr>
            <w:tcW w:w="2268" w:type="dxa"/>
            <w:tcBorders>
              <w:top w:val="nil"/>
              <w:bottom w:val="nil"/>
            </w:tcBorders>
          </w:tcPr>
          <w:p w:rsidR="00000000" w:rsidRDefault="00000000">
            <w:pPr>
              <w:spacing w:line="240" w:lineRule="auto"/>
              <w:jc w:val="center"/>
              <w:rPr>
                <w:sz w:val="20"/>
              </w:rPr>
            </w:pPr>
            <w:r>
              <w:rPr>
                <w:sz w:val="20"/>
              </w:rPr>
              <w:t>22,93</w:t>
            </w:r>
          </w:p>
        </w:tc>
      </w:tr>
      <w:tr w:rsidR="00000000">
        <w:tc>
          <w:tcPr>
            <w:tcW w:w="1122" w:type="dxa"/>
            <w:tcBorders>
              <w:top w:val="nil"/>
              <w:bottom w:val="nil"/>
            </w:tcBorders>
          </w:tcPr>
          <w:p w:rsidR="00000000" w:rsidRDefault="00000000">
            <w:pPr>
              <w:spacing w:line="240" w:lineRule="auto"/>
              <w:jc w:val="center"/>
              <w:rPr>
                <w:sz w:val="20"/>
              </w:rPr>
            </w:pPr>
            <w:r>
              <w:rPr>
                <w:sz w:val="20"/>
              </w:rPr>
              <w:t>1999</w:t>
            </w:r>
          </w:p>
        </w:tc>
        <w:tc>
          <w:tcPr>
            <w:tcW w:w="3119" w:type="dxa"/>
            <w:tcBorders>
              <w:top w:val="nil"/>
              <w:bottom w:val="nil"/>
            </w:tcBorders>
          </w:tcPr>
          <w:p w:rsidR="00000000" w:rsidRDefault="00000000">
            <w:pPr>
              <w:spacing w:line="240" w:lineRule="auto"/>
              <w:jc w:val="center"/>
              <w:rPr>
                <w:sz w:val="20"/>
              </w:rPr>
            </w:pPr>
            <w:r>
              <w:rPr>
                <w:sz w:val="20"/>
              </w:rPr>
              <w:t>33,33</w:t>
            </w:r>
          </w:p>
        </w:tc>
        <w:tc>
          <w:tcPr>
            <w:tcW w:w="2835" w:type="dxa"/>
            <w:tcBorders>
              <w:top w:val="nil"/>
              <w:bottom w:val="nil"/>
            </w:tcBorders>
          </w:tcPr>
          <w:p w:rsidR="00000000" w:rsidRDefault="00000000">
            <w:pPr>
              <w:spacing w:line="240" w:lineRule="auto"/>
              <w:jc w:val="center"/>
              <w:rPr>
                <w:sz w:val="20"/>
              </w:rPr>
            </w:pPr>
            <w:r>
              <w:rPr>
                <w:sz w:val="20"/>
              </w:rPr>
              <w:t>32,43</w:t>
            </w:r>
          </w:p>
        </w:tc>
        <w:tc>
          <w:tcPr>
            <w:tcW w:w="2268" w:type="dxa"/>
            <w:tcBorders>
              <w:top w:val="nil"/>
              <w:bottom w:val="nil"/>
            </w:tcBorders>
          </w:tcPr>
          <w:p w:rsidR="00000000" w:rsidRDefault="00000000">
            <w:pPr>
              <w:spacing w:line="240" w:lineRule="auto"/>
              <w:jc w:val="center"/>
              <w:rPr>
                <w:sz w:val="20"/>
              </w:rPr>
            </w:pPr>
            <w:r>
              <w:rPr>
                <w:sz w:val="20"/>
              </w:rPr>
              <w:t>21,62</w:t>
            </w:r>
          </w:p>
        </w:tc>
      </w:tr>
      <w:tr w:rsidR="00000000">
        <w:tc>
          <w:tcPr>
            <w:tcW w:w="1122" w:type="dxa"/>
            <w:tcBorders>
              <w:top w:val="nil"/>
              <w:bottom w:val="nil"/>
            </w:tcBorders>
          </w:tcPr>
          <w:p w:rsidR="00000000" w:rsidRDefault="00000000">
            <w:pPr>
              <w:spacing w:line="240" w:lineRule="auto"/>
              <w:jc w:val="center"/>
              <w:rPr>
                <w:sz w:val="20"/>
              </w:rPr>
            </w:pPr>
            <w:r>
              <w:rPr>
                <w:sz w:val="20"/>
              </w:rPr>
              <w:t>2000</w:t>
            </w:r>
          </w:p>
        </w:tc>
        <w:tc>
          <w:tcPr>
            <w:tcW w:w="3119" w:type="dxa"/>
            <w:tcBorders>
              <w:top w:val="nil"/>
              <w:bottom w:val="nil"/>
            </w:tcBorders>
          </w:tcPr>
          <w:p w:rsidR="00000000" w:rsidRDefault="00000000">
            <w:pPr>
              <w:spacing w:line="240" w:lineRule="auto"/>
              <w:jc w:val="center"/>
              <w:rPr>
                <w:sz w:val="20"/>
              </w:rPr>
            </w:pPr>
            <w:r>
              <w:rPr>
                <w:sz w:val="20"/>
              </w:rPr>
              <w:t>34,23</w:t>
            </w:r>
          </w:p>
        </w:tc>
        <w:tc>
          <w:tcPr>
            <w:tcW w:w="2835" w:type="dxa"/>
            <w:tcBorders>
              <w:top w:val="nil"/>
              <w:bottom w:val="nil"/>
            </w:tcBorders>
          </w:tcPr>
          <w:p w:rsidR="00000000" w:rsidRDefault="00000000">
            <w:pPr>
              <w:spacing w:line="240" w:lineRule="auto"/>
              <w:jc w:val="center"/>
              <w:rPr>
                <w:sz w:val="20"/>
              </w:rPr>
            </w:pPr>
            <w:r>
              <w:rPr>
                <w:sz w:val="20"/>
              </w:rPr>
              <w:t>31,53</w:t>
            </w:r>
          </w:p>
        </w:tc>
        <w:tc>
          <w:tcPr>
            <w:tcW w:w="2268" w:type="dxa"/>
            <w:tcBorders>
              <w:top w:val="nil"/>
              <w:bottom w:val="nil"/>
            </w:tcBorders>
          </w:tcPr>
          <w:p w:rsidR="00000000" w:rsidRDefault="00000000">
            <w:pPr>
              <w:spacing w:line="240" w:lineRule="auto"/>
              <w:jc w:val="center"/>
              <w:rPr>
                <w:sz w:val="20"/>
              </w:rPr>
            </w:pPr>
            <w:r>
              <w:rPr>
                <w:sz w:val="20"/>
              </w:rPr>
              <w:t>21,62</w:t>
            </w:r>
          </w:p>
        </w:tc>
      </w:tr>
      <w:tr w:rsidR="00000000">
        <w:tc>
          <w:tcPr>
            <w:tcW w:w="1122" w:type="dxa"/>
            <w:tcBorders>
              <w:top w:val="nil"/>
            </w:tcBorders>
          </w:tcPr>
          <w:p w:rsidR="00000000" w:rsidRDefault="00000000">
            <w:pPr>
              <w:spacing w:line="240" w:lineRule="auto"/>
              <w:jc w:val="center"/>
              <w:rPr>
                <w:sz w:val="20"/>
              </w:rPr>
            </w:pPr>
            <w:r>
              <w:rPr>
                <w:sz w:val="20"/>
              </w:rPr>
              <w:t>2001</w:t>
            </w:r>
          </w:p>
        </w:tc>
        <w:tc>
          <w:tcPr>
            <w:tcW w:w="3119" w:type="dxa"/>
            <w:tcBorders>
              <w:top w:val="nil"/>
            </w:tcBorders>
          </w:tcPr>
          <w:p w:rsidR="00000000" w:rsidRDefault="00000000">
            <w:pPr>
              <w:spacing w:line="240" w:lineRule="auto"/>
              <w:jc w:val="center"/>
              <w:rPr>
                <w:sz w:val="20"/>
              </w:rPr>
            </w:pPr>
            <w:r>
              <w:rPr>
                <w:sz w:val="20"/>
              </w:rPr>
              <w:t>40,52</w:t>
            </w:r>
          </w:p>
        </w:tc>
        <w:tc>
          <w:tcPr>
            <w:tcW w:w="2835" w:type="dxa"/>
            <w:tcBorders>
              <w:top w:val="nil"/>
            </w:tcBorders>
          </w:tcPr>
          <w:p w:rsidR="00000000" w:rsidRDefault="00000000">
            <w:pPr>
              <w:spacing w:line="240" w:lineRule="auto"/>
              <w:jc w:val="center"/>
              <w:rPr>
                <w:sz w:val="20"/>
              </w:rPr>
            </w:pPr>
            <w:r>
              <w:rPr>
                <w:sz w:val="20"/>
              </w:rPr>
              <w:t>30,31</w:t>
            </w:r>
          </w:p>
        </w:tc>
        <w:tc>
          <w:tcPr>
            <w:tcW w:w="2268" w:type="dxa"/>
            <w:tcBorders>
              <w:top w:val="nil"/>
            </w:tcBorders>
          </w:tcPr>
          <w:p w:rsidR="00000000" w:rsidRDefault="00000000">
            <w:pPr>
              <w:spacing w:line="240" w:lineRule="auto"/>
              <w:jc w:val="center"/>
              <w:rPr>
                <w:sz w:val="20"/>
              </w:rPr>
            </w:pPr>
            <w:r>
              <w:rPr>
                <w:sz w:val="20"/>
              </w:rPr>
              <w:t>17,24</w:t>
            </w:r>
          </w:p>
        </w:tc>
      </w:tr>
    </w:tbl>
    <w:p w:rsidR="00000000" w:rsidRDefault="00000000"/>
    <w:p w:rsidR="00000000" w:rsidRDefault="00000000">
      <w:r>
        <w:tab/>
      </w:r>
      <w:r>
        <w:rPr>
          <w:i/>
          <w:iCs/>
        </w:rPr>
        <w:t>Источник:</w:t>
      </w:r>
      <w:r>
        <w:t xml:space="preserve">  Институт здравоохранения Сербии.</w:t>
      </w:r>
    </w:p>
    <w:p w:rsidR="00000000" w:rsidRDefault="00000000"/>
    <w:p w:rsidR="00000000" w:rsidRDefault="00000000">
      <w:pPr>
        <w:keepNext/>
        <w:spacing w:line="240" w:lineRule="auto"/>
        <w:jc w:val="center"/>
        <w:rPr>
          <w:b/>
          <w:bCs/>
        </w:rPr>
      </w:pPr>
      <w:r>
        <w:rPr>
          <w:b/>
          <w:bCs/>
        </w:rPr>
        <w:t>Таблица 16</w:t>
      </w:r>
    </w:p>
    <w:p w:rsidR="00000000" w:rsidRDefault="00000000">
      <w:pPr>
        <w:keepNext/>
        <w:spacing w:line="240" w:lineRule="auto"/>
        <w:jc w:val="center"/>
        <w:rPr>
          <w:b/>
          <w:bCs/>
          <w:sz w:val="16"/>
        </w:rPr>
      </w:pPr>
    </w:p>
    <w:p w:rsidR="00000000" w:rsidRDefault="00000000">
      <w:pPr>
        <w:pStyle w:val="BodyText2"/>
        <w:jc w:val="center"/>
        <w:rPr>
          <w:b/>
          <w:bCs/>
          <w:i w:val="0"/>
          <w:lang w:val="ru-RU"/>
        </w:rPr>
      </w:pPr>
      <w:r>
        <w:rPr>
          <w:b/>
          <w:bCs/>
          <w:i w:val="0"/>
          <w:lang w:val="ru-RU"/>
        </w:rPr>
        <w:t>Процентная доля питьевой воды, не соответствующей санитарно-гигиеническим нормам в централизованных муниципальных системах водоснабжения в Воеводине, 1993</w:t>
      </w:r>
      <w:r>
        <w:rPr>
          <w:b/>
          <w:bCs/>
          <w:i w:val="0"/>
          <w:lang w:val="ru-RU"/>
        </w:rPr>
        <w:noBreakHyphen/>
        <w:t>2001 годы</w:t>
      </w:r>
    </w:p>
    <w:p w:rsidR="00000000" w:rsidRDefault="00000000">
      <w:pPr>
        <w:pStyle w:val="BodyText2"/>
        <w:jc w:val="center"/>
        <w:rPr>
          <w:b/>
          <w:bCs/>
          <w:i w:val="0"/>
          <w:sz w:val="16"/>
          <w:lang w:val="ru-RU"/>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134"/>
        <w:gridCol w:w="3119"/>
        <w:gridCol w:w="2835"/>
        <w:gridCol w:w="2268"/>
      </w:tblGrid>
      <w:tr w:rsidR="00000000">
        <w:tc>
          <w:tcPr>
            <w:tcW w:w="1134" w:type="dxa"/>
            <w:tcBorders>
              <w:bottom w:val="single" w:sz="4" w:space="0" w:color="auto"/>
            </w:tcBorders>
            <w:vAlign w:val="center"/>
          </w:tcPr>
          <w:p w:rsidR="00000000" w:rsidRDefault="00000000">
            <w:pPr>
              <w:pStyle w:val="16"/>
              <w:spacing w:line="240" w:lineRule="auto"/>
            </w:pPr>
            <w:r>
              <w:t>Год</w:t>
            </w:r>
          </w:p>
        </w:tc>
        <w:tc>
          <w:tcPr>
            <w:tcW w:w="3119" w:type="dxa"/>
            <w:tcBorders>
              <w:bottom w:val="single" w:sz="4" w:space="0" w:color="auto"/>
            </w:tcBorders>
            <w:vAlign w:val="center"/>
          </w:tcPr>
          <w:p w:rsidR="00000000" w:rsidRDefault="00000000">
            <w:pPr>
              <w:spacing w:line="240" w:lineRule="auto"/>
              <w:jc w:val="center"/>
              <w:rPr>
                <w:sz w:val="22"/>
              </w:rPr>
            </w:pPr>
            <w:r>
              <w:rPr>
                <w:sz w:val="22"/>
              </w:rPr>
              <w:t>Процентная доля проверенных систем водоснабжения, в которых допустимое содержание вредных микробиологических примесей было превышено в более 5% проб</w:t>
            </w:r>
          </w:p>
        </w:tc>
        <w:tc>
          <w:tcPr>
            <w:tcW w:w="2835" w:type="dxa"/>
            <w:tcBorders>
              <w:bottom w:val="single" w:sz="4" w:space="0" w:color="auto"/>
            </w:tcBorders>
            <w:vAlign w:val="center"/>
          </w:tcPr>
          <w:p w:rsidR="00000000" w:rsidRDefault="00000000">
            <w:pPr>
              <w:spacing w:line="240" w:lineRule="auto"/>
              <w:jc w:val="center"/>
              <w:rPr>
                <w:sz w:val="22"/>
              </w:rPr>
            </w:pPr>
            <w:r>
              <w:rPr>
                <w:sz w:val="22"/>
              </w:rPr>
              <w:t>Процент проверенных систем водоснабжения, в которых допустимое содержание механических и/или химических примесей было превышено в более 20% проб</w:t>
            </w:r>
          </w:p>
        </w:tc>
        <w:tc>
          <w:tcPr>
            <w:tcW w:w="2268" w:type="dxa"/>
            <w:tcBorders>
              <w:bottom w:val="single" w:sz="4" w:space="0" w:color="auto"/>
            </w:tcBorders>
            <w:vAlign w:val="center"/>
          </w:tcPr>
          <w:p w:rsidR="00000000" w:rsidRDefault="00000000">
            <w:pPr>
              <w:spacing w:line="240" w:lineRule="auto"/>
              <w:jc w:val="center"/>
              <w:rPr>
                <w:sz w:val="22"/>
              </w:rPr>
            </w:pPr>
            <w:r>
              <w:rPr>
                <w:sz w:val="22"/>
              </w:rPr>
              <w:t>Процент проверенных систем водоснабжения с совокупным превышением допустимых концентраций примесей</w:t>
            </w:r>
          </w:p>
        </w:tc>
      </w:tr>
      <w:tr w:rsidR="00000000">
        <w:tc>
          <w:tcPr>
            <w:tcW w:w="1134" w:type="dxa"/>
            <w:tcBorders>
              <w:bottom w:val="nil"/>
            </w:tcBorders>
          </w:tcPr>
          <w:p w:rsidR="00000000" w:rsidRDefault="00000000">
            <w:pPr>
              <w:spacing w:line="240" w:lineRule="auto"/>
              <w:jc w:val="center"/>
              <w:rPr>
                <w:sz w:val="20"/>
              </w:rPr>
            </w:pPr>
            <w:r>
              <w:rPr>
                <w:sz w:val="20"/>
              </w:rPr>
              <w:t>1993</w:t>
            </w:r>
          </w:p>
        </w:tc>
        <w:tc>
          <w:tcPr>
            <w:tcW w:w="3119" w:type="dxa"/>
            <w:tcBorders>
              <w:bottom w:val="nil"/>
            </w:tcBorders>
          </w:tcPr>
          <w:p w:rsidR="00000000" w:rsidRDefault="00000000">
            <w:pPr>
              <w:spacing w:line="240" w:lineRule="auto"/>
              <w:jc w:val="center"/>
              <w:rPr>
                <w:sz w:val="20"/>
              </w:rPr>
            </w:pPr>
            <w:r>
              <w:rPr>
                <w:sz w:val="20"/>
              </w:rPr>
              <w:t>72,50</w:t>
            </w:r>
          </w:p>
        </w:tc>
        <w:tc>
          <w:tcPr>
            <w:tcW w:w="2835" w:type="dxa"/>
            <w:tcBorders>
              <w:bottom w:val="nil"/>
            </w:tcBorders>
          </w:tcPr>
          <w:p w:rsidR="00000000" w:rsidRDefault="00000000">
            <w:pPr>
              <w:spacing w:line="240" w:lineRule="auto"/>
              <w:jc w:val="center"/>
              <w:rPr>
                <w:sz w:val="20"/>
              </w:rPr>
            </w:pPr>
            <w:r>
              <w:rPr>
                <w:sz w:val="20"/>
              </w:rPr>
              <w:t>62,50</w:t>
            </w:r>
          </w:p>
        </w:tc>
        <w:tc>
          <w:tcPr>
            <w:tcW w:w="2268" w:type="dxa"/>
            <w:tcBorders>
              <w:bottom w:val="nil"/>
            </w:tcBorders>
          </w:tcPr>
          <w:p w:rsidR="00000000" w:rsidRDefault="00000000">
            <w:pPr>
              <w:spacing w:line="240" w:lineRule="auto"/>
              <w:jc w:val="center"/>
              <w:rPr>
                <w:sz w:val="20"/>
              </w:rPr>
            </w:pPr>
            <w:r>
              <w:rPr>
                <w:sz w:val="20"/>
              </w:rPr>
              <w:t>55,00</w:t>
            </w:r>
          </w:p>
        </w:tc>
      </w:tr>
      <w:tr w:rsidR="00000000">
        <w:tc>
          <w:tcPr>
            <w:tcW w:w="1134" w:type="dxa"/>
            <w:tcBorders>
              <w:top w:val="nil"/>
              <w:bottom w:val="nil"/>
            </w:tcBorders>
          </w:tcPr>
          <w:p w:rsidR="00000000" w:rsidRDefault="00000000">
            <w:pPr>
              <w:spacing w:line="240" w:lineRule="auto"/>
              <w:jc w:val="center"/>
              <w:rPr>
                <w:sz w:val="20"/>
              </w:rPr>
            </w:pPr>
            <w:r>
              <w:rPr>
                <w:sz w:val="20"/>
              </w:rPr>
              <w:t>1994</w:t>
            </w:r>
          </w:p>
        </w:tc>
        <w:tc>
          <w:tcPr>
            <w:tcW w:w="3119" w:type="dxa"/>
            <w:tcBorders>
              <w:top w:val="nil"/>
              <w:bottom w:val="nil"/>
            </w:tcBorders>
          </w:tcPr>
          <w:p w:rsidR="00000000" w:rsidRDefault="00000000">
            <w:pPr>
              <w:spacing w:line="240" w:lineRule="auto"/>
              <w:jc w:val="center"/>
              <w:rPr>
                <w:sz w:val="20"/>
              </w:rPr>
            </w:pPr>
            <w:r>
              <w:rPr>
                <w:sz w:val="20"/>
              </w:rPr>
              <w:t>81,08</w:t>
            </w:r>
          </w:p>
        </w:tc>
        <w:tc>
          <w:tcPr>
            <w:tcW w:w="2835" w:type="dxa"/>
            <w:tcBorders>
              <w:top w:val="nil"/>
              <w:bottom w:val="nil"/>
            </w:tcBorders>
          </w:tcPr>
          <w:p w:rsidR="00000000" w:rsidRDefault="00000000">
            <w:pPr>
              <w:spacing w:line="240" w:lineRule="auto"/>
              <w:jc w:val="center"/>
              <w:rPr>
                <w:sz w:val="20"/>
              </w:rPr>
            </w:pPr>
            <w:r>
              <w:rPr>
                <w:sz w:val="20"/>
              </w:rPr>
              <w:t>64,86</w:t>
            </w:r>
          </w:p>
        </w:tc>
        <w:tc>
          <w:tcPr>
            <w:tcW w:w="2268" w:type="dxa"/>
            <w:tcBorders>
              <w:top w:val="nil"/>
              <w:bottom w:val="nil"/>
            </w:tcBorders>
          </w:tcPr>
          <w:p w:rsidR="00000000" w:rsidRDefault="00000000">
            <w:pPr>
              <w:spacing w:line="240" w:lineRule="auto"/>
              <w:jc w:val="center"/>
              <w:rPr>
                <w:sz w:val="20"/>
              </w:rPr>
            </w:pPr>
            <w:r>
              <w:rPr>
                <w:sz w:val="20"/>
              </w:rPr>
              <w:t>54,05</w:t>
            </w:r>
          </w:p>
        </w:tc>
      </w:tr>
      <w:tr w:rsidR="00000000">
        <w:tc>
          <w:tcPr>
            <w:tcW w:w="1134" w:type="dxa"/>
            <w:tcBorders>
              <w:top w:val="nil"/>
              <w:bottom w:val="nil"/>
            </w:tcBorders>
          </w:tcPr>
          <w:p w:rsidR="00000000" w:rsidRDefault="00000000">
            <w:pPr>
              <w:spacing w:line="240" w:lineRule="auto"/>
              <w:jc w:val="center"/>
              <w:rPr>
                <w:sz w:val="20"/>
              </w:rPr>
            </w:pPr>
            <w:r>
              <w:rPr>
                <w:sz w:val="20"/>
              </w:rPr>
              <w:t>1995</w:t>
            </w:r>
          </w:p>
        </w:tc>
        <w:tc>
          <w:tcPr>
            <w:tcW w:w="3119" w:type="dxa"/>
            <w:tcBorders>
              <w:top w:val="nil"/>
              <w:bottom w:val="nil"/>
            </w:tcBorders>
          </w:tcPr>
          <w:p w:rsidR="00000000" w:rsidRDefault="00000000">
            <w:pPr>
              <w:spacing w:line="240" w:lineRule="auto"/>
              <w:jc w:val="center"/>
              <w:rPr>
                <w:sz w:val="20"/>
              </w:rPr>
            </w:pPr>
            <w:r>
              <w:rPr>
                <w:sz w:val="20"/>
              </w:rPr>
              <w:t>83,72</w:t>
            </w:r>
          </w:p>
        </w:tc>
        <w:tc>
          <w:tcPr>
            <w:tcW w:w="2835" w:type="dxa"/>
            <w:tcBorders>
              <w:top w:val="nil"/>
              <w:bottom w:val="nil"/>
            </w:tcBorders>
          </w:tcPr>
          <w:p w:rsidR="00000000" w:rsidRDefault="00000000">
            <w:pPr>
              <w:spacing w:line="240" w:lineRule="auto"/>
              <w:jc w:val="center"/>
              <w:rPr>
                <w:sz w:val="20"/>
              </w:rPr>
            </w:pPr>
            <w:r>
              <w:rPr>
                <w:sz w:val="20"/>
              </w:rPr>
              <w:t>67,44</w:t>
            </w:r>
          </w:p>
        </w:tc>
        <w:tc>
          <w:tcPr>
            <w:tcW w:w="2268" w:type="dxa"/>
            <w:tcBorders>
              <w:top w:val="nil"/>
              <w:bottom w:val="nil"/>
            </w:tcBorders>
          </w:tcPr>
          <w:p w:rsidR="00000000" w:rsidRDefault="00000000">
            <w:pPr>
              <w:spacing w:line="240" w:lineRule="auto"/>
              <w:jc w:val="center"/>
              <w:rPr>
                <w:sz w:val="20"/>
              </w:rPr>
            </w:pPr>
            <w:r>
              <w:rPr>
                <w:sz w:val="20"/>
              </w:rPr>
              <w:t>58,14</w:t>
            </w:r>
          </w:p>
        </w:tc>
      </w:tr>
      <w:tr w:rsidR="00000000">
        <w:tc>
          <w:tcPr>
            <w:tcW w:w="1134" w:type="dxa"/>
            <w:tcBorders>
              <w:top w:val="nil"/>
              <w:bottom w:val="nil"/>
            </w:tcBorders>
          </w:tcPr>
          <w:p w:rsidR="00000000" w:rsidRDefault="00000000">
            <w:pPr>
              <w:spacing w:line="240" w:lineRule="auto"/>
              <w:jc w:val="center"/>
              <w:rPr>
                <w:sz w:val="20"/>
              </w:rPr>
            </w:pPr>
            <w:r>
              <w:rPr>
                <w:sz w:val="20"/>
              </w:rPr>
              <w:t>1996</w:t>
            </w:r>
          </w:p>
        </w:tc>
        <w:tc>
          <w:tcPr>
            <w:tcW w:w="3119" w:type="dxa"/>
            <w:tcBorders>
              <w:top w:val="nil"/>
              <w:bottom w:val="nil"/>
            </w:tcBorders>
          </w:tcPr>
          <w:p w:rsidR="00000000" w:rsidRDefault="00000000">
            <w:pPr>
              <w:spacing w:line="240" w:lineRule="auto"/>
              <w:jc w:val="center"/>
              <w:rPr>
                <w:sz w:val="20"/>
              </w:rPr>
            </w:pPr>
            <w:r>
              <w:rPr>
                <w:sz w:val="20"/>
              </w:rPr>
              <w:t>88,09</w:t>
            </w:r>
          </w:p>
        </w:tc>
        <w:tc>
          <w:tcPr>
            <w:tcW w:w="2835" w:type="dxa"/>
            <w:tcBorders>
              <w:top w:val="nil"/>
              <w:bottom w:val="nil"/>
            </w:tcBorders>
          </w:tcPr>
          <w:p w:rsidR="00000000" w:rsidRDefault="00000000">
            <w:pPr>
              <w:spacing w:line="240" w:lineRule="auto"/>
              <w:jc w:val="center"/>
              <w:rPr>
                <w:sz w:val="20"/>
              </w:rPr>
            </w:pPr>
            <w:r>
              <w:rPr>
                <w:sz w:val="20"/>
              </w:rPr>
              <w:t>73,81</w:t>
            </w:r>
          </w:p>
        </w:tc>
        <w:tc>
          <w:tcPr>
            <w:tcW w:w="2268" w:type="dxa"/>
            <w:tcBorders>
              <w:top w:val="nil"/>
              <w:bottom w:val="nil"/>
            </w:tcBorders>
          </w:tcPr>
          <w:p w:rsidR="00000000" w:rsidRDefault="00000000">
            <w:pPr>
              <w:spacing w:line="240" w:lineRule="auto"/>
              <w:jc w:val="center"/>
              <w:rPr>
                <w:sz w:val="20"/>
              </w:rPr>
            </w:pPr>
            <w:r>
              <w:rPr>
                <w:sz w:val="20"/>
              </w:rPr>
              <w:t>69,05</w:t>
            </w:r>
          </w:p>
        </w:tc>
      </w:tr>
      <w:tr w:rsidR="00000000">
        <w:tc>
          <w:tcPr>
            <w:tcW w:w="1134" w:type="dxa"/>
            <w:tcBorders>
              <w:top w:val="nil"/>
              <w:bottom w:val="nil"/>
            </w:tcBorders>
          </w:tcPr>
          <w:p w:rsidR="00000000" w:rsidRDefault="00000000">
            <w:pPr>
              <w:spacing w:line="240" w:lineRule="auto"/>
              <w:jc w:val="center"/>
              <w:rPr>
                <w:sz w:val="20"/>
              </w:rPr>
            </w:pPr>
            <w:r>
              <w:rPr>
                <w:sz w:val="20"/>
              </w:rPr>
              <w:t>1997</w:t>
            </w:r>
          </w:p>
        </w:tc>
        <w:tc>
          <w:tcPr>
            <w:tcW w:w="3119" w:type="dxa"/>
            <w:tcBorders>
              <w:top w:val="nil"/>
              <w:bottom w:val="nil"/>
            </w:tcBorders>
          </w:tcPr>
          <w:p w:rsidR="00000000" w:rsidRDefault="00000000">
            <w:pPr>
              <w:spacing w:line="240" w:lineRule="auto"/>
              <w:jc w:val="center"/>
              <w:rPr>
                <w:sz w:val="20"/>
              </w:rPr>
            </w:pPr>
            <w:r>
              <w:rPr>
                <w:sz w:val="20"/>
              </w:rPr>
              <w:t>88,09</w:t>
            </w:r>
          </w:p>
        </w:tc>
        <w:tc>
          <w:tcPr>
            <w:tcW w:w="2835" w:type="dxa"/>
            <w:tcBorders>
              <w:top w:val="nil"/>
              <w:bottom w:val="nil"/>
            </w:tcBorders>
          </w:tcPr>
          <w:p w:rsidR="00000000" w:rsidRDefault="00000000">
            <w:pPr>
              <w:spacing w:line="240" w:lineRule="auto"/>
              <w:jc w:val="center"/>
              <w:rPr>
                <w:sz w:val="20"/>
              </w:rPr>
            </w:pPr>
            <w:r>
              <w:rPr>
                <w:sz w:val="20"/>
              </w:rPr>
              <w:t>66,66</w:t>
            </w:r>
          </w:p>
        </w:tc>
        <w:tc>
          <w:tcPr>
            <w:tcW w:w="2268" w:type="dxa"/>
            <w:tcBorders>
              <w:top w:val="nil"/>
              <w:bottom w:val="nil"/>
            </w:tcBorders>
          </w:tcPr>
          <w:p w:rsidR="00000000" w:rsidRDefault="00000000">
            <w:pPr>
              <w:spacing w:line="240" w:lineRule="auto"/>
              <w:jc w:val="center"/>
              <w:rPr>
                <w:sz w:val="20"/>
              </w:rPr>
            </w:pPr>
            <w:r>
              <w:rPr>
                <w:sz w:val="20"/>
              </w:rPr>
              <w:t>61,90</w:t>
            </w:r>
          </w:p>
        </w:tc>
      </w:tr>
      <w:tr w:rsidR="00000000">
        <w:tc>
          <w:tcPr>
            <w:tcW w:w="1134" w:type="dxa"/>
            <w:tcBorders>
              <w:top w:val="nil"/>
              <w:bottom w:val="nil"/>
            </w:tcBorders>
          </w:tcPr>
          <w:p w:rsidR="00000000" w:rsidRDefault="00000000">
            <w:pPr>
              <w:spacing w:line="240" w:lineRule="auto"/>
              <w:jc w:val="center"/>
              <w:rPr>
                <w:sz w:val="20"/>
              </w:rPr>
            </w:pPr>
            <w:r>
              <w:rPr>
                <w:sz w:val="20"/>
              </w:rPr>
              <w:t>1998</w:t>
            </w:r>
          </w:p>
        </w:tc>
        <w:tc>
          <w:tcPr>
            <w:tcW w:w="3119" w:type="dxa"/>
            <w:tcBorders>
              <w:top w:val="nil"/>
              <w:bottom w:val="nil"/>
            </w:tcBorders>
          </w:tcPr>
          <w:p w:rsidR="00000000" w:rsidRDefault="00000000">
            <w:pPr>
              <w:spacing w:line="240" w:lineRule="auto"/>
              <w:jc w:val="center"/>
              <w:rPr>
                <w:sz w:val="20"/>
              </w:rPr>
            </w:pPr>
            <w:r>
              <w:rPr>
                <w:sz w:val="20"/>
              </w:rPr>
              <w:t>83,33</w:t>
            </w:r>
          </w:p>
        </w:tc>
        <w:tc>
          <w:tcPr>
            <w:tcW w:w="2835" w:type="dxa"/>
            <w:tcBorders>
              <w:top w:val="nil"/>
              <w:bottom w:val="nil"/>
            </w:tcBorders>
          </w:tcPr>
          <w:p w:rsidR="00000000" w:rsidRDefault="00000000">
            <w:pPr>
              <w:spacing w:line="240" w:lineRule="auto"/>
              <w:jc w:val="center"/>
              <w:rPr>
                <w:sz w:val="20"/>
              </w:rPr>
            </w:pPr>
            <w:r>
              <w:rPr>
                <w:sz w:val="20"/>
              </w:rPr>
              <w:t>59,52</w:t>
            </w:r>
          </w:p>
        </w:tc>
        <w:tc>
          <w:tcPr>
            <w:tcW w:w="2268" w:type="dxa"/>
            <w:tcBorders>
              <w:top w:val="nil"/>
              <w:bottom w:val="nil"/>
            </w:tcBorders>
          </w:tcPr>
          <w:p w:rsidR="00000000" w:rsidRDefault="00000000">
            <w:pPr>
              <w:spacing w:line="240" w:lineRule="auto"/>
              <w:jc w:val="center"/>
              <w:rPr>
                <w:sz w:val="20"/>
              </w:rPr>
            </w:pPr>
            <w:r>
              <w:rPr>
                <w:sz w:val="20"/>
              </w:rPr>
              <w:t>52,38</w:t>
            </w:r>
          </w:p>
        </w:tc>
      </w:tr>
      <w:tr w:rsidR="00000000">
        <w:tc>
          <w:tcPr>
            <w:tcW w:w="1134" w:type="dxa"/>
            <w:tcBorders>
              <w:top w:val="nil"/>
              <w:bottom w:val="nil"/>
            </w:tcBorders>
          </w:tcPr>
          <w:p w:rsidR="00000000" w:rsidRDefault="00000000">
            <w:pPr>
              <w:spacing w:line="240" w:lineRule="auto"/>
              <w:jc w:val="center"/>
              <w:rPr>
                <w:sz w:val="20"/>
              </w:rPr>
            </w:pPr>
            <w:r>
              <w:rPr>
                <w:sz w:val="20"/>
              </w:rPr>
              <w:t>1999</w:t>
            </w:r>
          </w:p>
        </w:tc>
        <w:tc>
          <w:tcPr>
            <w:tcW w:w="3119" w:type="dxa"/>
            <w:tcBorders>
              <w:top w:val="nil"/>
              <w:bottom w:val="nil"/>
            </w:tcBorders>
          </w:tcPr>
          <w:p w:rsidR="00000000" w:rsidRDefault="00000000">
            <w:pPr>
              <w:spacing w:line="240" w:lineRule="auto"/>
              <w:jc w:val="center"/>
              <w:rPr>
                <w:sz w:val="20"/>
              </w:rPr>
            </w:pPr>
            <w:r>
              <w:rPr>
                <w:sz w:val="20"/>
              </w:rPr>
              <w:t>64,15</w:t>
            </w:r>
          </w:p>
        </w:tc>
        <w:tc>
          <w:tcPr>
            <w:tcW w:w="2835" w:type="dxa"/>
            <w:tcBorders>
              <w:top w:val="nil"/>
              <w:bottom w:val="nil"/>
            </w:tcBorders>
          </w:tcPr>
          <w:p w:rsidR="00000000" w:rsidRDefault="00000000">
            <w:pPr>
              <w:spacing w:line="240" w:lineRule="auto"/>
              <w:jc w:val="center"/>
              <w:rPr>
                <w:sz w:val="20"/>
              </w:rPr>
            </w:pPr>
            <w:r>
              <w:rPr>
                <w:sz w:val="20"/>
              </w:rPr>
              <w:t>49,05</w:t>
            </w:r>
          </w:p>
        </w:tc>
        <w:tc>
          <w:tcPr>
            <w:tcW w:w="2268" w:type="dxa"/>
            <w:tcBorders>
              <w:top w:val="nil"/>
              <w:bottom w:val="nil"/>
            </w:tcBorders>
          </w:tcPr>
          <w:p w:rsidR="00000000" w:rsidRDefault="00000000">
            <w:pPr>
              <w:spacing w:line="240" w:lineRule="auto"/>
              <w:jc w:val="center"/>
              <w:rPr>
                <w:sz w:val="20"/>
              </w:rPr>
            </w:pPr>
            <w:r>
              <w:rPr>
                <w:sz w:val="20"/>
              </w:rPr>
              <w:t>49,05</w:t>
            </w:r>
          </w:p>
        </w:tc>
      </w:tr>
      <w:tr w:rsidR="00000000">
        <w:tc>
          <w:tcPr>
            <w:tcW w:w="1134" w:type="dxa"/>
            <w:tcBorders>
              <w:top w:val="nil"/>
              <w:bottom w:val="nil"/>
            </w:tcBorders>
          </w:tcPr>
          <w:p w:rsidR="00000000" w:rsidRDefault="00000000">
            <w:pPr>
              <w:spacing w:line="240" w:lineRule="auto"/>
              <w:jc w:val="center"/>
              <w:rPr>
                <w:sz w:val="20"/>
              </w:rPr>
            </w:pPr>
            <w:r>
              <w:rPr>
                <w:sz w:val="20"/>
              </w:rPr>
              <w:t>2000</w:t>
            </w:r>
          </w:p>
        </w:tc>
        <w:tc>
          <w:tcPr>
            <w:tcW w:w="3119" w:type="dxa"/>
            <w:tcBorders>
              <w:top w:val="nil"/>
              <w:bottom w:val="nil"/>
            </w:tcBorders>
          </w:tcPr>
          <w:p w:rsidR="00000000" w:rsidRDefault="00000000">
            <w:pPr>
              <w:spacing w:line="240" w:lineRule="auto"/>
              <w:jc w:val="center"/>
              <w:rPr>
                <w:sz w:val="20"/>
              </w:rPr>
            </w:pPr>
            <w:r>
              <w:rPr>
                <w:sz w:val="20"/>
              </w:rPr>
              <w:t>64,15</w:t>
            </w:r>
          </w:p>
        </w:tc>
        <w:tc>
          <w:tcPr>
            <w:tcW w:w="2835" w:type="dxa"/>
            <w:tcBorders>
              <w:top w:val="nil"/>
              <w:bottom w:val="nil"/>
            </w:tcBorders>
          </w:tcPr>
          <w:p w:rsidR="00000000" w:rsidRDefault="00000000">
            <w:pPr>
              <w:spacing w:line="240" w:lineRule="auto"/>
              <w:jc w:val="center"/>
              <w:rPr>
                <w:sz w:val="20"/>
              </w:rPr>
            </w:pPr>
            <w:r>
              <w:rPr>
                <w:sz w:val="20"/>
              </w:rPr>
              <w:t>50,94</w:t>
            </w:r>
          </w:p>
        </w:tc>
        <w:tc>
          <w:tcPr>
            <w:tcW w:w="2268" w:type="dxa"/>
            <w:tcBorders>
              <w:top w:val="nil"/>
              <w:bottom w:val="nil"/>
            </w:tcBorders>
          </w:tcPr>
          <w:p w:rsidR="00000000" w:rsidRDefault="00000000">
            <w:pPr>
              <w:spacing w:line="240" w:lineRule="auto"/>
              <w:jc w:val="center"/>
              <w:rPr>
                <w:sz w:val="20"/>
              </w:rPr>
            </w:pPr>
            <w:r>
              <w:rPr>
                <w:sz w:val="20"/>
              </w:rPr>
              <w:t>49,05</w:t>
            </w:r>
          </w:p>
        </w:tc>
      </w:tr>
      <w:tr w:rsidR="00000000">
        <w:tc>
          <w:tcPr>
            <w:tcW w:w="1134" w:type="dxa"/>
            <w:tcBorders>
              <w:top w:val="nil"/>
            </w:tcBorders>
          </w:tcPr>
          <w:p w:rsidR="00000000" w:rsidRDefault="00000000">
            <w:pPr>
              <w:spacing w:line="240" w:lineRule="auto"/>
              <w:jc w:val="center"/>
              <w:rPr>
                <w:sz w:val="20"/>
              </w:rPr>
            </w:pPr>
            <w:r>
              <w:rPr>
                <w:sz w:val="20"/>
              </w:rPr>
              <w:t>2001</w:t>
            </w:r>
          </w:p>
        </w:tc>
        <w:tc>
          <w:tcPr>
            <w:tcW w:w="3119" w:type="dxa"/>
            <w:tcBorders>
              <w:top w:val="nil"/>
            </w:tcBorders>
          </w:tcPr>
          <w:p w:rsidR="00000000" w:rsidRDefault="00000000">
            <w:pPr>
              <w:spacing w:line="240" w:lineRule="auto"/>
              <w:jc w:val="center"/>
              <w:rPr>
                <w:sz w:val="20"/>
              </w:rPr>
            </w:pPr>
            <w:r>
              <w:rPr>
                <w:sz w:val="20"/>
              </w:rPr>
              <w:t>75,00</w:t>
            </w:r>
          </w:p>
        </w:tc>
        <w:tc>
          <w:tcPr>
            <w:tcW w:w="2835" w:type="dxa"/>
            <w:tcBorders>
              <w:top w:val="nil"/>
            </w:tcBorders>
          </w:tcPr>
          <w:p w:rsidR="00000000" w:rsidRDefault="00000000">
            <w:pPr>
              <w:spacing w:line="240" w:lineRule="auto"/>
              <w:jc w:val="center"/>
              <w:rPr>
                <w:sz w:val="20"/>
              </w:rPr>
            </w:pPr>
            <w:r>
              <w:rPr>
                <w:sz w:val="20"/>
              </w:rPr>
              <w:t>75,00</w:t>
            </w:r>
          </w:p>
        </w:tc>
        <w:tc>
          <w:tcPr>
            <w:tcW w:w="2268" w:type="dxa"/>
            <w:tcBorders>
              <w:top w:val="nil"/>
            </w:tcBorders>
          </w:tcPr>
          <w:p w:rsidR="00000000" w:rsidRDefault="00000000">
            <w:pPr>
              <w:spacing w:line="240" w:lineRule="auto"/>
              <w:jc w:val="center"/>
              <w:rPr>
                <w:sz w:val="20"/>
              </w:rPr>
            </w:pPr>
            <w:r>
              <w:rPr>
                <w:sz w:val="20"/>
              </w:rPr>
              <w:t>66,66</w:t>
            </w:r>
          </w:p>
        </w:tc>
      </w:tr>
    </w:tbl>
    <w:p w:rsidR="00000000" w:rsidRDefault="00000000">
      <w:pPr>
        <w:spacing w:line="216" w:lineRule="auto"/>
        <w:rPr>
          <w:sz w:val="16"/>
        </w:rPr>
      </w:pPr>
    </w:p>
    <w:p w:rsidR="00000000" w:rsidRDefault="00000000">
      <w:pPr>
        <w:spacing w:line="216" w:lineRule="auto"/>
      </w:pPr>
      <w:r>
        <w:tab/>
      </w:r>
      <w:r>
        <w:rPr>
          <w:i/>
          <w:iCs/>
        </w:rPr>
        <w:t>Источник:</w:t>
      </w:r>
      <w:r>
        <w:t xml:space="preserve">  Институт здравоохранения Сербии.</w:t>
      </w:r>
    </w:p>
    <w:p w:rsidR="00000000" w:rsidRDefault="00000000"/>
    <w:p w:rsidR="00000000" w:rsidRDefault="00000000">
      <w:r>
        <w:t>312.</w:t>
      </w:r>
      <w:r>
        <w:tab/>
        <w:t xml:space="preserve">В Республике Сербии около 91,6% городского населения и около 48,3% населения в сельской местности пользуются туалетом (санузлом), расположенным в доме/квартире и подключенным к системе канализации или </w:t>
      </w:r>
      <w:proofErr w:type="spellStart"/>
      <w:r>
        <w:t>септик-тенку</w:t>
      </w:r>
      <w:proofErr w:type="spellEnd"/>
      <w:r>
        <w:t>.  Существуют значительные различия в зависимости от типа населенного пункта.  В городах доступ к адекватным санитарно-гигиеническим условиям имеют 91,8% населения.</w:t>
      </w:r>
    </w:p>
    <w:p w:rsidR="00000000" w:rsidRDefault="00000000"/>
    <w:p w:rsidR="00000000" w:rsidRDefault="00000000">
      <w:pPr>
        <w:keepNext/>
        <w:spacing w:line="240" w:lineRule="auto"/>
        <w:jc w:val="center"/>
        <w:rPr>
          <w:b/>
          <w:bCs/>
        </w:rPr>
      </w:pPr>
      <w:r>
        <w:rPr>
          <w:b/>
          <w:bCs/>
        </w:rPr>
        <w:t>Таблица 17</w:t>
      </w:r>
    </w:p>
    <w:p w:rsidR="00000000" w:rsidRDefault="00000000">
      <w:pPr>
        <w:keepNext/>
        <w:spacing w:line="240" w:lineRule="auto"/>
        <w:jc w:val="center"/>
        <w:rPr>
          <w:sz w:val="16"/>
        </w:rPr>
      </w:pPr>
    </w:p>
    <w:p w:rsidR="00000000" w:rsidRDefault="00000000">
      <w:pPr>
        <w:keepNext/>
        <w:spacing w:line="240" w:lineRule="auto"/>
        <w:jc w:val="center"/>
        <w:rPr>
          <w:b/>
          <w:bCs/>
        </w:rPr>
      </w:pPr>
      <w:r>
        <w:rPr>
          <w:b/>
          <w:bCs/>
        </w:rPr>
        <w:t>Наличие адекватных санитарно-гигиенических условий в зависимости от</w:t>
      </w:r>
    </w:p>
    <w:p w:rsidR="00000000" w:rsidRDefault="00000000">
      <w:pPr>
        <w:keepNext/>
        <w:spacing w:line="240" w:lineRule="auto"/>
        <w:jc w:val="center"/>
        <w:rPr>
          <w:b/>
          <w:bCs/>
        </w:rPr>
      </w:pPr>
      <w:r>
        <w:rPr>
          <w:b/>
          <w:bCs/>
        </w:rPr>
        <w:t>типа населенного пункта, в %</w:t>
      </w:r>
    </w:p>
    <w:p w:rsidR="00000000" w:rsidRDefault="00000000">
      <w:pPr>
        <w:keepNext/>
        <w:spacing w:line="240" w:lineRule="auto"/>
        <w:jc w:val="center"/>
        <w:rPr>
          <w:b/>
          <w:bCs/>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8"/>
        <w:gridCol w:w="2244"/>
        <w:gridCol w:w="2244"/>
        <w:gridCol w:w="2244"/>
      </w:tblGrid>
      <w:tr w:rsidR="00000000">
        <w:tblPrEx>
          <w:tblCellMar>
            <w:top w:w="0" w:type="dxa"/>
            <w:bottom w:w="0" w:type="dxa"/>
          </w:tblCellMar>
        </w:tblPrEx>
        <w:tc>
          <w:tcPr>
            <w:tcW w:w="2618" w:type="dxa"/>
            <w:tcBorders>
              <w:bottom w:val="single" w:sz="4" w:space="0" w:color="auto"/>
            </w:tcBorders>
            <w:vAlign w:val="center"/>
          </w:tcPr>
          <w:p w:rsidR="00000000" w:rsidRDefault="00000000">
            <w:pPr>
              <w:keepNext/>
              <w:spacing w:line="240" w:lineRule="auto"/>
            </w:pPr>
            <w:r>
              <w:t>Территория</w:t>
            </w:r>
          </w:p>
        </w:tc>
        <w:tc>
          <w:tcPr>
            <w:tcW w:w="2244" w:type="dxa"/>
            <w:tcBorders>
              <w:bottom w:val="single" w:sz="4" w:space="0" w:color="auto"/>
            </w:tcBorders>
            <w:vAlign w:val="center"/>
          </w:tcPr>
          <w:p w:rsidR="00000000" w:rsidRDefault="00000000">
            <w:pPr>
              <w:keepNext/>
              <w:spacing w:line="240" w:lineRule="auto"/>
              <w:jc w:val="center"/>
            </w:pPr>
            <w:r>
              <w:t>Всего</w:t>
            </w:r>
          </w:p>
        </w:tc>
        <w:tc>
          <w:tcPr>
            <w:tcW w:w="2244" w:type="dxa"/>
            <w:tcBorders>
              <w:bottom w:val="single" w:sz="4" w:space="0" w:color="auto"/>
            </w:tcBorders>
            <w:vAlign w:val="center"/>
          </w:tcPr>
          <w:p w:rsidR="00000000" w:rsidRDefault="00000000">
            <w:pPr>
              <w:keepNext/>
              <w:spacing w:line="240" w:lineRule="auto"/>
              <w:jc w:val="center"/>
            </w:pPr>
            <w:r>
              <w:t>Городские населенные пункты</w:t>
            </w:r>
          </w:p>
        </w:tc>
        <w:tc>
          <w:tcPr>
            <w:tcW w:w="2244" w:type="dxa"/>
            <w:tcBorders>
              <w:bottom w:val="single" w:sz="4" w:space="0" w:color="auto"/>
            </w:tcBorders>
            <w:vAlign w:val="center"/>
          </w:tcPr>
          <w:p w:rsidR="00000000" w:rsidRDefault="00000000">
            <w:pPr>
              <w:keepNext/>
              <w:spacing w:line="240" w:lineRule="auto"/>
              <w:jc w:val="center"/>
            </w:pPr>
            <w:r>
              <w:t>Сельские населенные пункты</w:t>
            </w:r>
          </w:p>
        </w:tc>
      </w:tr>
      <w:tr w:rsidR="00000000">
        <w:tblPrEx>
          <w:tblCellMar>
            <w:top w:w="0" w:type="dxa"/>
            <w:bottom w:w="0" w:type="dxa"/>
          </w:tblCellMar>
        </w:tblPrEx>
        <w:tc>
          <w:tcPr>
            <w:tcW w:w="2618" w:type="dxa"/>
            <w:tcBorders>
              <w:bottom w:val="nil"/>
            </w:tcBorders>
            <w:vAlign w:val="center"/>
          </w:tcPr>
          <w:p w:rsidR="00000000" w:rsidRDefault="00000000">
            <w:pPr>
              <w:spacing w:line="240" w:lineRule="auto"/>
            </w:pPr>
            <w:r>
              <w:t>Центральная Сербия</w:t>
            </w:r>
          </w:p>
        </w:tc>
        <w:tc>
          <w:tcPr>
            <w:tcW w:w="2244" w:type="dxa"/>
            <w:tcBorders>
              <w:bottom w:val="nil"/>
            </w:tcBorders>
            <w:vAlign w:val="center"/>
          </w:tcPr>
          <w:p w:rsidR="00000000" w:rsidRDefault="00000000">
            <w:pPr>
              <w:spacing w:line="240" w:lineRule="auto"/>
              <w:jc w:val="center"/>
            </w:pPr>
            <w:r>
              <w:t>73,2</w:t>
            </w:r>
          </w:p>
        </w:tc>
        <w:tc>
          <w:tcPr>
            <w:tcW w:w="2244" w:type="dxa"/>
            <w:tcBorders>
              <w:bottom w:val="nil"/>
            </w:tcBorders>
            <w:vAlign w:val="center"/>
          </w:tcPr>
          <w:p w:rsidR="00000000" w:rsidRDefault="00000000">
            <w:pPr>
              <w:spacing w:line="240" w:lineRule="auto"/>
              <w:jc w:val="center"/>
            </w:pPr>
            <w:r>
              <w:t>94,9</w:t>
            </w:r>
          </w:p>
        </w:tc>
        <w:tc>
          <w:tcPr>
            <w:tcW w:w="2244" w:type="dxa"/>
            <w:tcBorders>
              <w:bottom w:val="nil"/>
            </w:tcBorders>
            <w:vAlign w:val="center"/>
          </w:tcPr>
          <w:p w:rsidR="00000000" w:rsidRDefault="00000000">
            <w:pPr>
              <w:spacing w:line="240" w:lineRule="auto"/>
              <w:jc w:val="center"/>
            </w:pPr>
            <w:r>
              <w:t>51,6</w:t>
            </w:r>
          </w:p>
        </w:tc>
      </w:tr>
      <w:tr w:rsidR="00000000">
        <w:tblPrEx>
          <w:tblCellMar>
            <w:top w:w="0" w:type="dxa"/>
            <w:bottom w:w="0" w:type="dxa"/>
          </w:tblCellMar>
        </w:tblPrEx>
        <w:tc>
          <w:tcPr>
            <w:tcW w:w="2618" w:type="dxa"/>
            <w:tcBorders>
              <w:top w:val="nil"/>
              <w:bottom w:val="nil"/>
            </w:tcBorders>
            <w:vAlign w:val="center"/>
          </w:tcPr>
          <w:p w:rsidR="00000000" w:rsidRDefault="00000000">
            <w:pPr>
              <w:spacing w:line="240" w:lineRule="auto"/>
            </w:pPr>
            <w:r>
              <w:t>Воеводина</w:t>
            </w:r>
          </w:p>
        </w:tc>
        <w:tc>
          <w:tcPr>
            <w:tcW w:w="2244" w:type="dxa"/>
            <w:tcBorders>
              <w:top w:val="nil"/>
              <w:bottom w:val="nil"/>
            </w:tcBorders>
            <w:vAlign w:val="center"/>
          </w:tcPr>
          <w:p w:rsidR="00000000" w:rsidRDefault="00000000">
            <w:pPr>
              <w:spacing w:line="240" w:lineRule="auto"/>
              <w:jc w:val="center"/>
            </w:pPr>
            <w:r>
              <w:t>81,1</w:t>
            </w:r>
          </w:p>
        </w:tc>
        <w:tc>
          <w:tcPr>
            <w:tcW w:w="2244" w:type="dxa"/>
            <w:tcBorders>
              <w:top w:val="nil"/>
              <w:bottom w:val="nil"/>
            </w:tcBorders>
            <w:vAlign w:val="center"/>
          </w:tcPr>
          <w:p w:rsidR="00000000" w:rsidRDefault="00000000">
            <w:pPr>
              <w:spacing w:line="240" w:lineRule="auto"/>
              <w:jc w:val="center"/>
            </w:pPr>
            <w:r>
              <w:t>87,6</w:t>
            </w:r>
          </w:p>
        </w:tc>
        <w:tc>
          <w:tcPr>
            <w:tcW w:w="2244" w:type="dxa"/>
            <w:tcBorders>
              <w:top w:val="nil"/>
              <w:bottom w:val="nil"/>
            </w:tcBorders>
            <w:vAlign w:val="center"/>
          </w:tcPr>
          <w:p w:rsidR="00000000" w:rsidRDefault="00000000">
            <w:pPr>
              <w:spacing w:line="240" w:lineRule="auto"/>
              <w:jc w:val="center"/>
            </w:pPr>
            <w:r>
              <w:t>73,1</w:t>
            </w:r>
          </w:p>
        </w:tc>
      </w:tr>
      <w:tr w:rsidR="00000000">
        <w:tblPrEx>
          <w:tblCellMar>
            <w:top w:w="0" w:type="dxa"/>
            <w:bottom w:w="0" w:type="dxa"/>
          </w:tblCellMar>
        </w:tblPrEx>
        <w:tc>
          <w:tcPr>
            <w:tcW w:w="2618" w:type="dxa"/>
            <w:tcBorders>
              <w:top w:val="nil"/>
              <w:bottom w:val="nil"/>
            </w:tcBorders>
            <w:vAlign w:val="center"/>
          </w:tcPr>
          <w:p w:rsidR="00000000" w:rsidRDefault="00000000">
            <w:pPr>
              <w:spacing w:line="240" w:lineRule="auto"/>
            </w:pPr>
            <w:r>
              <w:t>Белградская область</w:t>
            </w:r>
          </w:p>
        </w:tc>
        <w:tc>
          <w:tcPr>
            <w:tcW w:w="2244" w:type="dxa"/>
            <w:tcBorders>
              <w:top w:val="nil"/>
              <w:bottom w:val="nil"/>
            </w:tcBorders>
            <w:vAlign w:val="center"/>
          </w:tcPr>
          <w:p w:rsidR="00000000" w:rsidRDefault="00000000">
            <w:pPr>
              <w:spacing w:line="240" w:lineRule="auto"/>
              <w:jc w:val="center"/>
            </w:pPr>
            <w:r>
              <w:t>92,7</w:t>
            </w:r>
          </w:p>
        </w:tc>
        <w:tc>
          <w:tcPr>
            <w:tcW w:w="2244" w:type="dxa"/>
            <w:tcBorders>
              <w:top w:val="nil"/>
              <w:bottom w:val="nil"/>
            </w:tcBorders>
            <w:vAlign w:val="center"/>
          </w:tcPr>
          <w:p w:rsidR="00000000" w:rsidRDefault="00000000">
            <w:pPr>
              <w:spacing w:line="240" w:lineRule="auto"/>
              <w:jc w:val="center"/>
            </w:pPr>
            <w:r>
              <w:t>97,4</w:t>
            </w:r>
          </w:p>
        </w:tc>
        <w:tc>
          <w:tcPr>
            <w:tcW w:w="2244" w:type="dxa"/>
            <w:tcBorders>
              <w:top w:val="nil"/>
              <w:bottom w:val="nil"/>
            </w:tcBorders>
            <w:vAlign w:val="center"/>
          </w:tcPr>
          <w:p w:rsidR="00000000" w:rsidRDefault="00000000">
            <w:pPr>
              <w:spacing w:line="240" w:lineRule="auto"/>
              <w:jc w:val="center"/>
            </w:pPr>
            <w:r>
              <w:t>77,0</w:t>
            </w:r>
          </w:p>
        </w:tc>
      </w:tr>
      <w:tr w:rsidR="00000000">
        <w:tblPrEx>
          <w:tblCellMar>
            <w:top w:w="0" w:type="dxa"/>
            <w:bottom w:w="0" w:type="dxa"/>
          </w:tblCellMar>
        </w:tblPrEx>
        <w:tc>
          <w:tcPr>
            <w:tcW w:w="2618" w:type="dxa"/>
            <w:tcBorders>
              <w:top w:val="nil"/>
            </w:tcBorders>
            <w:vAlign w:val="center"/>
          </w:tcPr>
          <w:p w:rsidR="00000000" w:rsidRDefault="00000000">
            <w:pPr>
              <w:spacing w:line="240" w:lineRule="auto"/>
            </w:pPr>
            <w:r>
              <w:t>Сербия</w:t>
            </w:r>
          </w:p>
        </w:tc>
        <w:tc>
          <w:tcPr>
            <w:tcW w:w="2244" w:type="dxa"/>
            <w:tcBorders>
              <w:top w:val="nil"/>
            </w:tcBorders>
            <w:vAlign w:val="center"/>
          </w:tcPr>
          <w:p w:rsidR="00000000" w:rsidRDefault="00000000">
            <w:pPr>
              <w:spacing w:line="240" w:lineRule="auto"/>
              <w:jc w:val="center"/>
            </w:pPr>
            <w:r>
              <w:t>68,5</w:t>
            </w:r>
          </w:p>
        </w:tc>
        <w:tc>
          <w:tcPr>
            <w:tcW w:w="2244" w:type="dxa"/>
            <w:tcBorders>
              <w:top w:val="nil"/>
            </w:tcBorders>
            <w:vAlign w:val="center"/>
          </w:tcPr>
          <w:p w:rsidR="00000000" w:rsidRDefault="00000000">
            <w:pPr>
              <w:spacing w:line="240" w:lineRule="auto"/>
              <w:jc w:val="center"/>
              <w:rPr>
                <w:lang w:val="en-GB"/>
              </w:rPr>
            </w:pPr>
            <w:r>
              <w:rPr>
                <w:lang w:val="en-GB"/>
              </w:rPr>
              <w:t>91,6</w:t>
            </w:r>
          </w:p>
        </w:tc>
        <w:tc>
          <w:tcPr>
            <w:tcW w:w="2244" w:type="dxa"/>
            <w:tcBorders>
              <w:top w:val="nil"/>
            </w:tcBorders>
            <w:vAlign w:val="center"/>
          </w:tcPr>
          <w:p w:rsidR="00000000" w:rsidRDefault="00000000">
            <w:pPr>
              <w:spacing w:line="240" w:lineRule="auto"/>
              <w:jc w:val="center"/>
              <w:rPr>
                <w:lang w:val="en-GB"/>
              </w:rPr>
            </w:pPr>
            <w:r>
              <w:rPr>
                <w:lang w:val="en-GB"/>
              </w:rPr>
              <w:t>48,3</w:t>
            </w:r>
          </w:p>
        </w:tc>
      </w:tr>
    </w:tbl>
    <w:p w:rsidR="00000000" w:rsidRDefault="00000000">
      <w:pPr>
        <w:spacing w:line="240" w:lineRule="auto"/>
        <w:rPr>
          <w:sz w:val="16"/>
          <w:lang w:val="en-GB"/>
        </w:rPr>
      </w:pPr>
    </w:p>
    <w:p w:rsidR="00000000" w:rsidRDefault="00000000">
      <w:pPr>
        <w:spacing w:line="240" w:lineRule="auto"/>
        <w:rPr>
          <w:lang w:val="en-GB"/>
        </w:rPr>
      </w:pPr>
      <w:r>
        <w:tab/>
      </w:r>
      <w:r>
        <w:rPr>
          <w:i/>
          <w:iCs/>
        </w:rPr>
        <w:t>Источник</w:t>
      </w:r>
      <w:r>
        <w:rPr>
          <w:i/>
          <w:iCs/>
          <w:lang w:val="en-GB"/>
        </w:rPr>
        <w:t>:</w:t>
      </w:r>
      <w:r>
        <w:rPr>
          <w:lang w:val="en-GB"/>
        </w:rPr>
        <w:t xml:space="preserve">  Monitoring of Progress Toward Implementation of the Goals of the World Summit for Children – Report for the FRY, 1997</w:t>
      </w:r>
    </w:p>
    <w:p w:rsidR="00000000" w:rsidRDefault="00000000">
      <w:pPr>
        <w:rPr>
          <w:lang w:val="en-GB"/>
        </w:rPr>
      </w:pPr>
    </w:p>
    <w:p w:rsidR="00000000" w:rsidRDefault="00000000">
      <w:r>
        <w:t>313.</w:t>
      </w:r>
      <w:r>
        <w:tab/>
        <w:t>На территории Сербии систематизированный сбор полных данных о количестве и качестве сточных вод не ведется.</w:t>
      </w:r>
    </w:p>
    <w:p w:rsidR="00000000" w:rsidRDefault="00000000"/>
    <w:p w:rsidR="00000000" w:rsidRDefault="00000000">
      <w:r>
        <w:t>314.</w:t>
      </w:r>
      <w:r>
        <w:tab/>
        <w:t>На территории Сербии отсутствует система сбора полных данных о количестве и качестве твердых отходов.  В городах в большинстве случаев отходы вывозятся на свалки, тогда как в сельской местности ситуация иная.  В основном применяемые в этой связи решения можно оценить как неудовлетворительные, по причине отсутствия сколь-либо организованной системы рециркуляции отходов.</w:t>
      </w:r>
    </w:p>
    <w:p w:rsidR="00000000" w:rsidRDefault="00000000"/>
    <w:p w:rsidR="00000000" w:rsidRDefault="00000000">
      <w:r>
        <w:t>315.</w:t>
      </w:r>
      <w:r>
        <w:tab/>
        <w:t>В начале 1990 года министерство охраны окружающей среды Республики Сербии приняло меры по организации систематизированного сбора данных о качестве и количестве твердых отходов, а также способах их удаления.</w:t>
      </w:r>
    </w:p>
    <w:p w:rsidR="00000000" w:rsidRDefault="00000000"/>
    <w:p w:rsidR="00000000" w:rsidRDefault="00000000">
      <w:r>
        <w:t>316.</w:t>
      </w:r>
      <w:r>
        <w:tab/>
        <w:t>Согласно имеющимся данным, на территории Республики Сербии ежегодно образуются 3</w:t>
      </w:r>
      <w:r>
        <w:rPr>
          <w:lang w:val="en-GB"/>
        </w:rPr>
        <w:t> </w:t>
      </w:r>
      <w:r>
        <w:t>245</w:t>
      </w:r>
      <w:r>
        <w:rPr>
          <w:lang w:val="en-GB"/>
        </w:rPr>
        <w:t> </w:t>
      </w:r>
      <w:r>
        <w:t>307</w:t>
      </w:r>
      <w:r>
        <w:rPr>
          <w:lang w:val="en-GB"/>
        </w:rPr>
        <w:t> </w:t>
      </w:r>
      <w:r>
        <w:t>т твердых отходов, из которых 1 916 939 т - в центральной Сербии и 664 583 т - в Воеводине. Из этого количества в организованную систему утилизации отходов поступает 2 009 765 т:  1 195 091 т в центральной Сербии и 444 249 т в Воеводине.</w:t>
      </w:r>
    </w:p>
    <w:p w:rsidR="00000000" w:rsidRDefault="00000000"/>
    <w:p w:rsidR="00000000" w:rsidRDefault="00000000">
      <w:pPr>
        <w:keepNext/>
        <w:spacing w:line="240" w:lineRule="auto"/>
        <w:jc w:val="center"/>
        <w:rPr>
          <w:b/>
          <w:bCs/>
          <w:iCs/>
        </w:rPr>
      </w:pPr>
      <w:r>
        <w:rPr>
          <w:b/>
          <w:bCs/>
          <w:iCs/>
        </w:rPr>
        <w:t>Таблица 18</w:t>
      </w:r>
    </w:p>
    <w:p w:rsidR="00000000" w:rsidRDefault="00000000">
      <w:pPr>
        <w:keepNext/>
        <w:spacing w:line="240" w:lineRule="auto"/>
        <w:jc w:val="center"/>
        <w:rPr>
          <w:b/>
          <w:bCs/>
          <w:iCs/>
        </w:rPr>
      </w:pPr>
    </w:p>
    <w:p w:rsidR="00000000" w:rsidRDefault="00000000">
      <w:pPr>
        <w:keepNext/>
        <w:spacing w:line="240" w:lineRule="auto"/>
        <w:jc w:val="center"/>
        <w:rPr>
          <w:b/>
          <w:bCs/>
          <w:iCs/>
        </w:rPr>
      </w:pPr>
      <w:r>
        <w:rPr>
          <w:b/>
          <w:bCs/>
          <w:iCs/>
        </w:rPr>
        <w:t>Количество удаляемых отходов на территории Сербии</w:t>
      </w:r>
    </w:p>
    <w:p w:rsidR="00000000" w:rsidRDefault="00000000">
      <w:pPr>
        <w:keepNext/>
        <w:spacing w:line="240" w:lineRule="auto"/>
        <w:jc w:val="center"/>
        <w:rPr>
          <w:b/>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2"/>
        <w:gridCol w:w="1246"/>
        <w:gridCol w:w="1122"/>
        <w:gridCol w:w="1122"/>
        <w:gridCol w:w="1122"/>
        <w:gridCol w:w="1122"/>
        <w:gridCol w:w="1117"/>
        <w:gridCol w:w="1142"/>
      </w:tblGrid>
      <w:tr w:rsidR="00000000">
        <w:tblPrEx>
          <w:tblCellMar>
            <w:top w:w="0" w:type="dxa"/>
            <w:bottom w:w="0" w:type="dxa"/>
          </w:tblCellMar>
        </w:tblPrEx>
        <w:trPr>
          <w:cantSplit/>
        </w:trPr>
        <w:tc>
          <w:tcPr>
            <w:tcW w:w="1372" w:type="dxa"/>
            <w:vMerge w:val="restart"/>
            <w:vAlign w:val="center"/>
          </w:tcPr>
          <w:p w:rsidR="00000000" w:rsidRDefault="00000000">
            <w:pPr>
              <w:keepNext/>
              <w:jc w:val="center"/>
              <w:rPr>
                <w:sz w:val="20"/>
              </w:rPr>
            </w:pPr>
            <w:r>
              <w:rPr>
                <w:sz w:val="20"/>
              </w:rPr>
              <w:t>Территория</w:t>
            </w:r>
          </w:p>
        </w:tc>
        <w:tc>
          <w:tcPr>
            <w:tcW w:w="4612" w:type="dxa"/>
            <w:gridSpan w:val="4"/>
            <w:vAlign w:val="center"/>
          </w:tcPr>
          <w:p w:rsidR="00000000" w:rsidRDefault="00000000">
            <w:pPr>
              <w:keepNext/>
              <w:jc w:val="center"/>
              <w:rPr>
                <w:sz w:val="20"/>
              </w:rPr>
            </w:pPr>
            <w:r>
              <w:rPr>
                <w:sz w:val="20"/>
              </w:rPr>
              <w:t xml:space="preserve">Численность населения </w:t>
            </w:r>
          </w:p>
          <w:p w:rsidR="00000000" w:rsidRDefault="00000000">
            <w:pPr>
              <w:keepNext/>
              <w:jc w:val="center"/>
              <w:rPr>
                <w:sz w:val="20"/>
              </w:rPr>
            </w:pPr>
            <w:r>
              <w:rPr>
                <w:sz w:val="20"/>
              </w:rPr>
              <w:t>(под данным переписи 1991 года)</w:t>
            </w:r>
          </w:p>
        </w:tc>
        <w:tc>
          <w:tcPr>
            <w:tcW w:w="3381" w:type="dxa"/>
            <w:gridSpan w:val="3"/>
            <w:vAlign w:val="center"/>
          </w:tcPr>
          <w:p w:rsidR="00000000" w:rsidRDefault="00000000">
            <w:pPr>
              <w:keepNext/>
              <w:jc w:val="center"/>
              <w:rPr>
                <w:sz w:val="20"/>
              </w:rPr>
            </w:pPr>
            <w:r>
              <w:rPr>
                <w:sz w:val="20"/>
              </w:rPr>
              <w:t>Население, охваченное системой организованного вывоза отходов</w:t>
            </w:r>
          </w:p>
        </w:tc>
      </w:tr>
      <w:tr w:rsidR="00000000">
        <w:tblPrEx>
          <w:tblCellMar>
            <w:top w:w="0" w:type="dxa"/>
            <w:bottom w:w="0" w:type="dxa"/>
          </w:tblCellMar>
        </w:tblPrEx>
        <w:trPr>
          <w:cantSplit/>
        </w:trPr>
        <w:tc>
          <w:tcPr>
            <w:tcW w:w="1372" w:type="dxa"/>
            <w:vMerge/>
            <w:tcBorders>
              <w:bottom w:val="single" w:sz="4" w:space="0" w:color="auto"/>
            </w:tcBorders>
            <w:vAlign w:val="center"/>
          </w:tcPr>
          <w:p w:rsidR="00000000" w:rsidRDefault="00000000">
            <w:pPr>
              <w:rPr>
                <w:sz w:val="20"/>
              </w:rPr>
            </w:pPr>
          </w:p>
        </w:tc>
        <w:tc>
          <w:tcPr>
            <w:tcW w:w="1246" w:type="dxa"/>
            <w:tcBorders>
              <w:bottom w:val="single" w:sz="4" w:space="0" w:color="auto"/>
            </w:tcBorders>
            <w:vAlign w:val="center"/>
          </w:tcPr>
          <w:p w:rsidR="00000000" w:rsidRDefault="00000000">
            <w:pPr>
              <w:jc w:val="center"/>
              <w:rPr>
                <w:spacing w:val="-6"/>
                <w:sz w:val="20"/>
              </w:rPr>
            </w:pPr>
            <w:r>
              <w:rPr>
                <w:spacing w:val="-6"/>
                <w:sz w:val="20"/>
              </w:rPr>
              <w:t>Количество населенных пунктов</w:t>
            </w:r>
          </w:p>
        </w:tc>
        <w:tc>
          <w:tcPr>
            <w:tcW w:w="1122" w:type="dxa"/>
            <w:tcBorders>
              <w:bottom w:val="single" w:sz="4" w:space="0" w:color="auto"/>
            </w:tcBorders>
            <w:vAlign w:val="center"/>
          </w:tcPr>
          <w:p w:rsidR="00000000" w:rsidRDefault="00000000">
            <w:pPr>
              <w:jc w:val="center"/>
              <w:rPr>
                <w:spacing w:val="-4"/>
                <w:sz w:val="20"/>
              </w:rPr>
            </w:pPr>
            <w:proofErr w:type="spellStart"/>
            <w:r>
              <w:rPr>
                <w:spacing w:val="-4"/>
                <w:sz w:val="20"/>
              </w:rPr>
              <w:t>Числен-ность</w:t>
            </w:r>
            <w:proofErr w:type="spellEnd"/>
            <w:r>
              <w:rPr>
                <w:spacing w:val="-4"/>
                <w:sz w:val="20"/>
              </w:rPr>
              <w:t xml:space="preserve"> населения</w:t>
            </w:r>
          </w:p>
        </w:tc>
        <w:tc>
          <w:tcPr>
            <w:tcW w:w="1122" w:type="dxa"/>
            <w:tcBorders>
              <w:bottom w:val="single" w:sz="4" w:space="0" w:color="auto"/>
            </w:tcBorders>
            <w:vAlign w:val="center"/>
          </w:tcPr>
          <w:p w:rsidR="00000000" w:rsidRDefault="00000000">
            <w:pPr>
              <w:jc w:val="center"/>
              <w:rPr>
                <w:sz w:val="20"/>
              </w:rPr>
            </w:pPr>
            <w:r>
              <w:rPr>
                <w:sz w:val="20"/>
              </w:rPr>
              <w:t>т/год</w:t>
            </w:r>
          </w:p>
        </w:tc>
        <w:tc>
          <w:tcPr>
            <w:tcW w:w="1122" w:type="dxa"/>
            <w:tcBorders>
              <w:bottom w:val="single" w:sz="4" w:space="0" w:color="auto"/>
            </w:tcBorders>
            <w:vAlign w:val="center"/>
          </w:tcPr>
          <w:p w:rsidR="00000000" w:rsidRDefault="00000000">
            <w:pPr>
              <w:jc w:val="center"/>
              <w:rPr>
                <w:sz w:val="20"/>
              </w:rPr>
            </w:pPr>
            <w:r>
              <w:rPr>
                <w:sz w:val="20"/>
              </w:rPr>
              <w:t>м</w:t>
            </w:r>
            <w:r>
              <w:rPr>
                <w:sz w:val="20"/>
                <w:vertAlign w:val="superscript"/>
              </w:rPr>
              <w:t>3</w:t>
            </w:r>
            <w:r>
              <w:rPr>
                <w:sz w:val="20"/>
              </w:rPr>
              <w:t>/год</w:t>
            </w:r>
          </w:p>
        </w:tc>
        <w:tc>
          <w:tcPr>
            <w:tcW w:w="1122" w:type="dxa"/>
            <w:tcBorders>
              <w:bottom w:val="single" w:sz="4" w:space="0" w:color="auto"/>
            </w:tcBorders>
            <w:vAlign w:val="center"/>
          </w:tcPr>
          <w:p w:rsidR="00000000" w:rsidRDefault="00000000">
            <w:pPr>
              <w:jc w:val="center"/>
              <w:rPr>
                <w:spacing w:val="-4"/>
                <w:sz w:val="20"/>
              </w:rPr>
            </w:pPr>
            <w:r>
              <w:rPr>
                <w:spacing w:val="-4"/>
                <w:sz w:val="20"/>
              </w:rPr>
              <w:t>Числен-ность населения</w:t>
            </w:r>
          </w:p>
        </w:tc>
        <w:tc>
          <w:tcPr>
            <w:tcW w:w="1117" w:type="dxa"/>
            <w:tcBorders>
              <w:bottom w:val="single" w:sz="4" w:space="0" w:color="auto"/>
            </w:tcBorders>
            <w:vAlign w:val="center"/>
          </w:tcPr>
          <w:p w:rsidR="00000000" w:rsidRDefault="00000000">
            <w:pPr>
              <w:jc w:val="center"/>
              <w:rPr>
                <w:sz w:val="20"/>
              </w:rPr>
            </w:pPr>
            <w:r>
              <w:rPr>
                <w:sz w:val="20"/>
              </w:rPr>
              <w:t>т/год</w:t>
            </w:r>
          </w:p>
        </w:tc>
        <w:tc>
          <w:tcPr>
            <w:tcW w:w="1142" w:type="dxa"/>
            <w:tcBorders>
              <w:bottom w:val="single" w:sz="4" w:space="0" w:color="auto"/>
            </w:tcBorders>
            <w:vAlign w:val="center"/>
          </w:tcPr>
          <w:p w:rsidR="00000000" w:rsidRDefault="00000000">
            <w:pPr>
              <w:jc w:val="center"/>
              <w:rPr>
                <w:sz w:val="20"/>
              </w:rPr>
            </w:pPr>
            <w:r>
              <w:rPr>
                <w:sz w:val="20"/>
              </w:rPr>
              <w:t>м</w:t>
            </w:r>
            <w:r>
              <w:rPr>
                <w:sz w:val="20"/>
                <w:vertAlign w:val="superscript"/>
              </w:rPr>
              <w:t>3</w:t>
            </w:r>
            <w:r>
              <w:rPr>
                <w:sz w:val="20"/>
              </w:rPr>
              <w:t>/год</w:t>
            </w:r>
          </w:p>
        </w:tc>
      </w:tr>
      <w:tr w:rsidR="00000000">
        <w:tblPrEx>
          <w:tblCellMar>
            <w:top w:w="0" w:type="dxa"/>
            <w:bottom w:w="0" w:type="dxa"/>
          </w:tblCellMar>
        </w:tblPrEx>
        <w:tc>
          <w:tcPr>
            <w:tcW w:w="1372" w:type="dxa"/>
            <w:tcBorders>
              <w:bottom w:val="nil"/>
            </w:tcBorders>
          </w:tcPr>
          <w:p w:rsidR="00000000" w:rsidRDefault="00000000">
            <w:pPr>
              <w:rPr>
                <w:sz w:val="20"/>
              </w:rPr>
            </w:pPr>
            <w:r>
              <w:rPr>
                <w:sz w:val="20"/>
              </w:rPr>
              <w:t>Центральная Сербия</w:t>
            </w:r>
          </w:p>
        </w:tc>
        <w:tc>
          <w:tcPr>
            <w:tcW w:w="1246" w:type="dxa"/>
            <w:tcBorders>
              <w:bottom w:val="nil"/>
            </w:tcBorders>
            <w:vAlign w:val="center"/>
          </w:tcPr>
          <w:p w:rsidR="00000000" w:rsidRDefault="00000000">
            <w:pPr>
              <w:jc w:val="right"/>
              <w:rPr>
                <w:sz w:val="20"/>
              </w:rPr>
            </w:pPr>
            <w:r>
              <w:rPr>
                <w:sz w:val="20"/>
              </w:rPr>
              <w:t>4 211</w:t>
            </w:r>
          </w:p>
        </w:tc>
        <w:tc>
          <w:tcPr>
            <w:tcW w:w="1122" w:type="dxa"/>
            <w:tcBorders>
              <w:bottom w:val="nil"/>
            </w:tcBorders>
            <w:vAlign w:val="center"/>
          </w:tcPr>
          <w:p w:rsidR="00000000" w:rsidRDefault="00000000">
            <w:pPr>
              <w:jc w:val="right"/>
              <w:rPr>
                <w:sz w:val="20"/>
              </w:rPr>
            </w:pPr>
            <w:r>
              <w:rPr>
                <w:sz w:val="20"/>
              </w:rPr>
              <w:t>5 808 906</w:t>
            </w:r>
          </w:p>
        </w:tc>
        <w:tc>
          <w:tcPr>
            <w:tcW w:w="1122" w:type="dxa"/>
            <w:tcBorders>
              <w:bottom w:val="nil"/>
            </w:tcBorders>
            <w:vAlign w:val="center"/>
          </w:tcPr>
          <w:p w:rsidR="00000000" w:rsidRDefault="00000000">
            <w:pPr>
              <w:jc w:val="right"/>
              <w:rPr>
                <w:sz w:val="20"/>
              </w:rPr>
            </w:pPr>
            <w:r>
              <w:rPr>
                <w:sz w:val="20"/>
              </w:rPr>
              <w:t>1 916 939</w:t>
            </w:r>
          </w:p>
        </w:tc>
        <w:tc>
          <w:tcPr>
            <w:tcW w:w="1122" w:type="dxa"/>
            <w:tcBorders>
              <w:bottom w:val="nil"/>
            </w:tcBorders>
            <w:vAlign w:val="center"/>
          </w:tcPr>
          <w:p w:rsidR="00000000" w:rsidRDefault="00000000">
            <w:pPr>
              <w:jc w:val="right"/>
              <w:rPr>
                <w:sz w:val="20"/>
              </w:rPr>
            </w:pPr>
            <w:r>
              <w:rPr>
                <w:sz w:val="20"/>
              </w:rPr>
              <w:t>12 779 593</w:t>
            </w:r>
          </w:p>
        </w:tc>
        <w:tc>
          <w:tcPr>
            <w:tcW w:w="1122" w:type="dxa"/>
            <w:tcBorders>
              <w:bottom w:val="nil"/>
            </w:tcBorders>
            <w:vAlign w:val="center"/>
          </w:tcPr>
          <w:p w:rsidR="00000000" w:rsidRDefault="00000000">
            <w:pPr>
              <w:jc w:val="right"/>
              <w:rPr>
                <w:sz w:val="20"/>
              </w:rPr>
            </w:pPr>
            <w:r>
              <w:rPr>
                <w:sz w:val="20"/>
              </w:rPr>
              <w:t>3 621 487</w:t>
            </w:r>
          </w:p>
        </w:tc>
        <w:tc>
          <w:tcPr>
            <w:tcW w:w="1117" w:type="dxa"/>
            <w:tcBorders>
              <w:bottom w:val="nil"/>
            </w:tcBorders>
            <w:vAlign w:val="center"/>
          </w:tcPr>
          <w:p w:rsidR="00000000" w:rsidRDefault="00000000">
            <w:pPr>
              <w:jc w:val="right"/>
              <w:rPr>
                <w:sz w:val="20"/>
              </w:rPr>
            </w:pPr>
            <w:r>
              <w:rPr>
                <w:sz w:val="20"/>
              </w:rPr>
              <w:t>1 195 091</w:t>
            </w:r>
          </w:p>
        </w:tc>
        <w:tc>
          <w:tcPr>
            <w:tcW w:w="1142" w:type="dxa"/>
            <w:tcBorders>
              <w:bottom w:val="nil"/>
            </w:tcBorders>
            <w:vAlign w:val="center"/>
          </w:tcPr>
          <w:p w:rsidR="00000000" w:rsidRDefault="00000000">
            <w:pPr>
              <w:jc w:val="right"/>
              <w:rPr>
                <w:sz w:val="20"/>
              </w:rPr>
            </w:pPr>
            <w:r>
              <w:rPr>
                <w:sz w:val="20"/>
              </w:rPr>
              <w:t>7 967 271</w:t>
            </w:r>
          </w:p>
        </w:tc>
      </w:tr>
      <w:tr w:rsidR="00000000">
        <w:tblPrEx>
          <w:tblCellMar>
            <w:top w:w="0" w:type="dxa"/>
            <w:bottom w:w="0" w:type="dxa"/>
          </w:tblCellMar>
        </w:tblPrEx>
        <w:tc>
          <w:tcPr>
            <w:tcW w:w="1372" w:type="dxa"/>
            <w:tcBorders>
              <w:top w:val="nil"/>
              <w:bottom w:val="nil"/>
            </w:tcBorders>
          </w:tcPr>
          <w:p w:rsidR="00000000" w:rsidRDefault="00000000">
            <w:pPr>
              <w:rPr>
                <w:sz w:val="20"/>
              </w:rPr>
            </w:pPr>
            <w:proofErr w:type="spellStart"/>
            <w:r>
              <w:rPr>
                <w:sz w:val="20"/>
              </w:rPr>
              <w:t>Воеводина</w:t>
            </w:r>
            <w:proofErr w:type="spellEnd"/>
          </w:p>
        </w:tc>
        <w:tc>
          <w:tcPr>
            <w:tcW w:w="1246" w:type="dxa"/>
            <w:tcBorders>
              <w:top w:val="nil"/>
              <w:bottom w:val="nil"/>
            </w:tcBorders>
            <w:vAlign w:val="center"/>
          </w:tcPr>
          <w:p w:rsidR="00000000" w:rsidRDefault="00000000">
            <w:pPr>
              <w:jc w:val="right"/>
              <w:rPr>
                <w:sz w:val="20"/>
              </w:rPr>
            </w:pPr>
            <w:r>
              <w:rPr>
                <w:sz w:val="20"/>
              </w:rPr>
              <w:t>464</w:t>
            </w:r>
          </w:p>
        </w:tc>
        <w:tc>
          <w:tcPr>
            <w:tcW w:w="1122" w:type="dxa"/>
            <w:tcBorders>
              <w:top w:val="nil"/>
              <w:bottom w:val="nil"/>
            </w:tcBorders>
            <w:vAlign w:val="center"/>
          </w:tcPr>
          <w:p w:rsidR="00000000" w:rsidRDefault="00000000">
            <w:pPr>
              <w:jc w:val="right"/>
              <w:rPr>
                <w:sz w:val="20"/>
              </w:rPr>
            </w:pPr>
            <w:r>
              <w:rPr>
                <w:sz w:val="20"/>
              </w:rPr>
              <w:t>2 013 889</w:t>
            </w:r>
          </w:p>
        </w:tc>
        <w:tc>
          <w:tcPr>
            <w:tcW w:w="1122" w:type="dxa"/>
            <w:tcBorders>
              <w:top w:val="nil"/>
              <w:bottom w:val="nil"/>
            </w:tcBorders>
            <w:vAlign w:val="center"/>
          </w:tcPr>
          <w:p w:rsidR="00000000" w:rsidRDefault="00000000">
            <w:pPr>
              <w:jc w:val="right"/>
              <w:rPr>
                <w:sz w:val="20"/>
              </w:rPr>
            </w:pPr>
            <w:r>
              <w:rPr>
                <w:sz w:val="20"/>
              </w:rPr>
              <w:t>664 583</w:t>
            </w:r>
          </w:p>
        </w:tc>
        <w:tc>
          <w:tcPr>
            <w:tcW w:w="1122" w:type="dxa"/>
            <w:tcBorders>
              <w:top w:val="nil"/>
              <w:bottom w:val="nil"/>
            </w:tcBorders>
            <w:vAlign w:val="center"/>
          </w:tcPr>
          <w:p w:rsidR="00000000" w:rsidRDefault="00000000">
            <w:pPr>
              <w:jc w:val="right"/>
              <w:rPr>
                <w:sz w:val="20"/>
              </w:rPr>
            </w:pPr>
            <w:r>
              <w:rPr>
                <w:sz w:val="20"/>
              </w:rPr>
              <w:t>4 430 556</w:t>
            </w:r>
          </w:p>
        </w:tc>
        <w:tc>
          <w:tcPr>
            <w:tcW w:w="1122" w:type="dxa"/>
            <w:tcBorders>
              <w:top w:val="nil"/>
              <w:bottom w:val="nil"/>
            </w:tcBorders>
            <w:vAlign w:val="center"/>
          </w:tcPr>
          <w:p w:rsidR="00000000" w:rsidRDefault="00000000">
            <w:pPr>
              <w:jc w:val="right"/>
              <w:rPr>
                <w:sz w:val="20"/>
              </w:rPr>
            </w:pPr>
            <w:r>
              <w:rPr>
                <w:sz w:val="20"/>
              </w:rPr>
              <w:t>1 346 210</w:t>
            </w:r>
          </w:p>
        </w:tc>
        <w:tc>
          <w:tcPr>
            <w:tcW w:w="1117" w:type="dxa"/>
            <w:tcBorders>
              <w:top w:val="nil"/>
              <w:bottom w:val="nil"/>
            </w:tcBorders>
            <w:vAlign w:val="center"/>
          </w:tcPr>
          <w:p w:rsidR="00000000" w:rsidRDefault="00000000">
            <w:pPr>
              <w:jc w:val="right"/>
              <w:rPr>
                <w:sz w:val="20"/>
              </w:rPr>
            </w:pPr>
            <w:r>
              <w:rPr>
                <w:sz w:val="20"/>
              </w:rPr>
              <w:t>444 249</w:t>
            </w:r>
          </w:p>
        </w:tc>
        <w:tc>
          <w:tcPr>
            <w:tcW w:w="1142" w:type="dxa"/>
            <w:tcBorders>
              <w:top w:val="nil"/>
              <w:bottom w:val="nil"/>
            </w:tcBorders>
            <w:vAlign w:val="center"/>
          </w:tcPr>
          <w:p w:rsidR="00000000" w:rsidRDefault="00000000">
            <w:pPr>
              <w:jc w:val="right"/>
              <w:rPr>
                <w:sz w:val="20"/>
              </w:rPr>
            </w:pPr>
            <w:r>
              <w:rPr>
                <w:sz w:val="20"/>
              </w:rPr>
              <w:t>2 961 662</w:t>
            </w:r>
          </w:p>
        </w:tc>
      </w:tr>
      <w:tr w:rsidR="00000000">
        <w:tblPrEx>
          <w:tblCellMar>
            <w:top w:w="0" w:type="dxa"/>
            <w:bottom w:w="0" w:type="dxa"/>
          </w:tblCellMar>
        </w:tblPrEx>
        <w:tc>
          <w:tcPr>
            <w:tcW w:w="1372" w:type="dxa"/>
            <w:tcBorders>
              <w:top w:val="nil"/>
            </w:tcBorders>
          </w:tcPr>
          <w:p w:rsidR="00000000" w:rsidRDefault="00000000">
            <w:pPr>
              <w:rPr>
                <w:sz w:val="20"/>
              </w:rPr>
            </w:pPr>
            <w:r>
              <w:rPr>
                <w:sz w:val="20"/>
              </w:rPr>
              <w:t>Сербия всего</w:t>
            </w:r>
          </w:p>
        </w:tc>
        <w:tc>
          <w:tcPr>
            <w:tcW w:w="1246" w:type="dxa"/>
            <w:tcBorders>
              <w:top w:val="nil"/>
            </w:tcBorders>
            <w:vAlign w:val="center"/>
          </w:tcPr>
          <w:p w:rsidR="00000000" w:rsidRDefault="00000000">
            <w:pPr>
              <w:jc w:val="right"/>
              <w:rPr>
                <w:sz w:val="20"/>
              </w:rPr>
            </w:pPr>
            <w:r>
              <w:rPr>
                <w:sz w:val="20"/>
              </w:rPr>
              <w:t>5 455</w:t>
            </w:r>
          </w:p>
        </w:tc>
        <w:tc>
          <w:tcPr>
            <w:tcW w:w="1122" w:type="dxa"/>
            <w:tcBorders>
              <w:top w:val="nil"/>
            </w:tcBorders>
            <w:vAlign w:val="center"/>
          </w:tcPr>
          <w:p w:rsidR="00000000" w:rsidRDefault="00000000">
            <w:pPr>
              <w:jc w:val="right"/>
              <w:rPr>
                <w:sz w:val="20"/>
              </w:rPr>
            </w:pPr>
            <w:r>
              <w:rPr>
                <w:sz w:val="20"/>
              </w:rPr>
              <w:t>9 834 266</w:t>
            </w:r>
          </w:p>
        </w:tc>
        <w:tc>
          <w:tcPr>
            <w:tcW w:w="1122" w:type="dxa"/>
            <w:tcBorders>
              <w:top w:val="nil"/>
            </w:tcBorders>
            <w:vAlign w:val="center"/>
          </w:tcPr>
          <w:p w:rsidR="00000000" w:rsidRDefault="00000000">
            <w:pPr>
              <w:jc w:val="right"/>
              <w:rPr>
                <w:sz w:val="20"/>
              </w:rPr>
            </w:pPr>
            <w:r>
              <w:rPr>
                <w:sz w:val="20"/>
              </w:rPr>
              <w:t>3 245 307</w:t>
            </w:r>
          </w:p>
        </w:tc>
        <w:tc>
          <w:tcPr>
            <w:tcW w:w="1122" w:type="dxa"/>
            <w:tcBorders>
              <w:top w:val="nil"/>
            </w:tcBorders>
            <w:vAlign w:val="center"/>
          </w:tcPr>
          <w:p w:rsidR="00000000" w:rsidRDefault="00000000">
            <w:pPr>
              <w:jc w:val="right"/>
              <w:rPr>
                <w:sz w:val="20"/>
              </w:rPr>
            </w:pPr>
            <w:r>
              <w:rPr>
                <w:sz w:val="20"/>
              </w:rPr>
              <w:t>21 635 385</w:t>
            </w:r>
          </w:p>
        </w:tc>
        <w:tc>
          <w:tcPr>
            <w:tcW w:w="1122" w:type="dxa"/>
            <w:tcBorders>
              <w:top w:val="nil"/>
            </w:tcBorders>
            <w:vAlign w:val="center"/>
          </w:tcPr>
          <w:p w:rsidR="00000000" w:rsidRDefault="00000000">
            <w:pPr>
              <w:jc w:val="right"/>
              <w:rPr>
                <w:sz w:val="20"/>
              </w:rPr>
            </w:pPr>
            <w:r>
              <w:rPr>
                <w:sz w:val="20"/>
              </w:rPr>
              <w:t>7 090 197</w:t>
            </w:r>
          </w:p>
        </w:tc>
        <w:tc>
          <w:tcPr>
            <w:tcW w:w="1117" w:type="dxa"/>
            <w:tcBorders>
              <w:top w:val="nil"/>
            </w:tcBorders>
            <w:vAlign w:val="center"/>
          </w:tcPr>
          <w:p w:rsidR="00000000" w:rsidRDefault="00000000">
            <w:pPr>
              <w:jc w:val="right"/>
              <w:rPr>
                <w:sz w:val="20"/>
              </w:rPr>
            </w:pPr>
            <w:r>
              <w:rPr>
                <w:sz w:val="20"/>
              </w:rPr>
              <w:t>2 009 765</w:t>
            </w:r>
          </w:p>
        </w:tc>
        <w:tc>
          <w:tcPr>
            <w:tcW w:w="1142" w:type="dxa"/>
            <w:tcBorders>
              <w:top w:val="nil"/>
            </w:tcBorders>
            <w:vAlign w:val="center"/>
          </w:tcPr>
          <w:p w:rsidR="00000000" w:rsidRDefault="00000000">
            <w:pPr>
              <w:jc w:val="right"/>
              <w:rPr>
                <w:sz w:val="20"/>
              </w:rPr>
            </w:pPr>
            <w:r>
              <w:rPr>
                <w:sz w:val="20"/>
              </w:rPr>
              <w:t>13 398 433</w:t>
            </w:r>
          </w:p>
        </w:tc>
      </w:tr>
    </w:tbl>
    <w:p w:rsidR="00000000" w:rsidRDefault="00000000"/>
    <w:p w:rsidR="00000000" w:rsidRDefault="00000000">
      <w:r>
        <w:tab/>
      </w:r>
      <w:r>
        <w:rPr>
          <w:i/>
          <w:iCs/>
        </w:rPr>
        <w:t>Источник:</w:t>
      </w:r>
      <w:r>
        <w:t xml:space="preserve">  Контрольная служба министерства охраны окружающей среды Республики Сербии.</w:t>
      </w:r>
    </w:p>
    <w:p w:rsidR="00000000" w:rsidRDefault="00000000"/>
    <w:p w:rsidR="00000000" w:rsidRDefault="00000000">
      <w:pPr>
        <w:pageBreakBefore/>
        <w:jc w:val="center"/>
        <w:rPr>
          <w:b/>
          <w:bCs/>
          <w:u w:val="single"/>
        </w:rPr>
      </w:pPr>
      <w:r>
        <w:rPr>
          <w:b/>
          <w:bCs/>
          <w:lang w:val="en-GB"/>
        </w:rPr>
        <w:t>H</w:t>
      </w:r>
      <w:r>
        <w:rPr>
          <w:b/>
          <w:bCs/>
        </w:rPr>
        <w:t>.</w:t>
      </w:r>
      <w:r>
        <w:rPr>
          <w:b/>
          <w:bCs/>
        </w:rPr>
        <w:tab/>
        <w:t xml:space="preserve">Мероприятия и деятельность правительства и министерства здравоохранения Сербии, направленные на изменение и улучшение показателей </w:t>
      </w:r>
      <w:r>
        <w:rPr>
          <w:b/>
          <w:bCs/>
        </w:rPr>
        <w:br/>
        <w:t>здоровья населения и медицинского страхования</w:t>
      </w:r>
    </w:p>
    <w:p w:rsidR="00000000" w:rsidRDefault="00000000">
      <w:pPr>
        <w:jc w:val="center"/>
        <w:rPr>
          <w:b/>
          <w:bCs/>
          <w:u w:val="single"/>
        </w:rPr>
      </w:pPr>
    </w:p>
    <w:p w:rsidR="00000000" w:rsidRDefault="00000000">
      <w:r>
        <w:t>317.</w:t>
      </w:r>
      <w:r>
        <w:tab/>
        <w:t>В течение 2001 года и до 23 ноября 2002 года в рамках министерства здравоохранения Сербии, независимо или в сотрудничестве с правительством Республики Сербии, республиканским управлением медицинского страхования, группами экспертов и профильными медицинскими учреждениями были реализованы следующие виды деятельности:</w:t>
      </w:r>
    </w:p>
    <w:p w:rsidR="00000000" w:rsidRDefault="00000000"/>
    <w:p w:rsidR="00000000" w:rsidRDefault="00000000">
      <w:r>
        <w:tab/>
        <w:t>а)</w:t>
      </w:r>
      <w:r>
        <w:tab/>
        <w:t>были внесены поправки в Закон о медицинском страховании в целях его адаптации к "финансовым законам";</w:t>
      </w:r>
    </w:p>
    <w:p w:rsidR="00000000" w:rsidRDefault="00000000"/>
    <w:p w:rsidR="00000000" w:rsidRDefault="00000000">
      <w:r>
        <w:tab/>
      </w:r>
      <w:proofErr w:type="spellStart"/>
      <w:r>
        <w:t>b</w:t>
      </w:r>
      <w:proofErr w:type="spellEnd"/>
      <w:r>
        <w:t>)</w:t>
      </w:r>
      <w:r>
        <w:tab/>
        <w:t>была завершена работа по подготовке Закона о снабжении предметами медицинского назначения и Закона о медицинских ассоциациях;</w:t>
      </w:r>
    </w:p>
    <w:p w:rsidR="00000000" w:rsidRDefault="00000000"/>
    <w:p w:rsidR="00000000" w:rsidRDefault="00000000">
      <w:r>
        <w:tab/>
        <w:t>с)</w:t>
      </w:r>
      <w:r>
        <w:tab/>
        <w:t>правительство Республики Сербии подготовило и приняло документ о политике в области здравоохранения в Сербии (на основе которого была активизирована работа по реформированию системы здравоохранения и разработке новых норм и правил в области здравоохранения и медицинского страхования);</w:t>
      </w:r>
    </w:p>
    <w:p w:rsidR="00000000" w:rsidRDefault="00000000"/>
    <w:p w:rsidR="00000000" w:rsidRDefault="00000000">
      <w:r>
        <w:tab/>
        <w:t>d)</w:t>
      </w:r>
      <w:r>
        <w:tab/>
        <w:t>были подготовлены рабочие варианты новых текстов Закона о здравоохранении, Закона о медицинском страховании и Закона о медицинских и/или фармацевтических ассоциациях, которые были представлены для целей консультаций учреждениям системы здравоохранения, республиканскому Управлению медицинского страхования, его региональному отделению, а также другим заинтересованным сторонам.  Некоторая задержка в окончательной доработке проектов указанных законов связана с тем, что процесс их подготовки зависит от разработки и принятия законов в других областях, в частности Закона о местных органах самоуправления, а также Закона об определении некоторых полномочий автономной провинции;</w:t>
      </w:r>
    </w:p>
    <w:p w:rsidR="00000000" w:rsidRDefault="00000000"/>
    <w:p w:rsidR="00000000" w:rsidRDefault="00000000">
      <w:r>
        <w:tab/>
        <w:t>е)</w:t>
      </w:r>
      <w:r>
        <w:tab/>
        <w:t xml:space="preserve">параллельно с деятельностью по разработке вышеуказанных законопроектов находятся в стадии подготовки или уже разработаны следующие нормы и правила, подлежащие принятию правительством Сербии, или требующие его утверждения:  постановление о плане создания сети учреждений системы здравоохранения;  решение о личном участии бенефициара системы медицинского страхования в покрытии расходов на медицинского обслуживание;  решение о перечне лекарственных препаратов, оплачиваемых в рамках системы медицинского страхования;  решение о содержании и сфере охвата пособий в области здравоохранения;  </w:t>
      </w:r>
    </w:p>
    <w:p w:rsidR="00000000" w:rsidRDefault="00000000"/>
    <w:p w:rsidR="00000000" w:rsidRDefault="00000000">
      <w:r>
        <w:tab/>
        <w:t>f)</w:t>
      </w:r>
      <w:r>
        <w:tab/>
        <w:t>независимо или в сотрудничестве с министерством здравоохранения и республиканским Управлением медицинского страхования, были приняты следующие нормы и правила:  правила обеспечения предметами медицинского назначения государственных учреждений в системе здравоохранения;  решение об определении базовой ставки взноса в системе обязательного медицинского страхования;  решение о ставках взносов в системе обязательного медицинского страхования;  порядок внесения поправок в правила представления документации, необходимой для подачи заявки на получение санитарного разрешения;  правила о затратах и порядке определения суммы затрат, связанных с проведением инспекционной проверки по просьбе клиента;  правила о порядке приобретения базовых знаний в области пищевой и личной гигиены;  изменения к отраслевому коллективному договору в секторе здравоохранения (предусматривающие повышение заработной платы на 20%);  решение о критериях заключения контрактов на медицинское обслуживание в 2001 году между республиканским Управлением медицинского страхования, учреждениями системы здравоохранения и другими организациями в секторе здравоохранения;</w:t>
      </w:r>
    </w:p>
    <w:p w:rsidR="00000000" w:rsidRDefault="00000000"/>
    <w:p w:rsidR="00000000" w:rsidRDefault="00000000">
      <w:r>
        <w:tab/>
        <w:t>g)</w:t>
      </w:r>
      <w:r>
        <w:tab/>
        <w:t>были учреждены пять групп национальных экспертов по следующим вопросам:  зубоврачебная помощь;  публичное здравоохранение, психиатрическая помощь;  лечение туберкулеза;  и разработка национального счета показателей состояния здоровья населения Республики Сербии;</w:t>
      </w:r>
    </w:p>
    <w:p w:rsidR="00000000" w:rsidRDefault="00000000"/>
    <w:p w:rsidR="00000000" w:rsidRDefault="00000000">
      <w:r>
        <w:tab/>
        <w:t>h)</w:t>
      </w:r>
      <w:r>
        <w:tab/>
        <w:t>был разработан круг ведения для оказания технической помощи Всемирным банком:  реформа системы медицинского страхования и финансирование системы здравоохранения;  развитие информационной системы в области здравоохранения, состояние здоровья населения;  развитие людских ресурсов в системе здравоохранения;</w:t>
      </w:r>
    </w:p>
    <w:p w:rsidR="00000000" w:rsidRDefault="00000000"/>
    <w:p w:rsidR="00000000" w:rsidRDefault="00000000">
      <w:r>
        <w:tab/>
        <w:t>i)</w:t>
      </w:r>
      <w:r>
        <w:tab/>
        <w:t>был разработан документ, озаглавленный "Разработка перспектив развития системы здравоохранения";  был произведен анализ деятельности медицинской службы;  в Белграде на базе пяти стационарных медицинских учреждений было проведено исследование по теме "Удовлетворение потребностей населения в больничном обслуживании";  разработан план действий министерства здравоохранения в области борьбы с курением;  разработан проект поправок к решению о личном участии бенефициаров в покрытии расходов на медико-санитарное обслуживание;  в сотрудничестве с Всемирной организацией здравоохранения, отделениями организаций "Каритас" Италии и Югославии была организована конференция, посвященная проблемам реформы системы психиатрического лечения в Республике Сербии;  в сотрудничестве с министерством по вопросам международного развития Соединенного Королевства (ММР) был организован симпозиум по вопросам внедрения национального счета показателей состояния здоровья населения в Республике Сербии;  в министерстве здравоохранения были завершены все мероприятия, необходимые для лицензирования программного обеспечения в соответствии с правилами планирования, лицензирования и использования программного обеспечения компании "Майкрософт";  в учреждениях системы здравоохранения Сербии была внедрена процедура лицензирования программного обеспечения;  была начата деятельность по разработке предложения в отношении вебпрезентации министерства здравоохранения Республики Сербии.</w:t>
      </w:r>
    </w:p>
    <w:p w:rsidR="00000000" w:rsidRDefault="00000000"/>
    <w:p w:rsidR="00000000" w:rsidRDefault="00000000">
      <w:pPr>
        <w:jc w:val="center"/>
        <w:rPr>
          <w:b/>
          <w:bCs/>
        </w:rPr>
      </w:pPr>
      <w:r>
        <w:rPr>
          <w:b/>
          <w:bCs/>
        </w:rPr>
        <w:t>I.</w:t>
      </w:r>
      <w:r>
        <w:rPr>
          <w:b/>
          <w:bCs/>
        </w:rPr>
        <w:tab/>
        <w:t>Международная помощь и сотрудничество в секторе здравоохранения</w:t>
      </w:r>
    </w:p>
    <w:p w:rsidR="00000000" w:rsidRDefault="00000000">
      <w:pPr>
        <w:jc w:val="center"/>
        <w:rPr>
          <w:b/>
          <w:bCs/>
        </w:rPr>
      </w:pPr>
    </w:p>
    <w:p w:rsidR="00000000" w:rsidRDefault="00000000">
      <w:r>
        <w:t>318.</w:t>
      </w:r>
      <w:r>
        <w:tab/>
        <w:t>Министерство здравоохранения Республики Сербии готовит проект стоимостью 16,5 млн. долл. для получения кредита от Всемирного банка (реструктуризация системы вторичного здравоохранения, 2003-2007 годы).  Для подготовки указанного кредитного проекта министерство будет привлекать консультантов, услуги которых будут оплачиваться за счет грантов на подготовку займа (грант в рамках экономической помощи на цели социальной защиты (СПЕАГ) и Фонд разработки политики развития людских ресурсов (ПХРД)).</w:t>
      </w:r>
    </w:p>
    <w:p w:rsidR="00000000" w:rsidRDefault="00000000"/>
    <w:p w:rsidR="00000000" w:rsidRDefault="00000000">
      <w:r>
        <w:t>319.</w:t>
      </w:r>
      <w:r>
        <w:tab/>
        <w:t>Для решения задач, связанных с реализацией проекта по подготовке кредита, министерство здравоохранения создало группу управления проектом в составе четырех человек.  Эта группа подготовила необходимые документы для переговоров по условиям кредита между правительством Сербии и Всемирным банком.  Банк привлек двух консультантов, услуги которых финансируются из его ресурсов, которые в течение декабря оказывали помощь в подготовке документов, необходимых для выделения указанного кредита.</w:t>
      </w:r>
    </w:p>
    <w:p w:rsidR="00000000" w:rsidRDefault="00000000"/>
    <w:p w:rsidR="00000000" w:rsidRDefault="00000000">
      <w:r>
        <w:t>320.</w:t>
      </w:r>
      <w:r>
        <w:tab/>
        <w:t>Министерство здравоохранения Сербии и республиканское Управление медицинского страхования также получают средства по линии Кредита на структурную перестройку (КСП).  Эти ресурсы направляются на реструктуризацию системы финансирования сферы здравоохранения (перечень основных лекарственных препаратов, Закон о лекарственных препаратах, участие и т.д.), сбор взносов на финансирование здравоохранения (базовый пакет услуг, разработка дополнительных пакетов услуг, предоставляемых в рамках медицинского страхования, и т.д.), разработку генерального плана и плана по кадровым вопросам в системе здравоохранения.</w:t>
      </w:r>
    </w:p>
    <w:p w:rsidR="00000000" w:rsidRDefault="00000000"/>
    <w:p w:rsidR="00000000" w:rsidRDefault="00000000">
      <w:r>
        <w:t>321.</w:t>
      </w:r>
      <w:r>
        <w:tab/>
        <w:t>В 2002 году было подписано первое двухгодичное соглашение для страны с Всемирной организацией здравоохранения.  Делегация министерства здравоохранения посетила штаб-квартиру ВОЗ и встретилась с Генеральным директором этой организации.  В начале 2003 года планируется ответный официальный визит в Белград.</w:t>
      </w:r>
    </w:p>
    <w:p w:rsidR="00000000" w:rsidRDefault="00000000"/>
    <w:p w:rsidR="00000000" w:rsidRDefault="00000000">
      <w:r>
        <w:t>322.</w:t>
      </w:r>
      <w:r>
        <w:tab/>
        <w:t>Был разработан документ под названием "Программа ориентации в области здоровья молодежи для учреждений системы здравоохранения".  Министерство здравоохранения запланировало и провело семинар по вопросам управления при технической поддержке со стороны Всемирной организации здравоохранения.</w:t>
      </w:r>
    </w:p>
    <w:p w:rsidR="00000000" w:rsidRDefault="00000000"/>
    <w:p w:rsidR="00000000" w:rsidRDefault="00000000">
      <w:r>
        <w:t>323.</w:t>
      </w:r>
      <w:r>
        <w:tab/>
        <w:t xml:space="preserve">На склад "Хемофарм" в городе </w:t>
      </w:r>
      <w:proofErr w:type="spellStart"/>
      <w:r>
        <w:t>Вршац</w:t>
      </w:r>
      <w:proofErr w:type="spellEnd"/>
      <w:r>
        <w:t xml:space="preserve"> прибыла первая партия одобренной китайской гуманитарной помощи на сумму 2 698 795 долл. США.  Было получено следующее оборудование:  четыре компьютерных томографических сканера, 60 аппаратов для эхографического обследования и 130 персональных компьютеров.  Вторая партия гуманитарной помощи, включающая предметы медицинского назначения и фармацевтические сырьевые материалы, как ожидается, будет получена в конце декабря 2002 года.  Департамент международного сотрудничества и управления проектами и Контрольное управление по вопросам здравоохранения в министерстве здравоохранения разработали перечень приоритетного оборудования для лечебно-медицинских учреждений в Республике Сербии, на основе которого был подготовлен перечень для распределения соответствующего оборудования.  Распределение полученной помощи планируется провести по прибытии официальных лиц Китая в январе 2003 года.  Была представлена заявка на третий транш помощи на сумму около 3 млн. долл. США.  Предоставленные ресурсы планируется использовать для закупки компьютерных томографов в соответствии с указанным перечнем приоритетного оборудования.</w:t>
      </w:r>
    </w:p>
    <w:p w:rsidR="00000000" w:rsidRDefault="00000000"/>
    <w:p w:rsidR="00000000" w:rsidRDefault="00000000">
      <w:r>
        <w:t>324.</w:t>
      </w:r>
      <w:r>
        <w:tab/>
        <w:t xml:space="preserve">Правительство Японии утвердило грант в размере 10 млн. долл. США.  Этот грант выделяется на цели закупки оборудования для Клинического центра Сербии в Белграде, Клинического центра в Нови-Саде, Клинического центра в Нише и Клинического и больничного центра в Крагуеваце.  В декабре 2002 года с учетом приоритетов был составлен окончательный перечь оборудования, и, таким образом, процесс реализации выделенного </w:t>
      </w:r>
      <w:proofErr w:type="spellStart"/>
      <w:r>
        <w:t>гранта</w:t>
      </w:r>
      <w:proofErr w:type="spellEnd"/>
      <w:r>
        <w:t xml:space="preserve"> уже завершен на три четверти.</w:t>
      </w:r>
    </w:p>
    <w:p w:rsidR="00000000" w:rsidRDefault="00000000"/>
    <w:p w:rsidR="00000000" w:rsidRDefault="00000000">
      <w:r>
        <w:t>325.</w:t>
      </w:r>
      <w:r>
        <w:tab/>
        <w:t>В сотрудничестве с Международным Красным Крестом на базе поликлиники в Кральево начато осуществление пилотного проекта в области базовых услуг здравоохранения.  Расчетная стоимость этого проекта составляет 2,65 млн. долл. США.  Также инициирована работа по осуществлению комплексного пакета медико-санитарных услуг, адресованных прежде всего перемещенным лицам.</w:t>
      </w:r>
    </w:p>
    <w:p w:rsidR="00000000" w:rsidRDefault="00000000"/>
    <w:p w:rsidR="00000000" w:rsidRDefault="00000000">
      <w:r>
        <w:t>326.</w:t>
      </w:r>
      <w:r>
        <w:tab/>
        <w:t>В сотрудничестве с Европейским агентством по реконструкции министерство здравоохранения через свой Департамент международного сотрудничества и управления проектами продолжало сопровождение проектов, начатых в 2001 году:  оказание поддержки фармацевтическому сектору за счет закупки и распределения лекарственных препаратов, предметов медицинского назначения и реагентов для государственных аптек, поликлиник и больниц (в соответствии с приоритетным перечнем);  оказание помощи в разработке нормативно-законодательной базы в фармацевтическом секторе;  техническое содействие в интересах упорядочения процесса выписки рецептов на лекарственные препараты за счет развития диагностических и терапевтических протоколов, относящихся к специализированным видам обследований;  рационализация фармацевтической промышленности;  модернизация оборудования в больницах и поликлиниках;  оценка потребностей медицинских учреждений в Сербии.  Общая сумма бюджета вышеуказанных проектов составляет 31,7 млн. евро (26,7 млн. евро с 2001 года и 5 млн. евро с 2002 года).</w:t>
      </w:r>
    </w:p>
    <w:p w:rsidR="00000000" w:rsidRDefault="00000000"/>
    <w:p w:rsidR="00000000" w:rsidRDefault="00000000">
      <w:r>
        <w:t>327.</w:t>
      </w:r>
      <w:r>
        <w:tab/>
        <w:t xml:space="preserve">В соответствии с перечнем приоритетов было закуплено и распределено следующее новое оборудование:  рентгенографическое оборудование (4 млн. евро), в частности рентгенографические установки (54 шт.) и установки для проявления пленки (25 шт.);  оборудование для хирургического и реанимационного отделений (6,5 млн. евро), анестезическое оборудование (70 шт.), аспираторы (400 шт.), мониторы (200 шт.);  инфузионные насосы (150 шт.), электрокаутеры (60 шт.), операционные столы для хирургических отделений (20 шт.) с операционными лампами (20 шт.), респираторы (40 шт.), стерилизаторы (20 шт.) и дефибриляторы (20 шт.);  был объявлен тендер на закупку лабораторного оборудования.  На ремонт устаревшего оборудования (наркозные аппараты, стерилизаторы, рентгеновские аппараты, сканеры, эндоскопы) была истрачена сумма в размере 1,75 млн. </w:t>
      </w:r>
      <w:proofErr w:type="spellStart"/>
      <w:r>
        <w:t>евро</w:t>
      </w:r>
      <w:proofErr w:type="spellEnd"/>
      <w:r>
        <w:t>.</w:t>
      </w:r>
    </w:p>
    <w:p w:rsidR="00000000" w:rsidRDefault="00000000"/>
    <w:p w:rsidR="00000000" w:rsidRDefault="00000000">
      <w:r>
        <w:t>328.</w:t>
      </w:r>
      <w:r>
        <w:tab/>
        <w:t>В сотрудничестве с ЕПОС были разработаны и представлены практикующим врачам справочные руководства по надлежащим методам лечения астмы, стенокардии, онкологических заболеваний и диабета.</w:t>
      </w:r>
    </w:p>
    <w:p w:rsidR="00000000" w:rsidRDefault="00000000"/>
    <w:p w:rsidR="00000000" w:rsidRDefault="00000000">
      <w:r>
        <w:t>329.</w:t>
      </w:r>
      <w:r>
        <w:tab/>
        <w:t>Министерство здравоохранения Республики Сербии при содействии Европейского агентства по реконструкции разработало Закон о лекарственных препаратах, который был представлен правительству Республики Сербии на утверждение.  Кроме того, была начата реализация проекта в области переоснащения службы переливания крови.</w:t>
      </w:r>
    </w:p>
    <w:p w:rsidR="00000000" w:rsidRDefault="00000000"/>
    <w:p w:rsidR="00000000" w:rsidRDefault="00000000">
      <w:r>
        <w:t>330.</w:t>
      </w:r>
      <w:r>
        <w:tab/>
        <w:t xml:space="preserve">В сотрудничестве с правительством Норвегии начато осуществление двух проектов на сумму 2,2 млн. евро:  проект по оказанию содействия службам экстренной медицинской помощи в городах </w:t>
      </w:r>
      <w:proofErr w:type="spellStart"/>
      <w:r>
        <w:t>Крагуевац</w:t>
      </w:r>
      <w:proofErr w:type="spellEnd"/>
      <w:r>
        <w:t xml:space="preserve">, Вальево, Зренянин и </w:t>
      </w:r>
      <w:proofErr w:type="spellStart"/>
      <w:r>
        <w:t>Зайшар</w:t>
      </w:r>
      <w:proofErr w:type="spellEnd"/>
      <w:r>
        <w:t xml:space="preserve"> путем закупки оборудования и модернизации, окончание которых запланировано на январь/февраль 2003 года.  Министерство здравоохранения совместно с правительством Норвегии инициировало проект по разработке информационной системы для Белградского института фармацевтики.  На настоящий момент ожидается, что правительство Норвегии формально утвердит техническую часть тендерной документации на закупку программного обеспечения.  Завершение проекта намечено в 2003 году.  </w:t>
      </w:r>
    </w:p>
    <w:p w:rsidR="00000000" w:rsidRDefault="00000000"/>
    <w:p w:rsidR="00000000" w:rsidRDefault="00000000">
      <w:r>
        <w:t>331.</w:t>
      </w:r>
      <w:r>
        <w:tab/>
        <w:t>В рамках Греческого плана была представлена заявка на реализацию проекта в области развития и восстановления служб экстренной медицинской помощи по коридору Е-10 на сумму 10 млн. евро (сумма в 8 млн. евро будет утверждена правительством Греции и 2 млн. евро будут выделены из бюджетных средств и другими донорами).  Были представлены заявки на финансирование остальной части Греческого плана:  проект в области утилизации медицинских отходов на сумму 2 млн. евро при возможном участии в управлении проекта министерства окружающей среды и природных ресурсов.</w:t>
      </w:r>
    </w:p>
    <w:p w:rsidR="00000000" w:rsidRDefault="00000000"/>
    <w:p w:rsidR="00000000" w:rsidRDefault="00000000">
      <w:r>
        <w:t>332.</w:t>
      </w:r>
      <w:r>
        <w:tab/>
        <w:t>Отделение гуманитарной помощи Европейской комиссии (ЕСНО) с партнерами и с согласия министерства здравоохранения Республики Сербии приняло участие в закупке медицинского оборудования (кольпоскопы, сумки врача с оборудованием, центрифуги, биохимические анализаторы, стерилизаторы), транспортных средств для выездных служб оказания первичной медико-санитарной помощи, ремонте зданий медицинских учреждений, оказании помощи реабилитационным центрам и учреждениям в системе здравоохранения, а также помощи инвалидам и лицам с особыми потребностями.  Общая сумма бюджета составила 6,5 млн. евро, которые были полностью распределены в соответствии с перечнем приоритетов.</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pPr>
        <w:jc w:val="center"/>
        <w:rPr>
          <w:b/>
          <w:bCs/>
        </w:rPr>
      </w:pPr>
      <w:r>
        <w:rPr>
          <w:b/>
          <w:bCs/>
        </w:rPr>
        <w:t>А.</w:t>
      </w:r>
      <w:r>
        <w:rPr>
          <w:b/>
          <w:bCs/>
        </w:rPr>
        <w:tab/>
        <w:t>Право на образование, общедоступное на равных условиях</w:t>
      </w:r>
    </w:p>
    <w:p w:rsidR="00000000" w:rsidRDefault="00000000">
      <w:pPr>
        <w:jc w:val="center"/>
      </w:pPr>
    </w:p>
    <w:p w:rsidR="00000000" w:rsidRDefault="00000000">
      <w:r>
        <w:t>333.</w:t>
      </w:r>
      <w:r>
        <w:tab/>
        <w:t xml:space="preserve">Конституция Союзной Республики Югославии гласила, что образование является общедоступным для всех на равных условиях (статья 162).  </w:t>
      </w:r>
    </w:p>
    <w:p w:rsidR="00000000" w:rsidRDefault="00000000"/>
    <w:p w:rsidR="00000000" w:rsidRDefault="00000000">
      <w:r>
        <w:t>334.</w:t>
      </w:r>
      <w:r>
        <w:tab/>
        <w:t>Хартия прав человека и национальных меньшинств и гражданских свобод также гарантирует это право и предусматривает, что начальное образование является обязательным и что государства-члены обязаны обеспечить бесплатное начальное образование.  Кроме того, в Хартии закреплено, что порядок создания школ и университетов регулируется в соответствии с законодательством государств-членов (статья 43).</w:t>
      </w:r>
    </w:p>
    <w:p w:rsidR="00000000" w:rsidRDefault="00000000"/>
    <w:p w:rsidR="00000000" w:rsidRDefault="00000000">
      <w:r>
        <w:t>335.</w:t>
      </w:r>
      <w:r>
        <w:tab/>
        <w:t>В Конституции Республики Сербии признается право на бесплатное образование для всех лиц, получающих среднее, высшее и университетское образование в государственной системе образования.</w:t>
      </w:r>
    </w:p>
    <w:p w:rsidR="00000000" w:rsidRDefault="00000000"/>
    <w:p w:rsidR="00000000" w:rsidRDefault="00000000">
      <w:pPr>
        <w:jc w:val="center"/>
        <w:rPr>
          <w:b/>
          <w:bCs/>
        </w:rPr>
      </w:pPr>
      <w:r>
        <w:rPr>
          <w:b/>
          <w:bCs/>
        </w:rPr>
        <w:t>В.</w:t>
      </w:r>
      <w:r>
        <w:rPr>
          <w:b/>
          <w:bCs/>
        </w:rPr>
        <w:tab/>
        <w:t>Обязательное и доступное для всех начальное образование</w:t>
      </w:r>
    </w:p>
    <w:p w:rsidR="00000000" w:rsidRDefault="00000000">
      <w:pPr>
        <w:jc w:val="center"/>
      </w:pPr>
    </w:p>
    <w:p w:rsidR="00000000" w:rsidRDefault="00000000">
      <w:r>
        <w:t>336.</w:t>
      </w:r>
      <w:r>
        <w:tab/>
        <w:t>В Законе о начальной школе (</w:t>
      </w:r>
      <w:r>
        <w:rPr>
          <w:i/>
          <w:iCs/>
        </w:rPr>
        <w:t>Официальный вестник Республики Сербии</w:t>
      </w:r>
      <w:r>
        <w:t>, № 12/50/92/06) закреплено, что начальное образование является обязательным для всех детей школьного возраста (7-14 лет).  Начальная подготовка и образование осуществляются в рамках учебной программы, рассчитанной на восемь лет (статья 1).  В сфере начального образования граждане пользуются следующими правами:  правом на восьмилетнюю начальную подготовку и образование;  правом на начальную подготовку и образование взрослых;  правом на начальное образование в области музыки и танцев, а также на дополнительную начальную подготовку и образование детей граждан Республики Сербии (статья 8).</w:t>
      </w:r>
    </w:p>
    <w:p w:rsidR="00000000" w:rsidRDefault="00000000"/>
    <w:p w:rsidR="00000000" w:rsidRDefault="00000000">
      <w:r>
        <w:t>337.</w:t>
      </w:r>
      <w:r>
        <w:tab/>
        <w:t>Согласно положениям Закона о начальном образовании все дети соответствующего возраста обязаны посещать начальную школу, обучение в которой является бесплатным.  В соответствии со статьей 40 этого закона родители, приемные родители и опекуны несут ответственность за зачисление своих детей в первый класс, регулярное посещение ими школьных занятий и выполнение иных обязанностей, связанных с обучением их детей в школе</w:t>
      </w:r>
      <w:r>
        <w:rPr>
          <w:rStyle w:val="FootnoteReference"/>
        </w:rPr>
        <w:footnoteReference w:id="28"/>
      </w:r>
      <w:r>
        <w:t xml:space="preserve">.  </w:t>
      </w:r>
    </w:p>
    <w:p w:rsidR="00000000" w:rsidRDefault="00000000"/>
    <w:p w:rsidR="00000000" w:rsidRDefault="00000000">
      <w:r>
        <w:t>338.</w:t>
      </w:r>
      <w:r>
        <w:tab/>
        <w:t>Официальные статистические данные, как один из показателей выполнения положений законов, норм и правил в отношении доступного для всех обязательного начального образования, свидетельствуют об эффективном осуществлении на практике соответствующих законодательных положений.  Согласно статистическим данным, за предыдущие два учебные года (1999</w:t>
      </w:r>
      <w:r>
        <w:noBreakHyphen/>
        <w:t>2000 годы и 2000</w:t>
      </w:r>
      <w:r>
        <w:noBreakHyphen/>
        <w:t xml:space="preserve">2001 годы) системой обязательного начального образования было охвачено более </w:t>
      </w:r>
      <w:proofErr w:type="spellStart"/>
      <w:r>
        <w:t>98%</w:t>
      </w:r>
      <w:proofErr w:type="spellEnd"/>
      <w:r>
        <w:t xml:space="preserve"> детей соответствующего возраста.  Уровень отсева составил около </w:t>
      </w:r>
      <w:proofErr w:type="spellStart"/>
      <w:r>
        <w:t>1%</w:t>
      </w:r>
      <w:proofErr w:type="spellEnd"/>
      <w:r>
        <w:t xml:space="preserve">, тогда как </w:t>
      </w:r>
      <w:proofErr w:type="spellStart"/>
      <w:r>
        <w:t>98%</w:t>
      </w:r>
      <w:proofErr w:type="spellEnd"/>
      <w:r>
        <w:t xml:space="preserve"> учащихся успешно закончили начальную школу</w:t>
      </w:r>
      <w:r>
        <w:rPr>
          <w:rStyle w:val="FootnoteReference"/>
        </w:rPr>
        <w:footnoteReference w:id="29"/>
      </w:r>
      <w:r>
        <w:t xml:space="preserve">.  Другие показатели, также основанные на результатах официальных обследований, показывают, что одни лишь процентные доли (или численность) детей, оканчивающих начальную школу, не всегда позволяют получить четкое представление о том, все ли дети полностью оканчивают восьмилетнюю программу обязательного обучения.  </w:t>
      </w:r>
    </w:p>
    <w:p w:rsidR="00000000" w:rsidRDefault="00000000"/>
    <w:p w:rsidR="00000000" w:rsidRDefault="00000000">
      <w:r>
        <w:t>339.</w:t>
      </w:r>
      <w:r>
        <w:tab/>
        <w:t xml:space="preserve">Результаты анализа системы начального образования в Союзной Республике Югославии, проведенного представителями </w:t>
      </w:r>
      <w:proofErr w:type="spellStart"/>
      <w:r>
        <w:t>ЮНИСЕФ</w:t>
      </w:r>
      <w:proofErr w:type="spellEnd"/>
      <w:r>
        <w:t xml:space="preserve"> и соответствующих республиканских министерств просвещения, которые охватывают период 1990</w:t>
      </w:r>
      <w:r>
        <w:noBreakHyphen/>
        <w:t>2000 годов</w:t>
      </w:r>
      <w:r>
        <w:rPr>
          <w:rStyle w:val="FootnoteReference"/>
        </w:rPr>
        <w:footnoteReference w:id="30"/>
      </w:r>
      <w:r>
        <w:t>, указывают на наличие диспропорций в охвате системой начального образования.  Речь здесь идет о некоторых категориях учащихся начальной школы (в частности, детях рома и детях, относящиеся к другим этническим меньшинствам, детях в отдаленных сельских районах, детях с особыми потребностями, растущем количестве детей беженцев и перемещенных лиц), которые прекращают обучение в начальной школе раньше установленного срока, т.е. до окончания восьмого класса.</w:t>
      </w:r>
    </w:p>
    <w:p w:rsidR="00000000" w:rsidRDefault="00000000"/>
    <w:p w:rsidR="00000000" w:rsidRDefault="00000000">
      <w:r>
        <w:t>340.</w:t>
      </w:r>
      <w:r>
        <w:tab/>
        <w:t>Имеющиеся данные показывают, что за прошедшее десятилетие дети в вышеуказанных категориях сталкивались со значительными проблемами в части интеграции в систему начального образования.  Наиболее многочисленными группами, которые не использовали их право на обязательное начальное образование, были рома и влахи.  Учащиеся в этих группах по большей части прекращали посещение школы, едва лишь начав обучение в старших классах</w:t>
      </w:r>
      <w:r>
        <w:rPr>
          <w:rStyle w:val="FootnoteReference"/>
        </w:rPr>
        <w:footnoteReference w:id="31"/>
      </w:r>
      <w:r>
        <w:t xml:space="preserve">.  </w:t>
      </w:r>
    </w:p>
    <w:p w:rsidR="00000000" w:rsidRDefault="00000000"/>
    <w:p w:rsidR="00000000" w:rsidRDefault="00000000">
      <w:r>
        <w:t>341.</w:t>
      </w:r>
      <w:r>
        <w:tab/>
        <w:t xml:space="preserve">Дети с особыми потребностями сталкивались с весьма серьезными проблемами в области образования в нелегком процессе их интеграции в обычных школах, в числе которых следует отметить неадекватные процедуры диагностики различных нарушений здоровья и недостаточную подготовку преподавательского состава, в частности в обычных школах, для работы с детьми с особыми потребностями.  Интеграция детей беженцев и внутренних перемещенных лиц в систему образования также сопровождалась значительными трудностями.  В отдаленных сельских районах дети нередко оканчивают лишь 4 класса начальной школы, что связано с отсутствием в их общинах полных школ (только 4 класса), а также транспортных средств для проезда в ближайшую полную (восьмилетнюю) школу.  </w:t>
      </w:r>
    </w:p>
    <w:p w:rsidR="00000000" w:rsidRDefault="00000000"/>
    <w:p w:rsidR="00000000" w:rsidRDefault="00000000">
      <w:r>
        <w:t>342.</w:t>
      </w:r>
      <w:r>
        <w:tab/>
        <w:t xml:space="preserve">В целях всемерного осуществления положений законов и правил об общей доступности начального образования на равных условиях и обязательном окончании начальной школы для всех детей соответствующего возраста министерство просвещения и спорта Республики Сербии в рамках осуществляемых реформ системы образования в Сербии приступила к реализации ряда таких краткосрочных и долгосрочных мер, как сбор и анализ важной информации о различных целевых группах и районах;  анализ сети начальных школ для повышения уровня доступности образования для всех;  установление гарантий качества школьных помещений и обучения в учебных заведениях;  определение качества полученных учащимися знаний (баллы) и внедрение механизмов контроля, принятие мер позитивной дискриминации;  введение новых правовых норм, касающихся подготовки и обучения учащихся-инвалидов;  мобилизация всех имеющихся ресурсов на центральном, региональном, муниципальном и местном уровнях в целях устранения существующих диспропорций.  </w:t>
      </w:r>
    </w:p>
    <w:p w:rsidR="00000000" w:rsidRDefault="00000000"/>
    <w:p w:rsidR="00000000" w:rsidRDefault="00000000">
      <w:pPr>
        <w:jc w:val="center"/>
        <w:rPr>
          <w:b/>
          <w:bCs/>
        </w:rPr>
      </w:pPr>
      <w:r>
        <w:rPr>
          <w:b/>
          <w:bCs/>
        </w:rPr>
        <w:t>С.</w:t>
      </w:r>
      <w:r>
        <w:rPr>
          <w:b/>
          <w:bCs/>
        </w:rPr>
        <w:tab/>
        <w:t>Всеобщее право на получение среднего образования, доступного для всех</w:t>
      </w:r>
    </w:p>
    <w:p w:rsidR="00000000" w:rsidRDefault="00000000">
      <w:pPr>
        <w:jc w:val="center"/>
        <w:rPr>
          <w:b/>
          <w:bCs/>
        </w:rPr>
      </w:pPr>
    </w:p>
    <w:p w:rsidR="00000000" w:rsidRDefault="00000000">
      <w:r>
        <w:t>343.</w:t>
      </w:r>
      <w:r>
        <w:tab/>
        <w:t>Согласно положениям Закона о средней школе (</w:t>
      </w:r>
      <w:r>
        <w:rPr>
          <w:i/>
          <w:iCs/>
        </w:rPr>
        <w:t>Официальный вестник Республики Сербии</w:t>
      </w:r>
      <w:r>
        <w:t>, № 12/50/92/05) средние школы могут быть с продвинутой программой, классическими или общеобразовательными (четырехлетними), в которых учащиеся приобретают общеобразовательные знания, необходимые для поступления в университет или колледж;  художественные школы (четырехлетние), полученные в которых общеобразовательные знания могут послужить основой для поступления на работу или продолжения обучения;  технические и профессионально-технические училища (двухлетние, трехлетние или четырехлетние), в которых учащиеся изучают как специальные, так и общеобразовательные предметы.  Вышеуказанный Закон также предусматривал ремесленные училища со специализацией в области среднего профессионально-технического образования (статья 3).</w:t>
      </w:r>
    </w:p>
    <w:p w:rsidR="00000000" w:rsidRDefault="00000000"/>
    <w:p w:rsidR="00000000" w:rsidRDefault="00000000">
      <w:r>
        <w:t>344.</w:t>
      </w:r>
      <w:r>
        <w:tab/>
        <w:t xml:space="preserve">В области среднего образования граждане пользуются следующими правами:  правом на полное дневное среднее трех- или четырехлетнее образование;  правом на полное дневное среднее образование для учащихся, обладающих особыми способностями, одаренных и талантливых учащихся;  правом на дневное среднее образование и профессионально-техническую подготовку учащихся-инвалидов;  правом на получение среднего образования на языке меньшинств или на двух языках для </w:t>
      </w:r>
      <w:proofErr w:type="spellStart"/>
      <w:r>
        <w:t>учащихся-очников</w:t>
      </w:r>
      <w:proofErr w:type="spellEnd"/>
      <w:r>
        <w:t xml:space="preserve">;  правом на двухгодичную техническую или профессионально-техническую подготовку для </w:t>
      </w:r>
      <w:proofErr w:type="spellStart"/>
      <w:r>
        <w:t>учащихся-очников</w:t>
      </w:r>
      <w:proofErr w:type="spellEnd"/>
      <w:r>
        <w:t>;  параллельное среднее образование для учащихся в классе А;  образовательную работу в школах-интернатах.</w:t>
      </w:r>
    </w:p>
    <w:p w:rsidR="00000000" w:rsidRDefault="00000000"/>
    <w:p w:rsidR="00000000" w:rsidRDefault="00000000">
      <w:r>
        <w:t>345.</w:t>
      </w:r>
      <w:r>
        <w:tab/>
        <w:t>Учащийся, окончивший полный курс начальной школы, может быть переведен в среднюю школу (статья 38).  В статьях 38-42 этого же закона излагаются условия и критерии для поступления учащихся в среднюю школу по их выбору</w:t>
      </w:r>
      <w:r>
        <w:rPr>
          <w:rStyle w:val="FootnoteReference"/>
        </w:rPr>
        <w:footnoteReference w:id="32"/>
      </w:r>
      <w:r>
        <w:t>.</w:t>
      </w:r>
    </w:p>
    <w:p w:rsidR="00000000" w:rsidRDefault="00000000"/>
    <w:p w:rsidR="00000000" w:rsidRDefault="00000000">
      <w:r>
        <w:t>346.</w:t>
      </w:r>
      <w:r>
        <w:tab/>
        <w:t>Конституция Республики Сербии гарантирует право на бесплатное среднее образование для всех учащихся, посещающих дневное отделение средней школы.  Учащиеся, посещающие вечернее отделение, не пользуются этим правом.</w:t>
      </w:r>
    </w:p>
    <w:p w:rsidR="00000000" w:rsidRDefault="00000000"/>
    <w:p w:rsidR="00000000" w:rsidRDefault="00000000">
      <w:r>
        <w:t>347.</w:t>
      </w:r>
      <w:r>
        <w:tab/>
        <w:t>Сеть средних школ построена таким образом, чтобы охватывать бо</w:t>
      </w:r>
      <w:r>
        <w:rPr>
          <w:rFonts w:ascii="Tahoma" w:hAnsi="Tahoma" w:cs="Tahoma"/>
        </w:rPr>
        <w:t></w:t>
      </w:r>
      <w:r>
        <w:t>льшую часть детей в возрасте на момент окончания начальной школы, поскольку большинство учащихся, оканчивающих полный курс начальной школы, продолжают обучение в средней школе.  Согласно результатам одного из недавно проведенных обследований 88,3% учеников начальной школы намерены продолжать обучение в средней школе, при этом 10,2% учащихся испытывают сомнения, а 1,2% хотят прекратить обучение.  Официальные данные также показывают, что 83-87% выпускников начальной школы стремятся перейти в среднюю школу.  Почти четверть учащихся поступают в средние школы с продвинутой программой (классические или общеобразовательные), а три четверти - в техникумы или профессионально-технические училища</w:t>
      </w:r>
      <w:r>
        <w:rPr>
          <w:rStyle w:val="FootnoteReference"/>
        </w:rPr>
        <w:footnoteReference w:id="33"/>
      </w:r>
      <w:r>
        <w:t>.  Результаты исследования, проведенного Центром исследований школы экономики при Белградском университете, показывают, что доля всех средних школ, техникумов и профессионально-технических училищ составляет 64,10%, продвинутых (классических) школ - 24,62%, художественных школ - 5,83% и специальных школ (для детей с особыми потребностями)</w:t>
      </w:r>
      <w:r>
        <w:rPr>
          <w:lang w:val="en-US"/>
        </w:rPr>
        <w:t> </w:t>
      </w:r>
      <w:r>
        <w:t>- 5,45%.  Доля учащихся-вечерников в общей численности учащихся средних школ в Сербии составила в 2001 году лишь 2,61% .  Этот показатель варьируется в зависимости от школы и региона.  Наиболее низкая доля учащихся-вечерников отмечается в школах продвинутого уровня, составляя лишь 0,32%, а наиболее высокая - в</w:t>
      </w:r>
      <w:r>
        <w:rPr>
          <w:lang w:val="en-US"/>
        </w:rPr>
        <w:t> </w:t>
      </w:r>
      <w:r>
        <w:t>художественных школах (4,14%).  В техникумах и средних профессионально-технических училищах доля учащихся-вечерников составляет 3,35%</w:t>
      </w:r>
      <w:r>
        <w:rPr>
          <w:rStyle w:val="FootnoteReference"/>
        </w:rPr>
        <w:footnoteReference w:id="34"/>
      </w:r>
      <w:r>
        <w:t>.  Приведенные данные о пропорции учащихся вечерних отделений средних школ показывают, что количество учащихся средних школ, обучение которых оплачивается государством, значительно превосходит количество учащихся, оплачивающих свое образование из собственного кармана.</w:t>
      </w:r>
    </w:p>
    <w:p w:rsidR="00000000" w:rsidRDefault="00000000"/>
    <w:p w:rsidR="00000000" w:rsidRDefault="00000000">
      <w:r>
        <w:t>348.</w:t>
      </w:r>
      <w:r>
        <w:tab/>
        <w:t>Развитая система и сеть средних школ служат показателем эффективности осуществления нормативных положений, касающихся доступности среднего образования на равных условиях для всех лиц, желающих продолжать свое обучение.  Вместе с тем другие показатели указывают на необходимость изменения этих норм в целях учета современных требований общества.  Поскольку выбор средней школы зависит от решения учащегося и реальных возможностей его зачисления в учебное заведение, количество учащихся, желающих посещать ту или иную школу, может превышать количество мест, имеющихся в этой школе.  В подобной ситуации время от времени возникают трудности в период набора учащихся.</w:t>
      </w:r>
    </w:p>
    <w:p w:rsidR="00000000" w:rsidRDefault="00000000"/>
    <w:p w:rsidR="00000000" w:rsidRDefault="00000000">
      <w:r>
        <w:t>349.</w:t>
      </w:r>
      <w:r>
        <w:tab/>
        <w:t>Согласно выводам, сделанным группой экспертов по среднему образованию министерства просвещения и спорта Республики Сербии, несмотря на существенный интерес учащихся к техникумам и средним профессионально-техническим училищам (около 75% всех студентов средних школ поступают в техникумы или профессионально-технические училища), большинство учащихся, оканчивающих начальную школу, предпочитают продолжать образование в продвинутой средней (классической или общеобразовательной) школе, а не поступать в техникумы или профессионально-технические училища.  Из этого следует, что указанная диспропорция является следствием ограниченного количества учебных мест в школах с продвинутой программой.  Эта проблема усугубляется еще и тем, что за последние годы 90% выпускников техникумов и профессионально-технических училищ в течение одного-пяти лет не могут трудоустроиться.</w:t>
      </w:r>
    </w:p>
    <w:p w:rsidR="00000000" w:rsidRDefault="00000000"/>
    <w:p w:rsidR="00000000" w:rsidRDefault="00000000">
      <w:r>
        <w:t>350.</w:t>
      </w:r>
      <w:r>
        <w:tab/>
        <w:t>Те же данные указывают на столь же значительное количество учащейся молодежи в университетах (142 000 в 1997 году и 200 000 в 2000 году).  Помимо проблемы, указанной выше, налицо несоответствие между спросом на определенные специальности, которым обучают в техникумах и профессионально-технических училищах, и современными требованиями экономики и общества.  Если среди профессий, получаемых в трехлетней средней школе, значительным спросом пользуются специальности в сфере обслуживания, торговли, общественного питания и администрации, то производственные профессии (машиностроение, металлообработка, горное дело и т.д.) не пользуются особой популярностью среди молодых людей, поступающих в средние школы. Спрос в училищах на обучение по специальностям в области медицинских и коммерческих услуг, торговли туризма, которое рассчитано на четыре года, в два раза превышает количество учебных мест в указанных училищах.</w:t>
      </w:r>
    </w:p>
    <w:p w:rsidR="00000000" w:rsidRDefault="00000000"/>
    <w:p w:rsidR="00000000" w:rsidRDefault="00000000">
      <w:r>
        <w:t>351.</w:t>
      </w:r>
      <w:r>
        <w:tab/>
        <w:t>Вышеприведенные данные указывают на то, что законодательство, регулирующее деятельность школ, не соответствовало современным социальным и культурным требованиям в обществе.  В законодательстве рассматривались лишь вопросы, касающиеся учебных программ, преподавательского состава, директоров учебных заведений или завучей и учащихся.  При этом в нем были полностью выпущены из вида другие важные участники системы образования (родители, общественность, местная община, государственные и частные предприятия, местные СМИ).  Недостаточное внимание уделялось вопросам осуществления и конечным результатам образовательного процесса в целом.</w:t>
      </w:r>
    </w:p>
    <w:p w:rsidR="00000000" w:rsidRDefault="00000000"/>
    <w:p w:rsidR="00000000" w:rsidRDefault="00000000">
      <w:r>
        <w:t>352.</w:t>
      </w:r>
      <w:r>
        <w:tab/>
        <w:t>Первым шагом, сделанным министерством просвещения и спорта Республики Сербии в процессе реформирования средних школ, стало проведение анализа и корректировка законов об образовании в соответствии с изменившимися экономическими, социальными и политическими условиями.  В этой связи министерство приняло Закон о внесении поправок в Закон о средней школе (</w:t>
      </w:r>
      <w:r>
        <w:rPr>
          <w:i/>
          <w:iCs/>
        </w:rPr>
        <w:t>Официальный вестник Республики Сербии</w:t>
      </w:r>
      <w:r>
        <w:t>, № 23/2002).  Это новое законодательство направлено на превращение школы в один из демократических институтов, призванных содействовать укреплению принципов демократии в сфере образования и обществе;  ориентацию образования на современные образовательные цели, имеющие важное значение для социально-экономического развития, в частности приобретение независимых навыков обучения, умение критично мыслить и сообща находить решение проблем во всех областях;  а также на то, чтобы профессионально-техническое образование и образование для взрослых соответствовало будущим потребностям экономики.  Достижение этих целей позволит сделать систему среднего образования в целом доступной для всех, кто желает продолжать свое образование (по окончании начальной школы).</w:t>
      </w:r>
    </w:p>
    <w:p w:rsidR="00000000" w:rsidRDefault="00000000"/>
    <w:p w:rsidR="00000000" w:rsidRDefault="00000000">
      <w:pPr>
        <w:jc w:val="center"/>
        <w:rPr>
          <w:b/>
          <w:bCs/>
        </w:rPr>
      </w:pPr>
      <w:r>
        <w:rPr>
          <w:b/>
          <w:bCs/>
        </w:rPr>
        <w:t>D.</w:t>
      </w:r>
      <w:r>
        <w:rPr>
          <w:b/>
          <w:bCs/>
        </w:rPr>
        <w:tab/>
        <w:t>Высшее образование, доступное для всех на равных условиях</w:t>
      </w:r>
    </w:p>
    <w:p w:rsidR="00000000" w:rsidRDefault="00000000">
      <w:pPr>
        <w:rPr>
          <w:sz w:val="16"/>
        </w:rPr>
      </w:pPr>
    </w:p>
    <w:p w:rsidR="00000000" w:rsidRDefault="00000000">
      <w:r>
        <w:t>353.</w:t>
      </w:r>
      <w:r>
        <w:tab/>
        <w:t>Права граждан в области высшего образования охватывают образование в высших учебных заведениях, колледжах и университетах (или отделениях вузов).  В высших учебных заведениях со сроком обучения два-три академических года обеспечивается теоретическая и практическая подготовка, необходимая для специализированной профессиональной или технической работы.  Студентам предоставляется возможность участвовать в профессиональной деятельности и программах специализированного учреждения.  Дипломы об окончании таких школ рассматриваются как диплом о прохождении полного курса обучения.  Вместе с тем некоторые отделения вузов могут зачислять выпускников средних школ продвинутого уровня сразу на второй или третий курс.  Университеты дают самый высокий уровень образования в таких областях, как наука и искусство.  Согласно положениям Закона об университетах (</w:t>
      </w:r>
      <w:r>
        <w:rPr>
          <w:i/>
          <w:iCs/>
        </w:rPr>
        <w:t>Официальный вестник Республики Сербии</w:t>
      </w:r>
      <w:r>
        <w:t>, № 21/02), обучение на отделениях вузов может быть базовым, специализированным, а также направленным на получение степени магистра или доктора наук (статья 17).  Базовая программа обучения рассчитана на три-шесть академических лет.  По окончании базового курса студент может продолжить образование в рамках специализированного курса (один-два академических года), окончить аспирантуру (два</w:t>
      </w:r>
      <w:r>
        <w:noBreakHyphen/>
        <w:t>три академических года) или докторантуру (три академических года).</w:t>
      </w:r>
    </w:p>
    <w:p w:rsidR="00000000" w:rsidRDefault="00000000"/>
    <w:p w:rsidR="00000000" w:rsidRDefault="00000000">
      <w:r>
        <w:t>354.</w:t>
      </w:r>
      <w:r>
        <w:tab/>
        <w:t>В соответствии с требованиями устава вузов, университетской школы искусств или академии художеств абитуриенты должны окончить четырехлетний курс средней школы.  К сдаче вступительных экзаменов на поступление в художественные школы и университеты и академии художеств допускаются лишь выпускники средней школы на условиях, изложенных в уставах этих образовательных учреждений (статья 28).  Правительство принимает решение о квотах для студентов, зачисляемых на первый год обучения базового курса, аспирантуры или докторантуры за счет государства и студентов, самостоятельно оплачивающих свое обучение в университетах, финансируемых республиками, по представлению университетов (статья 32)</w:t>
      </w:r>
      <w:r>
        <w:rPr>
          <w:rStyle w:val="FootnoteReference"/>
        </w:rPr>
        <w:footnoteReference w:id="35"/>
      </w:r>
      <w:r>
        <w:t>.</w:t>
      </w:r>
    </w:p>
    <w:p w:rsidR="00000000" w:rsidRDefault="00000000">
      <w:pPr>
        <w:rPr>
          <w:sz w:val="16"/>
        </w:rPr>
      </w:pPr>
    </w:p>
    <w:p w:rsidR="00000000" w:rsidRDefault="00000000">
      <w:r>
        <w:t>355.</w:t>
      </w:r>
      <w:r>
        <w:tab/>
        <w:t>Студентам бесплатного отделения за весь курс обучения в университете разрешается дважды не сдать экзамены.  При повторной неудачной попытке учащегося сдать экзамен для регистрации на следующий год или курс обучения, указанный учащийся имеет право перейти на платное отделение.  Если в течение одного учебного года такой учащийся выполняет условия для зачисления на последующий курс обучения, ему предоставляется право продолжить обучение в рамках установленной государством квоты для бесплатного отделения (статья 43).  Равный доступ к финансируемому государством университетскому образованию служит стимулом для выпускников средних школ, намеренных поступать в университеты, для улучшения академических результатов и успеваемости в средней школе.</w:t>
      </w:r>
    </w:p>
    <w:p w:rsidR="00000000" w:rsidRDefault="00000000"/>
    <w:p w:rsidR="00000000" w:rsidRDefault="00000000">
      <w:r>
        <w:t>356.</w:t>
      </w:r>
      <w:r>
        <w:tab/>
        <w:t>Согласно данным, представленным департаментом развития высшего и университетского образования при министерстве просвещения и спорта Республики Сербии, общий размер квоты для студентов-очников, зачисляемых на курсы базового обучения, составляет около 33 000 в год.  Половина из их числа обучаются на бесплатном отделении.  Ежегодно около 12 000 студентов получают степень первого уровня.  Первокурсники в основном выбирают социальные дисциплины (30%), технические дисциплины (24%), гуманитарные науки (16%), медицину (12%), естественные науки (9%), биотехнологию (7%) и искусство (2%)</w:t>
      </w:r>
      <w:r>
        <w:rPr>
          <w:rStyle w:val="FootnoteReference"/>
        </w:rPr>
        <w:footnoteReference w:id="36"/>
      </w:r>
      <w:r>
        <w:t>.</w:t>
      </w:r>
    </w:p>
    <w:p w:rsidR="00000000" w:rsidRDefault="00000000"/>
    <w:p w:rsidR="00000000" w:rsidRDefault="00000000">
      <w:r>
        <w:t>357.</w:t>
      </w:r>
      <w:r>
        <w:tab/>
        <w:t>В основе эффективности университетского образования лежат права на академическую свободу и автономию университетов права на академическую свободу и автономию университетов.  Отличительной чертой прошедшего десятилетия было полное отрицание этих прав.  При создании государственных университетов и высших учебных заведений в расчет в основном принимались политические соображения.  Образовательные учреждения не пользовались никакой автономией.  Все важные решения - от разработки национальной политики в области образования до аккредитации учебных заведений - принимались правительством Сербии через министерство просвещения, которое, в свою очередь было неспособно эффективно решать эти задачи.  После своего создания эти учреждения никогда не подвергались реальной проверке на предмет академических результатов.</w:t>
      </w:r>
    </w:p>
    <w:p w:rsidR="00000000" w:rsidRDefault="00000000"/>
    <w:p w:rsidR="00000000" w:rsidRDefault="00000000">
      <w:r>
        <w:t>358.</w:t>
      </w:r>
      <w:r>
        <w:tab/>
        <w:t>Единственный механизм правового надзора, состоящий в контроле за неукоснительным соблюдением бюрократических процедур, реализовывался министерством просвещения Республики Сербии.  В отсутствие более эффективной системы национальной оценки бывшие студенты оценивались исключительно по их академической успеваемости в признанных мировых университетах.</w:t>
      </w:r>
    </w:p>
    <w:p w:rsidR="00000000" w:rsidRDefault="00000000"/>
    <w:p w:rsidR="00000000" w:rsidRDefault="00000000">
      <w:r>
        <w:t>359.</w:t>
      </w:r>
      <w:r>
        <w:tab/>
        <w:t>В этой связи в каждом учебном заведении была начата работа по изменению учебных программ путем добавления в них большого количества новых предметов.  Таким образом, курс обучения в университете включал даже полный курс послевысшего образования, преподаваемый во всех университетах мира в рамках послевысшего образования.  В отсутствие иного выбора студентам приходилось нести эту нагрузку.  Им обещали высоко котируемый университетский диплом и они в течение в среднем семи-восьми лет напряженно занимались, чтобы получить сначала степень бакалавра.  Те, кому это удавалось, успешно заканчивали университет.  Однако более 60% зачисленных студентов так и не получали никакой степени даже по завершении двух</w:t>
      </w:r>
      <w:r>
        <w:noBreakHyphen/>
        <w:t>трех лет обучения и сдачи более 20 экзаменов.  Более того, они не могли перевестись в другие высшие учебные заведения из-за различий в учебной программе.  Разумеется, окончить обычный вуз проще чем университет.  Несмотря на то, что некоторые из них обеспечивают адекватную практическую подготовку и хорошие знания по специальности, обычно их рассматривают как второсортные образовательные учреждения</w:t>
      </w:r>
      <w:r>
        <w:rPr>
          <w:rStyle w:val="FootnoteReference"/>
        </w:rPr>
        <w:footnoteReference w:id="37"/>
      </w:r>
      <w:r>
        <w:t>.</w:t>
      </w:r>
    </w:p>
    <w:p w:rsidR="00000000" w:rsidRDefault="00000000"/>
    <w:p w:rsidR="00000000" w:rsidRDefault="00000000">
      <w:r>
        <w:t>360.</w:t>
      </w:r>
      <w:r>
        <w:tab/>
        <w:t>Определенные проблемы также связаны с нечеткими нормативно-правовыми положениями, регулирующими порядок аккредитации открываемых частных университетов и школ в системе высшего образования.  В этом контексте "в законе основное внимание уделялось таким формальным требованиям, как наличие соответствующих помещений, технического оборудования и достаточного количества преподавателей.  Министерству просвещения Сербии было формально поручено разработать порядок соответствующей процедуры, однако оно так и не выполнило поставленной задачи.  В этой связи следует сделать вывод о том, что лишь ухудшение экономической обстановки помешало развитию частных образовательных учреждений"</w:t>
      </w:r>
      <w:r>
        <w:rPr>
          <w:rStyle w:val="FootnoteReference"/>
        </w:rPr>
        <w:footnoteReference w:id="38"/>
      </w:r>
      <w:r>
        <w:t>.</w:t>
      </w:r>
    </w:p>
    <w:p w:rsidR="00000000" w:rsidRDefault="00000000"/>
    <w:p w:rsidR="00000000" w:rsidRDefault="00000000">
      <w:r>
        <w:t>361.</w:t>
      </w:r>
      <w:r>
        <w:tab/>
        <w:t>Одна из целей реформы в этом секторе состоит в создании современной системы высшего образования, соответствующей положениям Болонской декларации и Лиссабонской конвенции, в которых заложена основа для единой общеевропейской системы образования, позволяющей сохранить особые национальные, культурные и языковые характеристики.  Первым шагом в этом направлении стало принятие нового Закона об университетах (</w:t>
      </w:r>
      <w:r>
        <w:rPr>
          <w:i/>
          <w:iCs/>
        </w:rPr>
        <w:t>Официальный вестник Республики Сербии</w:t>
      </w:r>
      <w:r>
        <w:t>, № 21/2002).  Следует надеяться, что этот закон обеспечит базовые условия для создания эффективной системы высшего образования, обеспечивающей укрепление независимого статуса университетов;  снижения количества студентов, прекращающих образование, и сокращения продолжительности курсов обучения;  внедрения механизмов проверки качества учебных курсов как на уровне учебной программы, так и качества преподавания;  соответствия преподаваемых дисциплин потребностям страны и рыночному спросу;  а также интеграции студентов как партнеров в образовательный процесс.  В нормативных правилах, касающихся состава и порядка выборов руководства и специализированных органов, вновь ставится особый акцент на автономном статусе университетов и их факультетов.  Студенты через свой "парламент" могут оказывать значительное влияние на жизнь университетов и вузов (статья 64).</w:t>
      </w:r>
    </w:p>
    <w:p w:rsidR="00000000" w:rsidRDefault="00000000"/>
    <w:p w:rsidR="00000000" w:rsidRDefault="00000000">
      <w:pPr>
        <w:jc w:val="center"/>
        <w:rPr>
          <w:b/>
          <w:bCs/>
        </w:rPr>
      </w:pPr>
      <w:r>
        <w:rPr>
          <w:b/>
          <w:bCs/>
        </w:rPr>
        <w:t>Е.</w:t>
      </w:r>
      <w:r>
        <w:rPr>
          <w:b/>
          <w:bCs/>
        </w:rPr>
        <w:tab/>
        <w:t>Базовое образование для лиц, не получивших или не завершивших</w:t>
      </w:r>
    </w:p>
    <w:p w:rsidR="00000000" w:rsidRDefault="00000000">
      <w:pPr>
        <w:jc w:val="center"/>
        <w:rPr>
          <w:b/>
          <w:bCs/>
        </w:rPr>
      </w:pPr>
      <w:r>
        <w:rPr>
          <w:b/>
          <w:bCs/>
        </w:rPr>
        <w:t>полный курс начального образования</w:t>
      </w:r>
    </w:p>
    <w:p w:rsidR="00000000" w:rsidRDefault="00000000">
      <w:pPr>
        <w:jc w:val="center"/>
        <w:rPr>
          <w:b/>
          <w:bCs/>
        </w:rPr>
      </w:pPr>
    </w:p>
    <w:p w:rsidR="00000000" w:rsidRDefault="00000000">
      <w:r>
        <w:t>362.</w:t>
      </w:r>
      <w:r>
        <w:tab/>
        <w:t>Согласно положениям Закона о начальной школе Республики Сербии лица в возрасте старше 15 лет, не посещающие дневную начальную школу, а также взрослые лица получают начальное образование и обучаются в соответствии с положениями этого закона.  В рамках такого обучения используются учебные программы и планы для взрослых (статья 94).  Такое образование и обучение  разбито на четыре класса и рассчитано на четыре года.  Порядок приема и регистрации для прохождения экзаменов регулируется положениями устава и соответствующего учебного заведения начальной школы.  Расходы на проведение учебного процесса и организацию экзаменов покрываются учащимися согласно нормативному акту соответствующей школы (статья 96).</w:t>
      </w:r>
    </w:p>
    <w:p w:rsidR="00000000" w:rsidRDefault="00000000"/>
    <w:p w:rsidR="00000000" w:rsidRDefault="00000000">
      <w:r>
        <w:t>363.</w:t>
      </w:r>
      <w:r>
        <w:tab/>
        <w:t>При регистрации безработных лиц центры трудоустройства инициируют и осуществляют кампании по борьбе с неграмотностью.  С учетом невозможности подобрать даже самую низкоквалифицируемую работу без наличия аттестата об окончании начальной школы лица, вышедшие из возраста посещения начальной школы или не окончившие курс начальной школы, охватываются специальными мерами по организации занятий по курсу начальной школы.</w:t>
      </w:r>
    </w:p>
    <w:p w:rsidR="00000000" w:rsidRDefault="00000000"/>
    <w:p w:rsidR="00000000" w:rsidRDefault="00000000">
      <w:r>
        <w:t>364.</w:t>
      </w:r>
      <w:r>
        <w:tab/>
        <w:t>Группа экспертов министерства просвещения и спорта Республики Сербии, проанализировав положение в области образования взрослых, пришла к выводу о том, что соответствующие нормы и правила не обеспечивают реализацию права взрослых на получение образования и права на получение качественного образования.  Они установили, что "в школах, занимающихся начальным образованием взрослых, используются те же учебные программы и планы, что и в обычных начальных школах.  Эти программы необоснованно сокращаются без учета возрастных особенностей.  Учебные классы формируются без учета потребностей учащихся (например, консультации и подготовительные занятия для детей с проблемами в области восприятия учебного материала).  Учебники и материалы для чтения не отвечают указанным целям.  Педагоги  также не имеют соответствующей подготовки и пособий для ведения подобных учебных занятий.  Не имеется организационных стандартов для школ такого типа и для их управления.  Что касается средних учебных заведений, то в них не проводились учебные занятия, а только организовывались выпускные экзамены для взрослых (как компонент учебного процесса заочных отделений)</w:t>
      </w:r>
      <w:r>
        <w:rPr>
          <w:rStyle w:val="FootnoteReference"/>
        </w:rPr>
        <w:footnoteReference w:id="39"/>
      </w:r>
      <w:r>
        <w:t xml:space="preserve">.  Отсутствие учебных занятий для взрослых на уровне средней школы является последствием негибких организационных форм работы, отсутствия соответствующих программ и преподавательских кадров, подготовленных для решения этих задач.  Аналогичная ситуация наблюдается в университетах. </w:t>
      </w:r>
    </w:p>
    <w:p w:rsidR="00000000" w:rsidRDefault="00000000"/>
    <w:p w:rsidR="00000000" w:rsidRDefault="00000000">
      <w:r>
        <w:t>365.</w:t>
      </w:r>
      <w:r>
        <w:tab/>
        <w:t>В "белой книге" ЕС было подчеркнуто, что образование для взрослых выступает важным элементом соблюдения основополагающих принципов современной Европы:  речь идет о совместимости социально-экономической интеграции с развитием индивида.  Для преодоления существующих проблем и повышения важности сферы высшего образования в жизни общества министерство просвещения и спорта Республики Сербии в рамках образовательной реформы приняло ряд мер.  К их числу относятся:  принятие закона об образовании для взрослых;  создание системы образования для взрослых путем определения условий, критериев и норм для деятельности организаций и учреждений, занимающихся вопросами образования взрослых;  разработка методологии подготовки публично одобренных программ профессионального образования;  разработка баз данных образовательных учреждений и организаций для взрослых;  разработка краткосрочной и долгосрочной стратегии совершенствования структуры образования населения;  разработка типовых служб образования и подготовки в компаниях;  повышение эффективности деятельности отдела образования взрослых в министерстве просвещения и спорта Республики Сербии;  мобилизация государственных фондов для финансирования программ образования для взрослых.</w:t>
      </w:r>
    </w:p>
    <w:p w:rsidR="00000000" w:rsidRDefault="00000000">
      <w:pPr>
        <w:spacing w:line="216" w:lineRule="auto"/>
      </w:pPr>
    </w:p>
    <w:p w:rsidR="00000000" w:rsidRDefault="00000000">
      <w:pPr>
        <w:spacing w:line="216" w:lineRule="auto"/>
        <w:jc w:val="center"/>
        <w:rPr>
          <w:b/>
          <w:bCs/>
        </w:rPr>
      </w:pPr>
      <w:r>
        <w:rPr>
          <w:b/>
          <w:bCs/>
        </w:rPr>
        <w:t>F.</w:t>
      </w:r>
      <w:r>
        <w:rPr>
          <w:b/>
          <w:bCs/>
        </w:rPr>
        <w:tab/>
        <w:t>Система образования:  статистические показатели положения</w:t>
      </w:r>
    </w:p>
    <w:p w:rsidR="00000000" w:rsidRDefault="00000000">
      <w:pPr>
        <w:spacing w:line="216" w:lineRule="auto"/>
        <w:jc w:val="center"/>
        <w:rPr>
          <w:b/>
          <w:bCs/>
        </w:rPr>
      </w:pPr>
      <w:r>
        <w:rPr>
          <w:b/>
          <w:bCs/>
        </w:rPr>
        <w:t>в области образования</w:t>
      </w:r>
    </w:p>
    <w:p w:rsidR="00000000" w:rsidRDefault="00000000">
      <w:pPr>
        <w:spacing w:line="216" w:lineRule="auto"/>
        <w:jc w:val="center"/>
        <w:rPr>
          <w:b/>
          <w:bCs/>
        </w:rPr>
      </w:pPr>
    </w:p>
    <w:p w:rsidR="00000000" w:rsidRDefault="00000000">
      <w:pPr>
        <w:spacing w:line="216" w:lineRule="auto"/>
        <w:jc w:val="center"/>
        <w:rPr>
          <w:b/>
          <w:bCs/>
        </w:rPr>
      </w:pPr>
      <w:r>
        <w:rPr>
          <w:b/>
          <w:bCs/>
        </w:rPr>
        <w:t>1.</w:t>
      </w:r>
      <w:r>
        <w:rPr>
          <w:b/>
          <w:bCs/>
        </w:rPr>
        <w:tab/>
        <w:t>Система общего образования</w:t>
      </w:r>
    </w:p>
    <w:p w:rsidR="00000000" w:rsidRDefault="00000000">
      <w:pPr>
        <w:spacing w:line="216" w:lineRule="auto"/>
        <w:rPr>
          <w:b/>
          <w:bCs/>
        </w:rPr>
      </w:pPr>
    </w:p>
    <w:p w:rsidR="00000000" w:rsidRDefault="00000000">
      <w:pPr>
        <w:spacing w:line="216" w:lineRule="auto"/>
        <w:rPr>
          <w:b/>
          <w:bCs/>
        </w:rPr>
      </w:pPr>
      <w:r>
        <w:rPr>
          <w:b/>
          <w:bCs/>
        </w:rPr>
        <w:t>Дошкольное воспитание и обучение</w:t>
      </w:r>
    </w:p>
    <w:p w:rsidR="00000000" w:rsidRDefault="00000000">
      <w:pPr>
        <w:spacing w:line="216" w:lineRule="auto"/>
        <w:rPr>
          <w:b/>
          <w:bCs/>
        </w:rPr>
      </w:pPr>
    </w:p>
    <w:p w:rsidR="00000000" w:rsidRDefault="00000000">
      <w:r>
        <w:t>366.</w:t>
      </w:r>
      <w:r>
        <w:tab/>
        <w:t>Вопросами организации дошкольного воспитания и обучения в Республике Сербии ведают три департамента или министерства:  министерство просвещения и спорта, министерство социальных вопросов и министерство здравоохранения.  Дошкольное обучение и воспитание реализуются в системе детских садов, ясель и центрах по уходу за детьми.</w:t>
      </w:r>
    </w:p>
    <w:p w:rsidR="00000000" w:rsidRDefault="00000000">
      <w:pPr>
        <w:rPr>
          <w:sz w:val="16"/>
        </w:rPr>
      </w:pPr>
    </w:p>
    <w:p w:rsidR="00000000" w:rsidRDefault="00000000">
      <w:r>
        <w:t>367.</w:t>
      </w:r>
      <w:r>
        <w:tab/>
        <w:t xml:space="preserve">Согласно данным министерства просвещения и спорта, программы и услуги, предназначенные для детей в возрасте от одного до семи лет, охватывают не более </w:t>
      </w:r>
      <w:proofErr w:type="spellStart"/>
      <w:r>
        <w:t>32%</w:t>
      </w:r>
      <w:proofErr w:type="spellEnd"/>
      <w:r>
        <w:t> детей, что является самым низким показателем в Европе</w:t>
      </w:r>
      <w:r>
        <w:rPr>
          <w:rStyle w:val="FootnoteReference"/>
        </w:rPr>
        <w:footnoteReference w:id="40"/>
      </w:r>
      <w:r>
        <w:t>.  В целях расширения степени охвата системой дошкольного обучения и воспитания до уровня, соответствующего европейским стандартам, министерство просвещения реализовало следующую реформу:  вопросы дошкольного обучения и воспитания были переданы в единое ведение министерства просвещения, при этом существующие формы дошкольного обучения были преобразованы в "децентрализованную, диверсифицированную и взаимоувязанную систему, определяющую нормы, качество ухода, воспитания и подготовки детей дошкольного возраста и обеспечивающую родителям право выбора и участия"</w:t>
      </w:r>
      <w:r>
        <w:rPr>
          <w:rStyle w:val="FootnoteReference"/>
        </w:rPr>
        <w:footnoteReference w:id="41"/>
      </w:r>
      <w:r>
        <w:t>.</w:t>
      </w:r>
    </w:p>
    <w:p w:rsidR="00000000" w:rsidRDefault="00000000">
      <w:pPr>
        <w:spacing w:line="240" w:lineRule="auto"/>
      </w:pPr>
    </w:p>
    <w:p w:rsidR="00000000" w:rsidRDefault="00000000">
      <w:pPr>
        <w:pStyle w:val="Heading1"/>
        <w:spacing w:line="240" w:lineRule="auto"/>
        <w:rPr>
          <w:bCs/>
        </w:rPr>
      </w:pPr>
      <w:r>
        <w:rPr>
          <w:bCs/>
        </w:rPr>
        <w:t>Начальное образование</w:t>
      </w:r>
    </w:p>
    <w:p w:rsidR="00000000" w:rsidRDefault="00000000">
      <w:pPr>
        <w:pStyle w:val="Heading1"/>
        <w:spacing w:line="240" w:lineRule="auto"/>
        <w:rPr>
          <w:bCs/>
        </w:rPr>
      </w:pPr>
    </w:p>
    <w:p w:rsidR="00000000" w:rsidRDefault="00000000">
      <w:r>
        <w:t>368.</w:t>
      </w:r>
      <w:r>
        <w:tab/>
        <w:t>Цель начальной школы состоит в получении детьми общего образования, обеспечении гармоничного развития личности, подготовки для жизни в обществе и продолжения общего и профессионального образования (статья 2).  Согласно положению Закона о начальном образовании дети, которым к концу текущего календарного года исполняется семь лет и которые являются здоровыми, зачисляются в первый класс (статья 39).</w:t>
      </w:r>
    </w:p>
    <w:p w:rsidR="00000000" w:rsidRDefault="00000000"/>
    <w:p w:rsidR="00000000" w:rsidRDefault="00000000">
      <w:r>
        <w:t>369.</w:t>
      </w:r>
      <w:r>
        <w:tab/>
        <w:t>В период 1991/1992-2000/2001 учебных годов охват детей системой начального образования снижался.  В 2000/2001 учебном году количество детей в системе обычной начальной школы сократилось на 149 975 по сравнению с 1991/1992 учебным годом</w:t>
      </w:r>
      <w:r>
        <w:rPr>
          <w:rStyle w:val="FootnoteReference"/>
        </w:rPr>
        <w:footnoteReference w:id="42"/>
      </w:r>
      <w:r>
        <w:t>.  Сокращение количества учащихся в начальной школе явилось следствием снижения уровня рождаемости в Сербии.  Согласно официальным данным, уровень рождаемости в Сербии снизился с 2,1% в 1990 году до 1,48% в 1998 году.  Лишь в течение отчетного десятилетнего периода (1991-2001 годы) годовое количество принятых в школы первоклассников, оцениваемое в соотношении к живорождениям, снизилось более чем на 20 000</w:t>
      </w:r>
      <w:r>
        <w:rPr>
          <w:rStyle w:val="FootnoteReference"/>
        </w:rPr>
        <w:footnoteReference w:id="43"/>
      </w:r>
      <w:r>
        <w:t>.  Вместе с тем имел место значительный приток детей беженцев и внутренних перемещенных лиц, что компенсировало последствия снижения уровня рождаемости.  В 1998/1999 году в Сербии, по оценкам, насчитывалось около 40 000 таких детей.</w:t>
      </w:r>
    </w:p>
    <w:p w:rsidR="00000000" w:rsidRDefault="00000000">
      <w:pPr>
        <w:spacing w:line="216" w:lineRule="auto"/>
        <w:rPr>
          <w:sz w:val="16"/>
        </w:rPr>
      </w:pPr>
    </w:p>
    <w:p w:rsidR="00000000" w:rsidRDefault="00000000">
      <w:r>
        <w:t>370.</w:t>
      </w:r>
      <w:r>
        <w:tab/>
        <w:t>Гендерная структура учащихся в начальных школах характеризуется относительным балансом.  За отчетный период (1992-2001 годы) количество мальчиков примерно на 2% превышало количество девочек.  Системой начального образования было охвачено около 52% мальчиков и 48% девочек</w:t>
      </w:r>
      <w:r>
        <w:rPr>
          <w:rStyle w:val="FootnoteReference"/>
        </w:rPr>
        <w:footnoteReference w:id="44"/>
      </w:r>
      <w:r>
        <w:t>:  Исследование ЮНИСЕФ выявило диспропорции в гендерной структуре учащихся начальной школы:  количество мальчиков на 5,3% превышало количество девочек.  Это различие объясняется более высоким уровнем отчисления девочек до окончания ими школы</w:t>
      </w:r>
      <w:r>
        <w:rPr>
          <w:rStyle w:val="FootnoteReference"/>
        </w:rPr>
        <w:footnoteReference w:id="45"/>
      </w:r>
      <w:r>
        <w:t>.</w:t>
      </w:r>
    </w:p>
    <w:p w:rsidR="00000000" w:rsidRDefault="00000000"/>
    <w:p w:rsidR="00000000" w:rsidRDefault="00000000">
      <w:r>
        <w:t>371.</w:t>
      </w:r>
      <w:r>
        <w:tab/>
        <w:t>Доля учащихся, успешно закончивших программу обучения в каждом классе (с первого по восьмой), как правило, является самой низкой в пятом классе</w:t>
      </w:r>
      <w:r>
        <w:rPr>
          <w:rStyle w:val="FootnoteReference"/>
        </w:rPr>
        <w:footnoteReference w:id="46"/>
      </w:r>
      <w:r>
        <w:t>.  Пятый класс характеризуется наиболее высоким уровнем отсева.  В проведенном ЮНИСЕФ исследовании показано, что большинство школьников, прекращающих обучение после четвертого класса, проживает в слаборазвитых сельских районах, где имеются только неполные (четырехлетние) школы и где дети школьного возраста ввиду отсутствия транспорта для посещения центральной школы не могут продолжать образование.  По окончании четвертого класса таким детям для посещения занятий в центральной школе приходится преодолевать значительные расстояния.  По сути после четвертого класса большинство детей прекращают обучение в начальной школе.  Бесплатная перевозка автобусами предоставляется лишь 13% школьников.  Остальные вынуждены оплачивать проезд полностью или частично.  Ни одна школа не имеет своего собственного школьного автобуса.  Более 23 000 школьников лишены возможности добраться до школы из-за отсутствия общественного транспорта или дорог.  Ежедневно для посещения занятий в школе они проходят пешком 4-15 км</w:t>
      </w:r>
      <w:r>
        <w:rPr>
          <w:rStyle w:val="FootnoteReference"/>
        </w:rPr>
        <w:footnoteReference w:id="47"/>
      </w:r>
      <w:r>
        <w:t>.  Помимо указанной группы школьников, существенный отсев также характерен для детей внутренних перемещенных лиц и беженцев</w:t>
      </w:r>
      <w:r>
        <w:rPr>
          <w:rStyle w:val="FootnoteReference"/>
        </w:rPr>
        <w:footnoteReference w:id="48"/>
      </w:r>
      <w:r>
        <w:t>, а также для представителей некоторых этнических групп, например рома и влахи.</w:t>
      </w:r>
    </w:p>
    <w:p w:rsidR="00000000" w:rsidRDefault="00000000">
      <w:pPr>
        <w:spacing w:line="216" w:lineRule="auto"/>
        <w:rPr>
          <w:sz w:val="16"/>
        </w:rPr>
      </w:pPr>
    </w:p>
    <w:p w:rsidR="00000000" w:rsidRDefault="00000000">
      <w:pPr>
        <w:pStyle w:val="16"/>
        <w:keepNext/>
        <w:spacing w:line="216" w:lineRule="auto"/>
        <w:rPr>
          <w:b/>
          <w:bCs/>
        </w:rPr>
      </w:pPr>
      <w:r>
        <w:rPr>
          <w:b/>
          <w:bCs/>
        </w:rPr>
        <w:t>Таблица 19</w:t>
      </w:r>
    </w:p>
    <w:p w:rsidR="00000000" w:rsidRDefault="00000000">
      <w:pPr>
        <w:pStyle w:val="16"/>
        <w:keepNext/>
        <w:spacing w:line="216" w:lineRule="auto"/>
        <w:rPr>
          <w:b/>
          <w:bCs/>
          <w:sz w:val="16"/>
        </w:rPr>
      </w:pPr>
    </w:p>
    <w:p w:rsidR="00000000" w:rsidRDefault="00000000">
      <w:pPr>
        <w:keepNext/>
        <w:spacing w:line="216" w:lineRule="auto"/>
        <w:jc w:val="center"/>
        <w:rPr>
          <w:b/>
        </w:rPr>
      </w:pPr>
      <w:r>
        <w:rPr>
          <w:b/>
        </w:rPr>
        <w:t>ОХВАТ ДЕТЕЙ ОБЫЧНОЙ СИСТЕМОЙ НАЧАЛЬНОГО ОБРАЗОВАНИЯ</w:t>
      </w:r>
      <w:r>
        <w:rPr>
          <w:b/>
          <w:vertAlign w:val="superscript"/>
        </w:rPr>
        <w:t>а, b</w:t>
      </w:r>
    </w:p>
    <w:p w:rsidR="00000000" w:rsidRDefault="00000000">
      <w:pPr>
        <w:pStyle w:val="16"/>
        <w:keepNext/>
        <w:spacing w:line="216" w:lineRule="auto"/>
        <w:rPr>
          <w:b/>
        </w:rPr>
      </w:pPr>
      <w:r>
        <w:rPr>
          <w:b/>
        </w:rPr>
        <w:t>1991-2001 годы</w:t>
      </w:r>
    </w:p>
    <w:p w:rsidR="00000000" w:rsidRDefault="00000000">
      <w:pPr>
        <w:pStyle w:val="16"/>
        <w:keepNext/>
        <w:spacing w:line="216" w:lineRule="auto"/>
        <w:rPr>
          <w:b/>
          <w:bCs/>
          <w:sz w:val="16"/>
        </w:rPr>
      </w:pPr>
    </w:p>
    <w:tbl>
      <w:tblPr>
        <w:tblW w:w="938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017"/>
        <w:gridCol w:w="1496"/>
        <w:gridCol w:w="2618"/>
        <w:gridCol w:w="1683"/>
        <w:gridCol w:w="1569"/>
      </w:tblGrid>
      <w:tr w:rsidR="00000000">
        <w:tblPrEx>
          <w:tblCellMar>
            <w:top w:w="0" w:type="dxa"/>
            <w:bottom w:w="0" w:type="dxa"/>
          </w:tblCellMar>
        </w:tblPrEx>
        <w:trPr>
          <w:cantSplit/>
        </w:trPr>
        <w:tc>
          <w:tcPr>
            <w:tcW w:w="6131" w:type="dxa"/>
            <w:gridSpan w:val="3"/>
          </w:tcPr>
          <w:p w:rsidR="00000000" w:rsidRDefault="00000000">
            <w:pPr>
              <w:keepNext/>
              <w:spacing w:line="216" w:lineRule="auto"/>
              <w:jc w:val="center"/>
              <w:rPr>
                <w:bCs/>
              </w:rPr>
            </w:pPr>
            <w:r>
              <w:rPr>
                <w:bCs/>
              </w:rPr>
              <w:t>Общий охват</w:t>
            </w:r>
          </w:p>
        </w:tc>
        <w:tc>
          <w:tcPr>
            <w:tcW w:w="3252" w:type="dxa"/>
            <w:gridSpan w:val="2"/>
          </w:tcPr>
          <w:p w:rsidR="00000000" w:rsidRDefault="00000000">
            <w:pPr>
              <w:keepNext/>
              <w:spacing w:line="216" w:lineRule="auto"/>
              <w:jc w:val="center"/>
              <w:rPr>
                <w:bCs/>
              </w:rPr>
            </w:pPr>
            <w:r>
              <w:rPr>
                <w:bCs/>
              </w:rPr>
              <w:t>Гендерный охват</w:t>
            </w:r>
          </w:p>
        </w:tc>
      </w:tr>
      <w:tr w:rsidR="00000000">
        <w:tblPrEx>
          <w:tblCellMar>
            <w:top w:w="0" w:type="dxa"/>
            <w:bottom w:w="0" w:type="dxa"/>
          </w:tblCellMar>
        </w:tblPrEx>
        <w:trPr>
          <w:cantSplit/>
        </w:trPr>
        <w:tc>
          <w:tcPr>
            <w:tcW w:w="2017" w:type="dxa"/>
            <w:tcBorders>
              <w:bottom w:val="single" w:sz="4" w:space="0" w:color="auto"/>
            </w:tcBorders>
          </w:tcPr>
          <w:p w:rsidR="00000000" w:rsidRDefault="00000000">
            <w:pPr>
              <w:pStyle w:val="Heading1"/>
              <w:spacing w:line="216" w:lineRule="auto"/>
              <w:rPr>
                <w:b w:val="0"/>
                <w:bCs/>
              </w:rPr>
            </w:pPr>
            <w:r>
              <w:rPr>
                <w:b w:val="0"/>
                <w:bCs/>
              </w:rPr>
              <w:t>Учебный год</w:t>
            </w:r>
          </w:p>
        </w:tc>
        <w:tc>
          <w:tcPr>
            <w:tcW w:w="1496" w:type="dxa"/>
            <w:tcBorders>
              <w:bottom w:val="single" w:sz="4" w:space="0" w:color="auto"/>
            </w:tcBorders>
          </w:tcPr>
          <w:p w:rsidR="00000000" w:rsidRDefault="00000000">
            <w:pPr>
              <w:pStyle w:val="Heading1"/>
              <w:spacing w:line="216" w:lineRule="auto"/>
              <w:jc w:val="center"/>
              <w:rPr>
                <w:b w:val="0"/>
                <w:bCs/>
              </w:rPr>
            </w:pPr>
            <w:r>
              <w:rPr>
                <w:b w:val="0"/>
                <w:bCs/>
              </w:rPr>
              <w:t>Всего</w:t>
            </w:r>
          </w:p>
        </w:tc>
        <w:tc>
          <w:tcPr>
            <w:tcW w:w="2618" w:type="dxa"/>
            <w:tcBorders>
              <w:bottom w:val="single" w:sz="4" w:space="0" w:color="auto"/>
            </w:tcBorders>
          </w:tcPr>
          <w:p w:rsidR="00000000" w:rsidRDefault="00000000">
            <w:pPr>
              <w:spacing w:line="216" w:lineRule="auto"/>
              <w:jc w:val="center"/>
              <w:rPr>
                <w:bCs/>
              </w:rPr>
            </w:pPr>
            <w:r>
              <w:rPr>
                <w:bCs/>
              </w:rPr>
              <w:t>Количество учащихся</w:t>
            </w:r>
          </w:p>
        </w:tc>
        <w:tc>
          <w:tcPr>
            <w:tcW w:w="1683" w:type="dxa"/>
            <w:tcBorders>
              <w:bottom w:val="single" w:sz="4" w:space="0" w:color="auto"/>
            </w:tcBorders>
          </w:tcPr>
          <w:p w:rsidR="00000000" w:rsidRDefault="00000000">
            <w:pPr>
              <w:pStyle w:val="Heading1"/>
              <w:spacing w:line="216" w:lineRule="auto"/>
              <w:jc w:val="center"/>
              <w:rPr>
                <w:b w:val="0"/>
                <w:bCs/>
              </w:rPr>
            </w:pPr>
            <w:r>
              <w:rPr>
                <w:b w:val="0"/>
                <w:bCs/>
              </w:rPr>
              <w:t>Мальчики</w:t>
            </w:r>
          </w:p>
        </w:tc>
        <w:tc>
          <w:tcPr>
            <w:tcW w:w="1569" w:type="dxa"/>
            <w:tcBorders>
              <w:bottom w:val="single" w:sz="4" w:space="0" w:color="auto"/>
            </w:tcBorders>
          </w:tcPr>
          <w:p w:rsidR="00000000" w:rsidRDefault="00000000">
            <w:pPr>
              <w:pStyle w:val="Heading1"/>
              <w:spacing w:line="216" w:lineRule="auto"/>
              <w:jc w:val="center"/>
              <w:rPr>
                <w:b w:val="0"/>
                <w:bCs/>
              </w:rPr>
            </w:pPr>
            <w:r>
              <w:rPr>
                <w:b w:val="0"/>
                <w:bCs/>
              </w:rPr>
              <w:t>Девочки</w:t>
            </w:r>
          </w:p>
        </w:tc>
      </w:tr>
      <w:tr w:rsidR="00000000">
        <w:tblPrEx>
          <w:tblCellMar>
            <w:top w:w="0" w:type="dxa"/>
            <w:bottom w:w="0" w:type="dxa"/>
          </w:tblCellMar>
        </w:tblPrEx>
        <w:trPr>
          <w:cantSplit/>
        </w:trPr>
        <w:tc>
          <w:tcPr>
            <w:tcW w:w="2017" w:type="dxa"/>
            <w:tcBorders>
              <w:bottom w:val="nil"/>
            </w:tcBorders>
          </w:tcPr>
          <w:p w:rsidR="00000000" w:rsidRDefault="00000000">
            <w:pPr>
              <w:spacing w:line="216" w:lineRule="auto"/>
              <w:rPr>
                <w:bCs/>
              </w:rPr>
            </w:pPr>
            <w:r>
              <w:rPr>
                <w:bCs/>
              </w:rPr>
              <w:t>1991/92</w:t>
            </w:r>
          </w:p>
        </w:tc>
        <w:tc>
          <w:tcPr>
            <w:tcW w:w="1496" w:type="dxa"/>
            <w:tcBorders>
              <w:bottom w:val="nil"/>
            </w:tcBorders>
          </w:tcPr>
          <w:p w:rsidR="00000000" w:rsidRDefault="00000000">
            <w:pPr>
              <w:spacing w:line="216" w:lineRule="auto"/>
              <w:jc w:val="center"/>
              <w:rPr>
                <w:bCs/>
              </w:rPr>
            </w:pPr>
          </w:p>
        </w:tc>
        <w:tc>
          <w:tcPr>
            <w:tcW w:w="2618" w:type="dxa"/>
            <w:tcBorders>
              <w:bottom w:val="nil"/>
            </w:tcBorders>
          </w:tcPr>
          <w:p w:rsidR="00000000" w:rsidRDefault="00000000">
            <w:pPr>
              <w:spacing w:line="216" w:lineRule="auto"/>
              <w:jc w:val="center"/>
              <w:rPr>
                <w:bCs/>
              </w:rPr>
            </w:pPr>
            <w:r>
              <w:rPr>
                <w:bCs/>
              </w:rPr>
              <w:t>856 847</w:t>
            </w:r>
          </w:p>
        </w:tc>
        <w:tc>
          <w:tcPr>
            <w:tcW w:w="1683" w:type="dxa"/>
            <w:tcBorders>
              <w:bottom w:val="nil"/>
            </w:tcBorders>
          </w:tcPr>
          <w:p w:rsidR="00000000" w:rsidRDefault="00000000">
            <w:pPr>
              <w:spacing w:line="216" w:lineRule="auto"/>
              <w:jc w:val="center"/>
              <w:rPr>
                <w:bCs/>
              </w:rPr>
            </w:pPr>
            <w:r>
              <w:rPr>
                <w:bCs/>
              </w:rPr>
              <w:t>441 055</w:t>
            </w:r>
          </w:p>
        </w:tc>
        <w:tc>
          <w:tcPr>
            <w:tcW w:w="1569" w:type="dxa"/>
            <w:tcBorders>
              <w:bottom w:val="nil"/>
            </w:tcBorders>
          </w:tcPr>
          <w:p w:rsidR="00000000" w:rsidRDefault="00000000">
            <w:pPr>
              <w:spacing w:line="216" w:lineRule="auto"/>
              <w:jc w:val="center"/>
              <w:rPr>
                <w:bCs/>
              </w:rPr>
            </w:pPr>
            <w:r>
              <w:rPr>
                <w:bCs/>
              </w:rPr>
              <w:t>415 792</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51,47</w:t>
            </w:r>
          </w:p>
        </w:tc>
        <w:tc>
          <w:tcPr>
            <w:tcW w:w="1569" w:type="dxa"/>
            <w:tcBorders>
              <w:top w:val="nil"/>
              <w:bottom w:val="nil"/>
            </w:tcBorders>
          </w:tcPr>
          <w:p w:rsidR="00000000" w:rsidRDefault="00000000">
            <w:pPr>
              <w:spacing w:line="216" w:lineRule="auto"/>
              <w:jc w:val="center"/>
              <w:rPr>
                <w:bCs/>
              </w:rPr>
            </w:pPr>
            <w:r>
              <w:rPr>
                <w:bCs/>
              </w:rPr>
              <w:t>48,53</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1992/93</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854 546</w:t>
            </w:r>
          </w:p>
        </w:tc>
        <w:tc>
          <w:tcPr>
            <w:tcW w:w="1683" w:type="dxa"/>
            <w:tcBorders>
              <w:top w:val="nil"/>
              <w:bottom w:val="nil"/>
            </w:tcBorders>
          </w:tcPr>
          <w:p w:rsidR="00000000" w:rsidRDefault="00000000">
            <w:pPr>
              <w:spacing w:line="216" w:lineRule="auto"/>
              <w:jc w:val="center"/>
              <w:rPr>
                <w:bCs/>
              </w:rPr>
            </w:pPr>
            <w:r>
              <w:rPr>
                <w:bCs/>
              </w:rPr>
              <w:t>439 464</w:t>
            </w:r>
          </w:p>
        </w:tc>
        <w:tc>
          <w:tcPr>
            <w:tcW w:w="1569" w:type="dxa"/>
            <w:tcBorders>
              <w:top w:val="nil"/>
              <w:bottom w:val="nil"/>
            </w:tcBorders>
          </w:tcPr>
          <w:p w:rsidR="00000000" w:rsidRDefault="00000000">
            <w:pPr>
              <w:spacing w:line="216" w:lineRule="auto"/>
              <w:jc w:val="center"/>
              <w:rPr>
                <w:bCs/>
              </w:rPr>
            </w:pPr>
            <w:r>
              <w:rPr>
                <w:bCs/>
              </w:rPr>
              <w:t>415 082</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51,43</w:t>
            </w:r>
          </w:p>
        </w:tc>
        <w:tc>
          <w:tcPr>
            <w:tcW w:w="1569" w:type="dxa"/>
            <w:tcBorders>
              <w:top w:val="nil"/>
              <w:bottom w:val="nil"/>
            </w:tcBorders>
          </w:tcPr>
          <w:p w:rsidR="00000000" w:rsidRDefault="00000000">
            <w:pPr>
              <w:spacing w:line="216" w:lineRule="auto"/>
              <w:jc w:val="center"/>
              <w:rPr>
                <w:bCs/>
              </w:rPr>
            </w:pPr>
            <w:r>
              <w:rPr>
                <w:bCs/>
              </w:rPr>
              <w:t>48,573</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1993/94</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832 861</w:t>
            </w:r>
          </w:p>
        </w:tc>
        <w:tc>
          <w:tcPr>
            <w:tcW w:w="1683" w:type="dxa"/>
            <w:tcBorders>
              <w:top w:val="nil"/>
              <w:bottom w:val="nil"/>
            </w:tcBorders>
          </w:tcPr>
          <w:p w:rsidR="00000000" w:rsidRDefault="00000000">
            <w:pPr>
              <w:spacing w:line="216" w:lineRule="auto"/>
              <w:jc w:val="center"/>
              <w:rPr>
                <w:bCs/>
              </w:rPr>
            </w:pPr>
            <w:r>
              <w:rPr>
                <w:bCs/>
              </w:rPr>
              <w:t>426 821</w:t>
            </w:r>
          </w:p>
        </w:tc>
        <w:tc>
          <w:tcPr>
            <w:tcW w:w="1569" w:type="dxa"/>
            <w:tcBorders>
              <w:top w:val="nil"/>
              <w:bottom w:val="nil"/>
            </w:tcBorders>
          </w:tcPr>
          <w:p w:rsidR="00000000" w:rsidRDefault="00000000">
            <w:pPr>
              <w:spacing w:line="216" w:lineRule="auto"/>
              <w:jc w:val="center"/>
              <w:rPr>
                <w:bCs/>
              </w:rPr>
            </w:pPr>
            <w:r>
              <w:rPr>
                <w:bCs/>
              </w:rPr>
              <w:t>406 040</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51,25</w:t>
            </w:r>
          </w:p>
        </w:tc>
        <w:tc>
          <w:tcPr>
            <w:tcW w:w="1569" w:type="dxa"/>
            <w:tcBorders>
              <w:top w:val="nil"/>
              <w:bottom w:val="nil"/>
            </w:tcBorders>
          </w:tcPr>
          <w:p w:rsidR="00000000" w:rsidRDefault="00000000">
            <w:pPr>
              <w:spacing w:line="216" w:lineRule="auto"/>
              <w:jc w:val="center"/>
              <w:rPr>
                <w:bCs/>
              </w:rPr>
            </w:pPr>
            <w:r>
              <w:rPr>
                <w:bCs/>
              </w:rPr>
              <w:t>48,75</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1994/95</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822 037</w:t>
            </w:r>
          </w:p>
        </w:tc>
        <w:tc>
          <w:tcPr>
            <w:tcW w:w="1683" w:type="dxa"/>
            <w:tcBorders>
              <w:top w:val="nil"/>
              <w:bottom w:val="nil"/>
            </w:tcBorders>
          </w:tcPr>
          <w:p w:rsidR="00000000" w:rsidRDefault="00000000">
            <w:pPr>
              <w:spacing w:line="216" w:lineRule="auto"/>
              <w:jc w:val="center"/>
              <w:rPr>
                <w:bCs/>
              </w:rPr>
            </w:pPr>
            <w:r>
              <w:rPr>
                <w:bCs/>
              </w:rPr>
              <w:t>421 280</w:t>
            </w:r>
          </w:p>
        </w:tc>
        <w:tc>
          <w:tcPr>
            <w:tcW w:w="1569" w:type="dxa"/>
            <w:tcBorders>
              <w:top w:val="nil"/>
              <w:bottom w:val="nil"/>
            </w:tcBorders>
          </w:tcPr>
          <w:p w:rsidR="00000000" w:rsidRDefault="00000000">
            <w:pPr>
              <w:spacing w:line="216" w:lineRule="auto"/>
              <w:jc w:val="center"/>
              <w:rPr>
                <w:bCs/>
              </w:rPr>
            </w:pPr>
            <w:r>
              <w:rPr>
                <w:bCs/>
              </w:rPr>
              <w:t>400 757</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51,25</w:t>
            </w:r>
          </w:p>
        </w:tc>
        <w:tc>
          <w:tcPr>
            <w:tcW w:w="1569" w:type="dxa"/>
            <w:tcBorders>
              <w:top w:val="nil"/>
              <w:bottom w:val="nil"/>
            </w:tcBorders>
          </w:tcPr>
          <w:p w:rsidR="00000000" w:rsidRDefault="00000000">
            <w:pPr>
              <w:spacing w:line="216" w:lineRule="auto"/>
              <w:jc w:val="center"/>
              <w:rPr>
                <w:bCs/>
              </w:rPr>
            </w:pPr>
            <w:r>
              <w:rPr>
                <w:bCs/>
              </w:rPr>
              <w:t>48,75</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1995/96</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834 242</w:t>
            </w:r>
          </w:p>
        </w:tc>
        <w:tc>
          <w:tcPr>
            <w:tcW w:w="1683" w:type="dxa"/>
            <w:tcBorders>
              <w:top w:val="nil"/>
              <w:bottom w:val="nil"/>
            </w:tcBorders>
          </w:tcPr>
          <w:p w:rsidR="00000000" w:rsidRDefault="00000000">
            <w:pPr>
              <w:spacing w:line="216" w:lineRule="auto"/>
              <w:jc w:val="center"/>
              <w:rPr>
                <w:bCs/>
              </w:rPr>
            </w:pPr>
            <w:r>
              <w:rPr>
                <w:bCs/>
              </w:rPr>
              <w:t>428 080</w:t>
            </w:r>
          </w:p>
        </w:tc>
        <w:tc>
          <w:tcPr>
            <w:tcW w:w="1569" w:type="dxa"/>
            <w:tcBorders>
              <w:top w:val="nil"/>
              <w:bottom w:val="nil"/>
            </w:tcBorders>
          </w:tcPr>
          <w:p w:rsidR="00000000" w:rsidRDefault="00000000">
            <w:pPr>
              <w:spacing w:line="216" w:lineRule="auto"/>
              <w:jc w:val="center"/>
              <w:rPr>
                <w:bCs/>
              </w:rPr>
            </w:pPr>
            <w:r>
              <w:rPr>
                <w:bCs/>
              </w:rPr>
              <w:t>406 162</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51,31</w:t>
            </w:r>
          </w:p>
        </w:tc>
        <w:tc>
          <w:tcPr>
            <w:tcW w:w="1569" w:type="dxa"/>
            <w:tcBorders>
              <w:top w:val="nil"/>
              <w:bottom w:val="nil"/>
            </w:tcBorders>
          </w:tcPr>
          <w:p w:rsidR="00000000" w:rsidRDefault="00000000">
            <w:pPr>
              <w:spacing w:line="216" w:lineRule="auto"/>
              <w:jc w:val="center"/>
              <w:rPr>
                <w:bCs/>
              </w:rPr>
            </w:pPr>
            <w:r>
              <w:rPr>
                <w:bCs/>
              </w:rPr>
              <w:t>48,69</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1996/97</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816 043</w:t>
            </w:r>
          </w:p>
        </w:tc>
        <w:tc>
          <w:tcPr>
            <w:tcW w:w="1683" w:type="dxa"/>
            <w:tcBorders>
              <w:top w:val="nil"/>
              <w:bottom w:val="nil"/>
            </w:tcBorders>
          </w:tcPr>
          <w:p w:rsidR="00000000" w:rsidRDefault="00000000">
            <w:pPr>
              <w:spacing w:line="216" w:lineRule="auto"/>
              <w:jc w:val="center"/>
              <w:rPr>
                <w:bCs/>
              </w:rPr>
            </w:pPr>
            <w:r>
              <w:rPr>
                <w:bCs/>
              </w:rPr>
              <w:t>418 112</w:t>
            </w:r>
          </w:p>
        </w:tc>
        <w:tc>
          <w:tcPr>
            <w:tcW w:w="1569" w:type="dxa"/>
            <w:tcBorders>
              <w:top w:val="nil"/>
              <w:bottom w:val="nil"/>
            </w:tcBorders>
          </w:tcPr>
          <w:p w:rsidR="00000000" w:rsidRDefault="00000000">
            <w:pPr>
              <w:spacing w:line="216" w:lineRule="auto"/>
              <w:jc w:val="center"/>
              <w:rPr>
                <w:bCs/>
              </w:rPr>
            </w:pPr>
            <w:r>
              <w:rPr>
                <w:bCs/>
              </w:rPr>
              <w:t>397 931</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51,24</w:t>
            </w:r>
          </w:p>
        </w:tc>
        <w:tc>
          <w:tcPr>
            <w:tcW w:w="1569" w:type="dxa"/>
            <w:tcBorders>
              <w:top w:val="nil"/>
              <w:bottom w:val="nil"/>
            </w:tcBorders>
          </w:tcPr>
          <w:p w:rsidR="00000000" w:rsidRDefault="00000000">
            <w:pPr>
              <w:spacing w:line="216" w:lineRule="auto"/>
              <w:jc w:val="center"/>
              <w:rPr>
                <w:bCs/>
              </w:rPr>
            </w:pPr>
            <w:r>
              <w:rPr>
                <w:bCs/>
              </w:rPr>
              <w:t>48,76</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1997/98</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pStyle w:val="10"/>
              <w:spacing w:line="216" w:lineRule="auto"/>
              <w:rPr>
                <w:b w:val="0"/>
                <w:bCs/>
              </w:rPr>
            </w:pPr>
            <w:r>
              <w:rPr>
                <w:b w:val="0"/>
                <w:bCs/>
              </w:rPr>
              <w:t>799 913</w:t>
            </w:r>
          </w:p>
        </w:tc>
        <w:tc>
          <w:tcPr>
            <w:tcW w:w="1683" w:type="dxa"/>
            <w:tcBorders>
              <w:top w:val="nil"/>
              <w:bottom w:val="nil"/>
            </w:tcBorders>
          </w:tcPr>
          <w:p w:rsidR="00000000" w:rsidRDefault="00000000">
            <w:pPr>
              <w:spacing w:line="216" w:lineRule="auto"/>
              <w:jc w:val="center"/>
              <w:rPr>
                <w:bCs/>
              </w:rPr>
            </w:pPr>
            <w:r>
              <w:rPr>
                <w:bCs/>
              </w:rPr>
              <w:t>410 785</w:t>
            </w:r>
          </w:p>
        </w:tc>
        <w:tc>
          <w:tcPr>
            <w:tcW w:w="1569" w:type="dxa"/>
            <w:tcBorders>
              <w:top w:val="nil"/>
              <w:bottom w:val="nil"/>
            </w:tcBorders>
          </w:tcPr>
          <w:p w:rsidR="00000000" w:rsidRDefault="00000000">
            <w:pPr>
              <w:spacing w:line="216" w:lineRule="auto"/>
              <w:jc w:val="center"/>
              <w:rPr>
                <w:bCs/>
              </w:rPr>
            </w:pPr>
            <w:r>
              <w:rPr>
                <w:bCs/>
              </w:rPr>
              <w:t>389 128</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51,35</w:t>
            </w:r>
          </w:p>
        </w:tc>
        <w:tc>
          <w:tcPr>
            <w:tcW w:w="1569" w:type="dxa"/>
            <w:tcBorders>
              <w:top w:val="nil"/>
              <w:bottom w:val="nil"/>
            </w:tcBorders>
          </w:tcPr>
          <w:p w:rsidR="00000000" w:rsidRDefault="00000000">
            <w:pPr>
              <w:spacing w:line="216" w:lineRule="auto"/>
              <w:jc w:val="center"/>
              <w:rPr>
                <w:bCs/>
              </w:rPr>
            </w:pPr>
            <w:r>
              <w:rPr>
                <w:bCs/>
              </w:rPr>
              <w:t>48,65</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1998/99</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740 084</w:t>
            </w:r>
          </w:p>
        </w:tc>
        <w:tc>
          <w:tcPr>
            <w:tcW w:w="1683" w:type="dxa"/>
            <w:tcBorders>
              <w:top w:val="nil"/>
              <w:bottom w:val="nil"/>
            </w:tcBorders>
          </w:tcPr>
          <w:p w:rsidR="00000000" w:rsidRDefault="00000000">
            <w:pPr>
              <w:spacing w:line="216" w:lineRule="auto"/>
              <w:jc w:val="center"/>
              <w:rPr>
                <w:bCs/>
              </w:rPr>
            </w:pPr>
            <w:r>
              <w:rPr>
                <w:bCs/>
              </w:rPr>
              <w:t>378 919</w:t>
            </w:r>
          </w:p>
        </w:tc>
        <w:tc>
          <w:tcPr>
            <w:tcW w:w="1569" w:type="dxa"/>
            <w:tcBorders>
              <w:top w:val="nil"/>
              <w:bottom w:val="nil"/>
            </w:tcBorders>
          </w:tcPr>
          <w:p w:rsidR="00000000" w:rsidRDefault="00000000">
            <w:pPr>
              <w:spacing w:line="216" w:lineRule="auto"/>
              <w:jc w:val="center"/>
              <w:rPr>
                <w:bCs/>
              </w:rPr>
            </w:pPr>
            <w:r>
              <w:rPr>
                <w:bCs/>
              </w:rPr>
              <w:t>361 165</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51,20</w:t>
            </w:r>
          </w:p>
        </w:tc>
        <w:tc>
          <w:tcPr>
            <w:tcW w:w="1569" w:type="dxa"/>
            <w:tcBorders>
              <w:top w:val="nil"/>
              <w:bottom w:val="nil"/>
            </w:tcBorders>
          </w:tcPr>
          <w:p w:rsidR="00000000" w:rsidRDefault="00000000">
            <w:pPr>
              <w:spacing w:line="216" w:lineRule="auto"/>
              <w:jc w:val="center"/>
              <w:rPr>
                <w:bCs/>
              </w:rPr>
            </w:pPr>
            <w:r>
              <w:rPr>
                <w:bCs/>
              </w:rPr>
              <w:t>48,80</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1999/00</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716 578</w:t>
            </w:r>
          </w:p>
        </w:tc>
        <w:tc>
          <w:tcPr>
            <w:tcW w:w="1683" w:type="dxa"/>
            <w:tcBorders>
              <w:top w:val="nil"/>
              <w:bottom w:val="nil"/>
            </w:tcBorders>
          </w:tcPr>
          <w:p w:rsidR="00000000" w:rsidRDefault="00000000">
            <w:pPr>
              <w:spacing w:line="216" w:lineRule="auto"/>
              <w:jc w:val="center"/>
              <w:rPr>
                <w:bCs/>
              </w:rPr>
            </w:pPr>
            <w:r>
              <w:rPr>
                <w:bCs/>
              </w:rPr>
              <w:t>362 374</w:t>
            </w:r>
          </w:p>
        </w:tc>
        <w:tc>
          <w:tcPr>
            <w:tcW w:w="1569" w:type="dxa"/>
            <w:tcBorders>
              <w:top w:val="nil"/>
              <w:bottom w:val="nil"/>
            </w:tcBorders>
          </w:tcPr>
          <w:p w:rsidR="00000000" w:rsidRDefault="00000000">
            <w:pPr>
              <w:spacing w:line="216" w:lineRule="auto"/>
              <w:jc w:val="center"/>
              <w:rPr>
                <w:bCs/>
              </w:rPr>
            </w:pPr>
            <w:r>
              <w:rPr>
                <w:bCs/>
              </w:rPr>
              <w:t>354 204</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p>
        </w:tc>
        <w:tc>
          <w:tcPr>
            <w:tcW w:w="1496" w:type="dxa"/>
            <w:tcBorders>
              <w:top w:val="nil"/>
              <w:bottom w:val="nil"/>
            </w:tcBorders>
          </w:tcPr>
          <w:p w:rsidR="00000000" w:rsidRDefault="00000000">
            <w:pPr>
              <w:spacing w:line="216" w:lineRule="auto"/>
              <w:jc w:val="center"/>
              <w:rPr>
                <w:bCs/>
              </w:rPr>
            </w:pPr>
            <w:r>
              <w:rPr>
                <w:bCs/>
              </w:rPr>
              <w:t>%</w:t>
            </w:r>
          </w:p>
        </w:tc>
        <w:tc>
          <w:tcPr>
            <w:tcW w:w="2618" w:type="dxa"/>
            <w:tcBorders>
              <w:top w:val="nil"/>
              <w:bottom w:val="nil"/>
            </w:tcBorders>
          </w:tcPr>
          <w:p w:rsidR="00000000" w:rsidRDefault="00000000">
            <w:pPr>
              <w:spacing w:line="216" w:lineRule="auto"/>
              <w:jc w:val="center"/>
              <w:rPr>
                <w:bCs/>
              </w:rPr>
            </w:pPr>
            <w:r>
              <w:rPr>
                <w:bCs/>
              </w:rPr>
              <w:t>100,00</w:t>
            </w:r>
          </w:p>
        </w:tc>
        <w:tc>
          <w:tcPr>
            <w:tcW w:w="1683" w:type="dxa"/>
            <w:tcBorders>
              <w:top w:val="nil"/>
              <w:bottom w:val="nil"/>
            </w:tcBorders>
          </w:tcPr>
          <w:p w:rsidR="00000000" w:rsidRDefault="00000000">
            <w:pPr>
              <w:spacing w:line="216" w:lineRule="auto"/>
              <w:jc w:val="center"/>
              <w:rPr>
                <w:bCs/>
              </w:rPr>
            </w:pPr>
            <w:r>
              <w:rPr>
                <w:bCs/>
              </w:rPr>
              <w:t>50,57</w:t>
            </w:r>
          </w:p>
        </w:tc>
        <w:tc>
          <w:tcPr>
            <w:tcW w:w="1569" w:type="dxa"/>
            <w:tcBorders>
              <w:top w:val="nil"/>
              <w:bottom w:val="nil"/>
            </w:tcBorders>
          </w:tcPr>
          <w:p w:rsidR="00000000" w:rsidRDefault="00000000">
            <w:pPr>
              <w:spacing w:line="216" w:lineRule="auto"/>
              <w:jc w:val="center"/>
              <w:rPr>
                <w:bCs/>
              </w:rPr>
            </w:pPr>
            <w:r>
              <w:rPr>
                <w:bCs/>
              </w:rPr>
              <w:t>49,43</w:t>
            </w:r>
          </w:p>
        </w:tc>
      </w:tr>
      <w:tr w:rsidR="00000000">
        <w:tblPrEx>
          <w:tblCellMar>
            <w:top w:w="0" w:type="dxa"/>
            <w:bottom w:w="0" w:type="dxa"/>
          </w:tblCellMar>
        </w:tblPrEx>
        <w:trPr>
          <w:cantSplit/>
        </w:trPr>
        <w:tc>
          <w:tcPr>
            <w:tcW w:w="2017" w:type="dxa"/>
            <w:tcBorders>
              <w:top w:val="nil"/>
              <w:bottom w:val="nil"/>
            </w:tcBorders>
          </w:tcPr>
          <w:p w:rsidR="00000000" w:rsidRDefault="00000000">
            <w:pPr>
              <w:spacing w:line="216" w:lineRule="auto"/>
              <w:rPr>
                <w:bCs/>
              </w:rPr>
            </w:pPr>
            <w:r>
              <w:rPr>
                <w:bCs/>
              </w:rPr>
              <w:t>2000/01</w:t>
            </w:r>
          </w:p>
        </w:tc>
        <w:tc>
          <w:tcPr>
            <w:tcW w:w="1496" w:type="dxa"/>
            <w:tcBorders>
              <w:top w:val="nil"/>
              <w:bottom w:val="nil"/>
            </w:tcBorders>
          </w:tcPr>
          <w:p w:rsidR="00000000" w:rsidRDefault="00000000">
            <w:pPr>
              <w:spacing w:line="216" w:lineRule="auto"/>
              <w:jc w:val="center"/>
              <w:rPr>
                <w:bCs/>
              </w:rPr>
            </w:pPr>
          </w:p>
        </w:tc>
        <w:tc>
          <w:tcPr>
            <w:tcW w:w="2618" w:type="dxa"/>
            <w:tcBorders>
              <w:top w:val="nil"/>
              <w:bottom w:val="nil"/>
            </w:tcBorders>
          </w:tcPr>
          <w:p w:rsidR="00000000" w:rsidRDefault="00000000">
            <w:pPr>
              <w:spacing w:line="216" w:lineRule="auto"/>
              <w:jc w:val="center"/>
              <w:rPr>
                <w:bCs/>
              </w:rPr>
            </w:pPr>
            <w:r>
              <w:rPr>
                <w:bCs/>
              </w:rPr>
              <w:t>706 872</w:t>
            </w:r>
          </w:p>
        </w:tc>
        <w:tc>
          <w:tcPr>
            <w:tcW w:w="1683" w:type="dxa"/>
            <w:tcBorders>
              <w:top w:val="nil"/>
              <w:bottom w:val="nil"/>
            </w:tcBorders>
          </w:tcPr>
          <w:p w:rsidR="00000000" w:rsidRDefault="00000000">
            <w:pPr>
              <w:spacing w:line="216" w:lineRule="auto"/>
              <w:jc w:val="center"/>
              <w:rPr>
                <w:bCs/>
              </w:rPr>
            </w:pPr>
            <w:r>
              <w:rPr>
                <w:bCs/>
              </w:rPr>
              <w:t>362 133</w:t>
            </w:r>
          </w:p>
        </w:tc>
        <w:tc>
          <w:tcPr>
            <w:tcW w:w="1569" w:type="dxa"/>
            <w:tcBorders>
              <w:top w:val="nil"/>
              <w:bottom w:val="nil"/>
            </w:tcBorders>
          </w:tcPr>
          <w:p w:rsidR="00000000" w:rsidRDefault="00000000">
            <w:pPr>
              <w:spacing w:line="216" w:lineRule="auto"/>
              <w:jc w:val="center"/>
              <w:rPr>
                <w:bCs/>
              </w:rPr>
            </w:pPr>
            <w:r>
              <w:rPr>
                <w:bCs/>
              </w:rPr>
              <w:t>344 739</w:t>
            </w:r>
          </w:p>
        </w:tc>
      </w:tr>
      <w:tr w:rsidR="00000000">
        <w:tblPrEx>
          <w:tblCellMar>
            <w:top w:w="0" w:type="dxa"/>
            <w:bottom w:w="0" w:type="dxa"/>
          </w:tblCellMar>
        </w:tblPrEx>
        <w:trPr>
          <w:cantSplit/>
        </w:trPr>
        <w:tc>
          <w:tcPr>
            <w:tcW w:w="2017" w:type="dxa"/>
            <w:tcBorders>
              <w:top w:val="nil"/>
            </w:tcBorders>
          </w:tcPr>
          <w:p w:rsidR="00000000" w:rsidRDefault="00000000">
            <w:pPr>
              <w:spacing w:line="216" w:lineRule="auto"/>
              <w:rPr>
                <w:bCs/>
              </w:rPr>
            </w:pPr>
          </w:p>
        </w:tc>
        <w:tc>
          <w:tcPr>
            <w:tcW w:w="1496" w:type="dxa"/>
            <w:tcBorders>
              <w:top w:val="nil"/>
            </w:tcBorders>
          </w:tcPr>
          <w:p w:rsidR="00000000" w:rsidRDefault="00000000">
            <w:pPr>
              <w:spacing w:line="216" w:lineRule="auto"/>
              <w:jc w:val="center"/>
              <w:rPr>
                <w:bCs/>
              </w:rPr>
            </w:pPr>
            <w:r>
              <w:rPr>
                <w:bCs/>
              </w:rPr>
              <w:t>%</w:t>
            </w:r>
          </w:p>
        </w:tc>
        <w:tc>
          <w:tcPr>
            <w:tcW w:w="2618" w:type="dxa"/>
            <w:tcBorders>
              <w:top w:val="nil"/>
            </w:tcBorders>
          </w:tcPr>
          <w:p w:rsidR="00000000" w:rsidRDefault="00000000">
            <w:pPr>
              <w:spacing w:line="216" w:lineRule="auto"/>
              <w:jc w:val="center"/>
              <w:rPr>
                <w:bCs/>
              </w:rPr>
            </w:pPr>
            <w:r>
              <w:rPr>
                <w:bCs/>
              </w:rPr>
              <w:t>100,00</w:t>
            </w:r>
          </w:p>
        </w:tc>
        <w:tc>
          <w:tcPr>
            <w:tcW w:w="1683" w:type="dxa"/>
            <w:tcBorders>
              <w:top w:val="nil"/>
            </w:tcBorders>
          </w:tcPr>
          <w:p w:rsidR="00000000" w:rsidRDefault="00000000">
            <w:pPr>
              <w:spacing w:line="216" w:lineRule="auto"/>
              <w:jc w:val="center"/>
              <w:rPr>
                <w:bCs/>
              </w:rPr>
            </w:pPr>
            <w:r>
              <w:rPr>
                <w:bCs/>
              </w:rPr>
              <w:t>51,23</w:t>
            </w:r>
          </w:p>
        </w:tc>
        <w:tc>
          <w:tcPr>
            <w:tcW w:w="1569" w:type="dxa"/>
            <w:tcBorders>
              <w:top w:val="nil"/>
            </w:tcBorders>
          </w:tcPr>
          <w:p w:rsidR="00000000" w:rsidRDefault="00000000">
            <w:pPr>
              <w:spacing w:line="216" w:lineRule="auto"/>
              <w:jc w:val="center"/>
              <w:rPr>
                <w:bCs/>
              </w:rPr>
            </w:pPr>
            <w:r>
              <w:rPr>
                <w:bCs/>
              </w:rPr>
              <w:t>48,77</w:t>
            </w:r>
          </w:p>
        </w:tc>
      </w:tr>
    </w:tbl>
    <w:p w:rsidR="00000000" w:rsidRDefault="00000000">
      <w:pPr>
        <w:spacing w:line="192" w:lineRule="auto"/>
        <w:rPr>
          <w:sz w:val="16"/>
          <w:lang w:val="en-US"/>
        </w:rPr>
      </w:pPr>
    </w:p>
    <w:p w:rsidR="00000000" w:rsidRDefault="00000000">
      <w:pPr>
        <w:spacing w:line="192" w:lineRule="auto"/>
      </w:pPr>
      <w:r>
        <w:tab/>
      </w:r>
      <w:r>
        <w:rPr>
          <w:i/>
          <w:iCs/>
        </w:rPr>
        <w:t>Источник:</w:t>
      </w:r>
      <w:r>
        <w:t xml:space="preserve">  Статистические ежегодники Республиканского статистического управления.</w:t>
      </w:r>
    </w:p>
    <w:p w:rsidR="00000000" w:rsidRDefault="00000000">
      <w:pPr>
        <w:spacing w:line="192" w:lineRule="auto"/>
        <w:rPr>
          <w:sz w:val="16"/>
        </w:rPr>
      </w:pPr>
    </w:p>
    <w:p w:rsidR="00000000" w:rsidRDefault="00000000">
      <w:pPr>
        <w:spacing w:line="192" w:lineRule="auto"/>
      </w:pPr>
      <w:r>
        <w:rPr>
          <w:b/>
          <w:bCs/>
          <w:vertAlign w:val="superscript"/>
          <w:lang w:val="en-US"/>
        </w:rPr>
        <w:t>a</w:t>
      </w:r>
      <w:r>
        <w:tab/>
        <w:t>В течение 2000/2001 учебного года количество учащихся в начальных школах было на 149 975 меньше, чем в 1991/1992 учебном году.  Снижение количества учащихся начальных школ является следствием падения уровня рождаемости.</w:t>
      </w:r>
    </w:p>
    <w:p w:rsidR="00000000" w:rsidRDefault="00000000">
      <w:pPr>
        <w:spacing w:line="192" w:lineRule="auto"/>
        <w:rPr>
          <w:sz w:val="16"/>
        </w:rPr>
      </w:pPr>
    </w:p>
    <w:p w:rsidR="00000000" w:rsidRDefault="00000000">
      <w:pPr>
        <w:spacing w:line="192" w:lineRule="auto"/>
      </w:pPr>
      <w:r>
        <w:rPr>
          <w:b/>
          <w:bCs/>
          <w:vertAlign w:val="superscript"/>
          <w:lang w:val="en-US"/>
        </w:rPr>
        <w:t>b</w:t>
      </w:r>
      <w:r>
        <w:tab/>
        <w:t>Указанные данные относятся к детям, посещающим обычные начальные школы, и не включают данные по учащимся в специальных школах и школах для взрослых.</w:t>
      </w:r>
    </w:p>
    <w:p w:rsidR="00000000" w:rsidRDefault="00000000">
      <w:pPr>
        <w:keepNext/>
        <w:pageBreakBefore/>
        <w:rPr>
          <w:b/>
          <w:bCs/>
        </w:rPr>
      </w:pPr>
      <w:r>
        <w:rPr>
          <w:b/>
          <w:bCs/>
        </w:rPr>
        <w:t>Среднее образование</w:t>
      </w:r>
    </w:p>
    <w:p w:rsidR="00000000" w:rsidRDefault="00000000">
      <w:pPr>
        <w:keepNext/>
        <w:rPr>
          <w:b/>
          <w:bCs/>
        </w:rPr>
      </w:pPr>
    </w:p>
    <w:p w:rsidR="00000000" w:rsidRDefault="00000000">
      <w:pPr>
        <w:keepNext/>
      </w:pPr>
      <w:r>
        <w:t>372.</w:t>
      </w:r>
      <w:r>
        <w:tab/>
        <w:t>Общее среднее образование является доступным для всех учащихся, окончивших 8 классов начальной школы (Закон о средней школе, статья 38).  Что касается регистрации, кандидаты могут подавать документы в любую среднюю школу при условии наличия достаточно высоких оценок в аттестате начальной школы и сдачи необходимых для данного учебного заведения вступительных экзаменов.</w:t>
      </w:r>
    </w:p>
    <w:p w:rsidR="00000000" w:rsidRDefault="00000000"/>
    <w:p w:rsidR="00000000" w:rsidRDefault="00000000">
      <w:r>
        <w:t>373.</w:t>
      </w:r>
      <w:r>
        <w:tab/>
        <w:t>Снижение численности школьников в начальных школах пока еще не отразилось на численности учащихся средних школ</w:t>
      </w:r>
      <w:r>
        <w:rPr>
          <w:rStyle w:val="FootnoteReference"/>
        </w:rPr>
        <w:footnoteReference w:id="49"/>
      </w:r>
      <w:r>
        <w:t>.  Результаты исследования, проведенного Исследовательским центром Школы экономики при Белградском университете</w:t>
      </w:r>
      <w:r>
        <w:rPr>
          <w:rStyle w:val="FootnoteReference"/>
        </w:rPr>
        <w:footnoteReference w:id="50"/>
      </w:r>
      <w:r>
        <w:t xml:space="preserve"> показывают, что последствия снижения численности школьников в начальных школах для численности учащихся средних школ четко проявятся в последующие пять лет.  </w:t>
      </w:r>
    </w:p>
    <w:p w:rsidR="00000000" w:rsidRDefault="00000000"/>
    <w:p w:rsidR="00000000" w:rsidRDefault="00000000">
      <w:r>
        <w:t>374.</w:t>
      </w:r>
      <w:r>
        <w:tab/>
        <w:t>Структура учащихся средних школ характеризуется сбалансированностью по гендерному признаку.  За отчетный период среди учащихся средних школ доля девушек составила 51%, а юношей - 49%</w:t>
      </w:r>
      <w:r>
        <w:rPr>
          <w:rStyle w:val="FootnoteReference"/>
        </w:rPr>
        <w:footnoteReference w:id="51"/>
      </w:r>
      <w:r>
        <w:t xml:space="preserve">.  </w:t>
      </w:r>
    </w:p>
    <w:p w:rsidR="00000000" w:rsidRDefault="00000000">
      <w:pPr>
        <w:spacing w:line="264" w:lineRule="auto"/>
      </w:pPr>
    </w:p>
    <w:p w:rsidR="00000000" w:rsidRDefault="00000000">
      <w:pPr>
        <w:pageBreakBefore/>
        <w:jc w:val="center"/>
        <w:rPr>
          <w:b/>
          <w:bCs/>
        </w:rPr>
      </w:pPr>
      <w:r>
        <w:rPr>
          <w:b/>
          <w:bCs/>
        </w:rPr>
        <w:t xml:space="preserve">Таблица </w:t>
      </w:r>
      <w:r>
        <w:rPr>
          <w:b/>
          <w:bCs/>
          <w:lang w:val="en-US"/>
        </w:rPr>
        <w:t>20</w:t>
      </w:r>
    </w:p>
    <w:p w:rsidR="00000000" w:rsidRDefault="00000000">
      <w:pPr>
        <w:jc w:val="center"/>
      </w:pPr>
    </w:p>
    <w:p w:rsidR="00000000" w:rsidRDefault="00000000">
      <w:pPr>
        <w:jc w:val="center"/>
        <w:rPr>
          <w:b/>
          <w:bCs/>
          <w:vertAlign w:val="superscript"/>
        </w:rPr>
      </w:pPr>
      <w:r>
        <w:rPr>
          <w:b/>
          <w:bCs/>
        </w:rPr>
        <w:t>ОХВАТ СИСТЕМОЙ ОБЫЧНОГО СРЕДНЕГО ОБРАЗОВАНИЯ</w:t>
      </w:r>
      <w:r>
        <w:rPr>
          <w:b/>
          <w:bCs/>
          <w:vertAlign w:val="superscript"/>
          <w:lang w:val="en-US"/>
        </w:rPr>
        <w:t>a</w:t>
      </w:r>
    </w:p>
    <w:p w:rsidR="00000000" w:rsidRDefault="00000000">
      <w:pPr>
        <w:jc w:val="center"/>
        <w:rPr>
          <w:b/>
          <w:bCs/>
        </w:rPr>
      </w:pPr>
      <w:r>
        <w:rPr>
          <w:b/>
          <w:bCs/>
          <w:lang w:val="en-US"/>
        </w:rPr>
        <w:t xml:space="preserve">1991-2001 </w:t>
      </w:r>
      <w:r>
        <w:rPr>
          <w:b/>
          <w:bCs/>
        </w:rPr>
        <w:t>годы</w:t>
      </w:r>
    </w:p>
    <w:p w:rsidR="00000000" w:rsidRDefault="00000000">
      <w:pPr>
        <w:jc w:val="center"/>
        <w:rPr>
          <w:b/>
          <w:bCs/>
        </w:rPr>
      </w:pPr>
    </w:p>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7"/>
        <w:gridCol w:w="1683"/>
        <w:gridCol w:w="2805"/>
        <w:gridCol w:w="1496"/>
        <w:gridCol w:w="1496"/>
      </w:tblGrid>
      <w:tr w:rsidR="00000000">
        <w:tblPrEx>
          <w:tblCellMar>
            <w:top w:w="0" w:type="dxa"/>
            <w:bottom w:w="0" w:type="dxa"/>
          </w:tblCellMar>
        </w:tblPrEx>
        <w:trPr>
          <w:cantSplit/>
        </w:trPr>
        <w:tc>
          <w:tcPr>
            <w:tcW w:w="6545" w:type="dxa"/>
            <w:gridSpan w:val="3"/>
          </w:tcPr>
          <w:p w:rsidR="00000000" w:rsidRDefault="00000000">
            <w:pPr>
              <w:jc w:val="center"/>
              <w:rPr>
                <w:bCs/>
              </w:rPr>
            </w:pPr>
            <w:r>
              <w:rPr>
                <w:bCs/>
              </w:rPr>
              <w:t>Общий охват</w:t>
            </w:r>
          </w:p>
        </w:tc>
        <w:tc>
          <w:tcPr>
            <w:tcW w:w="2992" w:type="dxa"/>
            <w:gridSpan w:val="2"/>
          </w:tcPr>
          <w:p w:rsidR="00000000" w:rsidRDefault="00000000">
            <w:pPr>
              <w:jc w:val="center"/>
              <w:rPr>
                <w:bCs/>
              </w:rPr>
            </w:pPr>
            <w:r>
              <w:rPr>
                <w:bCs/>
              </w:rPr>
              <w:t>Гендерный охват</w:t>
            </w:r>
          </w:p>
        </w:tc>
      </w:tr>
      <w:tr w:rsidR="00000000">
        <w:tblPrEx>
          <w:tblCellMar>
            <w:top w:w="0" w:type="dxa"/>
            <w:bottom w:w="0" w:type="dxa"/>
          </w:tblCellMar>
        </w:tblPrEx>
        <w:tc>
          <w:tcPr>
            <w:tcW w:w="2057" w:type="dxa"/>
            <w:tcBorders>
              <w:bottom w:val="single" w:sz="4" w:space="0" w:color="auto"/>
            </w:tcBorders>
          </w:tcPr>
          <w:p w:rsidR="00000000" w:rsidRDefault="00000000">
            <w:pPr>
              <w:rPr>
                <w:bCs/>
              </w:rPr>
            </w:pPr>
            <w:r>
              <w:rPr>
                <w:bCs/>
              </w:rPr>
              <w:t>Учебный год</w:t>
            </w:r>
          </w:p>
        </w:tc>
        <w:tc>
          <w:tcPr>
            <w:tcW w:w="1683" w:type="dxa"/>
            <w:tcBorders>
              <w:bottom w:val="single" w:sz="4" w:space="0" w:color="auto"/>
            </w:tcBorders>
          </w:tcPr>
          <w:p w:rsidR="00000000" w:rsidRDefault="00000000">
            <w:pPr>
              <w:rPr>
                <w:bCs/>
              </w:rPr>
            </w:pPr>
            <w:r>
              <w:rPr>
                <w:bCs/>
              </w:rPr>
              <w:t>Всего</w:t>
            </w:r>
          </w:p>
        </w:tc>
        <w:tc>
          <w:tcPr>
            <w:tcW w:w="2805" w:type="dxa"/>
            <w:tcBorders>
              <w:bottom w:val="single" w:sz="4" w:space="0" w:color="auto"/>
            </w:tcBorders>
          </w:tcPr>
          <w:p w:rsidR="00000000" w:rsidRDefault="00000000">
            <w:pPr>
              <w:rPr>
                <w:bCs/>
              </w:rPr>
            </w:pPr>
            <w:r>
              <w:rPr>
                <w:bCs/>
              </w:rPr>
              <w:t>Количество учащихся</w:t>
            </w:r>
          </w:p>
        </w:tc>
        <w:tc>
          <w:tcPr>
            <w:tcW w:w="1496" w:type="dxa"/>
            <w:tcBorders>
              <w:bottom w:val="single" w:sz="4" w:space="0" w:color="auto"/>
            </w:tcBorders>
          </w:tcPr>
          <w:p w:rsidR="00000000" w:rsidRDefault="00000000">
            <w:pPr>
              <w:rPr>
                <w:bCs/>
              </w:rPr>
            </w:pPr>
            <w:r>
              <w:rPr>
                <w:bCs/>
              </w:rPr>
              <w:t>Юноши</w:t>
            </w:r>
          </w:p>
        </w:tc>
        <w:tc>
          <w:tcPr>
            <w:tcW w:w="1496" w:type="dxa"/>
            <w:tcBorders>
              <w:bottom w:val="single" w:sz="4" w:space="0" w:color="auto"/>
            </w:tcBorders>
          </w:tcPr>
          <w:p w:rsidR="00000000" w:rsidRDefault="00000000">
            <w:pPr>
              <w:rPr>
                <w:bCs/>
              </w:rPr>
            </w:pPr>
            <w:r>
              <w:rPr>
                <w:bCs/>
              </w:rPr>
              <w:t>Девушки</w:t>
            </w:r>
          </w:p>
        </w:tc>
      </w:tr>
      <w:tr w:rsidR="00000000">
        <w:tblPrEx>
          <w:tblCellMar>
            <w:top w:w="0" w:type="dxa"/>
            <w:bottom w:w="0" w:type="dxa"/>
          </w:tblCellMar>
        </w:tblPrEx>
        <w:tc>
          <w:tcPr>
            <w:tcW w:w="2057" w:type="dxa"/>
            <w:tcBorders>
              <w:bottom w:val="nil"/>
            </w:tcBorders>
          </w:tcPr>
          <w:p w:rsidR="00000000" w:rsidRDefault="00000000">
            <w:pPr>
              <w:rPr>
                <w:bCs/>
                <w:lang w:val="sr-Cyrl-CS"/>
              </w:rPr>
            </w:pPr>
            <w:r>
              <w:rPr>
                <w:bCs/>
                <w:lang w:val="sr-Cyrl-CS"/>
              </w:rPr>
              <w:t>1991/92</w:t>
            </w:r>
          </w:p>
        </w:tc>
        <w:tc>
          <w:tcPr>
            <w:tcW w:w="1683" w:type="dxa"/>
            <w:tcBorders>
              <w:bottom w:val="nil"/>
            </w:tcBorders>
          </w:tcPr>
          <w:p w:rsidR="00000000" w:rsidRDefault="00000000">
            <w:pPr>
              <w:rPr>
                <w:bCs/>
                <w:lang w:val="sr-Cyrl-CS"/>
              </w:rPr>
            </w:pPr>
          </w:p>
        </w:tc>
        <w:tc>
          <w:tcPr>
            <w:tcW w:w="2805" w:type="dxa"/>
            <w:tcBorders>
              <w:bottom w:val="nil"/>
            </w:tcBorders>
          </w:tcPr>
          <w:p w:rsidR="00000000" w:rsidRDefault="00000000">
            <w:pPr>
              <w:rPr>
                <w:bCs/>
                <w:lang w:val="sr-Cyrl-CS"/>
              </w:rPr>
            </w:pPr>
            <w:r>
              <w:rPr>
                <w:bCs/>
                <w:lang w:val="sr-Cyrl-CS"/>
              </w:rPr>
              <w:t>309,739</w:t>
            </w:r>
          </w:p>
        </w:tc>
        <w:tc>
          <w:tcPr>
            <w:tcW w:w="1496" w:type="dxa"/>
            <w:tcBorders>
              <w:bottom w:val="nil"/>
            </w:tcBorders>
          </w:tcPr>
          <w:p w:rsidR="00000000" w:rsidRDefault="00000000">
            <w:pPr>
              <w:rPr>
                <w:bCs/>
                <w:lang w:val="sr-Cyrl-CS"/>
              </w:rPr>
            </w:pPr>
            <w:r>
              <w:rPr>
                <w:bCs/>
                <w:lang w:val="sr-Cyrl-CS"/>
              </w:rPr>
              <w:t>152,988</w:t>
            </w:r>
          </w:p>
        </w:tc>
        <w:tc>
          <w:tcPr>
            <w:tcW w:w="1496" w:type="dxa"/>
            <w:tcBorders>
              <w:bottom w:val="nil"/>
            </w:tcBorders>
          </w:tcPr>
          <w:p w:rsidR="00000000" w:rsidRDefault="00000000">
            <w:pPr>
              <w:rPr>
                <w:bCs/>
                <w:lang w:val="sr-Cyrl-CS"/>
              </w:rPr>
            </w:pPr>
            <w:r>
              <w:rPr>
                <w:bCs/>
                <w:lang w:val="sr-Cyrl-CS"/>
              </w:rPr>
              <w:t>156,751</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49,39</w:t>
            </w:r>
          </w:p>
        </w:tc>
        <w:tc>
          <w:tcPr>
            <w:tcW w:w="1496" w:type="dxa"/>
            <w:tcBorders>
              <w:top w:val="nil"/>
              <w:bottom w:val="nil"/>
            </w:tcBorders>
          </w:tcPr>
          <w:p w:rsidR="00000000" w:rsidRDefault="00000000">
            <w:pPr>
              <w:shd w:val="clear" w:color="auto" w:fill="FFFFFF"/>
              <w:rPr>
                <w:bCs/>
                <w:lang w:val="sr-Cyrl-CS"/>
              </w:rPr>
            </w:pPr>
            <w:r>
              <w:rPr>
                <w:bCs/>
                <w:lang w:val="sr-Cyrl-CS"/>
              </w:rPr>
              <w:t>50,61</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1992/93</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314,526</w:t>
            </w:r>
          </w:p>
        </w:tc>
        <w:tc>
          <w:tcPr>
            <w:tcW w:w="1496" w:type="dxa"/>
            <w:tcBorders>
              <w:top w:val="nil"/>
              <w:bottom w:val="nil"/>
            </w:tcBorders>
          </w:tcPr>
          <w:p w:rsidR="00000000" w:rsidRDefault="00000000">
            <w:pPr>
              <w:shd w:val="clear" w:color="auto" w:fill="FFFFFF"/>
              <w:rPr>
                <w:bCs/>
                <w:lang w:val="sr-Cyrl-CS"/>
              </w:rPr>
            </w:pPr>
            <w:r>
              <w:rPr>
                <w:bCs/>
                <w:lang w:val="sr-Cyrl-CS"/>
              </w:rPr>
              <w:t>155,609</w:t>
            </w:r>
          </w:p>
        </w:tc>
        <w:tc>
          <w:tcPr>
            <w:tcW w:w="1496" w:type="dxa"/>
            <w:tcBorders>
              <w:top w:val="nil"/>
              <w:bottom w:val="nil"/>
            </w:tcBorders>
          </w:tcPr>
          <w:p w:rsidR="00000000" w:rsidRDefault="00000000">
            <w:pPr>
              <w:shd w:val="clear" w:color="auto" w:fill="FFFFFF"/>
              <w:rPr>
                <w:bCs/>
                <w:lang w:val="sr-Cyrl-CS"/>
              </w:rPr>
            </w:pPr>
            <w:r>
              <w:rPr>
                <w:bCs/>
                <w:lang w:val="sr-Cyrl-CS"/>
              </w:rPr>
              <w:t>158,917</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49,47</w:t>
            </w:r>
          </w:p>
        </w:tc>
        <w:tc>
          <w:tcPr>
            <w:tcW w:w="1496" w:type="dxa"/>
            <w:tcBorders>
              <w:top w:val="nil"/>
              <w:bottom w:val="nil"/>
            </w:tcBorders>
          </w:tcPr>
          <w:p w:rsidR="00000000" w:rsidRDefault="00000000">
            <w:pPr>
              <w:shd w:val="clear" w:color="auto" w:fill="FFFFFF"/>
              <w:rPr>
                <w:bCs/>
                <w:lang w:val="sr-Cyrl-CS"/>
              </w:rPr>
            </w:pPr>
            <w:r>
              <w:rPr>
                <w:bCs/>
                <w:lang w:val="sr-Cyrl-CS"/>
              </w:rPr>
              <w:t>50,53</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1993/94</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308,823</w:t>
            </w:r>
          </w:p>
        </w:tc>
        <w:tc>
          <w:tcPr>
            <w:tcW w:w="1496" w:type="dxa"/>
            <w:tcBorders>
              <w:top w:val="nil"/>
              <w:bottom w:val="nil"/>
            </w:tcBorders>
          </w:tcPr>
          <w:p w:rsidR="00000000" w:rsidRDefault="00000000">
            <w:pPr>
              <w:shd w:val="clear" w:color="auto" w:fill="FFFFFF"/>
              <w:rPr>
                <w:bCs/>
                <w:lang w:val="sr-Cyrl-CS"/>
              </w:rPr>
            </w:pPr>
            <w:r>
              <w:rPr>
                <w:bCs/>
                <w:lang w:val="sr-Cyrl-CS"/>
              </w:rPr>
              <w:t>152,768</w:t>
            </w:r>
          </w:p>
        </w:tc>
        <w:tc>
          <w:tcPr>
            <w:tcW w:w="1496" w:type="dxa"/>
            <w:tcBorders>
              <w:top w:val="nil"/>
              <w:bottom w:val="nil"/>
            </w:tcBorders>
          </w:tcPr>
          <w:p w:rsidR="00000000" w:rsidRDefault="00000000">
            <w:pPr>
              <w:shd w:val="clear" w:color="auto" w:fill="FFFFFF"/>
              <w:rPr>
                <w:bCs/>
                <w:lang w:val="sr-Cyrl-CS"/>
              </w:rPr>
            </w:pPr>
            <w:r>
              <w:rPr>
                <w:bCs/>
                <w:lang w:val="sr-Cyrl-CS"/>
              </w:rPr>
              <w:t>156,055</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49,47</w:t>
            </w:r>
          </w:p>
        </w:tc>
        <w:tc>
          <w:tcPr>
            <w:tcW w:w="1496" w:type="dxa"/>
            <w:tcBorders>
              <w:top w:val="nil"/>
              <w:bottom w:val="nil"/>
            </w:tcBorders>
          </w:tcPr>
          <w:p w:rsidR="00000000" w:rsidRDefault="00000000">
            <w:pPr>
              <w:shd w:val="clear" w:color="auto" w:fill="FFFFFF"/>
              <w:rPr>
                <w:bCs/>
                <w:lang w:val="sr-Cyrl-CS"/>
              </w:rPr>
            </w:pPr>
            <w:r>
              <w:rPr>
                <w:bCs/>
                <w:lang w:val="sr-Cyrl-CS"/>
              </w:rPr>
              <w:t>50,53</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1994/95</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312,217</w:t>
            </w:r>
          </w:p>
        </w:tc>
        <w:tc>
          <w:tcPr>
            <w:tcW w:w="1496" w:type="dxa"/>
            <w:tcBorders>
              <w:top w:val="nil"/>
              <w:bottom w:val="nil"/>
            </w:tcBorders>
          </w:tcPr>
          <w:p w:rsidR="00000000" w:rsidRDefault="00000000">
            <w:pPr>
              <w:shd w:val="clear" w:color="auto" w:fill="FFFFFF"/>
              <w:rPr>
                <w:bCs/>
                <w:lang w:val="sr-Cyrl-CS"/>
              </w:rPr>
            </w:pPr>
            <w:r>
              <w:rPr>
                <w:bCs/>
                <w:lang w:val="sr-Cyrl-CS"/>
              </w:rPr>
              <w:t>154,841</w:t>
            </w:r>
          </w:p>
        </w:tc>
        <w:tc>
          <w:tcPr>
            <w:tcW w:w="1496" w:type="dxa"/>
            <w:tcBorders>
              <w:top w:val="nil"/>
              <w:bottom w:val="nil"/>
            </w:tcBorders>
          </w:tcPr>
          <w:p w:rsidR="00000000" w:rsidRDefault="00000000">
            <w:pPr>
              <w:shd w:val="clear" w:color="auto" w:fill="FFFFFF"/>
              <w:rPr>
                <w:bCs/>
                <w:lang w:val="sr-Cyrl-CS"/>
              </w:rPr>
            </w:pPr>
            <w:r>
              <w:rPr>
                <w:bCs/>
                <w:lang w:val="sr-Cyrl-CS"/>
              </w:rPr>
              <w:t>157,376</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49,59</w:t>
            </w:r>
          </w:p>
        </w:tc>
        <w:tc>
          <w:tcPr>
            <w:tcW w:w="1496" w:type="dxa"/>
            <w:tcBorders>
              <w:top w:val="nil"/>
              <w:bottom w:val="nil"/>
            </w:tcBorders>
          </w:tcPr>
          <w:p w:rsidR="00000000" w:rsidRDefault="00000000">
            <w:pPr>
              <w:shd w:val="clear" w:color="auto" w:fill="FFFFFF"/>
              <w:rPr>
                <w:bCs/>
                <w:lang w:val="sr-Cyrl-CS"/>
              </w:rPr>
            </w:pPr>
            <w:r>
              <w:rPr>
                <w:bCs/>
                <w:lang w:val="sr-Cyrl-CS"/>
              </w:rPr>
              <w:t>50,41</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1995/96</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326,096</w:t>
            </w:r>
          </w:p>
        </w:tc>
        <w:tc>
          <w:tcPr>
            <w:tcW w:w="1496" w:type="dxa"/>
            <w:tcBorders>
              <w:top w:val="nil"/>
              <w:bottom w:val="nil"/>
            </w:tcBorders>
          </w:tcPr>
          <w:p w:rsidR="00000000" w:rsidRDefault="00000000">
            <w:pPr>
              <w:shd w:val="clear" w:color="auto" w:fill="FFFFFF"/>
              <w:rPr>
                <w:bCs/>
                <w:lang w:val="sr-Cyrl-CS"/>
              </w:rPr>
            </w:pPr>
            <w:r>
              <w:rPr>
                <w:bCs/>
                <w:lang w:val="sr-Cyrl-CS"/>
              </w:rPr>
              <w:t>160,870</w:t>
            </w:r>
          </w:p>
        </w:tc>
        <w:tc>
          <w:tcPr>
            <w:tcW w:w="1496" w:type="dxa"/>
            <w:tcBorders>
              <w:top w:val="nil"/>
              <w:bottom w:val="nil"/>
            </w:tcBorders>
          </w:tcPr>
          <w:p w:rsidR="00000000" w:rsidRDefault="00000000">
            <w:pPr>
              <w:shd w:val="clear" w:color="auto" w:fill="FFFFFF"/>
              <w:rPr>
                <w:bCs/>
                <w:lang w:val="sr-Cyrl-CS"/>
              </w:rPr>
            </w:pPr>
            <w:r>
              <w:rPr>
                <w:bCs/>
                <w:lang w:val="sr-Cyrl-CS"/>
              </w:rPr>
              <w:t>165,226</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49,33</w:t>
            </w:r>
          </w:p>
        </w:tc>
        <w:tc>
          <w:tcPr>
            <w:tcW w:w="1496" w:type="dxa"/>
            <w:tcBorders>
              <w:top w:val="nil"/>
              <w:bottom w:val="nil"/>
            </w:tcBorders>
          </w:tcPr>
          <w:p w:rsidR="00000000" w:rsidRDefault="00000000">
            <w:pPr>
              <w:shd w:val="clear" w:color="auto" w:fill="FFFFFF"/>
              <w:rPr>
                <w:bCs/>
                <w:lang w:val="sr-Cyrl-CS"/>
              </w:rPr>
            </w:pPr>
            <w:r>
              <w:rPr>
                <w:bCs/>
                <w:lang w:val="sr-Cyrl-CS"/>
              </w:rPr>
              <w:t>50,67</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1996/97</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324,422</w:t>
            </w:r>
          </w:p>
        </w:tc>
        <w:tc>
          <w:tcPr>
            <w:tcW w:w="1496" w:type="dxa"/>
            <w:tcBorders>
              <w:top w:val="nil"/>
              <w:bottom w:val="nil"/>
            </w:tcBorders>
          </w:tcPr>
          <w:p w:rsidR="00000000" w:rsidRDefault="00000000">
            <w:pPr>
              <w:shd w:val="clear" w:color="auto" w:fill="FFFFFF"/>
              <w:rPr>
                <w:bCs/>
                <w:lang w:val="sr-Cyrl-CS"/>
              </w:rPr>
            </w:pPr>
            <w:r>
              <w:rPr>
                <w:bCs/>
                <w:lang w:val="sr-Cyrl-CS"/>
              </w:rPr>
              <w:t>160,291</w:t>
            </w:r>
          </w:p>
        </w:tc>
        <w:tc>
          <w:tcPr>
            <w:tcW w:w="1496" w:type="dxa"/>
            <w:tcBorders>
              <w:top w:val="nil"/>
              <w:bottom w:val="nil"/>
            </w:tcBorders>
          </w:tcPr>
          <w:p w:rsidR="00000000" w:rsidRDefault="00000000">
            <w:pPr>
              <w:shd w:val="clear" w:color="auto" w:fill="FFFFFF"/>
              <w:rPr>
                <w:bCs/>
                <w:lang w:val="sr-Cyrl-CS"/>
              </w:rPr>
            </w:pPr>
            <w:r>
              <w:rPr>
                <w:bCs/>
                <w:lang w:val="sr-Cyrl-CS"/>
              </w:rPr>
              <w:t>164,131</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49,41</w:t>
            </w:r>
          </w:p>
        </w:tc>
        <w:tc>
          <w:tcPr>
            <w:tcW w:w="1496" w:type="dxa"/>
            <w:tcBorders>
              <w:top w:val="nil"/>
              <w:bottom w:val="nil"/>
            </w:tcBorders>
          </w:tcPr>
          <w:p w:rsidR="00000000" w:rsidRDefault="00000000">
            <w:pPr>
              <w:shd w:val="clear" w:color="auto" w:fill="FFFFFF"/>
              <w:rPr>
                <w:bCs/>
                <w:lang w:val="sr-Cyrl-CS"/>
              </w:rPr>
            </w:pPr>
            <w:r>
              <w:rPr>
                <w:bCs/>
                <w:lang w:val="sr-Cyrl-CS"/>
              </w:rPr>
              <w:t>50,59</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1997/98</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327,401</w:t>
            </w:r>
          </w:p>
        </w:tc>
        <w:tc>
          <w:tcPr>
            <w:tcW w:w="1496" w:type="dxa"/>
            <w:tcBorders>
              <w:top w:val="nil"/>
              <w:bottom w:val="nil"/>
            </w:tcBorders>
          </w:tcPr>
          <w:p w:rsidR="00000000" w:rsidRDefault="00000000">
            <w:pPr>
              <w:shd w:val="clear" w:color="auto" w:fill="FFFFFF"/>
              <w:rPr>
                <w:bCs/>
                <w:lang w:val="sr-Cyrl-CS"/>
              </w:rPr>
            </w:pPr>
            <w:r>
              <w:rPr>
                <w:bCs/>
                <w:lang w:val="sr-Cyrl-CS"/>
              </w:rPr>
              <w:t>162,953</w:t>
            </w:r>
          </w:p>
        </w:tc>
        <w:tc>
          <w:tcPr>
            <w:tcW w:w="1496" w:type="dxa"/>
            <w:tcBorders>
              <w:top w:val="nil"/>
              <w:bottom w:val="nil"/>
            </w:tcBorders>
          </w:tcPr>
          <w:p w:rsidR="00000000" w:rsidRDefault="00000000">
            <w:pPr>
              <w:shd w:val="clear" w:color="auto" w:fill="FFFFFF"/>
              <w:rPr>
                <w:bCs/>
                <w:lang w:val="sr-Cyrl-CS"/>
              </w:rPr>
            </w:pPr>
            <w:r>
              <w:rPr>
                <w:bCs/>
                <w:lang w:val="sr-Cyrl-CS"/>
              </w:rPr>
              <w:t>164,448</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49,77</w:t>
            </w:r>
          </w:p>
        </w:tc>
        <w:tc>
          <w:tcPr>
            <w:tcW w:w="1496" w:type="dxa"/>
            <w:tcBorders>
              <w:top w:val="nil"/>
              <w:bottom w:val="nil"/>
            </w:tcBorders>
          </w:tcPr>
          <w:p w:rsidR="00000000" w:rsidRDefault="00000000">
            <w:pPr>
              <w:shd w:val="clear" w:color="auto" w:fill="FFFFFF"/>
              <w:rPr>
                <w:bCs/>
                <w:lang w:val="sr-Cyrl-CS"/>
              </w:rPr>
            </w:pPr>
            <w:r>
              <w:rPr>
                <w:bCs/>
                <w:lang w:val="sr-Cyrl-CS"/>
              </w:rPr>
              <w:t>50,23</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1998/99</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316,187</w:t>
            </w:r>
          </w:p>
        </w:tc>
        <w:tc>
          <w:tcPr>
            <w:tcW w:w="1496" w:type="dxa"/>
            <w:tcBorders>
              <w:top w:val="nil"/>
              <w:bottom w:val="nil"/>
            </w:tcBorders>
          </w:tcPr>
          <w:p w:rsidR="00000000" w:rsidRDefault="00000000">
            <w:pPr>
              <w:shd w:val="clear" w:color="auto" w:fill="FFFFFF"/>
              <w:rPr>
                <w:bCs/>
                <w:lang w:val="sr-Cyrl-CS"/>
              </w:rPr>
            </w:pPr>
            <w:r>
              <w:rPr>
                <w:bCs/>
                <w:lang w:val="sr-Cyrl-CS"/>
              </w:rPr>
              <w:t>155,703</w:t>
            </w:r>
          </w:p>
        </w:tc>
        <w:tc>
          <w:tcPr>
            <w:tcW w:w="1496" w:type="dxa"/>
            <w:tcBorders>
              <w:top w:val="nil"/>
              <w:bottom w:val="nil"/>
            </w:tcBorders>
          </w:tcPr>
          <w:p w:rsidR="00000000" w:rsidRDefault="00000000">
            <w:pPr>
              <w:shd w:val="clear" w:color="auto" w:fill="FFFFFF"/>
              <w:rPr>
                <w:bCs/>
                <w:lang w:val="sr-Cyrl-CS"/>
              </w:rPr>
            </w:pPr>
            <w:r>
              <w:rPr>
                <w:bCs/>
                <w:lang w:val="sr-Cyrl-CS"/>
              </w:rPr>
              <w:t>160,484</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49,24</w:t>
            </w:r>
          </w:p>
        </w:tc>
        <w:tc>
          <w:tcPr>
            <w:tcW w:w="1496" w:type="dxa"/>
            <w:tcBorders>
              <w:top w:val="nil"/>
              <w:bottom w:val="nil"/>
            </w:tcBorders>
          </w:tcPr>
          <w:p w:rsidR="00000000" w:rsidRDefault="00000000">
            <w:pPr>
              <w:shd w:val="clear" w:color="auto" w:fill="FFFFFF"/>
              <w:rPr>
                <w:bCs/>
                <w:lang w:val="sr-Cyrl-CS"/>
              </w:rPr>
            </w:pPr>
            <w:r>
              <w:rPr>
                <w:bCs/>
                <w:lang w:val="sr-Cyrl-CS"/>
              </w:rPr>
              <w:t>50,76</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1999/00</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322,555</w:t>
            </w:r>
          </w:p>
        </w:tc>
        <w:tc>
          <w:tcPr>
            <w:tcW w:w="1496" w:type="dxa"/>
            <w:tcBorders>
              <w:top w:val="nil"/>
              <w:bottom w:val="nil"/>
            </w:tcBorders>
          </w:tcPr>
          <w:p w:rsidR="00000000" w:rsidRDefault="00000000">
            <w:pPr>
              <w:shd w:val="clear" w:color="auto" w:fill="FFFFFF"/>
              <w:rPr>
                <w:bCs/>
                <w:lang w:val="sr-Cyrl-CS"/>
              </w:rPr>
            </w:pPr>
            <w:r>
              <w:rPr>
                <w:bCs/>
                <w:lang w:val="sr-Cyrl-CS"/>
              </w:rPr>
              <w:t>159,215</w:t>
            </w:r>
          </w:p>
        </w:tc>
        <w:tc>
          <w:tcPr>
            <w:tcW w:w="1496" w:type="dxa"/>
            <w:tcBorders>
              <w:top w:val="nil"/>
              <w:bottom w:val="nil"/>
            </w:tcBorders>
          </w:tcPr>
          <w:p w:rsidR="00000000" w:rsidRDefault="00000000">
            <w:pPr>
              <w:shd w:val="clear" w:color="auto" w:fill="FFFFFF"/>
              <w:rPr>
                <w:bCs/>
                <w:lang w:val="sr-Cyrl-CS"/>
              </w:rPr>
            </w:pPr>
            <w:r>
              <w:rPr>
                <w:bCs/>
                <w:lang w:val="sr-Cyrl-CS"/>
              </w:rPr>
              <w:t>163,340</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p>
        </w:tc>
        <w:tc>
          <w:tcPr>
            <w:tcW w:w="1683" w:type="dxa"/>
            <w:tcBorders>
              <w:top w:val="nil"/>
              <w:bottom w:val="nil"/>
            </w:tcBorders>
          </w:tcPr>
          <w:p w:rsidR="00000000" w:rsidRDefault="00000000">
            <w:pPr>
              <w:shd w:val="clear" w:color="auto" w:fill="FFFFFF"/>
              <w:rPr>
                <w:bCs/>
                <w:lang w:val="sr-Cyrl-CS"/>
              </w:rPr>
            </w:pPr>
            <w:r>
              <w:rPr>
                <w:bCs/>
                <w:lang w:val="sr-Cyrl-CS"/>
              </w:rPr>
              <w:t>%</w:t>
            </w:r>
          </w:p>
        </w:tc>
        <w:tc>
          <w:tcPr>
            <w:tcW w:w="2805" w:type="dxa"/>
            <w:tcBorders>
              <w:top w:val="nil"/>
              <w:bottom w:val="nil"/>
            </w:tcBorders>
          </w:tcPr>
          <w:p w:rsidR="00000000" w:rsidRDefault="00000000">
            <w:pPr>
              <w:shd w:val="clear" w:color="auto" w:fill="FFFFFF"/>
              <w:rPr>
                <w:bCs/>
                <w:lang w:val="sr-Cyrl-CS"/>
              </w:rPr>
            </w:pPr>
            <w:r>
              <w:rPr>
                <w:bCs/>
                <w:lang w:val="sr-Cyrl-CS"/>
              </w:rPr>
              <w:t>100,00</w:t>
            </w:r>
          </w:p>
        </w:tc>
        <w:tc>
          <w:tcPr>
            <w:tcW w:w="1496" w:type="dxa"/>
            <w:tcBorders>
              <w:top w:val="nil"/>
              <w:bottom w:val="nil"/>
            </w:tcBorders>
          </w:tcPr>
          <w:p w:rsidR="00000000" w:rsidRDefault="00000000">
            <w:pPr>
              <w:shd w:val="clear" w:color="auto" w:fill="FFFFFF"/>
              <w:rPr>
                <w:bCs/>
                <w:lang w:val="sr-Cyrl-CS"/>
              </w:rPr>
            </w:pPr>
            <w:r>
              <w:rPr>
                <w:bCs/>
                <w:lang w:val="sr-Cyrl-CS"/>
              </w:rPr>
              <w:t>49,36</w:t>
            </w:r>
          </w:p>
        </w:tc>
        <w:tc>
          <w:tcPr>
            <w:tcW w:w="1496" w:type="dxa"/>
            <w:tcBorders>
              <w:top w:val="nil"/>
              <w:bottom w:val="nil"/>
            </w:tcBorders>
          </w:tcPr>
          <w:p w:rsidR="00000000" w:rsidRDefault="00000000">
            <w:pPr>
              <w:shd w:val="clear" w:color="auto" w:fill="FFFFFF"/>
              <w:rPr>
                <w:bCs/>
                <w:lang w:val="sr-Cyrl-CS"/>
              </w:rPr>
            </w:pPr>
            <w:r>
              <w:rPr>
                <w:bCs/>
                <w:lang w:val="sr-Cyrl-CS"/>
              </w:rPr>
              <w:t>50,64</w:t>
            </w:r>
          </w:p>
        </w:tc>
      </w:tr>
      <w:tr w:rsidR="00000000">
        <w:tblPrEx>
          <w:tblCellMar>
            <w:top w:w="0" w:type="dxa"/>
            <w:bottom w:w="0" w:type="dxa"/>
          </w:tblCellMar>
        </w:tblPrEx>
        <w:tc>
          <w:tcPr>
            <w:tcW w:w="2057" w:type="dxa"/>
            <w:tcBorders>
              <w:top w:val="nil"/>
              <w:bottom w:val="nil"/>
            </w:tcBorders>
          </w:tcPr>
          <w:p w:rsidR="00000000" w:rsidRDefault="00000000">
            <w:pPr>
              <w:shd w:val="clear" w:color="auto" w:fill="FFFFFF"/>
              <w:rPr>
                <w:bCs/>
                <w:lang w:val="sr-Cyrl-CS"/>
              </w:rPr>
            </w:pPr>
            <w:r>
              <w:rPr>
                <w:bCs/>
                <w:lang w:val="sr-Cyrl-CS"/>
              </w:rPr>
              <w:t>2000/01</w:t>
            </w:r>
          </w:p>
        </w:tc>
        <w:tc>
          <w:tcPr>
            <w:tcW w:w="1683" w:type="dxa"/>
            <w:tcBorders>
              <w:top w:val="nil"/>
              <w:bottom w:val="nil"/>
            </w:tcBorders>
          </w:tcPr>
          <w:p w:rsidR="00000000" w:rsidRDefault="00000000">
            <w:pPr>
              <w:shd w:val="clear" w:color="auto" w:fill="FFFFFF"/>
              <w:rPr>
                <w:bCs/>
                <w:lang w:val="sr-Cyrl-CS"/>
              </w:rPr>
            </w:pPr>
          </w:p>
        </w:tc>
        <w:tc>
          <w:tcPr>
            <w:tcW w:w="2805" w:type="dxa"/>
            <w:tcBorders>
              <w:top w:val="nil"/>
              <w:bottom w:val="nil"/>
            </w:tcBorders>
          </w:tcPr>
          <w:p w:rsidR="00000000" w:rsidRDefault="00000000">
            <w:pPr>
              <w:shd w:val="clear" w:color="auto" w:fill="FFFFFF"/>
              <w:rPr>
                <w:bCs/>
                <w:lang w:val="sr-Cyrl-CS"/>
              </w:rPr>
            </w:pPr>
            <w:r>
              <w:rPr>
                <w:bCs/>
                <w:lang w:val="sr-Cyrl-CS"/>
              </w:rPr>
              <w:t>315,589</w:t>
            </w:r>
          </w:p>
        </w:tc>
        <w:tc>
          <w:tcPr>
            <w:tcW w:w="1496" w:type="dxa"/>
            <w:tcBorders>
              <w:top w:val="nil"/>
              <w:bottom w:val="nil"/>
            </w:tcBorders>
          </w:tcPr>
          <w:p w:rsidR="00000000" w:rsidRDefault="00000000">
            <w:pPr>
              <w:shd w:val="clear" w:color="auto" w:fill="FFFFFF"/>
              <w:rPr>
                <w:bCs/>
                <w:lang w:val="sr-Cyrl-CS"/>
              </w:rPr>
            </w:pPr>
            <w:r>
              <w:rPr>
                <w:bCs/>
                <w:lang w:val="sr-Cyrl-CS"/>
              </w:rPr>
              <w:t>154,783</w:t>
            </w:r>
          </w:p>
        </w:tc>
        <w:tc>
          <w:tcPr>
            <w:tcW w:w="1496" w:type="dxa"/>
            <w:tcBorders>
              <w:top w:val="nil"/>
              <w:bottom w:val="nil"/>
            </w:tcBorders>
          </w:tcPr>
          <w:p w:rsidR="00000000" w:rsidRDefault="00000000">
            <w:pPr>
              <w:shd w:val="clear" w:color="auto" w:fill="FFFFFF"/>
              <w:rPr>
                <w:bCs/>
                <w:lang w:val="sr-Cyrl-CS"/>
              </w:rPr>
            </w:pPr>
            <w:r>
              <w:rPr>
                <w:bCs/>
                <w:lang w:val="sr-Cyrl-CS"/>
              </w:rPr>
              <w:t>160,806</w:t>
            </w:r>
          </w:p>
        </w:tc>
      </w:tr>
      <w:tr w:rsidR="00000000">
        <w:tblPrEx>
          <w:tblCellMar>
            <w:top w:w="0" w:type="dxa"/>
            <w:bottom w:w="0" w:type="dxa"/>
          </w:tblCellMar>
        </w:tblPrEx>
        <w:tc>
          <w:tcPr>
            <w:tcW w:w="2057" w:type="dxa"/>
            <w:tcBorders>
              <w:top w:val="nil"/>
            </w:tcBorders>
          </w:tcPr>
          <w:p w:rsidR="00000000" w:rsidRDefault="00000000">
            <w:pPr>
              <w:shd w:val="clear" w:color="auto" w:fill="FFFFFF"/>
              <w:rPr>
                <w:bCs/>
                <w:lang w:val="sr-Cyrl-CS"/>
              </w:rPr>
            </w:pPr>
          </w:p>
        </w:tc>
        <w:tc>
          <w:tcPr>
            <w:tcW w:w="1683" w:type="dxa"/>
            <w:tcBorders>
              <w:top w:val="nil"/>
            </w:tcBorders>
          </w:tcPr>
          <w:p w:rsidR="00000000" w:rsidRDefault="00000000">
            <w:pPr>
              <w:shd w:val="clear" w:color="auto" w:fill="FFFFFF"/>
              <w:rPr>
                <w:bCs/>
                <w:lang w:val="sr-Cyrl-CS"/>
              </w:rPr>
            </w:pPr>
            <w:r>
              <w:rPr>
                <w:bCs/>
                <w:lang w:val="sr-Cyrl-CS"/>
              </w:rPr>
              <w:t>%</w:t>
            </w:r>
          </w:p>
        </w:tc>
        <w:tc>
          <w:tcPr>
            <w:tcW w:w="2805" w:type="dxa"/>
            <w:tcBorders>
              <w:top w:val="nil"/>
            </w:tcBorders>
          </w:tcPr>
          <w:p w:rsidR="00000000" w:rsidRDefault="00000000">
            <w:pPr>
              <w:shd w:val="clear" w:color="auto" w:fill="FFFFFF"/>
              <w:rPr>
                <w:bCs/>
                <w:lang w:val="sr-Cyrl-CS"/>
              </w:rPr>
            </w:pPr>
            <w:r>
              <w:rPr>
                <w:bCs/>
                <w:lang w:val="sr-Cyrl-CS"/>
              </w:rPr>
              <w:t>100,00</w:t>
            </w:r>
          </w:p>
        </w:tc>
        <w:tc>
          <w:tcPr>
            <w:tcW w:w="1496" w:type="dxa"/>
            <w:tcBorders>
              <w:top w:val="nil"/>
            </w:tcBorders>
          </w:tcPr>
          <w:p w:rsidR="00000000" w:rsidRDefault="00000000">
            <w:pPr>
              <w:shd w:val="clear" w:color="auto" w:fill="FFFFFF"/>
              <w:rPr>
                <w:bCs/>
                <w:lang w:val="sr-Cyrl-CS"/>
              </w:rPr>
            </w:pPr>
            <w:r>
              <w:rPr>
                <w:bCs/>
                <w:lang w:val="sr-Cyrl-CS"/>
              </w:rPr>
              <w:t>49,05</w:t>
            </w:r>
          </w:p>
        </w:tc>
        <w:tc>
          <w:tcPr>
            <w:tcW w:w="1496" w:type="dxa"/>
            <w:tcBorders>
              <w:top w:val="nil"/>
            </w:tcBorders>
          </w:tcPr>
          <w:p w:rsidR="00000000" w:rsidRDefault="00000000">
            <w:pPr>
              <w:shd w:val="clear" w:color="auto" w:fill="FFFFFF"/>
              <w:rPr>
                <w:bCs/>
                <w:lang w:val="sr-Cyrl-CS"/>
              </w:rPr>
            </w:pPr>
            <w:r>
              <w:rPr>
                <w:bCs/>
                <w:lang w:val="sr-Cyrl-CS"/>
              </w:rPr>
              <w:t>50,95</w:t>
            </w:r>
          </w:p>
        </w:tc>
      </w:tr>
    </w:tbl>
    <w:p w:rsidR="00000000" w:rsidRDefault="00000000">
      <w:pPr>
        <w:shd w:val="clear" w:color="auto" w:fill="FFFFFF"/>
      </w:pPr>
    </w:p>
    <w:p w:rsidR="00000000" w:rsidRDefault="00000000">
      <w:r>
        <w:tab/>
      </w:r>
      <w:r>
        <w:rPr>
          <w:i/>
          <w:iCs/>
        </w:rPr>
        <w:t>Источник:</w:t>
      </w:r>
      <w:r>
        <w:t xml:space="preserve">  Статистические ежегодники Республиканского статистического управления.</w:t>
      </w:r>
    </w:p>
    <w:p w:rsidR="00000000" w:rsidRDefault="00000000"/>
    <w:p w:rsidR="00000000" w:rsidRDefault="00000000">
      <w:r>
        <w:rPr>
          <w:b/>
          <w:bCs/>
          <w:vertAlign w:val="superscript"/>
        </w:rPr>
        <w:t>а</w:t>
      </w:r>
      <w:r>
        <w:tab/>
        <w:t>Учащиеся в обычных средних школах без учета учащихся в специальных средних школах для взрослых.</w:t>
      </w:r>
    </w:p>
    <w:p w:rsidR="00000000" w:rsidRDefault="00000000"/>
    <w:p w:rsidR="00000000" w:rsidRDefault="00000000">
      <w:pPr>
        <w:pageBreakBefore/>
        <w:rPr>
          <w:b/>
          <w:bCs/>
        </w:rPr>
      </w:pPr>
      <w:r>
        <w:rPr>
          <w:b/>
          <w:bCs/>
        </w:rPr>
        <w:t>Высшее и университетское образование</w:t>
      </w:r>
    </w:p>
    <w:p w:rsidR="00000000" w:rsidRDefault="00000000">
      <w:pPr>
        <w:rPr>
          <w:b/>
          <w:bCs/>
        </w:rPr>
      </w:pPr>
    </w:p>
    <w:p w:rsidR="00000000" w:rsidRDefault="00000000">
      <w:r>
        <w:t>375.</w:t>
      </w:r>
      <w:r>
        <w:tab/>
        <w:t>Данные, касающиеся охвата системы высшего и университетского образования, указывают на значительный рост числа студентов в течение прошедшего десятилетия.  В отличие от учащихся начальных и средних школ, численность студентов университетов значительно возросла.  Особенно резкий рост был отмечен в последней половине прошедшего десятилетия (1995/1996 и 1999/2000 учебные годы).  В 1995/1996 учебном году был отмечен значительный прирост численности студентов университетов по сравнению с 1992/1993 учебным годом.  Наиболее резкий рост был зарегистрирован в 1990/2000 учебном году</w:t>
      </w:r>
      <w:r>
        <w:rPr>
          <w:rStyle w:val="FootnoteReference"/>
        </w:rPr>
        <w:footnoteReference w:id="52"/>
      </w:r>
      <w:r>
        <w:t xml:space="preserve">.  Сопоставление численности студентов и выпускников вузов в 1992/1993 учебном году (соответственно 136 241 и 16 636) с аналогичными показателями за 1999/2000 учебный год (217 787 и 16 226) показало, что заметный прирост численности учащихся вузов не создает четкой картины реальной академической ситуации в Союзной Республике Югославии.  </w:t>
      </w:r>
    </w:p>
    <w:p w:rsidR="00000000" w:rsidRDefault="00000000"/>
    <w:p w:rsidR="00000000" w:rsidRDefault="00000000">
      <w:r>
        <w:t>376.</w:t>
      </w:r>
      <w:r>
        <w:tab/>
        <w:t>Одной из важных причин сложившейся ситуации в сфере институтского и университетского образования является нехватка рабочих мест и отсутствие возможностей трудоустройства для школьников, окончивших среднюю школу.  Это заставило многих выпускников поступать в университеты и институты и привело к тому, что, если одни студенты старались получать знания и развивать навыки, то другие вместо учебы работали на черном рынке.  Студентами они являлись лишь на бумаге</w:t>
      </w:r>
      <w:r>
        <w:rPr>
          <w:rStyle w:val="FootnoteReference"/>
        </w:rPr>
        <w:footnoteReference w:id="53"/>
      </w:r>
      <w:r>
        <w:t>.  Принятое новое законодательство в области образования позволило изменить ситуацию, о чем свидетельствует уровень охвата в 2000/2001 учебном году.  В частности, общее количество студентов по сравнению с 2000 годом снизилось на 10,83% (с 217 787 в 1999/2000 учебном году до 194 198 в 2000/2001 учебном году).</w:t>
      </w:r>
    </w:p>
    <w:p w:rsidR="00000000" w:rsidRDefault="00000000"/>
    <w:p w:rsidR="00000000" w:rsidRDefault="00000000">
      <w:r>
        <w:t>377.</w:t>
      </w:r>
      <w:r>
        <w:tab/>
        <w:t xml:space="preserve">Статистические данные в разбивке по полу показывают, что в системе институтского и университетского образования доля женщин среди студентов дневных отделений составила 53%, а мужчин - 47%;  среди студентов, получающих степень бакалавра гуманитарных наук или бакалавра технических наук, на женщин приходится 57%, а на мужчин - 43%. </w:t>
      </w:r>
    </w:p>
    <w:p w:rsidR="00000000" w:rsidRDefault="00000000">
      <w:pPr>
        <w:spacing w:line="216" w:lineRule="auto"/>
        <w:rPr>
          <w:sz w:val="16"/>
        </w:rPr>
      </w:pPr>
    </w:p>
    <w:p w:rsidR="00000000" w:rsidRDefault="00000000">
      <w:pPr>
        <w:pStyle w:val="BodyText"/>
        <w:pageBreakBefore/>
        <w:tabs>
          <w:tab w:val="num" w:pos="1365"/>
        </w:tabs>
        <w:spacing w:line="216" w:lineRule="auto"/>
        <w:jc w:val="center"/>
        <w:rPr>
          <w:b/>
          <w:bCs/>
          <w:sz w:val="24"/>
          <w:lang w:val="ru-RU"/>
        </w:rPr>
      </w:pPr>
      <w:r>
        <w:rPr>
          <w:b/>
          <w:bCs/>
          <w:sz w:val="24"/>
          <w:lang w:val="ru-RU"/>
        </w:rPr>
        <w:t xml:space="preserve">Таблица </w:t>
      </w:r>
      <w:r>
        <w:rPr>
          <w:b/>
          <w:bCs/>
          <w:sz w:val="24"/>
        </w:rPr>
        <w:t>2</w:t>
      </w:r>
      <w:r>
        <w:rPr>
          <w:b/>
          <w:bCs/>
          <w:sz w:val="24"/>
          <w:lang w:val="ru-RU"/>
        </w:rPr>
        <w:t>1</w:t>
      </w:r>
    </w:p>
    <w:p w:rsidR="00000000" w:rsidRDefault="00000000">
      <w:pPr>
        <w:pStyle w:val="BodyText"/>
        <w:tabs>
          <w:tab w:val="num" w:pos="1365"/>
        </w:tabs>
        <w:spacing w:line="216" w:lineRule="auto"/>
        <w:jc w:val="center"/>
        <w:rPr>
          <w:b/>
          <w:bCs/>
          <w:sz w:val="16"/>
          <w:lang w:val="ru-RU"/>
        </w:rPr>
      </w:pPr>
    </w:p>
    <w:p w:rsidR="00000000" w:rsidRDefault="00000000">
      <w:pPr>
        <w:pStyle w:val="BodyText"/>
        <w:tabs>
          <w:tab w:val="num" w:pos="1365"/>
        </w:tabs>
        <w:spacing w:line="216" w:lineRule="auto"/>
        <w:jc w:val="center"/>
        <w:rPr>
          <w:b/>
          <w:bCs/>
          <w:sz w:val="24"/>
          <w:lang w:val="ru-RU"/>
        </w:rPr>
      </w:pPr>
      <w:r>
        <w:rPr>
          <w:b/>
          <w:bCs/>
          <w:sz w:val="24"/>
          <w:lang w:val="ru-RU"/>
        </w:rPr>
        <w:t>Учащиеся в системе высшего образования в разбивке по полу</w:t>
      </w:r>
    </w:p>
    <w:p w:rsidR="00000000" w:rsidRDefault="00000000">
      <w:pPr>
        <w:pStyle w:val="BodyText"/>
        <w:tabs>
          <w:tab w:val="num" w:pos="1365"/>
        </w:tabs>
        <w:spacing w:line="216" w:lineRule="auto"/>
        <w:jc w:val="center"/>
        <w:rPr>
          <w:sz w:val="16"/>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61"/>
        <w:gridCol w:w="860"/>
        <w:gridCol w:w="860"/>
        <w:gridCol w:w="860"/>
        <w:gridCol w:w="687"/>
        <w:gridCol w:w="860"/>
        <w:gridCol w:w="860"/>
        <w:gridCol w:w="860"/>
        <w:gridCol w:w="800"/>
        <w:gridCol w:w="935"/>
        <w:gridCol w:w="968"/>
      </w:tblGrid>
      <w:tr w:rsidR="00000000">
        <w:tblPrEx>
          <w:tblCellMar>
            <w:top w:w="0" w:type="dxa"/>
            <w:bottom w:w="0" w:type="dxa"/>
          </w:tblCellMar>
        </w:tblPrEx>
        <w:trPr>
          <w:cantSplit/>
        </w:trPr>
        <w:tc>
          <w:tcPr>
            <w:tcW w:w="861" w:type="dxa"/>
            <w:vMerge w:val="restart"/>
          </w:tcPr>
          <w:p w:rsidR="00000000" w:rsidRDefault="00000000">
            <w:pPr>
              <w:jc w:val="center"/>
              <w:rPr>
                <w:bCs/>
                <w:sz w:val="16"/>
              </w:rPr>
            </w:pPr>
            <w:r>
              <w:rPr>
                <w:bCs/>
                <w:sz w:val="16"/>
              </w:rPr>
              <w:t>Учебный год</w:t>
            </w:r>
          </w:p>
        </w:tc>
        <w:tc>
          <w:tcPr>
            <w:tcW w:w="2580" w:type="dxa"/>
            <w:gridSpan w:val="3"/>
          </w:tcPr>
          <w:p w:rsidR="00000000" w:rsidRDefault="00000000">
            <w:pPr>
              <w:jc w:val="center"/>
              <w:rPr>
                <w:bCs/>
                <w:sz w:val="16"/>
                <w:lang w:val="sr-Cyrl-CS"/>
              </w:rPr>
            </w:pPr>
            <w:r>
              <w:rPr>
                <w:bCs/>
                <w:sz w:val="16"/>
                <w:lang w:val="sr-Cyrl-CS"/>
              </w:rPr>
              <w:t>Численность студентов в системе высшего образования</w:t>
            </w:r>
          </w:p>
        </w:tc>
        <w:tc>
          <w:tcPr>
            <w:tcW w:w="2407" w:type="dxa"/>
            <w:gridSpan w:val="3"/>
          </w:tcPr>
          <w:p w:rsidR="00000000" w:rsidRDefault="00000000">
            <w:pPr>
              <w:tabs>
                <w:tab w:val="clear" w:pos="6237"/>
              </w:tabs>
              <w:jc w:val="center"/>
              <w:rPr>
                <w:bCs/>
                <w:sz w:val="16"/>
              </w:rPr>
            </w:pPr>
            <w:r>
              <w:rPr>
                <w:bCs/>
                <w:sz w:val="16"/>
              </w:rPr>
              <w:t>Численность студентов дневных отделений</w:t>
            </w:r>
          </w:p>
        </w:tc>
        <w:tc>
          <w:tcPr>
            <w:tcW w:w="860" w:type="dxa"/>
            <w:vMerge w:val="restart"/>
          </w:tcPr>
          <w:p w:rsidR="00000000" w:rsidRDefault="00000000">
            <w:pPr>
              <w:jc w:val="center"/>
              <w:rPr>
                <w:bCs/>
                <w:sz w:val="16"/>
                <w:lang w:val="en-US"/>
              </w:rPr>
            </w:pPr>
            <w:r>
              <w:rPr>
                <w:bCs/>
                <w:sz w:val="16"/>
              </w:rPr>
              <w:t>Учебный</w:t>
            </w:r>
            <w:r>
              <w:rPr>
                <w:bCs/>
                <w:sz w:val="16"/>
                <w:lang w:val="en-US"/>
              </w:rPr>
              <w:t xml:space="preserve"> </w:t>
            </w:r>
            <w:r>
              <w:rPr>
                <w:bCs/>
                <w:sz w:val="16"/>
              </w:rPr>
              <w:t>год</w:t>
            </w:r>
          </w:p>
        </w:tc>
        <w:tc>
          <w:tcPr>
            <w:tcW w:w="2703" w:type="dxa"/>
            <w:gridSpan w:val="3"/>
            <w:vMerge w:val="restart"/>
          </w:tcPr>
          <w:p w:rsidR="00000000" w:rsidRDefault="00000000">
            <w:pPr>
              <w:jc w:val="center"/>
              <w:rPr>
                <w:bCs/>
                <w:sz w:val="16"/>
              </w:rPr>
            </w:pPr>
            <w:r>
              <w:rPr>
                <w:bCs/>
                <w:sz w:val="16"/>
              </w:rPr>
              <w:t>Студенты-выпускники</w:t>
            </w:r>
          </w:p>
        </w:tc>
      </w:tr>
      <w:tr w:rsidR="00000000">
        <w:tblPrEx>
          <w:tblCellMar>
            <w:top w:w="0" w:type="dxa"/>
            <w:bottom w:w="0" w:type="dxa"/>
          </w:tblCellMar>
        </w:tblPrEx>
        <w:trPr>
          <w:cantSplit/>
        </w:trPr>
        <w:tc>
          <w:tcPr>
            <w:tcW w:w="861" w:type="dxa"/>
            <w:vMerge/>
            <w:tcBorders>
              <w:bottom w:val="single" w:sz="4" w:space="0" w:color="auto"/>
            </w:tcBorders>
          </w:tcPr>
          <w:p w:rsidR="00000000" w:rsidRDefault="00000000">
            <w:pPr>
              <w:jc w:val="center"/>
              <w:rPr>
                <w:bCs/>
                <w:sz w:val="16"/>
                <w:lang w:val="sr-Cyrl-CS"/>
              </w:rPr>
            </w:pPr>
          </w:p>
        </w:tc>
        <w:tc>
          <w:tcPr>
            <w:tcW w:w="2580" w:type="dxa"/>
            <w:gridSpan w:val="3"/>
            <w:tcBorders>
              <w:bottom w:val="single" w:sz="4" w:space="0" w:color="auto"/>
            </w:tcBorders>
          </w:tcPr>
          <w:p w:rsidR="00000000" w:rsidRDefault="00000000">
            <w:pPr>
              <w:jc w:val="center"/>
              <w:rPr>
                <w:bCs/>
                <w:sz w:val="16"/>
              </w:rPr>
            </w:pPr>
            <w:r>
              <w:rPr>
                <w:bCs/>
                <w:sz w:val="16"/>
              </w:rPr>
              <w:t xml:space="preserve">Общая численность студентов </w:t>
            </w:r>
          </w:p>
        </w:tc>
        <w:tc>
          <w:tcPr>
            <w:tcW w:w="2407" w:type="dxa"/>
            <w:gridSpan w:val="3"/>
            <w:tcBorders>
              <w:bottom w:val="single" w:sz="4" w:space="0" w:color="auto"/>
            </w:tcBorders>
          </w:tcPr>
          <w:p w:rsidR="00000000" w:rsidRDefault="00000000">
            <w:pPr>
              <w:jc w:val="center"/>
              <w:rPr>
                <w:bCs/>
                <w:sz w:val="16"/>
              </w:rPr>
            </w:pPr>
            <w:r>
              <w:rPr>
                <w:bCs/>
                <w:sz w:val="16"/>
              </w:rPr>
              <w:t>Общая численность студентов дневных отделений</w:t>
            </w:r>
          </w:p>
        </w:tc>
        <w:tc>
          <w:tcPr>
            <w:tcW w:w="860" w:type="dxa"/>
            <w:vMerge/>
            <w:tcBorders>
              <w:bottom w:val="single" w:sz="4" w:space="0" w:color="auto"/>
            </w:tcBorders>
          </w:tcPr>
          <w:p w:rsidR="00000000" w:rsidRDefault="00000000">
            <w:pPr>
              <w:jc w:val="center"/>
              <w:rPr>
                <w:bCs/>
                <w:sz w:val="16"/>
                <w:lang w:val="sr-Cyrl-CS"/>
              </w:rPr>
            </w:pPr>
          </w:p>
        </w:tc>
        <w:tc>
          <w:tcPr>
            <w:tcW w:w="2703" w:type="dxa"/>
            <w:gridSpan w:val="3"/>
            <w:vMerge/>
            <w:tcBorders>
              <w:bottom w:val="single" w:sz="4" w:space="0" w:color="auto"/>
            </w:tcBorders>
          </w:tcPr>
          <w:p w:rsidR="00000000" w:rsidRDefault="00000000">
            <w:pPr>
              <w:jc w:val="center"/>
              <w:rPr>
                <w:bCs/>
                <w:sz w:val="16"/>
                <w:lang w:val="sr-Cyrl-CS"/>
              </w:rPr>
            </w:pP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rPr>
            </w:pPr>
            <w:r>
              <w:rPr>
                <w:bCs/>
                <w:sz w:val="16"/>
              </w:rPr>
              <w:t>Всего</w:t>
            </w:r>
          </w:p>
        </w:tc>
        <w:tc>
          <w:tcPr>
            <w:tcW w:w="860" w:type="dxa"/>
            <w:shd w:val="clear" w:color="auto" w:fill="FFFFFF"/>
          </w:tcPr>
          <w:p w:rsidR="00000000" w:rsidRDefault="00000000">
            <w:pPr>
              <w:jc w:val="center"/>
              <w:rPr>
                <w:bCs/>
                <w:sz w:val="16"/>
              </w:rPr>
            </w:pPr>
            <w:r>
              <w:rPr>
                <w:bCs/>
                <w:sz w:val="16"/>
              </w:rPr>
              <w:t>Мужчины</w:t>
            </w:r>
          </w:p>
        </w:tc>
        <w:tc>
          <w:tcPr>
            <w:tcW w:w="860" w:type="dxa"/>
            <w:shd w:val="clear" w:color="auto" w:fill="FFFFFF"/>
          </w:tcPr>
          <w:p w:rsidR="00000000" w:rsidRDefault="00000000">
            <w:pPr>
              <w:jc w:val="center"/>
              <w:rPr>
                <w:bCs/>
                <w:sz w:val="16"/>
              </w:rPr>
            </w:pPr>
            <w:r>
              <w:rPr>
                <w:bCs/>
                <w:sz w:val="16"/>
              </w:rPr>
              <w:t>Женщины</w:t>
            </w:r>
          </w:p>
        </w:tc>
        <w:tc>
          <w:tcPr>
            <w:tcW w:w="687" w:type="dxa"/>
            <w:shd w:val="clear" w:color="auto" w:fill="FFFFFF"/>
          </w:tcPr>
          <w:p w:rsidR="00000000" w:rsidRDefault="00000000">
            <w:pPr>
              <w:jc w:val="center"/>
              <w:rPr>
                <w:bCs/>
                <w:sz w:val="16"/>
              </w:rPr>
            </w:pPr>
            <w:r>
              <w:rPr>
                <w:bCs/>
                <w:sz w:val="16"/>
              </w:rPr>
              <w:t>Всего</w:t>
            </w:r>
          </w:p>
        </w:tc>
        <w:tc>
          <w:tcPr>
            <w:tcW w:w="860" w:type="dxa"/>
            <w:shd w:val="clear" w:color="auto" w:fill="FFFFFF"/>
          </w:tcPr>
          <w:p w:rsidR="00000000" w:rsidRDefault="00000000">
            <w:pPr>
              <w:jc w:val="center"/>
              <w:rPr>
                <w:bCs/>
                <w:sz w:val="16"/>
              </w:rPr>
            </w:pPr>
            <w:r>
              <w:rPr>
                <w:bCs/>
                <w:sz w:val="16"/>
              </w:rPr>
              <w:t>Мужчины</w:t>
            </w:r>
          </w:p>
        </w:tc>
        <w:tc>
          <w:tcPr>
            <w:tcW w:w="860" w:type="dxa"/>
            <w:shd w:val="clear" w:color="auto" w:fill="FFFFFF"/>
          </w:tcPr>
          <w:p w:rsidR="00000000" w:rsidRDefault="00000000">
            <w:pPr>
              <w:jc w:val="center"/>
              <w:rPr>
                <w:bCs/>
                <w:sz w:val="16"/>
              </w:rPr>
            </w:pPr>
            <w:r>
              <w:rPr>
                <w:bCs/>
                <w:sz w:val="16"/>
              </w:rPr>
              <w:t>Женщины</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rPr>
            </w:pPr>
            <w:r>
              <w:rPr>
                <w:bCs/>
                <w:sz w:val="16"/>
              </w:rPr>
              <w:t>Всего</w:t>
            </w:r>
          </w:p>
        </w:tc>
        <w:tc>
          <w:tcPr>
            <w:tcW w:w="935" w:type="dxa"/>
            <w:shd w:val="clear" w:color="auto" w:fill="FFFFFF"/>
          </w:tcPr>
          <w:p w:rsidR="00000000" w:rsidRDefault="00000000">
            <w:pPr>
              <w:jc w:val="center"/>
              <w:rPr>
                <w:bCs/>
                <w:sz w:val="16"/>
              </w:rPr>
            </w:pPr>
            <w:r>
              <w:rPr>
                <w:bCs/>
                <w:sz w:val="16"/>
              </w:rPr>
              <w:t>Мужчины</w:t>
            </w:r>
          </w:p>
        </w:tc>
        <w:tc>
          <w:tcPr>
            <w:tcW w:w="968" w:type="dxa"/>
            <w:shd w:val="clear" w:color="auto" w:fill="FFFFFF"/>
          </w:tcPr>
          <w:p w:rsidR="00000000" w:rsidRDefault="00000000">
            <w:pPr>
              <w:tabs>
                <w:tab w:val="clear" w:pos="1134"/>
                <w:tab w:val="left" w:pos="640"/>
              </w:tabs>
              <w:jc w:val="center"/>
              <w:rPr>
                <w:bCs/>
                <w:sz w:val="16"/>
              </w:rPr>
            </w:pPr>
            <w:r>
              <w:rPr>
                <w:bCs/>
                <w:sz w:val="16"/>
              </w:rPr>
              <w:t>Женщины</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1991/92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127 046</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60 422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66 624</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99 219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48 399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50 820</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1992</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16 636</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7 087</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9 549</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47,56</w:t>
            </w:r>
          </w:p>
        </w:tc>
        <w:tc>
          <w:tcPr>
            <w:tcW w:w="860" w:type="dxa"/>
            <w:shd w:val="clear" w:color="auto" w:fill="FFFFFF"/>
          </w:tcPr>
          <w:p w:rsidR="00000000" w:rsidRDefault="00000000">
            <w:pPr>
              <w:jc w:val="center"/>
              <w:rPr>
                <w:bCs/>
                <w:sz w:val="16"/>
                <w:lang w:val="sr-Cyrl-CS"/>
              </w:rPr>
            </w:pPr>
            <w:r>
              <w:rPr>
                <w:bCs/>
                <w:sz w:val="16"/>
                <w:lang w:val="sr-Cyrl-CS"/>
              </w:rPr>
              <w:t>52, 44</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48,78</w:t>
            </w:r>
          </w:p>
        </w:tc>
        <w:tc>
          <w:tcPr>
            <w:tcW w:w="860" w:type="dxa"/>
            <w:shd w:val="clear" w:color="auto" w:fill="FFFFFF"/>
          </w:tcPr>
          <w:p w:rsidR="00000000" w:rsidRDefault="00000000">
            <w:pPr>
              <w:jc w:val="center"/>
              <w:rPr>
                <w:bCs/>
                <w:sz w:val="16"/>
                <w:lang w:val="sr-Cyrl-CS"/>
              </w:rPr>
            </w:pPr>
            <w:r>
              <w:rPr>
                <w:bCs/>
                <w:sz w:val="16"/>
                <w:lang w:val="sr-Cyrl-CS"/>
              </w:rPr>
              <w:t>51,22</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42,60</w:t>
            </w:r>
          </w:p>
        </w:tc>
        <w:tc>
          <w:tcPr>
            <w:tcW w:w="968" w:type="dxa"/>
            <w:shd w:val="clear" w:color="auto" w:fill="FFFFFF"/>
          </w:tcPr>
          <w:p w:rsidR="00000000" w:rsidRDefault="00000000">
            <w:pPr>
              <w:jc w:val="center"/>
              <w:rPr>
                <w:bCs/>
                <w:sz w:val="16"/>
                <w:lang w:val="sr-Cyrl-CS"/>
              </w:rPr>
            </w:pPr>
            <w:r>
              <w:rPr>
                <w:bCs/>
                <w:sz w:val="16"/>
                <w:lang w:val="sr-Cyrl-CS"/>
              </w:rPr>
              <w:t>57,40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1992/93</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136 241</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63 769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72 472</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104 732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50 391</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54 341</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1993</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15.149</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6.543</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8 606</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45,67</w:t>
            </w:r>
          </w:p>
        </w:tc>
        <w:tc>
          <w:tcPr>
            <w:tcW w:w="860" w:type="dxa"/>
            <w:shd w:val="clear" w:color="auto" w:fill="FFFFFF"/>
          </w:tcPr>
          <w:p w:rsidR="00000000" w:rsidRDefault="00000000">
            <w:pPr>
              <w:jc w:val="center"/>
              <w:rPr>
                <w:bCs/>
                <w:sz w:val="16"/>
                <w:lang w:val="sr-Cyrl-CS"/>
              </w:rPr>
            </w:pPr>
            <w:r>
              <w:rPr>
                <w:bCs/>
                <w:sz w:val="16"/>
                <w:lang w:val="sr-Cyrl-CS"/>
              </w:rPr>
              <w:t>54,33</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46,53</w:t>
            </w:r>
          </w:p>
        </w:tc>
        <w:tc>
          <w:tcPr>
            <w:tcW w:w="860" w:type="dxa"/>
            <w:shd w:val="clear" w:color="auto" w:fill="FFFFFF"/>
          </w:tcPr>
          <w:p w:rsidR="00000000" w:rsidRDefault="00000000">
            <w:pPr>
              <w:jc w:val="center"/>
              <w:rPr>
                <w:bCs/>
                <w:sz w:val="16"/>
                <w:lang w:val="sr-Cyrl-CS"/>
              </w:rPr>
            </w:pPr>
            <w:r>
              <w:rPr>
                <w:bCs/>
                <w:sz w:val="16"/>
                <w:lang w:val="sr-Cyrl-CS"/>
              </w:rPr>
              <w:t>53,47</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43,10</w:t>
            </w:r>
          </w:p>
        </w:tc>
        <w:tc>
          <w:tcPr>
            <w:tcW w:w="968" w:type="dxa"/>
            <w:shd w:val="clear" w:color="auto" w:fill="FFFFFF"/>
          </w:tcPr>
          <w:p w:rsidR="00000000" w:rsidRDefault="00000000">
            <w:pPr>
              <w:jc w:val="center"/>
              <w:rPr>
                <w:bCs/>
                <w:sz w:val="16"/>
                <w:lang w:val="sr-Cyrl-CS"/>
              </w:rPr>
            </w:pPr>
            <w:r>
              <w:rPr>
                <w:bCs/>
                <w:sz w:val="16"/>
                <w:lang w:val="sr-Cyrl-CS"/>
              </w:rPr>
              <w:t>56,90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1993/94</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134 909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61 607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73 302</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98 898</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46 022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52 876</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1994</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15 380</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6 629</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8 751</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45,67</w:t>
            </w:r>
          </w:p>
        </w:tc>
        <w:tc>
          <w:tcPr>
            <w:tcW w:w="860" w:type="dxa"/>
            <w:shd w:val="clear" w:color="auto" w:fill="FFFFFF"/>
          </w:tcPr>
          <w:p w:rsidR="00000000" w:rsidRDefault="00000000">
            <w:pPr>
              <w:jc w:val="center"/>
              <w:rPr>
                <w:bCs/>
                <w:sz w:val="16"/>
                <w:lang w:val="sr-Cyrl-CS"/>
              </w:rPr>
            </w:pPr>
            <w:r>
              <w:rPr>
                <w:bCs/>
                <w:sz w:val="16"/>
                <w:lang w:val="sr-Cyrl-CS"/>
              </w:rPr>
              <w:t>54,33</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46,53</w:t>
            </w:r>
          </w:p>
        </w:tc>
        <w:tc>
          <w:tcPr>
            <w:tcW w:w="860" w:type="dxa"/>
            <w:shd w:val="clear" w:color="auto" w:fill="FFFFFF"/>
          </w:tcPr>
          <w:p w:rsidR="00000000" w:rsidRDefault="00000000">
            <w:pPr>
              <w:jc w:val="center"/>
              <w:rPr>
                <w:bCs/>
                <w:sz w:val="16"/>
                <w:lang w:val="sr-Cyrl-CS"/>
              </w:rPr>
            </w:pPr>
            <w:r>
              <w:rPr>
                <w:bCs/>
                <w:sz w:val="16"/>
                <w:lang w:val="sr-Cyrl-CS"/>
              </w:rPr>
              <w:t>53,47</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43,10</w:t>
            </w:r>
          </w:p>
        </w:tc>
        <w:tc>
          <w:tcPr>
            <w:tcW w:w="968" w:type="dxa"/>
            <w:shd w:val="clear" w:color="auto" w:fill="FFFFFF"/>
          </w:tcPr>
          <w:p w:rsidR="00000000" w:rsidRDefault="00000000">
            <w:pPr>
              <w:jc w:val="center"/>
              <w:rPr>
                <w:bCs/>
                <w:sz w:val="16"/>
                <w:lang w:val="sr-Cyrl-CS"/>
              </w:rPr>
            </w:pPr>
            <w:r>
              <w:rPr>
                <w:bCs/>
                <w:sz w:val="16"/>
                <w:lang w:val="sr-Cyrl-CS"/>
              </w:rPr>
              <w:t>56,90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1994/95</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137 467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63 001</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74 466</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98 607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46 440</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52 167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1995</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16 324</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7 003</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9 321</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45,83</w:t>
            </w:r>
          </w:p>
        </w:tc>
        <w:tc>
          <w:tcPr>
            <w:tcW w:w="860" w:type="dxa"/>
            <w:shd w:val="clear" w:color="auto" w:fill="FFFFFF"/>
          </w:tcPr>
          <w:p w:rsidR="00000000" w:rsidRDefault="00000000">
            <w:pPr>
              <w:jc w:val="center"/>
              <w:rPr>
                <w:bCs/>
                <w:sz w:val="16"/>
                <w:lang w:val="sr-Cyrl-CS"/>
              </w:rPr>
            </w:pPr>
            <w:r>
              <w:rPr>
                <w:bCs/>
                <w:sz w:val="16"/>
                <w:lang w:val="sr-Cyrl-CS"/>
              </w:rPr>
              <w:t>54,17</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47,10</w:t>
            </w:r>
          </w:p>
        </w:tc>
        <w:tc>
          <w:tcPr>
            <w:tcW w:w="860" w:type="dxa"/>
            <w:shd w:val="clear" w:color="auto" w:fill="FFFFFF"/>
          </w:tcPr>
          <w:p w:rsidR="00000000" w:rsidRDefault="00000000">
            <w:pPr>
              <w:jc w:val="center"/>
              <w:rPr>
                <w:bCs/>
                <w:sz w:val="16"/>
                <w:lang w:val="sr-Cyrl-CS"/>
              </w:rPr>
            </w:pPr>
            <w:r>
              <w:rPr>
                <w:bCs/>
                <w:sz w:val="16"/>
                <w:lang w:val="sr-Cyrl-CS"/>
              </w:rPr>
              <w:t>52,90</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42,90</w:t>
            </w:r>
          </w:p>
        </w:tc>
        <w:tc>
          <w:tcPr>
            <w:tcW w:w="968" w:type="dxa"/>
            <w:shd w:val="clear" w:color="auto" w:fill="FFFFFF"/>
          </w:tcPr>
          <w:p w:rsidR="00000000" w:rsidRDefault="00000000">
            <w:pPr>
              <w:jc w:val="center"/>
              <w:rPr>
                <w:bCs/>
                <w:sz w:val="16"/>
                <w:lang w:val="sr-Cyrl-CS"/>
              </w:rPr>
            </w:pPr>
            <w:r>
              <w:rPr>
                <w:bCs/>
                <w:sz w:val="16"/>
                <w:lang w:val="sr-Cyrl-CS"/>
              </w:rPr>
              <w:t>57,10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1995/96</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152 709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71 436</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81 273</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101.512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48 863</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52 649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1996</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16 629</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7 279</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9 350</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46,78</w:t>
            </w:r>
          </w:p>
        </w:tc>
        <w:tc>
          <w:tcPr>
            <w:tcW w:w="860" w:type="dxa"/>
            <w:shd w:val="clear" w:color="auto" w:fill="FFFFFF"/>
          </w:tcPr>
          <w:p w:rsidR="00000000" w:rsidRDefault="00000000">
            <w:pPr>
              <w:jc w:val="center"/>
              <w:rPr>
                <w:bCs/>
                <w:sz w:val="16"/>
                <w:lang w:val="sr-Cyrl-CS"/>
              </w:rPr>
            </w:pPr>
            <w:r>
              <w:rPr>
                <w:bCs/>
                <w:sz w:val="16"/>
                <w:lang w:val="sr-Cyrl-CS"/>
              </w:rPr>
              <w:t>53,22</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48,14</w:t>
            </w:r>
          </w:p>
        </w:tc>
        <w:tc>
          <w:tcPr>
            <w:tcW w:w="860" w:type="dxa"/>
            <w:shd w:val="clear" w:color="auto" w:fill="FFFFFF"/>
          </w:tcPr>
          <w:p w:rsidR="00000000" w:rsidRDefault="00000000">
            <w:pPr>
              <w:jc w:val="center"/>
              <w:rPr>
                <w:bCs/>
                <w:sz w:val="16"/>
                <w:lang w:val="sr-Cyrl-CS"/>
              </w:rPr>
            </w:pPr>
            <w:r>
              <w:rPr>
                <w:bCs/>
                <w:sz w:val="16"/>
                <w:lang w:val="sr-Cyrl-CS"/>
              </w:rPr>
              <w:t>51,86</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43,77</w:t>
            </w:r>
          </w:p>
        </w:tc>
        <w:tc>
          <w:tcPr>
            <w:tcW w:w="968" w:type="dxa"/>
            <w:shd w:val="clear" w:color="auto" w:fill="FFFFFF"/>
          </w:tcPr>
          <w:p w:rsidR="00000000" w:rsidRDefault="00000000">
            <w:pPr>
              <w:jc w:val="center"/>
              <w:rPr>
                <w:bCs/>
                <w:sz w:val="16"/>
                <w:lang w:val="sr-Cyrl-CS"/>
              </w:rPr>
            </w:pPr>
            <w:r>
              <w:rPr>
                <w:bCs/>
                <w:sz w:val="16"/>
                <w:lang w:val="sr-Cyrl-CS"/>
              </w:rPr>
              <w:t>56,23</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1996/97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165.593</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76 453</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89 140</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101 144</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47 762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53 382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1997</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15 100</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6 635</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8  465</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46,17</w:t>
            </w:r>
          </w:p>
        </w:tc>
        <w:tc>
          <w:tcPr>
            <w:tcW w:w="860" w:type="dxa"/>
            <w:shd w:val="clear" w:color="auto" w:fill="FFFFFF"/>
          </w:tcPr>
          <w:p w:rsidR="00000000" w:rsidRDefault="00000000">
            <w:pPr>
              <w:jc w:val="center"/>
              <w:rPr>
                <w:bCs/>
                <w:sz w:val="16"/>
                <w:lang w:val="sr-Cyrl-CS"/>
              </w:rPr>
            </w:pPr>
            <w:r>
              <w:rPr>
                <w:bCs/>
                <w:sz w:val="16"/>
                <w:lang w:val="sr-Cyrl-CS"/>
              </w:rPr>
              <w:t>53,83</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47,22</w:t>
            </w:r>
          </w:p>
        </w:tc>
        <w:tc>
          <w:tcPr>
            <w:tcW w:w="860" w:type="dxa"/>
            <w:shd w:val="clear" w:color="auto" w:fill="FFFFFF"/>
          </w:tcPr>
          <w:p w:rsidR="00000000" w:rsidRDefault="00000000">
            <w:pPr>
              <w:jc w:val="center"/>
              <w:rPr>
                <w:bCs/>
                <w:sz w:val="16"/>
                <w:lang w:val="sr-Cyrl-CS"/>
              </w:rPr>
            </w:pPr>
            <w:r>
              <w:rPr>
                <w:bCs/>
                <w:sz w:val="16"/>
                <w:lang w:val="sr-Cyrl-CS"/>
              </w:rPr>
              <w:t>52,78</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43,94</w:t>
            </w:r>
          </w:p>
        </w:tc>
        <w:tc>
          <w:tcPr>
            <w:tcW w:w="968" w:type="dxa"/>
            <w:shd w:val="clear" w:color="auto" w:fill="FFFFFF"/>
          </w:tcPr>
          <w:p w:rsidR="00000000" w:rsidRDefault="00000000">
            <w:pPr>
              <w:jc w:val="center"/>
              <w:rPr>
                <w:bCs/>
                <w:sz w:val="16"/>
                <w:lang w:val="sr-Cyrl-CS"/>
              </w:rPr>
            </w:pPr>
            <w:r>
              <w:rPr>
                <w:bCs/>
                <w:sz w:val="16"/>
                <w:lang w:val="sr-Cyrl-CS"/>
              </w:rPr>
              <w:t>56,06</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1997/98</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182 209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84 036</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98 173</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105 537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49 429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56 108</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1998</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16 573</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6 762</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9 811</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46,12</w:t>
            </w:r>
          </w:p>
        </w:tc>
        <w:tc>
          <w:tcPr>
            <w:tcW w:w="860" w:type="dxa"/>
            <w:shd w:val="clear" w:color="auto" w:fill="FFFFFF"/>
          </w:tcPr>
          <w:p w:rsidR="00000000" w:rsidRDefault="00000000">
            <w:pPr>
              <w:jc w:val="center"/>
              <w:rPr>
                <w:bCs/>
                <w:sz w:val="16"/>
                <w:lang w:val="sr-Cyrl-CS"/>
              </w:rPr>
            </w:pPr>
            <w:r>
              <w:rPr>
                <w:bCs/>
                <w:sz w:val="16"/>
                <w:lang w:val="sr-Cyrl-CS"/>
              </w:rPr>
              <w:t>53, 88</w:t>
            </w:r>
          </w:p>
        </w:tc>
        <w:tc>
          <w:tcPr>
            <w:tcW w:w="687" w:type="dxa"/>
            <w:shd w:val="clear" w:color="auto" w:fill="FFFFFF"/>
          </w:tcPr>
          <w:p w:rsidR="00000000" w:rsidRDefault="00000000">
            <w:pPr>
              <w:jc w:val="center"/>
              <w:rPr>
                <w:bCs/>
                <w:sz w:val="16"/>
                <w:lang w:val="sr-Cyrl-CS"/>
              </w:rPr>
            </w:pPr>
            <w:r>
              <w:rPr>
                <w:bCs/>
                <w:sz w:val="16"/>
                <w:lang w:val="sr-Cyrl-CS"/>
              </w:rPr>
              <w:t>100, 00</w:t>
            </w:r>
          </w:p>
        </w:tc>
        <w:tc>
          <w:tcPr>
            <w:tcW w:w="860" w:type="dxa"/>
            <w:shd w:val="clear" w:color="auto" w:fill="FFFFFF"/>
          </w:tcPr>
          <w:p w:rsidR="00000000" w:rsidRDefault="00000000">
            <w:pPr>
              <w:jc w:val="center"/>
              <w:rPr>
                <w:bCs/>
                <w:sz w:val="16"/>
                <w:lang w:val="sr-Cyrl-CS"/>
              </w:rPr>
            </w:pPr>
            <w:r>
              <w:rPr>
                <w:bCs/>
                <w:sz w:val="16"/>
                <w:lang w:val="sr-Cyrl-CS"/>
              </w:rPr>
              <w:t>46,84</w:t>
            </w:r>
          </w:p>
        </w:tc>
        <w:tc>
          <w:tcPr>
            <w:tcW w:w="860" w:type="dxa"/>
            <w:shd w:val="clear" w:color="auto" w:fill="FFFFFF"/>
          </w:tcPr>
          <w:p w:rsidR="00000000" w:rsidRDefault="00000000">
            <w:pPr>
              <w:jc w:val="center"/>
              <w:rPr>
                <w:bCs/>
                <w:sz w:val="16"/>
                <w:lang w:val="sr-Cyrl-CS"/>
              </w:rPr>
            </w:pPr>
            <w:r>
              <w:rPr>
                <w:bCs/>
                <w:sz w:val="16"/>
                <w:lang w:val="sr-Cyrl-CS"/>
              </w:rPr>
              <w:t>53,16</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40,80</w:t>
            </w:r>
          </w:p>
        </w:tc>
        <w:tc>
          <w:tcPr>
            <w:tcW w:w="968" w:type="dxa"/>
            <w:shd w:val="clear" w:color="auto" w:fill="FFFFFF"/>
          </w:tcPr>
          <w:p w:rsidR="00000000" w:rsidRDefault="00000000">
            <w:pPr>
              <w:jc w:val="center"/>
              <w:rPr>
                <w:bCs/>
                <w:sz w:val="16"/>
                <w:lang w:val="sr-Cyrl-CS"/>
              </w:rPr>
            </w:pPr>
            <w:r>
              <w:rPr>
                <w:bCs/>
                <w:sz w:val="16"/>
                <w:lang w:val="sr-Cyrl-CS"/>
              </w:rPr>
              <w:t>59,20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1998/99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197 202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92 365</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104 837</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107 444</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50 839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56 605</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1999</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15 607</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6 430</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9 177</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46,84</w:t>
            </w:r>
          </w:p>
        </w:tc>
        <w:tc>
          <w:tcPr>
            <w:tcW w:w="860" w:type="dxa"/>
            <w:shd w:val="clear" w:color="auto" w:fill="FFFFFF"/>
          </w:tcPr>
          <w:p w:rsidR="00000000" w:rsidRDefault="00000000">
            <w:pPr>
              <w:jc w:val="center"/>
              <w:rPr>
                <w:bCs/>
                <w:sz w:val="16"/>
                <w:lang w:val="sr-Cyrl-CS"/>
              </w:rPr>
            </w:pPr>
            <w:r>
              <w:rPr>
                <w:bCs/>
                <w:sz w:val="16"/>
                <w:lang w:val="sr-Cyrl-CS"/>
              </w:rPr>
              <w:t>53,16</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47,32</w:t>
            </w:r>
          </w:p>
        </w:tc>
        <w:tc>
          <w:tcPr>
            <w:tcW w:w="860" w:type="dxa"/>
            <w:shd w:val="clear" w:color="auto" w:fill="FFFFFF"/>
          </w:tcPr>
          <w:p w:rsidR="00000000" w:rsidRDefault="00000000">
            <w:pPr>
              <w:jc w:val="center"/>
              <w:rPr>
                <w:bCs/>
                <w:sz w:val="16"/>
                <w:lang w:val="sr-Cyrl-CS"/>
              </w:rPr>
            </w:pPr>
            <w:r>
              <w:rPr>
                <w:bCs/>
                <w:sz w:val="16"/>
                <w:lang w:val="sr-Cyrl-CS"/>
              </w:rPr>
              <w:t>52,68</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41,20</w:t>
            </w:r>
          </w:p>
        </w:tc>
        <w:tc>
          <w:tcPr>
            <w:tcW w:w="968" w:type="dxa"/>
            <w:shd w:val="clear" w:color="auto" w:fill="FFFFFF"/>
          </w:tcPr>
          <w:p w:rsidR="00000000" w:rsidRDefault="00000000">
            <w:pPr>
              <w:jc w:val="center"/>
              <w:rPr>
                <w:bCs/>
                <w:sz w:val="16"/>
                <w:lang w:val="sr-Cyrl-CS"/>
              </w:rPr>
            </w:pPr>
            <w:r>
              <w:rPr>
                <w:bCs/>
                <w:sz w:val="16"/>
                <w:lang w:val="sr-Cyrl-CS"/>
              </w:rPr>
              <w:t>58,80</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1999/00</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217 787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102 395</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115 392</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109 187</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52 628</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56 559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2000</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16 226</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6 817</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9 409</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47,02</w:t>
            </w:r>
          </w:p>
        </w:tc>
        <w:tc>
          <w:tcPr>
            <w:tcW w:w="860" w:type="dxa"/>
            <w:shd w:val="clear" w:color="auto" w:fill="FFFFFF"/>
          </w:tcPr>
          <w:p w:rsidR="00000000" w:rsidRDefault="00000000">
            <w:pPr>
              <w:jc w:val="center"/>
              <w:rPr>
                <w:bCs/>
                <w:sz w:val="16"/>
                <w:lang w:val="sr-Cyrl-CS"/>
              </w:rPr>
            </w:pPr>
            <w:r>
              <w:rPr>
                <w:bCs/>
                <w:sz w:val="16"/>
                <w:lang w:val="sr-Cyrl-CS"/>
              </w:rPr>
              <w:t>52,98</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48,20</w:t>
            </w:r>
          </w:p>
        </w:tc>
        <w:tc>
          <w:tcPr>
            <w:tcW w:w="860" w:type="dxa"/>
            <w:shd w:val="clear" w:color="auto" w:fill="FFFFFF"/>
          </w:tcPr>
          <w:p w:rsidR="00000000" w:rsidRDefault="00000000">
            <w:pPr>
              <w:jc w:val="center"/>
              <w:rPr>
                <w:bCs/>
                <w:sz w:val="16"/>
                <w:lang w:val="sr-Cyrl-CS"/>
              </w:rPr>
            </w:pPr>
            <w:r>
              <w:rPr>
                <w:bCs/>
                <w:sz w:val="16"/>
                <w:lang w:val="sr-Cyrl-CS"/>
              </w:rPr>
              <w:t>51,80</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42,01</w:t>
            </w:r>
          </w:p>
        </w:tc>
        <w:tc>
          <w:tcPr>
            <w:tcW w:w="968" w:type="dxa"/>
            <w:shd w:val="clear" w:color="auto" w:fill="FFFFFF"/>
          </w:tcPr>
          <w:p w:rsidR="00000000" w:rsidRDefault="00000000">
            <w:pPr>
              <w:jc w:val="center"/>
              <w:rPr>
                <w:bCs/>
                <w:sz w:val="16"/>
                <w:lang w:val="sr-Cyrl-CS"/>
              </w:rPr>
            </w:pPr>
            <w:r>
              <w:rPr>
                <w:bCs/>
                <w:sz w:val="16"/>
                <w:lang w:val="sr-Cyrl-CS"/>
              </w:rPr>
              <w:t>57,99</w:t>
            </w:r>
          </w:p>
        </w:tc>
      </w:tr>
      <w:tr w:rsidR="00000000">
        <w:tblPrEx>
          <w:tblCellMar>
            <w:top w:w="0" w:type="dxa"/>
            <w:bottom w:w="0" w:type="dxa"/>
          </w:tblCellMar>
        </w:tblPrEx>
        <w:trPr>
          <w:cantSplit/>
        </w:trPr>
        <w:tc>
          <w:tcPr>
            <w:tcW w:w="861" w:type="dxa"/>
            <w:tcBorders>
              <w:bottom w:val="single" w:sz="4" w:space="0" w:color="auto"/>
            </w:tcBorders>
            <w:shd w:val="clear" w:color="auto" w:fill="FFFFFF"/>
          </w:tcPr>
          <w:p w:rsidR="00000000" w:rsidRDefault="00000000">
            <w:pPr>
              <w:jc w:val="center"/>
              <w:rPr>
                <w:bCs/>
                <w:sz w:val="16"/>
                <w:lang w:val="sr-Cyrl-CS"/>
              </w:rPr>
            </w:pPr>
            <w:r>
              <w:rPr>
                <w:bCs/>
                <w:sz w:val="16"/>
                <w:lang w:val="sr-Cyrl-CS"/>
              </w:rPr>
              <w:t>2000/01</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194 198</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89 785</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104 413</w:t>
            </w:r>
          </w:p>
        </w:tc>
        <w:tc>
          <w:tcPr>
            <w:tcW w:w="687"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72 992</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33 469</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39 523</w:t>
            </w:r>
          </w:p>
        </w:tc>
        <w:tc>
          <w:tcPr>
            <w:tcW w:w="86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2001</w:t>
            </w:r>
          </w:p>
        </w:tc>
        <w:tc>
          <w:tcPr>
            <w:tcW w:w="800" w:type="dxa"/>
            <w:tcBorders>
              <w:bottom w:val="single" w:sz="4" w:space="0" w:color="auto"/>
            </w:tcBorders>
            <w:shd w:val="clear" w:color="auto" w:fill="FFFFFF"/>
          </w:tcPr>
          <w:p w:rsidR="00000000" w:rsidRDefault="00000000">
            <w:pPr>
              <w:jc w:val="center"/>
              <w:rPr>
                <w:bCs/>
                <w:sz w:val="16"/>
                <w:lang w:val="sr-Cyrl-CS"/>
              </w:rPr>
            </w:pPr>
            <w:r>
              <w:rPr>
                <w:bCs/>
                <w:sz w:val="16"/>
                <w:lang w:val="sr-Cyrl-CS"/>
              </w:rPr>
              <w:t>17 006</w:t>
            </w:r>
          </w:p>
        </w:tc>
        <w:tc>
          <w:tcPr>
            <w:tcW w:w="935" w:type="dxa"/>
            <w:tcBorders>
              <w:bottom w:val="single" w:sz="4" w:space="0" w:color="auto"/>
            </w:tcBorders>
            <w:shd w:val="clear" w:color="auto" w:fill="FFFFFF"/>
          </w:tcPr>
          <w:p w:rsidR="00000000" w:rsidRDefault="00000000">
            <w:pPr>
              <w:jc w:val="center"/>
              <w:rPr>
                <w:bCs/>
                <w:sz w:val="16"/>
                <w:lang w:val="sr-Cyrl-CS"/>
              </w:rPr>
            </w:pPr>
            <w:r>
              <w:rPr>
                <w:bCs/>
                <w:sz w:val="16"/>
                <w:lang w:val="sr-Cyrl-CS"/>
              </w:rPr>
              <w:t>7 061</w:t>
            </w:r>
          </w:p>
        </w:tc>
        <w:tc>
          <w:tcPr>
            <w:tcW w:w="968" w:type="dxa"/>
            <w:tcBorders>
              <w:bottom w:val="single" w:sz="4" w:space="0" w:color="auto"/>
            </w:tcBorders>
            <w:shd w:val="clear" w:color="auto" w:fill="FFFFFF"/>
          </w:tcPr>
          <w:p w:rsidR="00000000" w:rsidRDefault="00000000">
            <w:pPr>
              <w:jc w:val="center"/>
              <w:rPr>
                <w:bCs/>
                <w:sz w:val="16"/>
                <w:lang w:val="sr-Cyrl-CS"/>
              </w:rPr>
            </w:pPr>
            <w:r>
              <w:rPr>
                <w:bCs/>
                <w:sz w:val="16"/>
                <w:lang w:val="sr-Cyrl-CS"/>
              </w:rPr>
              <w:t>9 .945</w:t>
            </w:r>
          </w:p>
        </w:tc>
      </w:tr>
      <w:tr w:rsidR="00000000">
        <w:tblPrEx>
          <w:tblCellMar>
            <w:top w:w="0" w:type="dxa"/>
            <w:bottom w:w="0" w:type="dxa"/>
          </w:tblCellMar>
        </w:tblPrEx>
        <w:trPr>
          <w:cantSplit/>
        </w:trPr>
        <w:tc>
          <w:tcPr>
            <w:tcW w:w="861" w:type="dxa"/>
            <w:shd w:val="clear" w:color="auto" w:fill="FFFFFF"/>
          </w:tcPr>
          <w:p w:rsidR="00000000" w:rsidRDefault="00000000">
            <w:pPr>
              <w:jc w:val="center"/>
              <w:rPr>
                <w:bCs/>
                <w:sz w:val="16"/>
                <w:lang w:val="sr-Cyrl-CS"/>
              </w:rPr>
            </w:pPr>
            <w:r>
              <w:rPr>
                <w:bCs/>
                <w:sz w:val="16"/>
                <w:lang w:val="sr-Cyrl-CS"/>
              </w:rPr>
              <w:t>%</w:t>
            </w:r>
          </w:p>
        </w:tc>
        <w:tc>
          <w:tcPr>
            <w:tcW w:w="860"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46, 23</w:t>
            </w:r>
          </w:p>
        </w:tc>
        <w:tc>
          <w:tcPr>
            <w:tcW w:w="860" w:type="dxa"/>
            <w:shd w:val="clear" w:color="auto" w:fill="FFFFFF"/>
          </w:tcPr>
          <w:p w:rsidR="00000000" w:rsidRDefault="00000000">
            <w:pPr>
              <w:jc w:val="center"/>
              <w:rPr>
                <w:bCs/>
                <w:sz w:val="16"/>
                <w:lang w:val="sr-Cyrl-CS"/>
              </w:rPr>
            </w:pPr>
            <w:r>
              <w:rPr>
                <w:bCs/>
                <w:sz w:val="16"/>
                <w:lang w:val="sr-Cyrl-CS"/>
              </w:rPr>
              <w:t>53,77</w:t>
            </w:r>
          </w:p>
        </w:tc>
        <w:tc>
          <w:tcPr>
            <w:tcW w:w="687" w:type="dxa"/>
            <w:shd w:val="clear" w:color="auto" w:fill="FFFFFF"/>
          </w:tcPr>
          <w:p w:rsidR="00000000" w:rsidRDefault="00000000">
            <w:pPr>
              <w:jc w:val="center"/>
              <w:rPr>
                <w:bCs/>
                <w:sz w:val="16"/>
                <w:lang w:val="sr-Cyrl-CS"/>
              </w:rPr>
            </w:pPr>
            <w:r>
              <w:rPr>
                <w:bCs/>
                <w:sz w:val="16"/>
                <w:lang w:val="sr-Cyrl-CS"/>
              </w:rPr>
              <w:t>100,00</w:t>
            </w:r>
          </w:p>
        </w:tc>
        <w:tc>
          <w:tcPr>
            <w:tcW w:w="860" w:type="dxa"/>
            <w:shd w:val="clear" w:color="auto" w:fill="FFFFFF"/>
          </w:tcPr>
          <w:p w:rsidR="00000000" w:rsidRDefault="00000000">
            <w:pPr>
              <w:jc w:val="center"/>
              <w:rPr>
                <w:bCs/>
                <w:sz w:val="16"/>
                <w:lang w:val="sr-Cyrl-CS"/>
              </w:rPr>
            </w:pPr>
            <w:r>
              <w:rPr>
                <w:bCs/>
                <w:sz w:val="16"/>
                <w:lang w:val="sr-Cyrl-CS"/>
              </w:rPr>
              <w:t>45,85</w:t>
            </w:r>
          </w:p>
        </w:tc>
        <w:tc>
          <w:tcPr>
            <w:tcW w:w="860" w:type="dxa"/>
            <w:shd w:val="clear" w:color="auto" w:fill="FFFFFF"/>
          </w:tcPr>
          <w:p w:rsidR="00000000" w:rsidRDefault="00000000">
            <w:pPr>
              <w:jc w:val="center"/>
              <w:rPr>
                <w:bCs/>
                <w:sz w:val="16"/>
                <w:lang w:val="sr-Cyrl-CS"/>
              </w:rPr>
            </w:pPr>
            <w:r>
              <w:rPr>
                <w:bCs/>
                <w:sz w:val="16"/>
                <w:lang w:val="sr-Cyrl-CS"/>
              </w:rPr>
              <w:t>54,15</w:t>
            </w:r>
          </w:p>
        </w:tc>
        <w:tc>
          <w:tcPr>
            <w:tcW w:w="860" w:type="dxa"/>
            <w:shd w:val="clear" w:color="auto" w:fill="FFFFFF"/>
          </w:tcPr>
          <w:p w:rsidR="00000000" w:rsidRDefault="00000000">
            <w:pPr>
              <w:jc w:val="center"/>
              <w:rPr>
                <w:bCs/>
                <w:sz w:val="16"/>
                <w:lang w:val="sr-Cyrl-CS"/>
              </w:rPr>
            </w:pPr>
          </w:p>
        </w:tc>
        <w:tc>
          <w:tcPr>
            <w:tcW w:w="800" w:type="dxa"/>
            <w:shd w:val="clear" w:color="auto" w:fill="FFFFFF"/>
          </w:tcPr>
          <w:p w:rsidR="00000000" w:rsidRDefault="00000000">
            <w:pPr>
              <w:jc w:val="center"/>
              <w:rPr>
                <w:bCs/>
                <w:sz w:val="16"/>
                <w:lang w:val="sr-Cyrl-CS"/>
              </w:rPr>
            </w:pPr>
            <w:r>
              <w:rPr>
                <w:bCs/>
                <w:sz w:val="16"/>
                <w:lang w:val="sr-Cyrl-CS"/>
              </w:rPr>
              <w:t>100,00</w:t>
            </w:r>
          </w:p>
        </w:tc>
        <w:tc>
          <w:tcPr>
            <w:tcW w:w="935" w:type="dxa"/>
            <w:shd w:val="clear" w:color="auto" w:fill="FFFFFF"/>
          </w:tcPr>
          <w:p w:rsidR="00000000" w:rsidRDefault="00000000">
            <w:pPr>
              <w:jc w:val="center"/>
              <w:rPr>
                <w:bCs/>
                <w:sz w:val="16"/>
                <w:lang w:val="sr-Cyrl-CS"/>
              </w:rPr>
            </w:pPr>
            <w:r>
              <w:rPr>
                <w:bCs/>
                <w:sz w:val="16"/>
                <w:lang w:val="sr-Cyrl-CS"/>
              </w:rPr>
              <w:t>41,52</w:t>
            </w:r>
          </w:p>
        </w:tc>
        <w:tc>
          <w:tcPr>
            <w:tcW w:w="968" w:type="dxa"/>
            <w:shd w:val="clear" w:color="auto" w:fill="FFFFFF"/>
          </w:tcPr>
          <w:p w:rsidR="00000000" w:rsidRDefault="00000000">
            <w:pPr>
              <w:jc w:val="center"/>
              <w:rPr>
                <w:bCs/>
                <w:sz w:val="16"/>
                <w:lang w:val="sr-Cyrl-CS"/>
              </w:rPr>
            </w:pPr>
            <w:r>
              <w:rPr>
                <w:bCs/>
                <w:sz w:val="16"/>
                <w:lang w:val="sr-Cyrl-CS"/>
              </w:rPr>
              <w:t>58,48</w:t>
            </w:r>
          </w:p>
        </w:tc>
      </w:tr>
    </w:tbl>
    <w:p w:rsidR="00000000" w:rsidRDefault="00000000">
      <w:pPr>
        <w:rPr>
          <w:b/>
          <w:sz w:val="16"/>
          <w:lang w:val="sr-Cyrl-CS"/>
        </w:rPr>
      </w:pPr>
    </w:p>
    <w:p w:rsidR="00000000" w:rsidRDefault="00000000">
      <w:r>
        <w:tab/>
      </w:r>
      <w:r>
        <w:rPr>
          <w:i/>
          <w:iCs/>
        </w:rPr>
        <w:t>Источник:</w:t>
      </w:r>
      <w:r>
        <w:t xml:space="preserve">  Статистические ежегодники Республиканского статистического управления.</w:t>
      </w:r>
    </w:p>
    <w:p w:rsidR="00000000" w:rsidRDefault="00000000"/>
    <w:p w:rsidR="00000000" w:rsidRDefault="00000000">
      <w:pPr>
        <w:jc w:val="center"/>
        <w:rPr>
          <w:b/>
          <w:bCs/>
        </w:rPr>
      </w:pPr>
      <w:r>
        <w:rPr>
          <w:b/>
          <w:bCs/>
        </w:rPr>
        <w:t>2.</w:t>
      </w:r>
      <w:r>
        <w:tab/>
      </w:r>
      <w:r>
        <w:rPr>
          <w:b/>
          <w:bCs/>
        </w:rPr>
        <w:t>Система образования и воспитания для учащихся-инвалидов</w:t>
      </w:r>
    </w:p>
    <w:p w:rsidR="00000000" w:rsidRDefault="00000000">
      <w:pPr>
        <w:rPr>
          <w:b/>
          <w:bCs/>
        </w:rPr>
      </w:pPr>
    </w:p>
    <w:p w:rsidR="00000000" w:rsidRDefault="00000000">
      <w:r>
        <w:t>378.</w:t>
      </w:r>
      <w:r>
        <w:tab/>
        <w:t>Существующие законы (о начальной и средней школе) закладывают правовую основу для решений, регулирующих процесс образования детей-инвалидов и детей с естественными нарушениями развития.  Согласно статье 84 Закона о начальной школе к подкатегории детей-инвалидов относятся дети, имеющие физические или сенсорные нарушения (полная или частичная потеря зрения или слуха);  нарушения умственного развития (незначительные, средние, серьезные или тяжелые);  а также несколько дефектов (дети, страдающие аутизмом, и т.д.).  Тип и категория инвалидности определяются на основе решения медицинской комиссии (статья 84 Закона о начальной школе и статья 39 Закона о средней школе).  По достижении возраста поступления в начальную или среднюю школу дети-инвалиды проходят медицинское освидетельствование.  Решение о типе и категории инвалидности определяет возможность посещать начальную школу и тип школы, в которую будет ходить ребенок (статья 85 Закона о начальной школе).  В нем также определяется характер профессиональной подготовки ребенка в зависимости от типа и категории инвалидности (статья 39 Закона о средней школе).  Ребенок-инвалид может подвергаться переосвидетельствованию в целях определения типа и категории инвалидности в течение периода обучения в начальной или средней школе.  Ходатайство о переосвидетельствовании может быть представлено родителями, школой или учебным учреждением (статьи 86 и 39).</w:t>
      </w:r>
    </w:p>
    <w:p w:rsidR="00000000" w:rsidRDefault="00000000"/>
    <w:p w:rsidR="00000000" w:rsidRDefault="00000000">
      <w:r>
        <w:t>379.</w:t>
      </w:r>
      <w:r>
        <w:tab/>
        <w:t>Согласно Закону о начальном образовании дети-инвалиды могут обучаться в обычных школах (пункт 3 статьи 31 и пункт 4 статьи 44), в специализированных начальных школах (статья 91) и специальных классах обычной начальной школы или в больницах, где они проходят лечение.  Что касается среднего образования, то дети-инвалиды получают образование в специализированных средних школах (статья 15).  Предусматривается возможность функционирования специальных начальных школ при условии, что в них имеется не менее восьми классов и проводится деятельность по подготовке в рамках программы дошкольного, начального и среднего образования (для детей-инвалидов с аналогичными нарушениями на основе положений статьи 91 Закона).  Такая школа может предоставлять детям-дошкольникам питание и жилье в интернате.  Питание или жилье могут предоставляться на ежедневной или постоянной основе (статья 91).  Если в соответствующем муниципальном образовании подобная школа отсутствует, то расходы, связанные с проездом, питанием и проживанием, покрывает муниципалитет, в котором проживают родители (статья 85).</w:t>
      </w:r>
    </w:p>
    <w:p w:rsidR="00000000" w:rsidRDefault="00000000"/>
    <w:p w:rsidR="00000000" w:rsidRDefault="00000000">
      <w:r>
        <w:t>380.</w:t>
      </w:r>
      <w:r>
        <w:tab/>
        <w:t>В положениях законов Республики (Закон о начальной школе, статья 92, и Закон о средней школе, статья 71) определяются условия и критерии для педагогов, необходимые для работы с детьми-инвалидами.  Школьные педагоги могут вести занятия в 1-8 классах при условии, что они имеют диплом по специальности исправления дефектов речи или аналогичный диплом вуза или колледжа.  Для преподавания в 5-8 классах начальной школы и в средних школах педагоги должны иметь диплом высшего учебного заведения по указанной специализации или пройти подготовку на Отделении по подготовке преподавателей для работы в системе специального образования, с тем чтобы иметь возможность работать с детьми-инвалидами.  Учебные программы для детей-инвалидов утверждаются министерством просвещения и составляют часть учебной программы Отделения по подготовке преподавателей для работы в системе специального образования.</w:t>
      </w:r>
    </w:p>
    <w:p w:rsidR="00000000" w:rsidRDefault="00000000"/>
    <w:p w:rsidR="00000000" w:rsidRDefault="00000000">
      <w:r>
        <w:t>381.</w:t>
      </w:r>
      <w:r>
        <w:tab/>
        <w:t>Согласно официальным данным ЮНИСЕФ</w:t>
      </w:r>
      <w:r>
        <w:rPr>
          <w:rStyle w:val="FootnoteReference"/>
        </w:rPr>
        <w:footnoteReference w:id="54"/>
      </w:r>
      <w:r>
        <w:t>, действующие в этой области национальные нормы и правила хотя теоретически и соответствуют международным стандартам, на практике в полной мере не реализуются.  Одним из показателей является высокая доля детей рома и детей из уязвимых социальных групп в специальных школах для детей с незначительными нарушениями умственного развития.  Зачастую детей рома ошибочно переводят в специальные школы на основании плохих результатов тестов, которые проводятся аттестационной комиссией.  Низкие общие результаты этих детей связаны с тем, что из-за недостаточного уровня владения языком они не понимают некоторые экзаменационные вопросы</w:t>
      </w:r>
      <w:r>
        <w:rPr>
          <w:rStyle w:val="FootnoteReference"/>
        </w:rPr>
        <w:footnoteReference w:id="55"/>
      </w:r>
      <w:r>
        <w:t>.  К указанным основным причинам относятся трудности профессионального, организационного и методологического характера, приводящие к ошибкам в процессе аттестации таких детей и их направлению в специальные школы.  Процедура аттестации в основном базируется на тестах по проверке интеллектуального уровня, в которых не учитываются такие другие важные показатели, характеризующие готовность ребенка к обучению в школе, как организационная адаптация, уровень социализации и социальная и культурная среда в семье.</w:t>
      </w:r>
    </w:p>
    <w:p w:rsidR="00000000" w:rsidRDefault="00000000"/>
    <w:p w:rsidR="00000000" w:rsidRDefault="00000000">
      <w:r>
        <w:t>382.</w:t>
      </w:r>
      <w:r>
        <w:tab/>
        <w:t>Процедура аттестации проводится слишком поздно, т.е. в момент начала обучения в школе.  Это не позволяет учесть многие трудности процесса обучения, которые требуют интенсивного вмешательства педагога на самом раннем этапе.  Об этом свидетельствует тот факт, что системой дошкольного воспитания охватывается лишь около 1% детей с особыми потребностями</w:t>
      </w:r>
      <w:r>
        <w:rPr>
          <w:rStyle w:val="FootnoteReference"/>
        </w:rPr>
        <w:footnoteReference w:id="56"/>
      </w:r>
      <w:r>
        <w:t>.</w:t>
      </w:r>
    </w:p>
    <w:p w:rsidR="00000000" w:rsidRDefault="00000000"/>
    <w:p w:rsidR="00000000" w:rsidRDefault="00000000">
      <w:r>
        <w:t>383.</w:t>
      </w:r>
      <w:r>
        <w:tab/>
        <w:t>Одна из проблем в этой области также связана с неравномерным региональным распределением специальных школ.  Многие из них расположены в крупных областных центрах.  К примеру, почти половина специализированных школ (классов) в центральной Сербии расположены в Белграде</w:t>
      </w:r>
      <w:r>
        <w:rPr>
          <w:rStyle w:val="FootnoteReference"/>
        </w:rPr>
        <w:footnoteReference w:id="57"/>
      </w:r>
      <w:r>
        <w:t>.  Чтобы остаться в своих семьях или своей социальной среде большинство детей-инвалидов, проживающих в общинах, где нет специальных школ, посещают обычные школы или, точнее говоря, специальные классы, организованные для них в обычных школах.</w:t>
      </w:r>
    </w:p>
    <w:p w:rsidR="00000000" w:rsidRDefault="00000000"/>
    <w:p w:rsidR="00000000" w:rsidRDefault="00000000">
      <w:r>
        <w:t>384.</w:t>
      </w:r>
      <w:r>
        <w:tab/>
        <w:t>В целях устранения указанных трудностей, связанных с процессом аттестации, министерство просвещения и спорта Республики Сербии в рамках первого этапа законодательной реформы внесло изменения в правила, регулирующие порядок проведения аттестации детей-инвалидов.  Согласно положениям Закона о начальных школах с внесенными в него поправками и изменениями (</w:t>
      </w:r>
      <w:r>
        <w:rPr>
          <w:i/>
          <w:iCs/>
        </w:rPr>
        <w:t>Официальный вестник Республики Сербии</w:t>
      </w:r>
      <w:r>
        <w:t>, № 22/2002) муниципальные и гражданские административные органы несут ответственность за принятие необходимых мер в случае обжалования решения об итогах аттестации ребенка.  Этот закон дал правительству Республики Сербии полномочия разработать критерии и порядок аттестации детей-инвалидов, а также порядок работы медицинской комиссии.  В поправках и изменениях были уточнены критерии формирования состава комиссии.  Комиссия формируется муниципальными или гражданскими административными органами по рекомендации лечебного учреждения в районе расположения школы.  В состав комиссии входят специалист-консультант по конкретной области медицины, физиолог, педагог, терапевт, специализирующийся на конкретных видах дефектов, а также социальный работник (статья 18).</w:t>
      </w:r>
    </w:p>
    <w:p w:rsidR="00000000" w:rsidRDefault="00000000"/>
    <w:p w:rsidR="00000000" w:rsidRDefault="00000000">
      <w:r>
        <w:t>385.</w:t>
      </w:r>
      <w:r>
        <w:tab/>
        <w:t>Передача всех вопросов дошкольного воспитания в ведение министерства просвещения и спорта Республики Сербии позволит охватить программой дошкольного воспитания большее количество детей с особыми потребностями.  Эта мера в совокупности со своевременной аттестацией или категоризацией обеспечит возможность выявления проблем в области обучения и активного вмешательства педагогов, пока эти проблемы не зашли слишком далеко.</w:t>
      </w:r>
    </w:p>
    <w:p w:rsidR="00000000" w:rsidRDefault="00000000"/>
    <w:p w:rsidR="00000000" w:rsidRDefault="00000000">
      <w:r>
        <w:t>386.</w:t>
      </w:r>
      <w:r>
        <w:tab/>
        <w:t>В 90-х годах наблюдался рост количества специальных школ (включая специальные классы в обычных школах).  Наиболее существенно их число увеличилось в 1997/1998 учебном году (228 специальных начальных и 44 специальные средние школы) в сравнении с 1991/1992 учебным годом (199 специализированных начальных и 31 специальная средняя школа).  В последующие учебные годы (1998/1999;  1999/2000; 2000/2001) количество специальных школ/специальных классов по сравнению с 1997/1998 годом снизилось.  Статистические данные указывают на снижение количества учащихся в специальных школах/специальных классах.  Данные в разбивке по полу указывают на более высокую долю мальчиков</w:t>
      </w:r>
      <w:r>
        <w:rPr>
          <w:rStyle w:val="FootnoteReference"/>
        </w:rPr>
        <w:footnoteReference w:id="58"/>
      </w:r>
      <w:r>
        <w:t>.</w:t>
      </w:r>
    </w:p>
    <w:p w:rsidR="00000000" w:rsidRDefault="00000000"/>
    <w:p w:rsidR="00000000" w:rsidRDefault="00000000">
      <w:pPr>
        <w:pStyle w:val="10"/>
        <w:keepNext/>
        <w:rPr>
          <w:bCs/>
        </w:rPr>
      </w:pPr>
      <w:r>
        <w:rPr>
          <w:bCs/>
        </w:rPr>
        <w:t>Таблица 2</w:t>
      </w:r>
      <w:proofErr w:type="spellStart"/>
      <w:r>
        <w:rPr>
          <w:bCs/>
          <w:lang w:val="en-US"/>
        </w:rPr>
        <w:t>2</w:t>
      </w:r>
      <w:proofErr w:type="spellEnd"/>
    </w:p>
    <w:p w:rsidR="00000000" w:rsidRDefault="00000000">
      <w:pPr>
        <w:pStyle w:val="10"/>
        <w:keepNext/>
        <w:rPr>
          <w:bCs/>
        </w:rPr>
      </w:pPr>
    </w:p>
    <w:p w:rsidR="00000000" w:rsidRDefault="00000000">
      <w:pPr>
        <w:pStyle w:val="10"/>
        <w:keepNext/>
        <w:rPr>
          <w:bCs/>
        </w:rPr>
      </w:pPr>
      <w:r>
        <w:rPr>
          <w:bCs/>
        </w:rPr>
        <w:t>Учащиеся-инвалиды в системе начального и среднего образования</w:t>
      </w:r>
    </w:p>
    <w:p w:rsidR="00000000" w:rsidRDefault="00000000">
      <w:pPr>
        <w:pStyle w:val="10"/>
        <w:keepNext/>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3"/>
        <w:gridCol w:w="798"/>
        <w:gridCol w:w="1344"/>
        <w:gridCol w:w="1190"/>
        <w:gridCol w:w="1092"/>
        <w:gridCol w:w="1455"/>
        <w:gridCol w:w="1246"/>
        <w:gridCol w:w="1073"/>
      </w:tblGrid>
      <w:tr w:rsidR="00000000">
        <w:tblPrEx>
          <w:tblCellMar>
            <w:top w:w="0" w:type="dxa"/>
            <w:bottom w:w="0" w:type="dxa"/>
          </w:tblCellMar>
        </w:tblPrEx>
        <w:trPr>
          <w:cantSplit/>
        </w:trPr>
        <w:tc>
          <w:tcPr>
            <w:tcW w:w="5637" w:type="dxa"/>
            <w:gridSpan w:val="5"/>
          </w:tcPr>
          <w:p w:rsidR="00000000" w:rsidRDefault="00000000">
            <w:pPr>
              <w:keepNext/>
              <w:spacing w:before="120" w:after="120" w:line="240" w:lineRule="auto"/>
              <w:jc w:val="center"/>
              <w:rPr>
                <w:bCs/>
                <w:sz w:val="20"/>
              </w:rPr>
            </w:pPr>
            <w:r>
              <w:rPr>
                <w:bCs/>
                <w:sz w:val="20"/>
              </w:rPr>
              <w:t>Начальное образование</w:t>
            </w:r>
          </w:p>
        </w:tc>
        <w:tc>
          <w:tcPr>
            <w:tcW w:w="3774" w:type="dxa"/>
            <w:gridSpan w:val="3"/>
          </w:tcPr>
          <w:p w:rsidR="00000000" w:rsidRDefault="00000000">
            <w:pPr>
              <w:keepNext/>
              <w:spacing w:before="120" w:after="120" w:line="240" w:lineRule="auto"/>
              <w:jc w:val="center"/>
              <w:rPr>
                <w:bCs/>
                <w:sz w:val="20"/>
                <w:vertAlign w:val="superscript"/>
              </w:rPr>
            </w:pPr>
            <w:r>
              <w:rPr>
                <w:bCs/>
                <w:sz w:val="20"/>
              </w:rPr>
              <w:t xml:space="preserve">Среднее </w:t>
            </w:r>
            <w:proofErr w:type="spellStart"/>
            <w:r>
              <w:rPr>
                <w:bCs/>
                <w:sz w:val="20"/>
              </w:rPr>
              <w:t>образование</w:t>
            </w:r>
            <w:r>
              <w:rPr>
                <w:bCs/>
                <w:sz w:val="20"/>
                <w:vertAlign w:val="superscript"/>
              </w:rPr>
              <w:t>а</w:t>
            </w:r>
            <w:proofErr w:type="spellEnd"/>
          </w:p>
        </w:tc>
      </w:tr>
      <w:tr w:rsidR="00000000">
        <w:tblPrEx>
          <w:tblCellMar>
            <w:top w:w="0" w:type="dxa"/>
            <w:bottom w:w="0" w:type="dxa"/>
          </w:tblCellMar>
        </w:tblPrEx>
        <w:trPr>
          <w:cantSplit/>
        </w:trPr>
        <w:tc>
          <w:tcPr>
            <w:tcW w:w="2011" w:type="dxa"/>
            <w:gridSpan w:val="2"/>
          </w:tcPr>
          <w:p w:rsidR="00000000" w:rsidRDefault="00000000">
            <w:pPr>
              <w:spacing w:before="120" w:after="120" w:line="240" w:lineRule="auto"/>
              <w:jc w:val="center"/>
              <w:rPr>
                <w:bCs/>
                <w:sz w:val="20"/>
                <w:lang w:val="sr-Cyrl-CS"/>
              </w:rPr>
            </w:pPr>
          </w:p>
        </w:tc>
        <w:tc>
          <w:tcPr>
            <w:tcW w:w="1344" w:type="dxa"/>
          </w:tcPr>
          <w:p w:rsidR="00000000" w:rsidRDefault="00000000">
            <w:pPr>
              <w:spacing w:before="120" w:after="120" w:line="240" w:lineRule="auto"/>
              <w:jc w:val="center"/>
              <w:rPr>
                <w:bCs/>
                <w:sz w:val="20"/>
              </w:rPr>
            </w:pPr>
            <w:r>
              <w:rPr>
                <w:bCs/>
                <w:sz w:val="20"/>
                <w:lang w:val="sr-Cyrl-CS"/>
              </w:rPr>
              <w:t>Общая численность</w:t>
            </w:r>
          </w:p>
        </w:tc>
        <w:tc>
          <w:tcPr>
            <w:tcW w:w="2282" w:type="dxa"/>
            <w:gridSpan w:val="2"/>
          </w:tcPr>
          <w:p w:rsidR="00000000" w:rsidRDefault="00000000">
            <w:pPr>
              <w:spacing w:before="120" w:after="120" w:line="240" w:lineRule="auto"/>
              <w:jc w:val="center"/>
              <w:rPr>
                <w:bCs/>
                <w:sz w:val="20"/>
              </w:rPr>
            </w:pPr>
            <w:r>
              <w:rPr>
                <w:bCs/>
                <w:sz w:val="20"/>
                <w:lang w:val="sr-Cyrl-CS"/>
              </w:rPr>
              <w:t>В разбивке по полу</w:t>
            </w:r>
          </w:p>
        </w:tc>
        <w:tc>
          <w:tcPr>
            <w:tcW w:w="1455" w:type="dxa"/>
          </w:tcPr>
          <w:p w:rsidR="00000000" w:rsidRDefault="00000000">
            <w:pPr>
              <w:spacing w:before="120" w:after="120" w:line="240" w:lineRule="auto"/>
              <w:jc w:val="center"/>
              <w:rPr>
                <w:bCs/>
                <w:sz w:val="20"/>
              </w:rPr>
            </w:pPr>
            <w:r>
              <w:rPr>
                <w:bCs/>
                <w:sz w:val="20"/>
              </w:rPr>
              <w:t>Общая численность</w:t>
            </w:r>
          </w:p>
        </w:tc>
        <w:tc>
          <w:tcPr>
            <w:tcW w:w="2319" w:type="dxa"/>
            <w:gridSpan w:val="2"/>
          </w:tcPr>
          <w:p w:rsidR="00000000" w:rsidRDefault="00000000">
            <w:pPr>
              <w:spacing w:before="120" w:after="120" w:line="240" w:lineRule="auto"/>
              <w:jc w:val="center"/>
              <w:rPr>
                <w:bCs/>
                <w:sz w:val="20"/>
              </w:rPr>
            </w:pPr>
            <w:r>
              <w:rPr>
                <w:bCs/>
                <w:sz w:val="20"/>
              </w:rPr>
              <w:t>В разбивке по полу</w:t>
            </w:r>
          </w:p>
        </w:tc>
      </w:tr>
      <w:tr w:rsidR="00000000">
        <w:tblPrEx>
          <w:tblCellMar>
            <w:top w:w="0" w:type="dxa"/>
            <w:bottom w:w="0" w:type="dxa"/>
          </w:tblCellMar>
        </w:tblPrEx>
        <w:trPr>
          <w:cantSplit/>
        </w:trPr>
        <w:tc>
          <w:tcPr>
            <w:tcW w:w="1213" w:type="dxa"/>
            <w:tcBorders>
              <w:bottom w:val="single" w:sz="4" w:space="0" w:color="auto"/>
            </w:tcBorders>
          </w:tcPr>
          <w:p w:rsidR="00000000" w:rsidRDefault="00000000">
            <w:pPr>
              <w:spacing w:line="240" w:lineRule="auto"/>
              <w:jc w:val="center"/>
              <w:rPr>
                <w:bCs/>
                <w:sz w:val="20"/>
                <w:lang w:val="en-US"/>
              </w:rPr>
            </w:pPr>
            <w:r>
              <w:rPr>
                <w:bCs/>
                <w:sz w:val="20"/>
                <w:lang w:val="sr-Cyrl-CS"/>
              </w:rPr>
              <w:t>Учебный год</w:t>
            </w:r>
          </w:p>
        </w:tc>
        <w:tc>
          <w:tcPr>
            <w:tcW w:w="798" w:type="dxa"/>
            <w:tcBorders>
              <w:bottom w:val="single" w:sz="4" w:space="0" w:color="auto"/>
            </w:tcBorders>
          </w:tcPr>
          <w:p w:rsidR="00000000" w:rsidRDefault="00000000">
            <w:pPr>
              <w:spacing w:line="240" w:lineRule="auto"/>
              <w:jc w:val="center"/>
              <w:rPr>
                <w:bCs/>
                <w:sz w:val="20"/>
                <w:lang w:val="en-US"/>
              </w:rPr>
            </w:pPr>
            <w:r>
              <w:rPr>
                <w:bCs/>
                <w:sz w:val="20"/>
              </w:rPr>
              <w:t>Всего</w:t>
            </w:r>
          </w:p>
          <w:p w:rsidR="00000000" w:rsidRDefault="00000000">
            <w:pPr>
              <w:spacing w:line="240" w:lineRule="auto"/>
              <w:jc w:val="center"/>
              <w:rPr>
                <w:bCs/>
                <w:sz w:val="20"/>
                <w:lang w:val="sr-Cyrl-CS"/>
              </w:rPr>
            </w:pPr>
            <w:r>
              <w:rPr>
                <w:bCs/>
                <w:sz w:val="20"/>
                <w:lang w:val="sr-Cyrl-CS"/>
              </w:rPr>
              <w:t>%</w:t>
            </w:r>
          </w:p>
        </w:tc>
        <w:tc>
          <w:tcPr>
            <w:tcW w:w="1344" w:type="dxa"/>
            <w:tcBorders>
              <w:bottom w:val="single" w:sz="4" w:space="0" w:color="auto"/>
            </w:tcBorders>
          </w:tcPr>
          <w:p w:rsidR="00000000" w:rsidRDefault="00000000">
            <w:pPr>
              <w:spacing w:line="240" w:lineRule="auto"/>
              <w:jc w:val="center"/>
              <w:rPr>
                <w:bCs/>
                <w:sz w:val="20"/>
              </w:rPr>
            </w:pPr>
            <w:r>
              <w:rPr>
                <w:bCs/>
                <w:sz w:val="20"/>
              </w:rPr>
              <w:t>Учащиеся</w:t>
            </w:r>
          </w:p>
        </w:tc>
        <w:tc>
          <w:tcPr>
            <w:tcW w:w="1190" w:type="dxa"/>
            <w:tcBorders>
              <w:bottom w:val="single" w:sz="4" w:space="0" w:color="auto"/>
            </w:tcBorders>
          </w:tcPr>
          <w:p w:rsidR="00000000" w:rsidRDefault="00000000">
            <w:pPr>
              <w:pStyle w:val="Heading7"/>
              <w:spacing w:before="0" w:line="240" w:lineRule="auto"/>
              <w:rPr>
                <w:b w:val="0"/>
                <w:bCs/>
              </w:rPr>
            </w:pPr>
            <w:r>
              <w:rPr>
                <w:b w:val="0"/>
                <w:bCs/>
              </w:rPr>
              <w:t>Мальчики</w:t>
            </w:r>
          </w:p>
        </w:tc>
        <w:tc>
          <w:tcPr>
            <w:tcW w:w="1092" w:type="dxa"/>
            <w:tcBorders>
              <w:bottom w:val="single" w:sz="4" w:space="0" w:color="auto"/>
            </w:tcBorders>
          </w:tcPr>
          <w:p w:rsidR="00000000" w:rsidRDefault="00000000">
            <w:pPr>
              <w:spacing w:line="240" w:lineRule="auto"/>
              <w:jc w:val="center"/>
              <w:rPr>
                <w:bCs/>
                <w:sz w:val="20"/>
              </w:rPr>
            </w:pPr>
            <w:r>
              <w:rPr>
                <w:bCs/>
                <w:sz w:val="20"/>
              </w:rPr>
              <w:t>Девочки</w:t>
            </w:r>
          </w:p>
        </w:tc>
        <w:tc>
          <w:tcPr>
            <w:tcW w:w="1455" w:type="dxa"/>
            <w:tcBorders>
              <w:bottom w:val="single" w:sz="4" w:space="0" w:color="auto"/>
            </w:tcBorders>
          </w:tcPr>
          <w:p w:rsidR="00000000" w:rsidRDefault="00000000">
            <w:pPr>
              <w:spacing w:line="240" w:lineRule="auto"/>
              <w:jc w:val="center"/>
              <w:rPr>
                <w:bCs/>
                <w:sz w:val="20"/>
              </w:rPr>
            </w:pPr>
            <w:r>
              <w:rPr>
                <w:bCs/>
                <w:sz w:val="20"/>
              </w:rPr>
              <w:t>Учащиеся</w:t>
            </w:r>
          </w:p>
        </w:tc>
        <w:tc>
          <w:tcPr>
            <w:tcW w:w="1246" w:type="dxa"/>
            <w:tcBorders>
              <w:bottom w:val="single" w:sz="4" w:space="0" w:color="auto"/>
            </w:tcBorders>
          </w:tcPr>
          <w:p w:rsidR="00000000" w:rsidRDefault="00000000">
            <w:pPr>
              <w:spacing w:line="240" w:lineRule="auto"/>
              <w:jc w:val="center"/>
              <w:rPr>
                <w:bCs/>
                <w:sz w:val="20"/>
              </w:rPr>
            </w:pPr>
            <w:r>
              <w:rPr>
                <w:bCs/>
                <w:sz w:val="20"/>
              </w:rPr>
              <w:t>Мальчики</w:t>
            </w:r>
          </w:p>
        </w:tc>
        <w:tc>
          <w:tcPr>
            <w:tcW w:w="1073" w:type="dxa"/>
            <w:tcBorders>
              <w:bottom w:val="single" w:sz="4" w:space="0" w:color="auto"/>
            </w:tcBorders>
          </w:tcPr>
          <w:p w:rsidR="00000000" w:rsidRDefault="00000000">
            <w:pPr>
              <w:spacing w:line="240" w:lineRule="auto"/>
              <w:jc w:val="center"/>
              <w:rPr>
                <w:bCs/>
                <w:sz w:val="20"/>
              </w:rPr>
            </w:pPr>
            <w:r>
              <w:rPr>
                <w:bCs/>
                <w:sz w:val="20"/>
              </w:rPr>
              <w:t>Девочки</w:t>
            </w:r>
          </w:p>
        </w:tc>
      </w:tr>
      <w:tr w:rsidR="00000000">
        <w:tblPrEx>
          <w:tblCellMar>
            <w:top w:w="0" w:type="dxa"/>
            <w:bottom w:w="0" w:type="dxa"/>
          </w:tblCellMar>
        </w:tblPrEx>
        <w:trPr>
          <w:cantSplit/>
        </w:trPr>
        <w:tc>
          <w:tcPr>
            <w:tcW w:w="1213" w:type="dxa"/>
            <w:tcBorders>
              <w:bottom w:val="nil"/>
            </w:tcBorders>
            <w:vAlign w:val="center"/>
          </w:tcPr>
          <w:p w:rsidR="00000000" w:rsidRDefault="00000000">
            <w:pPr>
              <w:spacing w:line="192" w:lineRule="auto"/>
              <w:jc w:val="center"/>
              <w:rPr>
                <w:bCs/>
                <w:sz w:val="20"/>
                <w:lang w:val="sr-Cyrl-CS"/>
              </w:rPr>
            </w:pPr>
            <w:r>
              <w:rPr>
                <w:bCs/>
                <w:sz w:val="20"/>
                <w:lang w:val="sr-Cyrl-CS"/>
              </w:rPr>
              <w:t>1991/92</w:t>
            </w:r>
          </w:p>
        </w:tc>
        <w:tc>
          <w:tcPr>
            <w:tcW w:w="798" w:type="dxa"/>
            <w:tcBorders>
              <w:bottom w:val="nil"/>
            </w:tcBorders>
            <w:vAlign w:val="center"/>
          </w:tcPr>
          <w:p w:rsidR="00000000" w:rsidRDefault="00000000">
            <w:pPr>
              <w:spacing w:line="192" w:lineRule="auto"/>
              <w:jc w:val="center"/>
              <w:rPr>
                <w:bCs/>
                <w:sz w:val="20"/>
                <w:lang w:val="sr-Cyrl-CS"/>
              </w:rPr>
            </w:pPr>
          </w:p>
        </w:tc>
        <w:tc>
          <w:tcPr>
            <w:tcW w:w="1344" w:type="dxa"/>
            <w:tcBorders>
              <w:bottom w:val="nil"/>
            </w:tcBorders>
            <w:vAlign w:val="center"/>
          </w:tcPr>
          <w:p w:rsidR="00000000" w:rsidRDefault="00000000">
            <w:pPr>
              <w:spacing w:line="192" w:lineRule="auto"/>
              <w:jc w:val="center"/>
              <w:rPr>
                <w:bCs/>
                <w:sz w:val="20"/>
                <w:lang w:val="sr-Cyrl-CS"/>
              </w:rPr>
            </w:pPr>
            <w:r>
              <w:rPr>
                <w:bCs/>
                <w:sz w:val="20"/>
                <w:lang w:val="sr-Cyrl-CS"/>
              </w:rPr>
              <w:t>8 567</w:t>
            </w:r>
          </w:p>
        </w:tc>
        <w:tc>
          <w:tcPr>
            <w:tcW w:w="1190" w:type="dxa"/>
            <w:tcBorders>
              <w:bottom w:val="nil"/>
            </w:tcBorders>
            <w:vAlign w:val="center"/>
          </w:tcPr>
          <w:p w:rsidR="00000000" w:rsidRDefault="00000000">
            <w:pPr>
              <w:spacing w:line="192" w:lineRule="auto"/>
              <w:jc w:val="center"/>
              <w:rPr>
                <w:bCs/>
                <w:sz w:val="20"/>
                <w:lang w:val="sr-Cyrl-CS"/>
              </w:rPr>
            </w:pPr>
            <w:r>
              <w:rPr>
                <w:bCs/>
                <w:sz w:val="20"/>
                <w:lang w:val="sr-Cyrl-CS"/>
              </w:rPr>
              <w:t>5 059</w:t>
            </w:r>
          </w:p>
        </w:tc>
        <w:tc>
          <w:tcPr>
            <w:tcW w:w="1092" w:type="dxa"/>
            <w:tcBorders>
              <w:bottom w:val="nil"/>
            </w:tcBorders>
            <w:vAlign w:val="center"/>
          </w:tcPr>
          <w:p w:rsidR="00000000" w:rsidRDefault="00000000">
            <w:pPr>
              <w:spacing w:line="192" w:lineRule="auto"/>
              <w:jc w:val="center"/>
              <w:rPr>
                <w:bCs/>
                <w:sz w:val="20"/>
                <w:lang w:val="sr-Cyrl-CS"/>
              </w:rPr>
            </w:pPr>
            <w:r>
              <w:rPr>
                <w:bCs/>
                <w:sz w:val="20"/>
                <w:lang w:val="sr-Cyrl-CS"/>
              </w:rPr>
              <w:t>3 508</w:t>
            </w:r>
          </w:p>
        </w:tc>
        <w:tc>
          <w:tcPr>
            <w:tcW w:w="1455" w:type="dxa"/>
            <w:tcBorders>
              <w:bottom w:val="nil"/>
            </w:tcBorders>
            <w:vAlign w:val="center"/>
          </w:tcPr>
          <w:p w:rsidR="00000000" w:rsidRDefault="00000000">
            <w:pPr>
              <w:spacing w:line="192" w:lineRule="auto"/>
              <w:jc w:val="center"/>
              <w:rPr>
                <w:bCs/>
                <w:sz w:val="20"/>
                <w:lang w:val="sr-Cyrl-CS"/>
              </w:rPr>
            </w:pPr>
            <w:r>
              <w:rPr>
                <w:bCs/>
                <w:sz w:val="20"/>
                <w:lang w:val="sr-Cyrl-CS"/>
              </w:rPr>
              <w:t>1 533</w:t>
            </w:r>
          </w:p>
        </w:tc>
        <w:tc>
          <w:tcPr>
            <w:tcW w:w="1246" w:type="dxa"/>
            <w:tcBorders>
              <w:bottom w:val="nil"/>
            </w:tcBorders>
            <w:vAlign w:val="center"/>
          </w:tcPr>
          <w:p w:rsidR="00000000" w:rsidRDefault="00000000">
            <w:pPr>
              <w:spacing w:line="192" w:lineRule="auto"/>
              <w:jc w:val="center"/>
              <w:rPr>
                <w:bCs/>
                <w:sz w:val="20"/>
                <w:lang w:val="sr-Cyrl-CS"/>
              </w:rPr>
            </w:pPr>
            <w:r>
              <w:rPr>
                <w:bCs/>
                <w:sz w:val="20"/>
                <w:lang w:val="sr-Cyrl-CS"/>
              </w:rPr>
              <w:t>990</w:t>
            </w:r>
          </w:p>
        </w:tc>
        <w:tc>
          <w:tcPr>
            <w:tcW w:w="1073" w:type="dxa"/>
            <w:tcBorders>
              <w:bottom w:val="nil"/>
            </w:tcBorders>
            <w:vAlign w:val="center"/>
          </w:tcPr>
          <w:p w:rsidR="00000000" w:rsidRDefault="00000000">
            <w:pPr>
              <w:spacing w:line="192" w:lineRule="auto"/>
              <w:jc w:val="center"/>
              <w:rPr>
                <w:bCs/>
                <w:sz w:val="20"/>
                <w:lang w:val="sr-Cyrl-CS"/>
              </w:rPr>
            </w:pPr>
            <w:r>
              <w:rPr>
                <w:bCs/>
                <w:sz w:val="20"/>
                <w:lang w:val="sr-Cyrl-CS"/>
              </w:rPr>
              <w:t>543</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59,05</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40,95</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64,58</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35,42</w:t>
            </w:r>
          </w:p>
        </w:tc>
      </w:tr>
      <w:tr w:rsidR="00000000">
        <w:tblPrEx>
          <w:tblCellMar>
            <w:top w:w="0" w:type="dxa"/>
            <w:bottom w:w="0" w:type="dxa"/>
          </w:tblCellMar>
        </w:tblPrEx>
        <w:trPr>
          <w:cantSplit/>
        </w:trPr>
        <w:tc>
          <w:tcPr>
            <w:tcW w:w="1213"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798"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344"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190"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092"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455"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246"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c>
          <w:tcPr>
            <w:tcW w:w="1073" w:type="dxa"/>
            <w:tcBorders>
              <w:top w:val="nil"/>
              <w:bottom w:val="nil"/>
            </w:tcBorders>
            <w:tcMar>
              <w:left w:w="0" w:type="dxa"/>
              <w:right w:w="0" w:type="dxa"/>
            </w:tcMar>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1992/93</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8 345</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5 002</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3 343</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1 577</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1 022</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555</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59,94</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40,060</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64,81</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35,193</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1993/94</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7 962</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4 837</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3 125</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1 175</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772</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403</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60,75</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39,25</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65,70</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34,30</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1994/95</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7 929</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4 751</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3 178</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1 302</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846</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456</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59,92</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40,08</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64,98</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35,02</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1995/96</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8 240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4 933</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3 307</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1 247</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811</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436</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59,87</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40,13</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65,04</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34,96</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1996/97</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8 160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4 779</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3 381</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1 421</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945</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476</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58,57</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41,43</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66,50</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33,50</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1997/98</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8 262</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4 893</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3 369</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1 468</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975</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493</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59,22</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40,78</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66,42</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33,58</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1998/99</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7 847</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4 734</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3 113</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1 321</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863</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458</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60,33</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39,67</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65,33</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34,67</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1999/00</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7 706</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4 639</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3 067</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1 337</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872</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465</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60,20</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39,80</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65,22</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34,78</w:t>
            </w: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p>
        </w:tc>
        <w:tc>
          <w:tcPr>
            <w:tcW w:w="1190" w:type="dxa"/>
            <w:tcBorders>
              <w:top w:val="nil"/>
              <w:bottom w:val="nil"/>
            </w:tcBorders>
            <w:vAlign w:val="center"/>
          </w:tcPr>
          <w:p w:rsidR="00000000" w:rsidRDefault="00000000">
            <w:pPr>
              <w:spacing w:line="192" w:lineRule="auto"/>
              <w:jc w:val="center"/>
              <w:rPr>
                <w:bCs/>
                <w:sz w:val="20"/>
                <w:lang w:val="sr-Cyrl-CS"/>
              </w:rPr>
            </w:pPr>
          </w:p>
        </w:tc>
        <w:tc>
          <w:tcPr>
            <w:tcW w:w="1092" w:type="dxa"/>
            <w:tcBorders>
              <w:top w:val="nil"/>
              <w:bottom w:val="nil"/>
            </w:tcBorders>
            <w:vAlign w:val="center"/>
          </w:tcPr>
          <w:p w:rsidR="00000000" w:rsidRDefault="00000000">
            <w:pPr>
              <w:spacing w:line="192" w:lineRule="auto"/>
              <w:jc w:val="center"/>
              <w:rPr>
                <w:bCs/>
                <w:sz w:val="20"/>
                <w:lang w:val="sr-Cyrl-CS"/>
              </w:rPr>
            </w:pPr>
          </w:p>
        </w:tc>
        <w:tc>
          <w:tcPr>
            <w:tcW w:w="1455" w:type="dxa"/>
            <w:tcBorders>
              <w:top w:val="nil"/>
              <w:bottom w:val="nil"/>
            </w:tcBorders>
            <w:vAlign w:val="center"/>
          </w:tcPr>
          <w:p w:rsidR="00000000" w:rsidRDefault="00000000">
            <w:pPr>
              <w:spacing w:line="192" w:lineRule="auto"/>
              <w:jc w:val="center"/>
              <w:rPr>
                <w:bCs/>
                <w:sz w:val="20"/>
                <w:lang w:val="sr-Cyrl-CS"/>
              </w:rPr>
            </w:pPr>
          </w:p>
        </w:tc>
        <w:tc>
          <w:tcPr>
            <w:tcW w:w="1246" w:type="dxa"/>
            <w:tcBorders>
              <w:top w:val="nil"/>
              <w:bottom w:val="nil"/>
            </w:tcBorders>
            <w:vAlign w:val="center"/>
          </w:tcPr>
          <w:p w:rsidR="00000000" w:rsidRDefault="00000000">
            <w:pPr>
              <w:spacing w:line="192" w:lineRule="auto"/>
              <w:jc w:val="center"/>
              <w:rPr>
                <w:bCs/>
                <w:sz w:val="20"/>
                <w:lang w:val="sr-Cyrl-CS"/>
              </w:rPr>
            </w:pPr>
          </w:p>
        </w:tc>
        <w:tc>
          <w:tcPr>
            <w:tcW w:w="1073" w:type="dxa"/>
            <w:tcBorders>
              <w:top w:val="nil"/>
              <w:bottom w:val="nil"/>
            </w:tcBorders>
            <w:vAlign w:val="center"/>
          </w:tcPr>
          <w:p w:rsidR="00000000" w:rsidRDefault="00000000">
            <w:pPr>
              <w:spacing w:line="192" w:lineRule="auto"/>
              <w:jc w:val="center"/>
              <w:rPr>
                <w:bCs/>
                <w:sz w:val="20"/>
                <w:lang w:val="sr-Cyrl-CS"/>
              </w:rPr>
            </w:pPr>
          </w:p>
        </w:tc>
      </w:tr>
      <w:tr w:rsidR="00000000">
        <w:tblPrEx>
          <w:tblCellMar>
            <w:top w:w="0" w:type="dxa"/>
            <w:bottom w:w="0" w:type="dxa"/>
          </w:tblCellMar>
        </w:tblPrEx>
        <w:trPr>
          <w:cantSplit/>
        </w:trPr>
        <w:tc>
          <w:tcPr>
            <w:tcW w:w="1213" w:type="dxa"/>
            <w:tcBorders>
              <w:top w:val="nil"/>
              <w:bottom w:val="nil"/>
            </w:tcBorders>
            <w:vAlign w:val="center"/>
          </w:tcPr>
          <w:p w:rsidR="00000000" w:rsidRDefault="00000000">
            <w:pPr>
              <w:spacing w:line="192" w:lineRule="auto"/>
              <w:jc w:val="center"/>
              <w:rPr>
                <w:bCs/>
                <w:sz w:val="20"/>
                <w:lang w:val="sr-Cyrl-CS"/>
              </w:rPr>
            </w:pPr>
            <w:r>
              <w:rPr>
                <w:bCs/>
                <w:sz w:val="20"/>
                <w:lang w:val="sr-Cyrl-CS"/>
              </w:rPr>
              <w:t>2000/01</w:t>
            </w:r>
          </w:p>
        </w:tc>
        <w:tc>
          <w:tcPr>
            <w:tcW w:w="798" w:type="dxa"/>
            <w:tcBorders>
              <w:top w:val="nil"/>
              <w:bottom w:val="nil"/>
            </w:tcBorders>
            <w:vAlign w:val="center"/>
          </w:tcPr>
          <w:p w:rsidR="00000000" w:rsidRDefault="00000000">
            <w:pPr>
              <w:spacing w:line="192" w:lineRule="auto"/>
              <w:jc w:val="center"/>
              <w:rPr>
                <w:bCs/>
                <w:sz w:val="20"/>
                <w:lang w:val="sr-Cyrl-CS"/>
              </w:rPr>
            </w:pPr>
          </w:p>
        </w:tc>
        <w:tc>
          <w:tcPr>
            <w:tcW w:w="1344" w:type="dxa"/>
            <w:tcBorders>
              <w:top w:val="nil"/>
              <w:bottom w:val="nil"/>
            </w:tcBorders>
            <w:vAlign w:val="center"/>
          </w:tcPr>
          <w:p w:rsidR="00000000" w:rsidRDefault="00000000">
            <w:pPr>
              <w:spacing w:line="192" w:lineRule="auto"/>
              <w:jc w:val="center"/>
              <w:rPr>
                <w:bCs/>
                <w:sz w:val="20"/>
                <w:lang w:val="sr-Cyrl-CS"/>
              </w:rPr>
            </w:pPr>
            <w:r>
              <w:rPr>
                <w:bCs/>
                <w:sz w:val="20"/>
                <w:lang w:val="sr-Cyrl-CS"/>
              </w:rPr>
              <w:t>7 560</w:t>
            </w:r>
          </w:p>
        </w:tc>
        <w:tc>
          <w:tcPr>
            <w:tcW w:w="1190" w:type="dxa"/>
            <w:tcBorders>
              <w:top w:val="nil"/>
              <w:bottom w:val="nil"/>
            </w:tcBorders>
            <w:vAlign w:val="center"/>
          </w:tcPr>
          <w:p w:rsidR="00000000" w:rsidRDefault="00000000">
            <w:pPr>
              <w:spacing w:line="192" w:lineRule="auto"/>
              <w:jc w:val="center"/>
              <w:rPr>
                <w:bCs/>
                <w:sz w:val="20"/>
                <w:lang w:val="sr-Cyrl-CS"/>
              </w:rPr>
            </w:pPr>
            <w:r>
              <w:rPr>
                <w:bCs/>
                <w:sz w:val="20"/>
                <w:lang w:val="sr-Cyrl-CS"/>
              </w:rPr>
              <w:t>4 488</w:t>
            </w:r>
          </w:p>
        </w:tc>
        <w:tc>
          <w:tcPr>
            <w:tcW w:w="1092" w:type="dxa"/>
            <w:tcBorders>
              <w:top w:val="nil"/>
              <w:bottom w:val="nil"/>
            </w:tcBorders>
            <w:vAlign w:val="center"/>
          </w:tcPr>
          <w:p w:rsidR="00000000" w:rsidRDefault="00000000">
            <w:pPr>
              <w:spacing w:line="192" w:lineRule="auto"/>
              <w:jc w:val="center"/>
              <w:rPr>
                <w:bCs/>
                <w:sz w:val="20"/>
                <w:lang w:val="sr-Cyrl-CS"/>
              </w:rPr>
            </w:pPr>
            <w:r>
              <w:rPr>
                <w:bCs/>
                <w:sz w:val="20"/>
                <w:lang w:val="sr-Cyrl-CS"/>
              </w:rPr>
              <w:t>3 072</w:t>
            </w:r>
          </w:p>
        </w:tc>
        <w:tc>
          <w:tcPr>
            <w:tcW w:w="1455" w:type="dxa"/>
            <w:tcBorders>
              <w:top w:val="nil"/>
              <w:bottom w:val="nil"/>
            </w:tcBorders>
            <w:vAlign w:val="center"/>
          </w:tcPr>
          <w:p w:rsidR="00000000" w:rsidRDefault="00000000">
            <w:pPr>
              <w:spacing w:line="192" w:lineRule="auto"/>
              <w:jc w:val="center"/>
              <w:rPr>
                <w:bCs/>
                <w:sz w:val="20"/>
                <w:lang w:val="sr-Cyrl-CS"/>
              </w:rPr>
            </w:pPr>
            <w:r>
              <w:rPr>
                <w:bCs/>
                <w:sz w:val="20"/>
                <w:lang w:val="sr-Cyrl-CS"/>
              </w:rPr>
              <w:t>1 269</w:t>
            </w:r>
          </w:p>
        </w:tc>
        <w:tc>
          <w:tcPr>
            <w:tcW w:w="1246" w:type="dxa"/>
            <w:tcBorders>
              <w:top w:val="nil"/>
              <w:bottom w:val="nil"/>
            </w:tcBorders>
            <w:vAlign w:val="center"/>
          </w:tcPr>
          <w:p w:rsidR="00000000" w:rsidRDefault="00000000">
            <w:pPr>
              <w:spacing w:line="192" w:lineRule="auto"/>
              <w:jc w:val="center"/>
              <w:rPr>
                <w:bCs/>
                <w:sz w:val="20"/>
                <w:lang w:val="sr-Cyrl-CS"/>
              </w:rPr>
            </w:pPr>
            <w:r>
              <w:rPr>
                <w:bCs/>
                <w:sz w:val="20"/>
                <w:lang w:val="sr-Cyrl-CS"/>
              </w:rPr>
              <w:t>806</w:t>
            </w:r>
          </w:p>
        </w:tc>
        <w:tc>
          <w:tcPr>
            <w:tcW w:w="1073" w:type="dxa"/>
            <w:tcBorders>
              <w:top w:val="nil"/>
              <w:bottom w:val="nil"/>
            </w:tcBorders>
            <w:vAlign w:val="center"/>
          </w:tcPr>
          <w:p w:rsidR="00000000" w:rsidRDefault="00000000">
            <w:pPr>
              <w:spacing w:line="192" w:lineRule="auto"/>
              <w:jc w:val="center"/>
              <w:rPr>
                <w:bCs/>
                <w:sz w:val="20"/>
                <w:lang w:val="sr-Cyrl-CS"/>
              </w:rPr>
            </w:pPr>
            <w:r>
              <w:rPr>
                <w:bCs/>
                <w:sz w:val="20"/>
                <w:lang w:val="sr-Cyrl-CS"/>
              </w:rPr>
              <w:t>463</w:t>
            </w:r>
          </w:p>
        </w:tc>
      </w:tr>
      <w:tr w:rsidR="00000000">
        <w:tblPrEx>
          <w:tblCellMar>
            <w:top w:w="0" w:type="dxa"/>
            <w:bottom w:w="0" w:type="dxa"/>
          </w:tblCellMar>
        </w:tblPrEx>
        <w:trPr>
          <w:cantSplit/>
        </w:trPr>
        <w:tc>
          <w:tcPr>
            <w:tcW w:w="1213" w:type="dxa"/>
            <w:tcBorders>
              <w:top w:val="nil"/>
            </w:tcBorders>
            <w:vAlign w:val="center"/>
          </w:tcPr>
          <w:p w:rsidR="00000000" w:rsidRDefault="00000000">
            <w:pPr>
              <w:spacing w:line="192" w:lineRule="auto"/>
              <w:jc w:val="center"/>
              <w:rPr>
                <w:bCs/>
                <w:sz w:val="20"/>
                <w:lang w:val="sr-Cyrl-CS"/>
              </w:rPr>
            </w:pPr>
          </w:p>
        </w:tc>
        <w:tc>
          <w:tcPr>
            <w:tcW w:w="798" w:type="dxa"/>
            <w:tcBorders>
              <w:top w:val="nil"/>
            </w:tcBorders>
            <w:vAlign w:val="center"/>
          </w:tcPr>
          <w:p w:rsidR="00000000" w:rsidRDefault="00000000">
            <w:pPr>
              <w:spacing w:line="192" w:lineRule="auto"/>
              <w:jc w:val="center"/>
              <w:rPr>
                <w:bCs/>
                <w:sz w:val="20"/>
                <w:lang w:val="sr-Cyrl-CS"/>
              </w:rPr>
            </w:pPr>
            <w:r>
              <w:rPr>
                <w:bCs/>
                <w:sz w:val="20"/>
                <w:lang w:val="sr-Cyrl-CS"/>
              </w:rPr>
              <w:t>%</w:t>
            </w:r>
          </w:p>
        </w:tc>
        <w:tc>
          <w:tcPr>
            <w:tcW w:w="1344" w:type="dxa"/>
            <w:tcBorders>
              <w:top w:val="nil"/>
            </w:tcBorders>
            <w:vAlign w:val="center"/>
          </w:tcPr>
          <w:p w:rsidR="00000000" w:rsidRDefault="00000000">
            <w:pPr>
              <w:spacing w:line="192" w:lineRule="auto"/>
              <w:jc w:val="center"/>
              <w:rPr>
                <w:bCs/>
                <w:sz w:val="20"/>
                <w:lang w:val="sr-Cyrl-CS"/>
              </w:rPr>
            </w:pPr>
            <w:r>
              <w:rPr>
                <w:bCs/>
                <w:sz w:val="20"/>
                <w:lang w:val="sr-Cyrl-CS"/>
              </w:rPr>
              <w:t>100,00</w:t>
            </w:r>
          </w:p>
        </w:tc>
        <w:tc>
          <w:tcPr>
            <w:tcW w:w="1190" w:type="dxa"/>
            <w:tcBorders>
              <w:top w:val="nil"/>
            </w:tcBorders>
            <w:vAlign w:val="center"/>
          </w:tcPr>
          <w:p w:rsidR="00000000" w:rsidRDefault="00000000">
            <w:pPr>
              <w:spacing w:line="192" w:lineRule="auto"/>
              <w:jc w:val="center"/>
              <w:rPr>
                <w:bCs/>
                <w:sz w:val="20"/>
                <w:lang w:val="sr-Cyrl-CS"/>
              </w:rPr>
            </w:pPr>
            <w:r>
              <w:rPr>
                <w:bCs/>
                <w:sz w:val="20"/>
                <w:lang w:val="sr-Cyrl-CS"/>
              </w:rPr>
              <w:t>59,37</w:t>
            </w:r>
          </w:p>
        </w:tc>
        <w:tc>
          <w:tcPr>
            <w:tcW w:w="1092" w:type="dxa"/>
            <w:tcBorders>
              <w:top w:val="nil"/>
            </w:tcBorders>
            <w:vAlign w:val="center"/>
          </w:tcPr>
          <w:p w:rsidR="00000000" w:rsidRDefault="00000000">
            <w:pPr>
              <w:spacing w:line="192" w:lineRule="auto"/>
              <w:jc w:val="center"/>
              <w:rPr>
                <w:bCs/>
                <w:sz w:val="20"/>
                <w:lang w:val="sr-Cyrl-CS"/>
              </w:rPr>
            </w:pPr>
            <w:r>
              <w:rPr>
                <w:bCs/>
                <w:sz w:val="20"/>
                <w:lang w:val="sr-Cyrl-CS"/>
              </w:rPr>
              <w:t>40,63</w:t>
            </w:r>
          </w:p>
        </w:tc>
        <w:tc>
          <w:tcPr>
            <w:tcW w:w="1455" w:type="dxa"/>
            <w:tcBorders>
              <w:top w:val="nil"/>
            </w:tcBorders>
            <w:vAlign w:val="center"/>
          </w:tcPr>
          <w:p w:rsidR="00000000" w:rsidRDefault="00000000">
            <w:pPr>
              <w:spacing w:line="192" w:lineRule="auto"/>
              <w:jc w:val="center"/>
              <w:rPr>
                <w:bCs/>
                <w:sz w:val="20"/>
                <w:lang w:val="sr-Cyrl-CS"/>
              </w:rPr>
            </w:pPr>
            <w:r>
              <w:rPr>
                <w:bCs/>
                <w:sz w:val="20"/>
                <w:lang w:val="sr-Cyrl-CS"/>
              </w:rPr>
              <w:t>100,00</w:t>
            </w:r>
          </w:p>
        </w:tc>
        <w:tc>
          <w:tcPr>
            <w:tcW w:w="1246" w:type="dxa"/>
            <w:tcBorders>
              <w:top w:val="nil"/>
            </w:tcBorders>
            <w:vAlign w:val="center"/>
          </w:tcPr>
          <w:p w:rsidR="00000000" w:rsidRDefault="00000000">
            <w:pPr>
              <w:spacing w:line="192" w:lineRule="auto"/>
              <w:jc w:val="center"/>
              <w:rPr>
                <w:bCs/>
                <w:sz w:val="20"/>
                <w:lang w:val="sr-Cyrl-CS"/>
              </w:rPr>
            </w:pPr>
            <w:r>
              <w:rPr>
                <w:bCs/>
                <w:sz w:val="20"/>
                <w:lang w:val="sr-Cyrl-CS"/>
              </w:rPr>
              <w:t>63,51</w:t>
            </w:r>
          </w:p>
        </w:tc>
        <w:tc>
          <w:tcPr>
            <w:tcW w:w="1073" w:type="dxa"/>
            <w:tcBorders>
              <w:top w:val="nil"/>
            </w:tcBorders>
            <w:vAlign w:val="center"/>
          </w:tcPr>
          <w:p w:rsidR="00000000" w:rsidRDefault="00000000">
            <w:pPr>
              <w:spacing w:line="192" w:lineRule="auto"/>
              <w:jc w:val="center"/>
              <w:rPr>
                <w:bCs/>
                <w:sz w:val="20"/>
                <w:lang w:val="sr-Cyrl-CS"/>
              </w:rPr>
            </w:pPr>
            <w:r>
              <w:rPr>
                <w:bCs/>
                <w:sz w:val="20"/>
                <w:lang w:val="sr-Cyrl-CS"/>
              </w:rPr>
              <w:t>36,49</w:t>
            </w:r>
          </w:p>
        </w:tc>
      </w:tr>
    </w:tbl>
    <w:p w:rsidR="00000000" w:rsidRDefault="00000000">
      <w:pPr>
        <w:spacing w:line="216" w:lineRule="auto"/>
      </w:pPr>
    </w:p>
    <w:p w:rsidR="00000000" w:rsidRDefault="00000000">
      <w:pPr>
        <w:spacing w:line="216" w:lineRule="auto"/>
      </w:pPr>
      <w:r>
        <w:tab/>
      </w:r>
      <w:r>
        <w:rPr>
          <w:i/>
          <w:iCs/>
        </w:rPr>
        <w:t>Источник:</w:t>
      </w:r>
      <w:r>
        <w:t xml:space="preserve">  Статистические ежегодники Республиканского статистического управления.</w:t>
      </w:r>
    </w:p>
    <w:p w:rsidR="00000000" w:rsidRDefault="00000000">
      <w:pPr>
        <w:spacing w:line="216" w:lineRule="auto"/>
      </w:pPr>
    </w:p>
    <w:p w:rsidR="00000000" w:rsidRDefault="00000000">
      <w:pPr>
        <w:spacing w:line="216" w:lineRule="auto"/>
      </w:pPr>
      <w:r>
        <w:rPr>
          <w:b/>
          <w:bCs/>
          <w:vertAlign w:val="superscript"/>
        </w:rPr>
        <w:t>а</w:t>
      </w:r>
      <w:r>
        <w:tab/>
        <w:t>Учащиеся обычных средних школ без учета информации о специальных школах и школах для взрослых.</w:t>
      </w:r>
    </w:p>
    <w:p w:rsidR="00000000" w:rsidRDefault="00000000"/>
    <w:p w:rsidR="00000000" w:rsidRDefault="00000000">
      <w:pPr>
        <w:jc w:val="center"/>
      </w:pPr>
      <w:r>
        <w:rPr>
          <w:b/>
          <w:bCs/>
        </w:rPr>
        <w:t>3.</w:t>
      </w:r>
      <w:r>
        <w:rPr>
          <w:b/>
          <w:bCs/>
        </w:rPr>
        <w:tab/>
        <w:t>Образование лиц, относящихся к национальным меньшинствам</w:t>
      </w:r>
    </w:p>
    <w:p w:rsidR="00000000" w:rsidRDefault="00000000"/>
    <w:p w:rsidR="00000000" w:rsidRDefault="00000000">
      <w:r>
        <w:t>387.</w:t>
      </w:r>
      <w:r>
        <w:tab/>
        <w:t>Система образования на языках меньшинств в соответствии с положениями законов о начальном, среднем и высшем образовании в Республике предусматривает следующие права:  право на получение начального, среднего и высшего образования на родном языке;  право на пользование учебниками и специальными учебными пособиями для занятий, проводимых на родном языке (государственные издательства обязаны публиковать школьные учебники на языках всех этнических меньшинств);  право на то, чтобы преподаватели были надлежащим образом подготовлены для ведения занятий на языках этнических меньшинств;  и право на школы/занятия, обучение в которых ведется на языках меньшинств.  Эти положения позволяют учащимся из числа этнических меньшинств в рамках учебного процесса изучать и сохранять свою историческую, социальную, культурную и национальную самобытность.</w:t>
      </w:r>
    </w:p>
    <w:p w:rsidR="00000000" w:rsidRDefault="00000000"/>
    <w:p w:rsidR="00000000" w:rsidRDefault="00000000">
      <w:r>
        <w:t>388.</w:t>
      </w:r>
      <w:r>
        <w:tab/>
        <w:t>В законах о начальном и среднем образовании определялись основные условия, необходимые для организации обучения на языках меньшинств.  В статье 5 обоих законов говорится о возможности организации учебной программы на языках меньшинств (или на принципе двуязычного образования)</w:t>
      </w:r>
      <w:r>
        <w:rPr>
          <w:rStyle w:val="FootnoteReference"/>
        </w:rPr>
        <w:footnoteReference w:id="59"/>
      </w:r>
      <w:r>
        <w:t>, если в первый класс зачислено не менее 15 учеников, относящихся к национальным меньшинствам.  Положениями тех же законов разрешается проведение занятий на языках меньшинств даже для менее чем 15 учащихся из числа этнических меньшинств, которые были зачислены в соответствующий класс, но только с санкции министра просвещения и при наличии необходимых педагогических условий.  Министр просвещения определяет порядок осуществления двуязычных учебных программ и планов.  Если учащийся желает обучаться на языке меньшинства, то он также обязан изучать сербский язык в соответствии со школьной программой.  В тех случаях, когда языком обучения является сербский, учащиеся по желанию могут выбирать отдельные предметы, преподаваемые на их родном языке (два урока в неделю).</w:t>
      </w:r>
    </w:p>
    <w:p w:rsidR="00000000" w:rsidRDefault="00000000"/>
    <w:p w:rsidR="00000000" w:rsidRDefault="00000000">
      <w:r>
        <w:t>389.</w:t>
      </w:r>
      <w:r>
        <w:tab/>
        <w:t>Положениями статьи 4 Закона о высших учебных заведениях и положениями статьи 8 Закона об университетах предусматривается возможность преподавания отдельных курсов в образовательных учреждениях высшей школы или факультетах университетов на языке меньшинств или на любом иностранном языке по решению учредителя данной школы или факультета.  В случае если Республика Сербия не является учредителем, то соответствующую санкцию следует получить в последующий период от правительства Республики (в случае образовательного учреждения в системе высшей школы).  Однако, в случае отделения вуза, такая санкция должна быть получена заблаговременно.  В статье 31 Закона об университете предусмотрено конкретное требование, касающееся записи на начальные учебные курсы, преподаваемые на иностранном языке или языке меньшинства, которое состоит в знании языка, на котором ведется обучение.  Языковые знания проверяются специальной экзаменационной комиссией в порядке, предусмотренном в уставе отделения вуза или университета.  Студент, записавшийся на учебный курс, преподаваемый на языке меньшинства или иностранном языке, может принять решение о продолжении изучения данного предмета на сербском языке.</w:t>
      </w:r>
    </w:p>
    <w:p w:rsidR="00000000" w:rsidRDefault="00000000"/>
    <w:p w:rsidR="00000000" w:rsidRDefault="00000000">
      <w:r>
        <w:t>390.</w:t>
      </w:r>
      <w:r>
        <w:tab/>
        <w:t>При ведении обучения и организации учебных планов и программ на языках меньшинств все школьные документы и официальные дипломы и аттестаты выдаются на соответствующих языках.  В законе также предписываются общие требования в отношении преподавательского состава.  Школьные учителя должны иметь диплом об окончании педагогического колледжа (института), а учителя в старших классах начальной и средней школы должны также иметь сертификат, подтверждающий их владение языком, на котором ведется обучение.  Необходимо также наличие учебников и пособий на языках меньшинств.  Государственные издательства обязаны выпускать учебники на всех языках, на которых ведется обучение.</w:t>
      </w:r>
    </w:p>
    <w:p w:rsidR="00000000" w:rsidRDefault="00000000"/>
    <w:p w:rsidR="00000000" w:rsidRDefault="00000000">
      <w:r>
        <w:t>391.</w:t>
      </w:r>
      <w:r>
        <w:tab/>
        <w:t>Этнические меньшинства обучаются на семи языках меньшинств</w:t>
      </w:r>
      <w:r>
        <w:rPr>
          <w:rStyle w:val="FootnoteReference"/>
        </w:rPr>
        <w:footnoteReference w:id="60"/>
      </w:r>
      <w:r>
        <w:t>:  албанском, болгарском, венгерском, румынском, русинском, турецком и словацком.  Между этими этническими меньшинствами существуют глубокие различия в отношении подхода к образованию и его восприятия.  Важным фактором, обусловливающим различия в подходах и восприятии образования, является уровень социально-экономического развития районов, в которых проживают группы меньшинств.  Примером наиболее последовательной реализации права этнических меньшинств на образование служит Воеводина - наиболее развитый в экономическом отношении регион Сербии, в котором большинство населения составляют этнические венгры, этнические словаки, этнические румыны и этнические русины</w:t>
      </w:r>
      <w:r>
        <w:rPr>
          <w:rStyle w:val="FootnoteReference"/>
        </w:rPr>
        <w:footnoteReference w:id="61"/>
      </w:r>
      <w:r>
        <w:t xml:space="preserve">.  </w:t>
      </w:r>
    </w:p>
    <w:p w:rsidR="00000000" w:rsidRDefault="00000000"/>
    <w:p w:rsidR="00000000" w:rsidRDefault="00000000">
      <w:pPr>
        <w:keepLines/>
      </w:pPr>
      <w:r>
        <w:t>392.</w:t>
      </w:r>
      <w:r>
        <w:tab/>
        <w:t>Министерство по правам человека и правам меньшинств Сербии и Черногории учредило в своей структуре секретариат, занимающийся разработкой национальной стратегии для народа рома.  Цель этой деятельности заключается в оказании помощи, мониторинге и проведении консультаций в процессе принятия и осуществления стратегии интеграции и обеспечения прав рома.</w:t>
      </w:r>
    </w:p>
    <w:p w:rsidR="00000000" w:rsidRDefault="00000000"/>
    <w:p w:rsidR="00000000" w:rsidRDefault="00000000">
      <w:r>
        <w:t>393.</w:t>
      </w:r>
      <w:r>
        <w:tab/>
        <w:t>В стратегии подчеркивается необходимость осуществления недискриминационной учебной программы в рамках специализированного обучения персонала государственных учреждений в целях предупреждения дискриминации по этническому признаку в учреждениях и ведомствах (включая центр социальных услуг и учреждения в системе социального обеспечения).</w:t>
      </w:r>
    </w:p>
    <w:p w:rsidR="00000000" w:rsidRDefault="00000000"/>
    <w:p w:rsidR="00000000" w:rsidRDefault="00000000">
      <w:r>
        <w:t>394.</w:t>
      </w:r>
      <w:r>
        <w:tab/>
        <w:t>34% детей в учреждениях для сирот и брошенных детей относятся к этническому меньшинству рома.  Среди прочего, стратегия, разработанная министерством социального обеспечения Республики Сербии, направлена на сокращение количества детей, направляемых в эти учреждения, за счет развития системы помещения детей в приемные семьи и оказания помощи их родным родителям в уходе за их собственными детьми.</w:t>
      </w:r>
    </w:p>
    <w:p w:rsidR="00000000" w:rsidRDefault="00000000"/>
    <w:p w:rsidR="00000000" w:rsidRDefault="00000000">
      <w:r>
        <w:t>395.</w:t>
      </w:r>
      <w:r>
        <w:tab/>
        <w:t>Ввиду неблагоприятного социально-экономического положения и иного социального и культурного уклада многие дети рома с нормальными умственными способностями плохо учатся в школе.  Тот факт, что разработанные экзамены не подходят для проверки их знаний, - недостаток, который невозможно полностью исключить, а также незнание особенностей культуры рома членами экзаменационной комиссии во многих случаях заставляют детей рома переводиться в школы для детей с особыми потребностями.</w:t>
      </w:r>
    </w:p>
    <w:p w:rsidR="00000000" w:rsidRDefault="00000000"/>
    <w:p w:rsidR="00000000" w:rsidRDefault="00000000">
      <w:r>
        <w:t>396.</w:t>
      </w:r>
      <w:r>
        <w:tab/>
        <w:t>Реформа системы образования, проводимая министерством просвещения и спорта Республики Сербии также затрагивает вопросы, относящиеся к рома.  Международные организации, имеющие отделения в ряде стран при широком участии НПО, рома разработали и реализовали ряд проектов по улучшению положения рома в системе образования.  Ряд этих проектов стал составной частью планов, утвержденных министерством просвещения и спорта Республики Сербии</w:t>
      </w:r>
      <w:r>
        <w:rPr>
          <w:rStyle w:val="FootnoteReference"/>
        </w:rPr>
        <w:footnoteReference w:id="62"/>
      </w:r>
      <w:r>
        <w:t xml:space="preserve">. </w:t>
      </w:r>
    </w:p>
    <w:p w:rsidR="00000000" w:rsidRDefault="00000000"/>
    <w:p w:rsidR="00000000" w:rsidRDefault="00000000">
      <w:pPr>
        <w:keepNext/>
        <w:keepLines/>
        <w:jc w:val="center"/>
        <w:rPr>
          <w:b/>
          <w:bCs/>
        </w:rPr>
      </w:pPr>
      <w:r>
        <w:rPr>
          <w:b/>
          <w:bCs/>
          <w:lang w:val="en-US"/>
        </w:rPr>
        <w:t>G</w:t>
      </w:r>
      <w:r>
        <w:rPr>
          <w:b/>
          <w:bCs/>
        </w:rPr>
        <w:t>.</w:t>
      </w:r>
      <w:r>
        <w:rPr>
          <w:b/>
          <w:bCs/>
        </w:rPr>
        <w:tab/>
        <w:t>Положение преподавателей в системе образования</w:t>
      </w:r>
    </w:p>
    <w:p w:rsidR="00000000" w:rsidRDefault="00000000">
      <w:pPr>
        <w:keepNext/>
        <w:keepLines/>
        <w:jc w:val="center"/>
      </w:pPr>
    </w:p>
    <w:p w:rsidR="00000000" w:rsidRDefault="00000000">
      <w:pPr>
        <w:keepNext/>
        <w:keepLines/>
      </w:pPr>
      <w:r>
        <w:t>397.</w:t>
      </w:r>
      <w:r>
        <w:tab/>
        <w:t xml:space="preserve">В законодательстве определяются критерии, которым должны соответствовать педагоги для каждой ступени образования, с тем чтобы преподавать в школах или читать лекции в университетах.  Во всех законах в сфере образования имеется единое требование о том, что для работы в школе или университете преподаватели должны иметь диплом об окончании университета.  </w:t>
      </w:r>
    </w:p>
    <w:p w:rsidR="00000000" w:rsidRDefault="00000000"/>
    <w:p w:rsidR="00000000" w:rsidRDefault="00000000">
      <w:r>
        <w:t>398.</w:t>
      </w:r>
      <w:r>
        <w:tab/>
        <w:t xml:space="preserve">Учителя младших классов (1-4) начальной школы, за исключением преподавателей иностранных языков, должны иметь диплом об окончании педагогического отделения университета.  До 1999 года, когда при университетах были открыты первые педагогические отделения, школьные учителя проходили двухлетний курс обучения в педагогических школах (академиях), которые не являлись отделениями университета.  Преподавателями являются педагоги, которые преподают школьные предметы в старших классах начальной школы (с 5 по 8), в средней школе, институте или университете.  В отличие от преподавателей отдельных предметов в системе начальной, средней или высшей школы, которые должны иметь степень бакалавра, для преподавания в университетах необходимо также закончить аспирантуру.  </w:t>
      </w:r>
    </w:p>
    <w:p w:rsidR="00000000" w:rsidRDefault="00000000"/>
    <w:p w:rsidR="00000000" w:rsidRDefault="00000000">
      <w:r>
        <w:t>399.</w:t>
      </w:r>
      <w:r>
        <w:tab/>
        <w:t xml:space="preserve">В законодательстве предусмотрено, что все лица, имеющие диплом бакалавра гуманитарных или точных наук, могут заниматься преподавательской работой.  По закону для работы в начальной или средней школе наряду со степенью бакалавра гуманитарных или точных наук преподаватель должен иметь опыт работы не менее одного-двух лет, а также сдать экзамен, состоящий из трех сегментов:  методология преподавания конкретного школьного предмета, педагогика и психология, а также школьное законодательство.  В начальных и средних школах вопросами методической подготовки занимается профессиональный школьный консультант.  Методическими вопросами в начальной школе может заниматься школьный педагог, школьный психолог, социальный работник, преподаватель, имеющий специальную подготовку (врач), библиотекарь или заведующий электронной библиотекой.  В средних школах эта работа может быть поручена психологу, педагогу, библиотекарю, социальному работнику или медику, специалисту по информационным технологиям или вопросам образования взрослых (если взрослые являются учащимися).  Педагоги начальной и средней ступени образования в школах-интернатах отвечают за воспитание учащихся.  </w:t>
      </w:r>
    </w:p>
    <w:p w:rsidR="00000000" w:rsidRDefault="00000000"/>
    <w:p w:rsidR="00000000" w:rsidRDefault="00000000">
      <w:r>
        <w:t>400.</w:t>
      </w:r>
      <w:r>
        <w:tab/>
        <w:t xml:space="preserve">Согласно информации, собранной Целевой группой министерства просвещения и спорта, касающейся подготовки и профессионального развития преподавательских кадров в Республике Сербии, в системе образования официально работают 1 600 000 человек из 8,4 миллионов человек населения Республики.  В системе образования от дошкольного воспитания до университетского уровня работают почти 100 000 преподавателей, включая консультантов (педагоги, психологи, библиотекари, социальные работники, специалисты по обучению детей с особыми потребностями).  Почти </w:t>
      </w:r>
      <w:proofErr w:type="spellStart"/>
      <w:r>
        <w:t>55%</w:t>
      </w:r>
      <w:proofErr w:type="spellEnd"/>
      <w:r>
        <w:t xml:space="preserve"> из них работают в начальных школах, </w:t>
      </w:r>
      <w:proofErr w:type="spellStart"/>
      <w:r>
        <w:t>27%</w:t>
      </w:r>
      <w:proofErr w:type="spellEnd"/>
      <w:r>
        <w:t xml:space="preserve"> - в средних школах, </w:t>
      </w:r>
      <w:proofErr w:type="spellStart"/>
      <w:r>
        <w:t>10%</w:t>
      </w:r>
      <w:proofErr w:type="spellEnd"/>
      <w:r>
        <w:t xml:space="preserve"> - в университетах и около </w:t>
      </w:r>
      <w:proofErr w:type="spellStart"/>
      <w:r>
        <w:t>8%</w:t>
      </w:r>
      <w:proofErr w:type="spellEnd"/>
      <w:r>
        <w:t xml:space="preserve"> являются педагогами-воспитателями.  В учреждениях дошкольного воспитания работает около 18 150 человек:  из них </w:t>
      </w:r>
      <w:proofErr w:type="spellStart"/>
      <w:r>
        <w:t>48,5%</w:t>
      </w:r>
      <w:proofErr w:type="spellEnd"/>
      <w:r>
        <w:t xml:space="preserve"> - педагоги-воспитатели, </w:t>
      </w:r>
      <w:proofErr w:type="spellStart"/>
      <w:r>
        <w:t>16,6%</w:t>
      </w:r>
      <w:proofErr w:type="spellEnd"/>
      <w:r>
        <w:t xml:space="preserve"> - медицинский персонал и </w:t>
      </w:r>
      <w:proofErr w:type="spellStart"/>
      <w:r>
        <w:t>39,9%</w:t>
      </w:r>
      <w:proofErr w:type="spellEnd"/>
      <w:r>
        <w:t xml:space="preserve"> - административный и иной персонал</w:t>
      </w:r>
      <w:r>
        <w:rPr>
          <w:rStyle w:val="FootnoteReference"/>
        </w:rPr>
        <w:footnoteReference w:id="63"/>
      </w:r>
      <w:r>
        <w:t xml:space="preserve">.  </w:t>
      </w:r>
    </w:p>
    <w:p w:rsidR="00000000" w:rsidRDefault="00000000"/>
    <w:p w:rsidR="00000000" w:rsidRDefault="00000000">
      <w:r>
        <w:t>401.</w:t>
      </w:r>
      <w:r>
        <w:tab/>
        <w:t>Одна из наиболее важных проблем в этой области связана с последовательной теоретической и практической подготовкой преподавательского состава для работы в классе.  Эта проблема касается уровня практической подготовки для ведения учебной работы в классе на отделениях вузов и в университетах, а также норм и правил, относящихся к обязательному прохождению на регулярной основе курсов повышения квалификации на рабочем месте.  При сопоставлении учебных программ институтов и университетов в Сербии было выявлено отсутствие баланса между академическим образованием и педагогическим образованием для преподавания в имеющихся вузах, за исключением педагогических колледжей и частично педагогических отделений вузов</w:t>
      </w:r>
      <w:r>
        <w:rPr>
          <w:rStyle w:val="FootnoteReference"/>
        </w:rPr>
        <w:footnoteReference w:id="64"/>
      </w:r>
      <w:r>
        <w:t xml:space="preserve">.  В рамках структуры университетского образования педагогические факультеты являются единственными учреждениями системы высшего образования, в которых студенты (будущие преподаватели) проходят всестороннюю теоретическую и практическую подготовку для работы по специальности педагога.  В учебных программах других отделений вузов ("педагогических или непедагогических") больше внимания уделяется не вопросам педагогики, а изучению профилирующих предметов.  </w:t>
      </w:r>
    </w:p>
    <w:p w:rsidR="00000000" w:rsidRDefault="00000000"/>
    <w:p w:rsidR="00000000" w:rsidRDefault="00000000">
      <w:r>
        <w:t>402.</w:t>
      </w:r>
      <w:r>
        <w:tab/>
        <w:t>Университетское образование преподавателей на "педагогических или непедагогических" отделениях "столь сильно ориентировано на учебную программу, что времени для теоретического ознакомления с различными методологическими моделями, современной организацией занятий и методами обучения, поощряющими активное участие обучаемых, не говоря уже о практической стороне дела, фактически не остается.  Это - одна из главных проблем всей системы подготовки преподавательских кадров"</w:t>
      </w:r>
      <w:r>
        <w:rPr>
          <w:rStyle w:val="FootnoteReference"/>
        </w:rPr>
        <w:footnoteReference w:id="65"/>
      </w:r>
      <w:r>
        <w:t xml:space="preserve">.  Что касается постоянного обучения преподавателей на рабочем месте, то положения законодательства (статья 74 Закона о начальной школе и статья 74 Закона о средней школе) требуют от преподавательского состава, школьных консультантов и воспитателей постоянно повышать уровень своей квалификации.  Министерство просвещения и спорта Республики Сербии разработало систему непрерывного обучения, программу, порядок, сроки и условия для сдачи специализированного учебного экзамена в рамках курса обучения в целях повышения квалификации.  </w:t>
      </w:r>
    </w:p>
    <w:p w:rsidR="00000000" w:rsidRDefault="00000000"/>
    <w:p w:rsidR="00000000" w:rsidRDefault="00000000">
      <w:r>
        <w:t>403.</w:t>
      </w:r>
      <w:r>
        <w:tab/>
        <w:t>Вышеуказанные положения не получили на практике организационного, кадрового или материального оформления и остаются не более чем декларативными.  Они не определяют динамику процесса повышения квалификации в соответствии со стажем преподавательской работы и стремлением к профессиональному росту, трудовыми правами, статусом в данной профессии и размером финансового вознаграждения</w:t>
      </w:r>
      <w:r>
        <w:rPr>
          <w:rStyle w:val="FootnoteReference"/>
        </w:rPr>
        <w:footnoteReference w:id="66"/>
      </w:r>
      <w:r>
        <w:t>.</w:t>
      </w:r>
    </w:p>
    <w:p w:rsidR="00000000" w:rsidRDefault="00000000"/>
    <w:p w:rsidR="00000000" w:rsidRDefault="00000000">
      <w:r>
        <w:t>404.</w:t>
      </w:r>
      <w:r>
        <w:tab/>
        <w:t xml:space="preserve">Внесение поправок в положения, регулирующие порядок повышения квалификации преподавательских кадров, - это один из основных видов деятельности министерства просвещения и спорта Республики Сербии в рамках реформы системы образования и повышения профессионального уровня преподавательских кадров.  В поправках к статье 74 Закона о начальной школе и статье 78 Закона о средней школе были введены профессиональные звания для преподавателей и учебных консультантов.  Помимо определения профессиональных преподавательских званий, в поправках устанавливается, что министр просвещения отвечает за следующие вопросы:  программы и порядок организации продвинутой подготовки преподавательских кадров на постоянной основе, требования и процедуру для повышения в должности, навыки и знания, приобретаемые в ходе продвинутой подготовки преподавательских кадров, форму аттестатов об окончании и перспективы создания региональных центров продвинутой подготовки преподавательских кадров с возможностью получения педагогического диплома.  </w:t>
      </w:r>
    </w:p>
    <w:p w:rsidR="00000000" w:rsidRDefault="00000000"/>
    <w:p w:rsidR="00000000" w:rsidRDefault="00000000">
      <w:pPr>
        <w:keepNext/>
        <w:jc w:val="center"/>
        <w:rPr>
          <w:b/>
          <w:bCs/>
        </w:rPr>
      </w:pPr>
      <w:r>
        <w:rPr>
          <w:b/>
          <w:bCs/>
        </w:rPr>
        <w:t>Статья 14</w:t>
      </w:r>
    </w:p>
    <w:p w:rsidR="00000000" w:rsidRDefault="00000000">
      <w:pPr>
        <w:keepNext/>
        <w:jc w:val="center"/>
        <w:rPr>
          <w:b/>
          <w:bCs/>
        </w:rPr>
      </w:pPr>
    </w:p>
    <w:p w:rsidR="00000000" w:rsidRDefault="00000000">
      <w:pPr>
        <w:keepNext/>
        <w:jc w:val="center"/>
        <w:rPr>
          <w:b/>
          <w:bCs/>
        </w:rPr>
      </w:pPr>
      <w:r>
        <w:rPr>
          <w:b/>
          <w:bCs/>
        </w:rPr>
        <w:t>Обязательное бесплатное начальное образование</w:t>
      </w:r>
    </w:p>
    <w:p w:rsidR="00000000" w:rsidRDefault="00000000">
      <w:pPr>
        <w:keepNext/>
        <w:jc w:val="center"/>
        <w:rPr>
          <w:b/>
          <w:bCs/>
        </w:rPr>
      </w:pPr>
    </w:p>
    <w:p w:rsidR="00000000" w:rsidRDefault="00000000">
      <w:pPr>
        <w:keepNext/>
      </w:pPr>
      <w:r>
        <w:t>405.</w:t>
      </w:r>
      <w:r>
        <w:tab/>
        <w:t>С учетом того, что Конституция Союзной Республики Югославии гарантировала право на обязательное бесплатное начальное образование и что аналогичное право в расширенном виде гарантируется в Хартии прав человека и национальных меньшинств и гражданских свобод, а также того, что Конституция Республики Сербии также предусматривает право на бесплатное образование для всех лиц, охватываемых системой очного обучения в рамках средней и высшей школы, см. замечания, сделанные под рубрикой статьи 13 Пакта.</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jc w:val="center"/>
        <w:rPr>
          <w:b/>
          <w:bCs/>
        </w:rPr>
      </w:pPr>
      <w:r>
        <w:rPr>
          <w:b/>
          <w:bCs/>
        </w:rPr>
        <w:t>А.</w:t>
      </w:r>
      <w:r>
        <w:rPr>
          <w:b/>
          <w:bCs/>
        </w:rPr>
        <w:tab/>
        <w:t>Право на участие в культурной жизни</w:t>
      </w:r>
    </w:p>
    <w:p w:rsidR="00000000" w:rsidRDefault="00000000">
      <w:pPr>
        <w:jc w:val="center"/>
        <w:rPr>
          <w:b/>
          <w:bCs/>
        </w:rPr>
      </w:pPr>
    </w:p>
    <w:p w:rsidR="00000000" w:rsidRDefault="00000000">
      <w:pPr>
        <w:keepNext/>
        <w:rPr>
          <w:b/>
          <w:bCs/>
        </w:rPr>
      </w:pPr>
      <w:r>
        <w:rPr>
          <w:b/>
          <w:bCs/>
        </w:rPr>
        <w:t>Законодательство</w:t>
      </w:r>
    </w:p>
    <w:p w:rsidR="00000000" w:rsidRDefault="00000000">
      <w:pPr>
        <w:keepNext/>
        <w:rPr>
          <w:b/>
          <w:bCs/>
        </w:rPr>
      </w:pPr>
    </w:p>
    <w:p w:rsidR="00000000" w:rsidRDefault="00000000">
      <w:r>
        <w:t>406.</w:t>
      </w:r>
      <w:r>
        <w:tab/>
        <w:t xml:space="preserve">Вопросы культуры относятся к сфере компетенции республик, входящих в состав Союзной Республики Югославии.  В отличие от других областей деятельности, которые, как правило, регулируются одним или несколькими базовыми законами, в сфере культуры действует несколько так называемых базовых законов.  </w:t>
      </w:r>
    </w:p>
    <w:p w:rsidR="00000000" w:rsidRDefault="00000000"/>
    <w:p w:rsidR="00000000" w:rsidRDefault="00000000">
      <w:r>
        <w:t>407.</w:t>
      </w:r>
      <w:r>
        <w:tab/>
        <w:t>В Республике Сербии Закон о деятельности, представляющей общий интерес в сфере культуры (</w:t>
      </w:r>
      <w:r>
        <w:rPr>
          <w:i/>
          <w:iCs/>
        </w:rPr>
        <w:t>Официальный вестник Республики Сербии</w:t>
      </w:r>
      <w:r>
        <w:t xml:space="preserve">, № 49/92), содержит 22 статьи, посвященные различным областям культуры, представляющим общий интерес для Республики.  В нем перечислены названия наиболее известных учреждений культуры, определены виды деятельности в сфере культуры и элементы деятельности, получающие поддержку со стороны Республики, различные культурные мероприятия, вопросы, связанные с культурой меньшинств, международным сотрудничеством в области культуры, порядком оказания помощи деятелям культуры из числа молодежи и подготовкой специальных изданий для слепых.  Другие виды деятельности осуществляются в рамках частных рыночных инициатив, ассоциаций граждан, культурно-просветительских организаций меньшинств, этнических органов самоуправления, а также на основе спонсорства, субсидий и пожертвований.  </w:t>
      </w:r>
    </w:p>
    <w:p w:rsidR="00000000" w:rsidRDefault="00000000"/>
    <w:p w:rsidR="00000000" w:rsidRDefault="00000000">
      <w:pPr>
        <w:keepNext/>
        <w:rPr>
          <w:b/>
          <w:bCs/>
        </w:rPr>
      </w:pPr>
      <w:r>
        <w:rPr>
          <w:b/>
          <w:bCs/>
        </w:rPr>
        <w:t>Сеть культурных учреждений:  основные группы</w:t>
      </w:r>
    </w:p>
    <w:p w:rsidR="00000000" w:rsidRDefault="00000000">
      <w:pPr>
        <w:keepNext/>
        <w:rPr>
          <w:b/>
          <w:bCs/>
        </w:rPr>
      </w:pPr>
    </w:p>
    <w:p w:rsidR="00000000" w:rsidRDefault="00000000">
      <w:pPr>
        <w:keepNext/>
      </w:pPr>
      <w:r>
        <w:t>408.</w:t>
      </w:r>
      <w:r>
        <w:tab/>
        <w:t>В Республике Сербии насчитывается 123 музея, включая 49 мемориальных комплексов (или 39,8%).  Фонды музеев насчитывают более 3 млн. экспонатов, из которых в экспозициях представлены лишь 115 000 (3,8%).  Имеется также 47 архивов, в том числе около 18 000 отдельных фондов архивных материалов.  15 специализированных учреждений, в которых работает около 400 человек, занимаются вопросами охраны 2 787 объектов культуры.  Вопросами сбережения объектов культуры занимаются 185 ведомств, насчитывающих более 2 700 сотрудников.  К основным организациям в этой области относятся следующие ведомства, осуществляющие надзор за всеми учреждениями этого типа:  Белградский национальный музей, Архив Сербии и Республиканский институт охраны исторических памятников.</w:t>
      </w:r>
    </w:p>
    <w:p w:rsidR="00000000" w:rsidRDefault="00000000"/>
    <w:p w:rsidR="00000000" w:rsidRDefault="00000000">
      <w:r>
        <w:t>409.</w:t>
      </w:r>
      <w:r>
        <w:tab/>
        <w:t>К следующей крупной категории относятся национальные библиотеки, библиотеки высших учебных заведений, специальные и общие научно-технические библиотеки.  В Республике Сербии действует 464 библиотеки подобного типа:  две национальные библиотеки, 166 библиотек в высших учебных заведениях, 297 специальных библиотек и 10 общих научно-технических библиотек.  В общей сложности фонд этих библиотек составляет 10 631 100 изданий.  49 библиотек в образовательных учреждениях высшей школы и 39 специальных библиотек являются публичными.  Помимо этого имеется широкая сеть публичных библиотек (в общей сложности 904), в которых работают 1 500 человек, из которых почти 73% являются квалифицированными библиотечными работниками.  Фонды этих библиотек насчитывают 14 724 000 изданий.</w:t>
      </w:r>
    </w:p>
    <w:p w:rsidR="00000000" w:rsidRDefault="00000000"/>
    <w:p w:rsidR="00000000" w:rsidRDefault="00000000">
      <w:r>
        <w:t>410.</w:t>
      </w:r>
      <w:r>
        <w:tab/>
        <w:t>К третьей группе учреждений культуры относятся профессиональные театры.  Согласно данным за 1994-1995 годы, в Сербии функционировало в общей сложности 36 профессиональных театров.  К их числу относятся детские театры, которых насчитывалось не менее девяти.  Помимо профессиональных театров в Республике Сербии действует еще 44 любительских театра.  Некоторые из них имеют весьма богатые традиции.</w:t>
      </w:r>
    </w:p>
    <w:p w:rsidR="00000000" w:rsidRDefault="00000000"/>
    <w:p w:rsidR="00000000" w:rsidRDefault="00000000">
      <w:r>
        <w:t>411.</w:t>
      </w:r>
      <w:r>
        <w:tab/>
        <w:t>В музыкальной сфере в Сербии действуют 16 филармонических и иных оркестров.  Кроме того, имеется ряд смешанных и женских хоровых коллективов.  Наряду с этим в стране действуют 3 003 культурно-художественные и творческие ассоциации, которые имеют 1 724 отделения:  530 - народного танца, 290 - фольклорных песен, 197 </w:t>
      </w:r>
      <w:r>
        <w:noBreakHyphen/>
        <w:t> инструментальной музыки, 136 - литературно-поэтических и 135 - театрально-драматических.</w:t>
      </w:r>
    </w:p>
    <w:p w:rsidR="00000000" w:rsidRDefault="00000000"/>
    <w:p w:rsidR="00000000" w:rsidRDefault="00000000">
      <w:r>
        <w:t>412.</w:t>
      </w:r>
      <w:r>
        <w:tab/>
        <w:t>В области кинематографии в Республике Сербии действуют около 120 кинотеатров.</w:t>
      </w:r>
    </w:p>
    <w:p w:rsidR="00000000" w:rsidRDefault="00000000"/>
    <w:p w:rsidR="00000000" w:rsidRDefault="00000000">
      <w:r>
        <w:t>413.</w:t>
      </w:r>
      <w:r>
        <w:tab/>
        <w:t>Среди учреждений культуры особое место занимает группа, которую статистики классифицируют в качестве народных или рабочих университетов, однако эта группа весьма разнообразна и включает такие современные учреждения, как дома культуры и культурные центры.  В стране действует в общей сложности 61 организация подобного типа, среди которых наиболее многочисленными являются дома культуры - 379 (49%), культурные центры - 133 (17%) и народные университеты - 100 (13%).</w:t>
      </w:r>
    </w:p>
    <w:p w:rsidR="00000000" w:rsidRDefault="00000000"/>
    <w:p w:rsidR="00000000" w:rsidRDefault="00000000">
      <w:r>
        <w:t>414.</w:t>
      </w:r>
      <w:r>
        <w:tab/>
        <w:t xml:space="preserve">В сфере культуры все более популярными становятся частные инициативы.  Наряду с традиционно многочисленными частными художественными салонами был создан ряд частных дистрибьюторских и продюсерских компаний.  Значительная доля издательской деятельности осуществляется частными фирмами.  Однако наиболее активно частная инициатива в сфере культуры проявляется в создании самых различных теле- и радиовещательных станций, некоторые из которых в настоящее время прекратили свою работу.  Однако другие сумели выжить и значительно расширили культурно-развлекательный диапазон средств массовой информации. </w:t>
      </w:r>
    </w:p>
    <w:p w:rsidR="00000000" w:rsidRDefault="00000000"/>
    <w:p w:rsidR="00000000" w:rsidRDefault="00000000">
      <w:pPr>
        <w:rPr>
          <w:b/>
          <w:bCs/>
        </w:rPr>
      </w:pPr>
      <w:r>
        <w:rPr>
          <w:b/>
          <w:bCs/>
        </w:rPr>
        <w:t>Культурные мероприятия</w:t>
      </w:r>
    </w:p>
    <w:p w:rsidR="00000000" w:rsidRDefault="00000000">
      <w:pPr>
        <w:rPr>
          <w:b/>
          <w:bCs/>
        </w:rPr>
      </w:pPr>
    </w:p>
    <w:p w:rsidR="00000000" w:rsidRDefault="00000000">
      <w:r>
        <w:t>415.</w:t>
      </w:r>
      <w:r>
        <w:tab/>
        <w:t>Наряду с существованием официальных учреждений культуры в стране проводится целый ряд культурных мероприятий.  В течение года организуются различные выступления, фестивали, встречи и слеты.  В зависимости от их характера и масштабов эти мероприятия можно разбить на пять следующие основные группы:  международные, национальные, республиканские, краевые и местные.</w:t>
      </w:r>
    </w:p>
    <w:p w:rsidR="00000000" w:rsidRDefault="00000000"/>
    <w:p w:rsidR="00000000" w:rsidRDefault="00000000">
      <w:r>
        <w:t>416.</w:t>
      </w:r>
      <w:r>
        <w:tab/>
        <w:t xml:space="preserve">Среди культурных мероприятий международного масштаба следует отметить Белградский международный театральный фестиваль (БИТЕФ), Белградский музыкальный фестиваль (БЕМУС), Международный кинофестиваль (ФЕСТ) и Встречу детей Европы "Радость Европы". </w:t>
      </w:r>
    </w:p>
    <w:p w:rsidR="00000000" w:rsidRDefault="00000000"/>
    <w:p w:rsidR="00000000" w:rsidRDefault="00000000">
      <w:pPr>
        <w:rPr>
          <w:b/>
          <w:bCs/>
        </w:rPr>
      </w:pPr>
      <w:r>
        <w:rPr>
          <w:b/>
          <w:bCs/>
        </w:rPr>
        <w:t>Художественные и профессиональные ассоциации</w:t>
      </w:r>
    </w:p>
    <w:p w:rsidR="00000000" w:rsidRDefault="00000000">
      <w:pPr>
        <w:rPr>
          <w:b/>
          <w:bCs/>
        </w:rPr>
      </w:pPr>
    </w:p>
    <w:p w:rsidR="00000000" w:rsidRDefault="00000000">
      <w:r>
        <w:t>417.</w:t>
      </w:r>
      <w:r>
        <w:tab/>
        <w:t>В Республике Сербии в области культуры действуют свыше 60 творческих и профессиональных ассоциаций.  Имеется 15 творческих ассоциаций, среди которых крупнейшими и важнейшими являются:  Ассоциация писателей, Ассоциация переводчиков художественной литературы, Ассоциация прикладных искусств и дизайна, Ассоциация композиторов и Ассоциация театральных актеров.  Также действует значительное число экспертных и научных ассоциаций, в частности:  Общество истории культуры, Андрагогическое общество, Этнологическое общество, Философское общество, Социологическое общество, Федерация исторических обществ, Ассоциация славистов, Федерация психологических обществ, Общество музеев и Федерация библиотечных работников.</w:t>
      </w:r>
    </w:p>
    <w:p w:rsidR="00000000" w:rsidRDefault="00000000"/>
    <w:p w:rsidR="00000000" w:rsidRDefault="00000000">
      <w:pPr>
        <w:jc w:val="center"/>
        <w:rPr>
          <w:b/>
          <w:bCs/>
        </w:rPr>
      </w:pPr>
      <w:r>
        <w:rPr>
          <w:b/>
          <w:bCs/>
        </w:rPr>
        <w:t>В.</w:t>
      </w:r>
      <w:r>
        <w:rPr>
          <w:b/>
          <w:bCs/>
        </w:rPr>
        <w:tab/>
        <w:t>Культурная жизнь и информация на языках меньшинств</w:t>
      </w:r>
    </w:p>
    <w:p w:rsidR="00000000" w:rsidRDefault="00000000">
      <w:pPr>
        <w:jc w:val="center"/>
        <w:rPr>
          <w:b/>
          <w:bCs/>
        </w:rPr>
      </w:pPr>
    </w:p>
    <w:p w:rsidR="00000000" w:rsidRDefault="00000000">
      <w:pPr>
        <w:rPr>
          <w:b/>
          <w:bCs/>
        </w:rPr>
      </w:pPr>
      <w:r>
        <w:rPr>
          <w:b/>
          <w:bCs/>
        </w:rPr>
        <w:t>Поощрение культурной самобытности общин меньшинств</w:t>
      </w:r>
    </w:p>
    <w:p w:rsidR="00000000" w:rsidRDefault="00000000">
      <w:pPr>
        <w:rPr>
          <w:b/>
          <w:bCs/>
        </w:rPr>
      </w:pPr>
    </w:p>
    <w:p w:rsidR="00000000" w:rsidRDefault="00000000">
      <w:r>
        <w:t>418.</w:t>
      </w:r>
      <w:r>
        <w:tab/>
        <w:t>Поощрением интересов национальных меньшинств в области художественного творчества и культуры в Союзной Республике Югославии занимаются учреждения культуры, ассоциации и общества этнических групп.  Они разрабатывают программы и осуществляют мероприятия, направленные на сохранение и развитие языков, литературы, искусства и фольклора национальных меньшинств.</w:t>
      </w:r>
    </w:p>
    <w:p w:rsidR="00000000" w:rsidRDefault="00000000"/>
    <w:p w:rsidR="00000000" w:rsidRDefault="00000000">
      <w:r>
        <w:t>419.</w:t>
      </w:r>
      <w:r>
        <w:tab/>
        <w:t>Лучше всего работа по поощрению культурной самобытности и сбережению культурного наследия национальных меньшинств поставлена в Воеводине.  Помимо венгерского профессионального театра, расположенного в Нови-Саде, также имеются многочисленные любительские ассоциации словацкого, румынского и русинского меньшинств, которые ставят театральные спектакли и имеют в своем распоряжении в общей сложности девять сценических площадок.  Ежегодно проходят фестивали фольклорных песен и танцев, литературные и иные культурные мероприятия, а также научные совещания на языках меньшинств.</w:t>
      </w:r>
    </w:p>
    <w:p w:rsidR="00000000" w:rsidRDefault="00000000"/>
    <w:p w:rsidR="00000000" w:rsidRDefault="00000000">
      <w:r>
        <w:t>420.</w:t>
      </w:r>
      <w:r>
        <w:tab/>
        <w:t xml:space="preserve">Традиционные мероприятия на венгерском языке включают лингвистические дни "Жарваш Габор", литературные чтения "Жентелики дэйз", поэтические чтения "Ференц Фехер" и фестивали художественных, песенных и танцевальных коллективов "Дуриндо" и "Дьëдьëшбокрета", а также фестивали "Дни Виве-витаки" и "Играй, флейта, играй". </w:t>
      </w:r>
    </w:p>
    <w:p w:rsidR="00000000" w:rsidRDefault="00000000"/>
    <w:p w:rsidR="00000000" w:rsidRDefault="00000000">
      <w:r>
        <w:t>421.</w:t>
      </w:r>
      <w:r>
        <w:tab/>
        <w:t>Этнические словаки регулярно проводят фестивали любительских театральных коллективов.  Мероприятия "Зимние встречи словакистов" посвящены поощрению и  развитию словацкой литературы, а фестиваль "Танцуй, танцуй" - это праздник словацкой музыки, песни и танца.</w:t>
      </w:r>
    </w:p>
    <w:p w:rsidR="00000000" w:rsidRDefault="00000000"/>
    <w:p w:rsidR="00000000" w:rsidRDefault="00000000">
      <w:r>
        <w:t>422.</w:t>
      </w:r>
      <w:r>
        <w:tab/>
        <w:t>Этнические румыны в Воеводине проводят литературные встречи "Доктор Раду Флора", фестивали песенных и танцевальных ансамблей, а также встречи любительских театров этнических румын Воеводины.</w:t>
      </w:r>
    </w:p>
    <w:p w:rsidR="00000000" w:rsidRDefault="00000000"/>
    <w:p w:rsidR="00000000" w:rsidRDefault="00000000">
      <w:pPr>
        <w:keepLines/>
      </w:pPr>
      <w:r>
        <w:t>423.</w:t>
      </w:r>
      <w:r>
        <w:tab/>
        <w:t>Аналогичные ежегодные мероприятия с участием театральных, песенных и танцевальных коллективов и литературных обществ организуются этническими русинами.  Что касается их содержания, то особое внимание уделяется встречам работников школ с преподаванием на русинском языке, а также лингвистическим проблемам.</w:t>
      </w:r>
    </w:p>
    <w:p w:rsidR="00000000" w:rsidRDefault="00000000"/>
    <w:p w:rsidR="00000000" w:rsidRDefault="00000000">
      <w:r>
        <w:t>424.</w:t>
      </w:r>
      <w:r>
        <w:tab/>
        <w:t xml:space="preserve">Чешское культурное общество "Чешская беседа" традиционно организует "Дни карнавальных костюмов или </w:t>
      </w:r>
      <w:proofErr w:type="spellStart"/>
      <w:r>
        <w:t>Масопуст</w:t>
      </w:r>
      <w:proofErr w:type="spellEnd"/>
      <w:r>
        <w:t xml:space="preserve">" в </w:t>
      </w:r>
      <w:proofErr w:type="spellStart"/>
      <w:r>
        <w:t>Бела-Црква</w:t>
      </w:r>
      <w:proofErr w:type="spellEnd"/>
      <w:r>
        <w:t>.</w:t>
      </w:r>
    </w:p>
    <w:p w:rsidR="00000000" w:rsidRDefault="00000000"/>
    <w:p w:rsidR="00000000" w:rsidRDefault="00000000">
      <w:r>
        <w:t>425.</w:t>
      </w:r>
      <w:r>
        <w:tab/>
        <w:t xml:space="preserve">Кроме того, этнические общины венгров, словаков и рома, проживающие в Воеводине, поддерживают традицию проведения дней культуры.  Ярким примером сосуществования различных культур служит праздник "Дузжаница", в котором принимают участие представители многих национальностей, в частности хорваты, </w:t>
      </w:r>
      <w:proofErr w:type="spellStart"/>
      <w:r>
        <w:t>буджевцы</w:t>
      </w:r>
      <w:proofErr w:type="spellEnd"/>
      <w:r>
        <w:t xml:space="preserve"> (хорваты Баки), </w:t>
      </w:r>
      <w:proofErr w:type="spellStart"/>
      <w:r>
        <w:t>сокчи</w:t>
      </w:r>
      <w:proofErr w:type="spellEnd"/>
      <w:r>
        <w:t xml:space="preserve"> (</w:t>
      </w:r>
      <w:proofErr w:type="spellStart"/>
      <w:r>
        <w:t>юниаты</w:t>
      </w:r>
      <w:proofErr w:type="spellEnd"/>
      <w:r>
        <w:t xml:space="preserve"> края) и этнические венгры, который посвящен празднованию окончанию уборки урожая в северной Баке, </w:t>
      </w:r>
      <w:proofErr w:type="spellStart"/>
      <w:r>
        <w:t>Воеводино</w:t>
      </w:r>
      <w:proofErr w:type="spellEnd"/>
      <w:r>
        <w:t>.</w:t>
      </w:r>
    </w:p>
    <w:p w:rsidR="00000000" w:rsidRDefault="00000000"/>
    <w:p w:rsidR="00000000" w:rsidRDefault="00000000">
      <w:r>
        <w:t>426.</w:t>
      </w:r>
      <w:r>
        <w:tab/>
        <w:t>В других регионах Сербии, населяемых этническими общинами, культурные общества этих общин помогают сохранять и приумножать их культурное наследие.</w:t>
      </w:r>
    </w:p>
    <w:p w:rsidR="00000000" w:rsidRDefault="00000000"/>
    <w:p w:rsidR="00000000" w:rsidRDefault="00000000">
      <w:r>
        <w:t>427.</w:t>
      </w:r>
      <w:r>
        <w:tab/>
        <w:t>В районе Санджак этнические боснийцы, организованные в несколько неправительственных организаций и ассоциаций, ведут активную деятельность по сохранению наследия этого края как части восточно-европейской культуры.  Несколько художественных и научных ассоциаций, культурное общество "Препород", интеллектуальный клуб "Санджак" и Институт боснийской культуры ведут деятельность по возрождению коренных боснийских ценностей.</w:t>
      </w:r>
    </w:p>
    <w:p w:rsidR="00000000" w:rsidRDefault="00000000"/>
    <w:p w:rsidR="00000000" w:rsidRDefault="00000000">
      <w:r>
        <w:rPr>
          <w:b/>
          <w:bCs/>
        </w:rPr>
        <w:t>Сохранение культурного наследия общин меньшинств</w:t>
      </w:r>
    </w:p>
    <w:p w:rsidR="00000000" w:rsidRDefault="00000000"/>
    <w:p w:rsidR="00000000" w:rsidRDefault="00000000">
      <w:r>
        <w:t>428.</w:t>
      </w:r>
      <w:r>
        <w:tab/>
        <w:t xml:space="preserve">Предметы культурного наследия общин меньшинств частично хранятся в национальных и региональных музеях и фондах.  Вместе с тем значительное количество религиозно-культовых объектов остаются за пределами системы охраны государством.  Несмотря на свой статус охраняемых памятников, места, представляющие культурный и исторический интерес, на деле охраняются недостаточно эффективно.  Памятникам, составляющим неотъемлемую часть исторических архитектурных и городских ансамблей, не уделяется достаточно внимания даже в таких крупных городах, как Белград, </w:t>
      </w:r>
      <w:proofErr w:type="spellStart"/>
      <w:r>
        <w:t>Нови-Сад</w:t>
      </w:r>
      <w:proofErr w:type="spellEnd"/>
      <w:r>
        <w:t xml:space="preserve"> и Ниш, и в таких многоэтнических муниципалитетах, как Суботица и </w:t>
      </w:r>
      <w:proofErr w:type="spellStart"/>
      <w:r>
        <w:t>Нови-Пазар</w:t>
      </w:r>
      <w:proofErr w:type="spellEnd"/>
      <w:r>
        <w:t>.</w:t>
      </w:r>
    </w:p>
    <w:p w:rsidR="00000000" w:rsidRDefault="00000000"/>
    <w:p w:rsidR="00000000" w:rsidRDefault="00000000">
      <w:pPr>
        <w:keepNext/>
      </w:pPr>
      <w:r>
        <w:rPr>
          <w:b/>
          <w:bCs/>
        </w:rPr>
        <w:t>Издательская деятельность</w:t>
      </w:r>
    </w:p>
    <w:p w:rsidR="00000000" w:rsidRDefault="00000000">
      <w:pPr>
        <w:keepNext/>
      </w:pPr>
    </w:p>
    <w:p w:rsidR="00000000" w:rsidRDefault="00000000">
      <w:pPr>
        <w:keepNext/>
      </w:pPr>
      <w:r>
        <w:t>429.</w:t>
      </w:r>
      <w:r>
        <w:tab/>
        <w:t>Изданием публикаций на языках меньшинств занимаются специализированные издательства.  В середине 90-х годов они ежегодно выпускали десятки наименований печатной продукции.  К примеру, издательство "Форум", выпускающее публикации на венгерском языке, с момента своего основания в 1953 году до 1995 года выпустило свыше 2 000 наименований.  Другие издательства, такие, как "Культура", издающее книги на словацком языке, "Либертатеа" и "Тибискус" на румынском, "Руске слово" на русинском, "Братство" на болгарском и "</w:t>
      </w:r>
      <w:proofErr w:type="spellStart"/>
      <w:r>
        <w:t>Ромаинтерпресс</w:t>
      </w:r>
      <w:proofErr w:type="spellEnd"/>
      <w:r>
        <w:t xml:space="preserve">" на языке рома, ведут издательскую деятельность в менее широких масштабах.  Наряду с перечисленными имеется ряд других издательств, выпускающих специализированные публикации на языках меньшинств. </w:t>
      </w:r>
    </w:p>
    <w:p w:rsidR="00000000" w:rsidRDefault="00000000"/>
    <w:p w:rsidR="00000000" w:rsidRDefault="00000000">
      <w:r>
        <w:t>430.</w:t>
      </w:r>
      <w:r>
        <w:tab/>
        <w:t>В рамках системы библиотек в Воеводине книги на языках меньшинств представлены в соответствии с этническим составом населения:  76,67% книг - на сербском языке;  15,65% - на венгерском;  1,12% - на словацком;  1,04% - на румынском и 0,22% - на русинском.  По другим регионам страны не имеется обновленных данных о количестве книг на языке меньшинств в библиотечных фондах.</w:t>
      </w:r>
    </w:p>
    <w:p w:rsidR="00000000" w:rsidRDefault="00000000"/>
    <w:p w:rsidR="00000000" w:rsidRDefault="00000000">
      <w:r>
        <w:t>431.</w:t>
      </w:r>
      <w:r>
        <w:tab/>
        <w:t>Большинство ежедневных и новостных изданий на языках меньшинств издается в Воеводине, где зарегистрировано около 150 печатных средств массовой информации.</w:t>
      </w:r>
    </w:p>
    <w:p w:rsidR="00000000" w:rsidRDefault="00000000"/>
    <w:p w:rsidR="00000000" w:rsidRDefault="00000000">
      <w:r>
        <w:t>432.</w:t>
      </w:r>
      <w:r>
        <w:tab/>
        <w:t xml:space="preserve">Газеты на венгерском языке включают ежедневную газету "Венгерское слово", еженедельник "7 дней", молодежный еженедельник "Кепеш </w:t>
      </w:r>
      <w:proofErr w:type="spellStart"/>
      <w:r>
        <w:t>ифьюшаг</w:t>
      </w:r>
      <w:proofErr w:type="spellEnd"/>
      <w:r>
        <w:t>" и издания для детей "</w:t>
      </w:r>
      <w:proofErr w:type="spellStart"/>
      <w:r>
        <w:t>Ёопайташ</w:t>
      </w:r>
      <w:proofErr w:type="spellEnd"/>
      <w:r>
        <w:t>" и "Мезекалач".  Среди периодических изданий следует отметить посвященный вопросам культуры литературно-художественный журнал "Хид", научно-социальный журнал "</w:t>
      </w:r>
      <w:proofErr w:type="spellStart"/>
      <w:r>
        <w:t>Летук</w:t>
      </w:r>
      <w:proofErr w:type="spellEnd"/>
      <w:r>
        <w:t xml:space="preserve">" и художественное обозрение "Уж </w:t>
      </w:r>
      <w:proofErr w:type="spellStart"/>
      <w:r>
        <w:t>симпозион</w:t>
      </w:r>
      <w:proofErr w:type="spellEnd"/>
      <w:r>
        <w:t>", а также издаваемое на венгерском и сербском языках литературно-художественное обозрение "Орбис" и периодический профессиональный журнал "</w:t>
      </w:r>
      <w:proofErr w:type="spellStart"/>
      <w:r>
        <w:t>Хунгарологиаи</w:t>
      </w:r>
      <w:proofErr w:type="spellEnd"/>
      <w:r>
        <w:t xml:space="preserve"> </w:t>
      </w:r>
      <w:proofErr w:type="spellStart"/>
      <w:r>
        <w:t>козлеменек</w:t>
      </w:r>
      <w:proofErr w:type="spellEnd"/>
      <w:r>
        <w:t>".</w:t>
      </w:r>
    </w:p>
    <w:p w:rsidR="00000000" w:rsidRDefault="00000000"/>
    <w:p w:rsidR="00000000" w:rsidRDefault="00000000">
      <w:r>
        <w:t>433.</w:t>
      </w:r>
      <w:r>
        <w:tab/>
        <w:t xml:space="preserve">Наряду с издаваемым на словацком языке новостным еженедельником "Хлас Люды", который содержит приложение "Польнохосподарске </w:t>
      </w:r>
      <w:proofErr w:type="spellStart"/>
      <w:r>
        <w:t>рожляды</w:t>
      </w:r>
      <w:proofErr w:type="spellEnd"/>
      <w:r>
        <w:t>", посвященное сельской жизни, издаются другие публикации, включая молодежную газету "Взлет", детскую газету "</w:t>
      </w:r>
      <w:proofErr w:type="spellStart"/>
      <w:r>
        <w:t>Зорницка</w:t>
      </w:r>
      <w:proofErr w:type="spellEnd"/>
      <w:r>
        <w:t>" и семейный журнал "</w:t>
      </w:r>
      <w:proofErr w:type="spellStart"/>
      <w:r>
        <w:t>Ровина</w:t>
      </w:r>
      <w:proofErr w:type="spellEnd"/>
      <w:r>
        <w:t>".</w:t>
      </w:r>
    </w:p>
    <w:p w:rsidR="00000000" w:rsidRDefault="00000000"/>
    <w:p w:rsidR="00000000" w:rsidRDefault="00000000">
      <w:r>
        <w:t>434.</w:t>
      </w:r>
      <w:r>
        <w:tab/>
        <w:t>Публикации на русинском языке включают газету "Руске слово", молодежную газету "МАК" и детский журнал "Захрадка", а также литературно-художественное обозрение "</w:t>
      </w:r>
      <w:proofErr w:type="spellStart"/>
      <w:r>
        <w:t>Светлоч</w:t>
      </w:r>
      <w:proofErr w:type="spellEnd"/>
      <w:r>
        <w:t>".</w:t>
      </w:r>
    </w:p>
    <w:p w:rsidR="00000000" w:rsidRDefault="00000000"/>
    <w:p w:rsidR="00000000" w:rsidRDefault="00000000">
      <w:r>
        <w:t>435.</w:t>
      </w:r>
      <w:r>
        <w:tab/>
        <w:t>Ряд публикаций выходит на румынском языке, в частности новостной еженедельник "Либертатеа", газеты для детей и юношества "Букуриа копиилор" и "Тинреа", литературно-художественное обозрение "</w:t>
      </w:r>
      <w:proofErr w:type="spellStart"/>
      <w:r>
        <w:t>Люмина</w:t>
      </w:r>
      <w:proofErr w:type="spellEnd"/>
      <w:r>
        <w:t>" и профессиональные журналы "</w:t>
      </w:r>
      <w:proofErr w:type="spellStart"/>
      <w:r>
        <w:t>Традита</w:t>
      </w:r>
      <w:proofErr w:type="spellEnd"/>
      <w:r>
        <w:t>" и "</w:t>
      </w:r>
      <w:proofErr w:type="spellStart"/>
      <w:r>
        <w:t>Огледало</w:t>
      </w:r>
      <w:proofErr w:type="spellEnd"/>
      <w:r>
        <w:t>".</w:t>
      </w:r>
    </w:p>
    <w:p w:rsidR="00000000" w:rsidRDefault="00000000"/>
    <w:p w:rsidR="00000000" w:rsidRDefault="00000000">
      <w:r>
        <w:t>436.</w:t>
      </w:r>
      <w:r>
        <w:tab/>
        <w:t xml:space="preserve">Перечень изданий на языке рома является не столь обширным.  Тем не менее частное издательство "Ромаинтерпресс", расположенное в Белграде, время от времени выпускает журнал "Романо лил", газету для детей "Чаврикано лил" и специальный журнал под названием "Ромология".  Институт рома в Нови-Сади публикует периодическое издание, посвященное вопросам науки и культуры под названием "Алав </w:t>
      </w:r>
      <w:proofErr w:type="spellStart"/>
      <w:r>
        <w:t>э</w:t>
      </w:r>
      <w:proofErr w:type="spellEnd"/>
      <w:r>
        <w:t xml:space="preserve"> </w:t>
      </w:r>
      <w:proofErr w:type="spellStart"/>
      <w:r>
        <w:t>роменго</w:t>
      </w:r>
      <w:proofErr w:type="spellEnd"/>
      <w:r>
        <w:t>".</w:t>
      </w:r>
    </w:p>
    <w:p w:rsidR="00000000" w:rsidRDefault="00000000"/>
    <w:p w:rsidR="00000000" w:rsidRDefault="00000000">
      <w:r>
        <w:t>437.</w:t>
      </w:r>
      <w:r>
        <w:tab/>
        <w:t>Болгарская этническая община имеет свою собственную газету, которая называется "Братство".</w:t>
      </w:r>
    </w:p>
    <w:p w:rsidR="00000000" w:rsidRDefault="00000000"/>
    <w:p w:rsidR="00000000" w:rsidRDefault="00000000">
      <w:r>
        <w:t>438.</w:t>
      </w:r>
      <w:r>
        <w:tab/>
        <w:t xml:space="preserve">Проживающие в Санджаке </w:t>
      </w:r>
      <w:proofErr w:type="spellStart"/>
      <w:r>
        <w:t>боснийцы</w:t>
      </w:r>
      <w:proofErr w:type="spellEnd"/>
      <w:r>
        <w:t xml:space="preserve"> имеют свою газету "Санджакские новины", периодическое издание "Хас", журнал "Санджак" и литературное обозрение "Мак".  </w:t>
      </w:r>
      <w:proofErr w:type="spellStart"/>
      <w:r>
        <w:t>Машикат</w:t>
      </w:r>
      <w:proofErr w:type="spellEnd"/>
      <w:r>
        <w:t xml:space="preserve"> мусульманской общины Санджака издает свою собственную газету "Глас ислама".</w:t>
      </w:r>
    </w:p>
    <w:p w:rsidR="00000000" w:rsidRDefault="00000000"/>
    <w:p w:rsidR="00000000" w:rsidRDefault="00000000">
      <w:r>
        <w:rPr>
          <w:b/>
          <w:bCs/>
        </w:rPr>
        <w:t>Электронные средства массовой информации</w:t>
      </w:r>
    </w:p>
    <w:p w:rsidR="00000000" w:rsidRDefault="00000000"/>
    <w:p w:rsidR="00000000" w:rsidRDefault="00000000">
      <w:r>
        <w:t>439.</w:t>
      </w:r>
      <w:r>
        <w:tab/>
        <w:t>В государственных телерадиовещательных компаниях имеются отделы, занимающиеся подготовкой программ на языках меньшинств.  Наиболее развитой по количеству программ и сотрудников является радиотелевизионная компания в Нови-Саде.  Эта компания традиционно ведет эфирное вещание на венгерском, словацком, рома, румынском и русинском языках.  Согласно плану программ, принятому на 2001 год службой по подготовке и планированию программ и координационным отделом радиотелевизионной компании "</w:t>
      </w:r>
      <w:proofErr w:type="spellStart"/>
      <w:r>
        <w:t>Нови-Сад</w:t>
      </w:r>
      <w:proofErr w:type="spellEnd"/>
      <w:r>
        <w:t>", на венгерском языке выходит 865 телевизионных программ.  Эфирная продолжительность этих программ составляет ежегодно 30 125 минут.  Радио "Нови-Сад" также передает в эфир программы только на венгерском языке вместе с 22 другими местными радиостанциями.</w:t>
      </w:r>
    </w:p>
    <w:p w:rsidR="00000000" w:rsidRDefault="00000000"/>
    <w:p w:rsidR="00000000" w:rsidRDefault="00000000">
      <w:r>
        <w:t>440.</w:t>
      </w:r>
      <w:r>
        <w:tab/>
        <w:t>Продолжительность</w:t>
      </w:r>
      <w:r>
        <w:rPr>
          <w:lang w:val="en-US"/>
        </w:rPr>
        <w:t xml:space="preserve"> </w:t>
      </w:r>
      <w:r>
        <w:t>эфирного вещания на словацком, румынском и русинском языках составляет в общем объеме ежегодных программ по 13 260 минут.  Ежедневно за исключением выходных дней в эфир выходит 15</w:t>
      </w:r>
      <w:r>
        <w:noBreakHyphen/>
        <w:t>минутная программа новостей.  Еженедельно выходят две программы, посвященные вопросам культуры и политики, а также 90</w:t>
      </w:r>
      <w:r>
        <w:noBreakHyphen/>
        <w:t>минутная программа ответов на звонки радиослушателей.  Радио "</w:t>
      </w:r>
      <w:proofErr w:type="spellStart"/>
      <w:r>
        <w:t>Нови-Сад</w:t>
      </w:r>
      <w:proofErr w:type="spellEnd"/>
      <w:r>
        <w:t>" ежедневно ведет эфирное вещание в объеме четырех часов для указанных трех этнических меньшинств.</w:t>
      </w:r>
    </w:p>
    <w:p w:rsidR="00000000" w:rsidRDefault="00000000"/>
    <w:p w:rsidR="00000000" w:rsidRDefault="00000000">
      <w:r>
        <w:t>441.</w:t>
      </w:r>
      <w:r>
        <w:tab/>
        <w:t>Объем вещания для этнических украинцев составляет в год 13 телевизионных программ общей продолжительностью 650 минут;  кроме того, еженедельно в эфир выходит часовая радиопередача.</w:t>
      </w:r>
    </w:p>
    <w:p w:rsidR="00000000" w:rsidRDefault="00000000"/>
    <w:p w:rsidR="00000000" w:rsidRDefault="00000000">
      <w:r>
        <w:t>442.</w:t>
      </w:r>
      <w:r>
        <w:tab/>
        <w:t>Хорватский отдел радиотелевизионной станции "</w:t>
      </w:r>
      <w:proofErr w:type="spellStart"/>
      <w:r>
        <w:t>Нови-Сад</w:t>
      </w:r>
      <w:proofErr w:type="spellEnd"/>
      <w:r>
        <w:t>", который был открыт в июле 2001 года, ведет вещание в объеме тысяч минут (20 передач в год).</w:t>
      </w:r>
    </w:p>
    <w:p w:rsidR="00000000" w:rsidRDefault="00000000"/>
    <w:p w:rsidR="00000000" w:rsidRDefault="00000000">
      <w:r>
        <w:t>443.</w:t>
      </w:r>
      <w:r>
        <w:tab/>
        <w:t>Программы на языке рома передаются всеми телерадиостанциями "Радио и телевидения Сербии" через спутник.  Эфирный объем этих программ составляет полтора часа в месяц.  Все программы "Радио и телевидения Нови-Сада" включают в течение года 372 программы для рома продолжительностью 14 760 минут.  Объем новостных, научно-популярных и развлекательных программ на языке рома составляет в неделю 330 минут.  Кроме того, в "Нови-Саде" объем ежедневного радиовещания на этом языке составляет три часа.  Еще несколько лет назад на Белградском радио выходила получасовая программа на языке рома, однако в этой связи следует отметить, что, хотя отдел рома этого радио все еще существует, его передачи в течение определенного времени не выходят в эфир.</w:t>
      </w:r>
    </w:p>
    <w:p w:rsidR="00000000" w:rsidRDefault="00000000"/>
    <w:p w:rsidR="00000000" w:rsidRDefault="00000000">
      <w:r>
        <w:t>444.</w:t>
      </w:r>
      <w:r>
        <w:tab/>
        <w:t>Телевизионные передачи на болгарском языке выходят в эфир на местной станции "</w:t>
      </w:r>
      <w:proofErr w:type="spellStart"/>
      <w:r>
        <w:t>Кариброд</w:t>
      </w:r>
      <w:proofErr w:type="spellEnd"/>
      <w:r>
        <w:t>";  объем радиовещания на болгарском языке составляет ежедневно шесть часов.</w:t>
      </w:r>
    </w:p>
    <w:p w:rsidR="00000000" w:rsidRDefault="00000000"/>
    <w:p w:rsidR="00000000" w:rsidRDefault="00000000">
      <w:r>
        <w:t>445.</w:t>
      </w:r>
      <w:r>
        <w:tab/>
        <w:t>Многочисленные региональные и местные радиостанции также ведут вещание на языках меньшинств.  В плане объема вещания и содержания программ они стараются ориентироваться на этническую структуру местного населения.</w:t>
      </w:r>
    </w:p>
    <w:p w:rsidR="00000000" w:rsidRDefault="00000000"/>
    <w:p w:rsidR="00000000" w:rsidRDefault="00000000">
      <w:pPr>
        <w:keepNext/>
        <w:jc w:val="center"/>
        <w:rPr>
          <w:b/>
          <w:bCs/>
        </w:rPr>
      </w:pPr>
      <w:r>
        <w:rPr>
          <w:b/>
          <w:bCs/>
        </w:rPr>
        <w:t>С.</w:t>
      </w:r>
      <w:r>
        <w:rPr>
          <w:b/>
          <w:bCs/>
        </w:rPr>
        <w:tab/>
        <w:t>Научно-исследовательская и творческая деятельность</w:t>
      </w:r>
    </w:p>
    <w:p w:rsidR="00000000" w:rsidRDefault="00000000">
      <w:pPr>
        <w:keepNext/>
        <w:jc w:val="center"/>
      </w:pPr>
    </w:p>
    <w:p w:rsidR="00000000" w:rsidRDefault="00000000">
      <w:pPr>
        <w:pStyle w:val="FootnoteText"/>
        <w:spacing w:line="288" w:lineRule="auto"/>
      </w:pPr>
      <w:r>
        <w:t>446.</w:t>
      </w:r>
      <w:r>
        <w:tab/>
        <w:t>В соответствии с положениями Закона о научно-исследовательской деятельности в Республике Сербии (Официальный вестник Республики Сербии, № 52/93), в 1994 году правительство Республики Сербии приняло политику научно-технического развития Республики Сербии (Официальный вестник Республики Сербии, № 17/94).</w:t>
      </w:r>
    </w:p>
    <w:p w:rsidR="00000000" w:rsidRDefault="00000000">
      <w:pPr>
        <w:pStyle w:val="FootnoteText"/>
        <w:spacing w:line="288" w:lineRule="auto"/>
      </w:pPr>
    </w:p>
    <w:p w:rsidR="00000000" w:rsidRDefault="00000000">
      <w:pPr>
        <w:pStyle w:val="FootnoteText"/>
        <w:spacing w:line="288" w:lineRule="auto"/>
      </w:pPr>
      <w:r>
        <w:t>447.</w:t>
      </w:r>
      <w:r>
        <w:tab/>
        <w:t xml:space="preserve">Основное внимание в рамках политики развития уделяется научной работе, которая должна в первую очередь опираться на уже существующие отечественные и вновь приобретенные ноу-хау и поощрять передачу и освоение мировых достижений в сфере науки и техники.  В этой связи в рамках политики были поставлены 4 основные цели, предусматривающие ускоренное развитие науки, техники и образования для целей активизации экономического роста;  сохранение существующих научных возможностей за счет задействования потенциала молодых ученых и инвестиций, поступающих из различных источников с постоянно растущими темпами, на 20% превышающими темпы роста ВВП;  развитие международного сотрудничества в научно-технической области на многосторонней и двусторонней основе как важнейшего фактора ускорения интеграции в международные процессы;  </w:t>
      </w:r>
      <w:proofErr w:type="spellStart"/>
      <w:r>
        <w:t>кросс-секторальную</w:t>
      </w:r>
      <w:proofErr w:type="spellEnd"/>
      <w:r>
        <w:t xml:space="preserve"> и проектно-ориентированную координацию и управление фундаментальными, прикладными и опытно-конструкторскими исследованиями с акцентом на сложные проекты;  разведку и рациональное освоение собственных естественных ресурсов;  создание научной базы для понимания прошлых и формирования будущих экономических, правовых, политических, демографических и иных социальных изменений;  пропаганду необходимости внедрения принципов качества, высокой нравственности и экологической безопасности во все научные работы, новые технологии, продукты и все формы творческой деятельности;  формирование общества, которое будет ориентировано на инновации и в котором будут устранены диспропорции в развитии различных областей и направлений науки.</w:t>
      </w:r>
    </w:p>
    <w:p w:rsidR="00000000" w:rsidRDefault="00000000">
      <w:pPr>
        <w:pStyle w:val="FootnoteText"/>
        <w:spacing w:line="288" w:lineRule="auto"/>
      </w:pPr>
    </w:p>
    <w:p w:rsidR="00000000" w:rsidRDefault="00000000">
      <w:pPr>
        <w:pStyle w:val="FootnoteText"/>
        <w:spacing w:line="288" w:lineRule="auto"/>
      </w:pPr>
      <w:r>
        <w:t>448.</w:t>
      </w:r>
      <w:r>
        <w:tab/>
        <w:t>Политика научно-технического развития охватывает программы международного технического сотрудничества, осуществление которых предполагает создание благоприятных условий для международного сотрудничества между академиями наук и искусств, научно-исследовательскими организациями, университетами, фирмами, ассоциациями и отдельными гражданами;  подготовку перечня стран в соответствии с интересами Союзной Республики Югославии в области научно-технических связей;  определение направлений международного сотрудничества, прежде всего соответствующих национальным стратегическим программам и обеспечивающим тиражирование результатов научных и иных исследований в рамках международного сотрудничества по каждому конкретному направлению этого сотрудничества.</w:t>
      </w:r>
    </w:p>
    <w:p w:rsidR="00000000" w:rsidRDefault="00000000">
      <w:pPr>
        <w:pStyle w:val="FootnoteText"/>
        <w:spacing w:line="288" w:lineRule="auto"/>
      </w:pPr>
    </w:p>
    <w:p w:rsidR="00000000" w:rsidRDefault="00000000">
      <w:pPr>
        <w:pStyle w:val="FootnoteText"/>
        <w:spacing w:line="288" w:lineRule="auto"/>
      </w:pPr>
      <w:r>
        <w:t>449.</w:t>
      </w:r>
      <w:r>
        <w:tab/>
        <w:t xml:space="preserve">В рамках этой программы были определены приоритеты в сфере сотрудничества с учреждениями системы ООН:  ПРООН, ЮНЕП, ЮНЕСКО, ЮНИДО, ЮНКТАД, </w:t>
      </w:r>
      <w:proofErr w:type="spellStart"/>
      <w:r>
        <w:t>ЕЭК</w:t>
      </w:r>
      <w:proofErr w:type="spellEnd"/>
      <w:r>
        <w:t xml:space="preserve"> и ФАО/ВОЗ;  с такими международными организациями, как Международное бюро мер и весов (МБМВ), Международная организация по стандартизации (ИСО), Международная электротехническая комиссия (МЭК);  с региональными организациями по линии Рамочной программы сообществ Комиссии Европейских сообществ (COST), ОЭСР и программой PHARE Европейского союза, а также двусторонними партнерами Национального банка.</w:t>
      </w: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rPr>
        <w:t xml:space="preserve">ЧАСТЬ </w:t>
      </w:r>
      <w:r>
        <w:rPr>
          <w:b/>
          <w:bCs/>
          <w:lang w:val="en-US"/>
        </w:rPr>
        <w:t>II</w:t>
      </w:r>
    </w:p>
    <w:p w:rsidR="00000000" w:rsidRDefault="00000000">
      <w:pPr>
        <w:pStyle w:val="FootnoteText"/>
        <w:keepNext/>
        <w:spacing w:line="288" w:lineRule="auto"/>
        <w:jc w:val="center"/>
        <w:rPr>
          <w:b/>
          <w:bCs/>
        </w:rPr>
      </w:pPr>
    </w:p>
    <w:p w:rsidR="00000000" w:rsidRDefault="00000000">
      <w:pPr>
        <w:pStyle w:val="FootnoteText"/>
        <w:keepNext/>
        <w:spacing w:line="288" w:lineRule="auto"/>
        <w:jc w:val="center"/>
        <w:rPr>
          <w:b/>
          <w:bCs/>
        </w:rPr>
      </w:pPr>
      <w:r>
        <w:rPr>
          <w:b/>
          <w:bCs/>
        </w:rPr>
        <w:t>ПЕРВОНАЧАЛЬНЫЙ ДОКЛАД ОБ ОСУЩЕСТВЛЕНИИ МЕЖДУНАРОДНОГО ПАКТА ОБ ЭКОНОМИЧЕСКИХ, СОЦИАЛЬНЫХ И КУЛЬТУРНЫХ ПРАВАХ В РЕСПУБЛИКЕ ЧЕРНОГОРИИ ЗА ПЕРИОД 1990</w:t>
      </w:r>
      <w:r>
        <w:rPr>
          <w:b/>
          <w:bCs/>
        </w:rPr>
        <w:noBreakHyphen/>
        <w:t>2002 ГОДОВ</w:t>
      </w:r>
    </w:p>
    <w:p w:rsidR="00000000" w:rsidRDefault="00000000">
      <w:pPr>
        <w:pStyle w:val="FootnoteText"/>
        <w:spacing w:line="288" w:lineRule="auto"/>
        <w:jc w:val="center"/>
        <w:rPr>
          <w:b/>
          <w:bCs/>
        </w:rPr>
      </w:pPr>
    </w:p>
    <w:p w:rsidR="00000000" w:rsidRDefault="00000000">
      <w:pPr>
        <w:pStyle w:val="FootnoteText"/>
        <w:spacing w:line="288" w:lineRule="auto"/>
        <w:jc w:val="center"/>
        <w:rPr>
          <w:b/>
          <w:bCs/>
        </w:rPr>
      </w:pPr>
      <w:r>
        <w:rPr>
          <w:b/>
          <w:bCs/>
        </w:rPr>
        <w:t>Статья 1</w:t>
      </w:r>
    </w:p>
    <w:p w:rsidR="00000000" w:rsidRDefault="00000000">
      <w:pPr>
        <w:pStyle w:val="FootnoteText"/>
        <w:spacing w:line="288" w:lineRule="auto"/>
        <w:jc w:val="center"/>
        <w:rPr>
          <w:b/>
          <w:bCs/>
        </w:rPr>
      </w:pPr>
    </w:p>
    <w:p w:rsidR="00000000" w:rsidRDefault="00000000">
      <w:pPr>
        <w:pStyle w:val="FootnoteText"/>
        <w:spacing w:line="288" w:lineRule="auto"/>
        <w:rPr>
          <w:b/>
          <w:bCs/>
        </w:rPr>
      </w:pPr>
      <w:r>
        <w:rPr>
          <w:b/>
          <w:bCs/>
        </w:rPr>
        <w:t>Пункт 1</w:t>
      </w:r>
    </w:p>
    <w:p w:rsidR="00000000" w:rsidRDefault="00000000">
      <w:pPr>
        <w:pStyle w:val="FootnoteText"/>
        <w:spacing w:line="288" w:lineRule="auto"/>
        <w:rPr>
          <w:b/>
          <w:bCs/>
        </w:rPr>
      </w:pPr>
    </w:p>
    <w:p w:rsidR="00000000" w:rsidRDefault="00000000">
      <w:pPr>
        <w:pStyle w:val="FootnoteText"/>
        <w:spacing w:line="288" w:lineRule="auto"/>
      </w:pPr>
      <w:r>
        <w:t>450.</w:t>
      </w:r>
      <w:r>
        <w:tab/>
        <w:t>Черногория является демократическим, социальным и экологическим государством.  Черногория является республикой и входит в состав Союза Сербии и Черногории.</w:t>
      </w:r>
    </w:p>
    <w:p w:rsidR="00000000" w:rsidRDefault="00000000">
      <w:pPr>
        <w:pStyle w:val="FootnoteText"/>
        <w:spacing w:line="288" w:lineRule="auto"/>
      </w:pPr>
    </w:p>
    <w:p w:rsidR="00000000" w:rsidRDefault="00000000">
      <w:pPr>
        <w:pStyle w:val="FootnoteText"/>
        <w:spacing w:line="288" w:lineRule="auto"/>
      </w:pPr>
      <w:r>
        <w:t>451.</w:t>
      </w:r>
      <w:r>
        <w:tab/>
        <w:t>Черногория обладает суверенитетом в тех вопросах, которые не относятся к ведению Союза Сербии и Черногории.  Суверенитет принадлежит гражданам.  Граждане осуществляют свои права непосредственно и через избранных представителей.  Граждане Черногории пользуются правом свободно определять политический статус государства, его конституцию и политическое, экономическое и культурное развитие.  Свобода принятия решения по наиболее важным вопросам, касающимся будущего государства, закреплена в Конституции Черногории.</w:t>
      </w:r>
    </w:p>
    <w:p w:rsidR="00000000" w:rsidRDefault="00000000">
      <w:pPr>
        <w:pStyle w:val="FootnoteText"/>
        <w:spacing w:line="288" w:lineRule="auto"/>
      </w:pPr>
    </w:p>
    <w:p w:rsidR="00000000" w:rsidRDefault="00000000">
      <w:pPr>
        <w:pStyle w:val="FootnoteText"/>
        <w:spacing w:line="288" w:lineRule="auto"/>
      </w:pPr>
      <w:r>
        <w:t>452.</w:t>
      </w:r>
      <w:r>
        <w:tab/>
        <w:t>В Конституции Черногории (пункт 5 статьи 2) закреплено, что решение о любом изменении конституционного статуса, формы правления или границ принимается гражданами на референдуме.  Эти конституционные положения были отражены в Законе о референдуме Республики Черногории, который был принят в феврале 2001 года.  Этот закон был разработан в сотрудничестве с экспертами ОБСЕ из Бюро по демократическим институтам и правам человека (БДИПЧ), которые внесли предложения и рекомендации, с тем чтобы данный закон соответствовал международным нормам, большинство из которых были в него инкорпорированы.</w:t>
      </w:r>
    </w:p>
    <w:p w:rsidR="00000000" w:rsidRDefault="00000000">
      <w:pPr>
        <w:pStyle w:val="FootnoteText"/>
        <w:spacing w:line="288" w:lineRule="auto"/>
      </w:pPr>
    </w:p>
    <w:p w:rsidR="00000000" w:rsidRDefault="00000000">
      <w:pPr>
        <w:pStyle w:val="FootnoteText"/>
        <w:spacing w:line="288" w:lineRule="auto"/>
      </w:pPr>
      <w:r>
        <w:t>453.</w:t>
      </w:r>
      <w:r>
        <w:tab/>
        <w:t>Закон о референдуме стал предметом жарких политических дебатов как в черногорском парламенте, так и среди политических партий и политических лидеров, поскольку в соответствии с положениями этого закона будет организован референдум по вопросу о независимости Черногории.  В центре обсуждения были два ключевых вопроса:  а)  необходимость квалифицированного большинства для успешного проведения референдума;  в соответствии с положениями принятого в феврале 2001 года закона референдум может быть объявлен состоявшимся в том случае, если проголосовали 50 + 1% зарегистрированных избирателей, при этом более половины от общего числа избирателей высказались за тот или иной вариант;  b)  кто имеет право голоса?  То есть следует ли предоставить голоса всем гражданам, не проживающим в Черногории, которые в этой связи не отвечают требованию ценза оседлости для целей участия в выборах.</w:t>
      </w:r>
    </w:p>
    <w:p w:rsidR="00000000" w:rsidRDefault="00000000">
      <w:pPr>
        <w:pStyle w:val="FootnoteText"/>
        <w:spacing w:line="288" w:lineRule="auto"/>
      </w:pPr>
    </w:p>
    <w:p w:rsidR="00000000" w:rsidRDefault="00000000">
      <w:pPr>
        <w:pStyle w:val="FootnoteText"/>
        <w:spacing w:line="288" w:lineRule="auto"/>
      </w:pPr>
      <w:r>
        <w:t>454.</w:t>
      </w:r>
      <w:r>
        <w:tab/>
        <w:t xml:space="preserve">В результате этой полемики было предложено внести поправки в закон, принятый в феврале 2001 года.  С одной стороны, были высказаны предложения полностью снять какие-либо требования, относящиеся к квалифицированному большинству (это предложение было выдвинуто оппозиционной Либеральной партией, активно поддерживающей курс на независимость).  С другой стороны, было высказано мнение о том, что для объявления референдума состоявшимся необходимо значительное количество голосов (75% всех зарегистрированных избирателей или </w:t>
      </w:r>
      <w:proofErr w:type="spellStart"/>
      <w:r>
        <w:t>50%</w:t>
      </w:r>
      <w:proofErr w:type="spellEnd"/>
      <w:r>
        <w:t xml:space="preserve"> всех избирателей, включенных в избирательный список).  Это предложение было выдвинуто политическими партиями, выступающими против проведения референдума о независимости Черногории, которые входят в оппозиционный блок "За Югославию".  В этом процессе также участвовали эксперты ОБСЕ, которые подготовили "оценку нынешнего Закона о референдуме", в которой рекомендуется в любом будущем законе определить квалифицированное большинство (одно из предложений состояло в установлении его на уровне 55% от общего числа зарегистрированных избирателей) и отметить, что в соответствии с международными нормами черногорцы, не зарегистрированные как резиденты, не могут принимать участия в будущем референдуме.  После нескольких раундов переговоров в парламенте было принято решение отложить принятие нового закона, и на данный момент после подписания Белградского соглашения вопрос о референдуме в отношении независимости Черногории отложен по крайней мере на три года.  </w:t>
      </w:r>
    </w:p>
    <w:p w:rsidR="00000000" w:rsidRDefault="00000000"/>
    <w:p w:rsidR="00000000" w:rsidRDefault="00000000">
      <w:r>
        <w:t>455.</w:t>
      </w:r>
      <w:r>
        <w:tab/>
        <w:t xml:space="preserve">Согласно положениям Конституции Республики Черногории (статья 5) правительство в Черногории организуется в соответствии с принципом разделения властей на законодательную (парламент), исполнительную (правительство) и судебную (суды) ветви.  В той же статье закреплено, что президент Республики представляет Черногорию и что Конституционный суд обеспечивает охрану конституционного порядка.  </w:t>
      </w:r>
    </w:p>
    <w:p w:rsidR="00000000" w:rsidRDefault="00000000"/>
    <w:p w:rsidR="00000000" w:rsidRDefault="00000000">
      <w:pPr>
        <w:rPr>
          <w:b/>
          <w:bCs/>
        </w:rPr>
      </w:pPr>
      <w:r>
        <w:rPr>
          <w:b/>
          <w:bCs/>
        </w:rPr>
        <w:t>Пункт 2</w:t>
      </w:r>
    </w:p>
    <w:p w:rsidR="00000000" w:rsidRDefault="00000000">
      <w:pPr>
        <w:jc w:val="center"/>
        <w:rPr>
          <w:b/>
          <w:bCs/>
        </w:rPr>
      </w:pPr>
    </w:p>
    <w:p w:rsidR="00000000" w:rsidRDefault="00000000">
      <w:r>
        <w:t>456.</w:t>
      </w:r>
      <w:r>
        <w:tab/>
        <w:t>Имея территорию площадью в 13 812 км</w:t>
      </w:r>
      <w:r>
        <w:rPr>
          <w:vertAlign w:val="superscript"/>
        </w:rPr>
        <w:t>2</w:t>
      </w:r>
      <w:r>
        <w:t xml:space="preserve"> с протяженностью сухопутных и морских границ соответственно 718 км и 218 км, Черногория расположена в районе с уникальной природной и освоенной средой, которая отражает геологические и тектонические особенности почв, естественные силы и деятельность человека.  Природные ресурсы Черногории включают ее воды (морские акватории, озера и реки);  земли;  минеральные ресурсы (каменный и бурый уголь, пески);  леса;  биоразнообразие (флора и фауна);  красоту ее ландшафта;  охраняемые природные зоны (природные заповедники, национальные парки, естественные памятники и природные заказники);  и охраняемые виды животных и растений.</w:t>
      </w:r>
    </w:p>
    <w:p w:rsidR="00000000" w:rsidRDefault="00000000"/>
    <w:p w:rsidR="00000000" w:rsidRDefault="00000000">
      <w:r>
        <w:t>457.</w:t>
      </w:r>
      <w:r>
        <w:tab/>
        <w:t>Черногория привержена концепции устойчивого развития, которая не препятствует улучшению состояния и охране естественной среды, и ее политика развития опирается на эту концепцию.  В течение последнего десятилетия по</w:t>
      </w:r>
      <w:r>
        <w:noBreakHyphen/>
        <w:t>прежнему наблюдалась тенденция к активизации эксплуатации таких естественных ресурсов, как леса, плодородные почвы, рыбные популяции, а также животные и растения.</w:t>
      </w:r>
    </w:p>
    <w:p w:rsidR="00000000" w:rsidRDefault="00000000"/>
    <w:p w:rsidR="00000000" w:rsidRDefault="00000000">
      <w:r>
        <w:t>458.</w:t>
      </w:r>
      <w:r>
        <w:tab/>
        <w:t>Также возрастает давление на естественные ресурсы в береговых зонах, в частности в результате незаконного строительства и сброса в море неочищенных сточных вод.</w:t>
      </w:r>
    </w:p>
    <w:p w:rsidR="00000000" w:rsidRDefault="00000000"/>
    <w:p w:rsidR="00000000" w:rsidRDefault="00000000">
      <w:r>
        <w:t>459.</w:t>
      </w:r>
      <w:r>
        <w:tab/>
        <w:t xml:space="preserve">В ходе стремительной индустриализации на фоне практически полного игнорирования вопросов охраны окружающей среды было объявлено о начале реализации ряда крупных проектов, которые могли бы оказать негативное влияние на окружающую среду;  в частности, речь идет о строительстве гидроэлектростанции на реке Тара (имеющей статус охраняемого мирового резерва биосферы), реке </w:t>
      </w:r>
      <w:proofErr w:type="spellStart"/>
      <w:r>
        <w:t>Морача</w:t>
      </w:r>
      <w:proofErr w:type="spellEnd"/>
      <w:r>
        <w:t xml:space="preserve"> и озере Шкадар (охраняемый район Рамсар).  В результате такие явления, как эрозия и уничтожение определенных видов растений и животных в некоторых районах (леса, реки, озера), в будущем могут воспрепятствовать комплексному развитию Черногории, что в свою очередь будет означать сохранение бедности на нынешнем уровне.</w:t>
      </w:r>
    </w:p>
    <w:p w:rsidR="00000000" w:rsidRDefault="00000000"/>
    <w:p w:rsidR="00000000" w:rsidRDefault="00000000">
      <w:pPr>
        <w:rPr>
          <w:b/>
          <w:bCs/>
        </w:rPr>
      </w:pPr>
      <w:r>
        <w:rPr>
          <w:b/>
          <w:bCs/>
        </w:rPr>
        <w:t>Пункт 3</w:t>
      </w:r>
    </w:p>
    <w:p w:rsidR="00000000" w:rsidRDefault="00000000">
      <w:pPr>
        <w:jc w:val="center"/>
        <w:rPr>
          <w:b/>
          <w:bCs/>
        </w:rPr>
      </w:pPr>
    </w:p>
    <w:p w:rsidR="00000000" w:rsidRDefault="00000000">
      <w:r>
        <w:t>460.</w:t>
      </w:r>
      <w:r>
        <w:tab/>
        <w:t xml:space="preserve">Ежегодно правительство Республики Черногории определяет свою экономическую политику, на основе которой формулируется политика государственных расходов.  Общий объем государственных расходов, запланированный на 2003 год, составил 775,61 млн. евро, или </w:t>
      </w:r>
      <w:proofErr w:type="spellStart"/>
      <w:r>
        <w:t>55,4%</w:t>
      </w:r>
      <w:proofErr w:type="spellEnd"/>
      <w:r>
        <w:t xml:space="preserve"> от валового внутреннего продукта Республики Черногории.  Если исключить внутренние переводы между ведомствами, отвечающими за осуществление государственных расходов (бюджеты и фонды), то доля государственных расходов в валовом внутреннем продукте снизится до 50%.  В структуре государственных расходов в Республике на 2003 год наибольшую долю занимает государственный бюджет - 55,61%, на втором месте стоит Фонд страхования пенсионеров и инвалидов - 22,40%, за ним следует Фонд медицинского страхования - </w:t>
      </w:r>
      <w:proofErr w:type="spellStart"/>
      <w:r>
        <w:t>20,30%</w:t>
      </w:r>
      <w:proofErr w:type="spellEnd"/>
      <w:r>
        <w:t xml:space="preserve">, муниципалитеты (органы местной власти) - 7,9% и Агентство по вопросам занятости - 1,7%.  </w:t>
      </w:r>
    </w:p>
    <w:p w:rsidR="00000000" w:rsidRDefault="00000000"/>
    <w:p w:rsidR="00000000" w:rsidRDefault="00000000">
      <w:pPr>
        <w:keepLines/>
      </w:pPr>
      <w:r>
        <w:t>461.</w:t>
      </w:r>
      <w:r>
        <w:tab/>
        <w:t xml:space="preserve">Закон о бюджете Республики Черногории на 2003 год предусматривал поступления в бюджет в общей сложности 431,45 млн. евро, что составляет 30% от запланированного валового внутреннего продукта Республики.  В рамках общей суммы запланированных средств в бюджете на 2003 год сумма субсидий без учета процентов и пособий по социальному обеспечению составляет </w:t>
      </w:r>
      <w:proofErr w:type="spellStart"/>
      <w:r>
        <w:t>34,64%</w:t>
      </w:r>
      <w:proofErr w:type="spellEnd"/>
      <w:r>
        <w:t>.</w:t>
      </w:r>
    </w:p>
    <w:p w:rsidR="00000000" w:rsidRDefault="00000000"/>
    <w:p w:rsidR="00000000" w:rsidRDefault="00000000">
      <w:r>
        <w:t>462.</w:t>
      </w:r>
      <w:r>
        <w:tab/>
        <w:t xml:space="preserve">В рамках этой статьи в бюджете были выделены целевые ассигнования на социальное обеспечение, финансирование университета, финансовые средства для Республиканского агентства по вопросам занятости (пособие по безработице, финансирование программ переподготовки, пособие по увольнению и т.д.), Фонда медицинского страхования для покрытия расходов на медицинское страхование безработных, Фонда страхования пенсионеров и инвалидов, некоммерческих, гуманитарных и неправительственных организаций, выплаты пособий, студенческих стипендий и т.д.  </w:t>
      </w:r>
    </w:p>
    <w:p w:rsidR="00000000" w:rsidRDefault="00000000"/>
    <w:p w:rsidR="00000000" w:rsidRDefault="00000000">
      <w:r>
        <w:t>463.</w:t>
      </w:r>
      <w:r>
        <w:tab/>
        <w:t xml:space="preserve">В рамках выделяемых целевым образом средств на нужды социального обеспечения предусматриваются специальные ассигнования на выплату детских пособий, пособий по инвалидности для военнослужащих, семейных пособий, оплату отпуска по беременности и родам, пособий по оказанию помощи и уходу, питание для воспитанников интернатов, питание для детей в детских садах, субсидии по линии социального обеспечения, пособий для инвалидов, социальное страхование священнослужителей и другие социальные льготы, адресованные в общей сложности 52 000 лиц, пользующихся правами на перечисленные льготы.  </w:t>
      </w:r>
    </w:p>
    <w:p w:rsidR="00000000" w:rsidRDefault="00000000"/>
    <w:p w:rsidR="00000000" w:rsidRDefault="00000000">
      <w:r>
        <w:t>464.</w:t>
      </w:r>
      <w:r>
        <w:tab/>
        <w:t>В соответствии с поставленными целями выделение бюджетных ассигнований в 2003 году будет производиться на основе следующих принципов:</w:t>
      </w:r>
    </w:p>
    <w:p w:rsidR="00000000" w:rsidRDefault="00000000"/>
    <w:p w:rsidR="00000000" w:rsidRDefault="00000000">
      <w:pPr>
        <w:ind w:left="1134" w:hanging="1134"/>
      </w:pPr>
      <w:r>
        <w:tab/>
        <w:t>-</w:t>
      </w:r>
      <w:r>
        <w:tab/>
        <w:t>равновесие доходов и расходов в бюджете;</w:t>
      </w:r>
    </w:p>
    <w:p w:rsidR="00000000" w:rsidRDefault="00000000">
      <w:pPr>
        <w:ind w:left="1134" w:hanging="1134"/>
      </w:pPr>
    </w:p>
    <w:p w:rsidR="00000000" w:rsidRDefault="00000000">
      <w:pPr>
        <w:ind w:left="1134" w:hanging="1134"/>
      </w:pPr>
      <w:r>
        <w:tab/>
        <w:t>-</w:t>
      </w:r>
      <w:r>
        <w:tab/>
        <w:t>регулярное обслуживание внутренних и внешних долговых обязательств, заложенных в бюджете;</w:t>
      </w:r>
    </w:p>
    <w:p w:rsidR="00000000" w:rsidRDefault="00000000">
      <w:pPr>
        <w:ind w:left="1134" w:hanging="1134"/>
      </w:pPr>
    </w:p>
    <w:p w:rsidR="00000000" w:rsidRDefault="00000000">
      <w:pPr>
        <w:ind w:left="1134" w:hanging="1134"/>
      </w:pPr>
      <w:r>
        <w:tab/>
        <w:t>-</w:t>
      </w:r>
      <w:r>
        <w:tab/>
        <w:t>упорядочение и корректировка расходов с учетом реалистичных (собираемых) доходов;</w:t>
      </w:r>
    </w:p>
    <w:p w:rsidR="00000000" w:rsidRDefault="00000000">
      <w:pPr>
        <w:ind w:left="1134" w:hanging="1134"/>
      </w:pPr>
    </w:p>
    <w:p w:rsidR="00000000" w:rsidRDefault="00000000">
      <w:pPr>
        <w:ind w:left="1134" w:hanging="1134"/>
      </w:pPr>
      <w:r>
        <w:tab/>
        <w:t>-</w:t>
      </w:r>
      <w:r>
        <w:tab/>
        <w:t>реформа государственного административного аппарата и более рациональная политика в области занятости;  и</w:t>
      </w:r>
    </w:p>
    <w:p w:rsidR="00000000" w:rsidRDefault="00000000">
      <w:pPr>
        <w:ind w:left="1134" w:hanging="1134"/>
      </w:pPr>
    </w:p>
    <w:p w:rsidR="00000000" w:rsidRDefault="00000000">
      <w:pPr>
        <w:ind w:left="1134" w:hanging="1134"/>
      </w:pPr>
      <w:r>
        <w:tab/>
        <w:t>-</w:t>
      </w:r>
      <w:r>
        <w:tab/>
        <w:t>проведение дальнейшей реформы фискальной системы и улучшение собираемости налогов.</w:t>
      </w:r>
    </w:p>
    <w:p w:rsidR="00000000" w:rsidRDefault="00000000">
      <w:pPr>
        <w:ind w:left="1134" w:hanging="1134"/>
      </w:pPr>
    </w:p>
    <w:p w:rsidR="00000000" w:rsidRDefault="00000000">
      <w:r>
        <w:t>465.</w:t>
      </w:r>
      <w:r>
        <w:tab/>
        <w:t>Другие секторы государственных расходов (пенсии и страхование инвалидов, здравоохранение и медицинское страхование, занятость) принимают свои бюджеты на ежегодной основе в соответствии с конкретными правами их бенефициаров.</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466.</w:t>
      </w:r>
      <w:r>
        <w:tab/>
        <w:t xml:space="preserve">Проблемы бедности, социальной маргинализации и исключения из общественной жизни ряда групп населения в нашем обществе актуальны и для всего мира в целом.  Разумеется, данная проблема в нашей стране является следствием тех событий, которые произошли за последнее десятилетие и ранее.  В декабре 1999 года Всемирный банк и Международный валютный фонд одобрили новый подход к сокращению масштабов нищеты и бедности в странах с низким ВВП, который опирается на стратегии, разработанные в самих этих странах.  Эти стратегии основаны на двух основных элементах:  </w:t>
      </w:r>
      <w:proofErr w:type="spellStart"/>
      <w:r>
        <w:t>задействовании</w:t>
      </w:r>
      <w:proofErr w:type="spellEnd"/>
      <w:r>
        <w:t xml:space="preserve"> внутренних ресурсов и поддержке со стороны международного сообщества.  Цель этой стратегии состоит в повышении уровня благосостояния населения, включая повышение качества жизни, за счет создания условий, благоприятных для социально-экономического развития страны.  </w:t>
      </w:r>
    </w:p>
    <w:p w:rsidR="00000000" w:rsidRDefault="00000000"/>
    <w:p w:rsidR="00000000" w:rsidRDefault="00000000">
      <w:r>
        <w:t>467.</w:t>
      </w:r>
      <w:r>
        <w:tab/>
        <w:t>Ниже приведены основные показатели Республики Черногории за тот период, когда была разработана эта стратегия:</w:t>
      </w:r>
    </w:p>
    <w:p w:rsidR="00000000" w:rsidRDefault="00000000"/>
    <w:p w:rsidR="00000000" w:rsidRDefault="00000000">
      <w:pPr>
        <w:ind w:left="1134" w:hanging="1134"/>
      </w:pPr>
      <w:r>
        <w:tab/>
        <w:t>-</w:t>
      </w:r>
      <w:r>
        <w:tab/>
        <w:t>общественный продукт на душу населения - 1 262 долл. США;</w:t>
      </w:r>
    </w:p>
    <w:p w:rsidR="00000000" w:rsidRDefault="00000000">
      <w:pPr>
        <w:ind w:left="1134" w:hanging="1134"/>
      </w:pPr>
    </w:p>
    <w:p w:rsidR="00000000" w:rsidRDefault="00000000">
      <w:pPr>
        <w:ind w:left="1134" w:hanging="1134"/>
      </w:pPr>
      <w:r>
        <w:tab/>
        <w:t>-</w:t>
      </w:r>
      <w:r>
        <w:tab/>
        <w:t xml:space="preserve">уровень безработицы - </w:t>
      </w:r>
      <w:proofErr w:type="spellStart"/>
      <w:r>
        <w:t>15%</w:t>
      </w:r>
      <w:proofErr w:type="spellEnd"/>
      <w:r>
        <w:t>;</w:t>
      </w:r>
    </w:p>
    <w:p w:rsidR="00000000" w:rsidRDefault="00000000">
      <w:pPr>
        <w:ind w:left="1134" w:hanging="1134"/>
      </w:pPr>
    </w:p>
    <w:p w:rsidR="00000000" w:rsidRDefault="00000000">
      <w:pPr>
        <w:ind w:left="1134" w:hanging="1134"/>
      </w:pPr>
      <w:r>
        <w:tab/>
        <w:t>-</w:t>
      </w:r>
      <w:r>
        <w:tab/>
        <w:t>наличие "серого сектора" экономики;</w:t>
      </w:r>
    </w:p>
    <w:p w:rsidR="00000000" w:rsidRDefault="00000000">
      <w:pPr>
        <w:ind w:left="1134" w:hanging="1134"/>
      </w:pPr>
    </w:p>
    <w:p w:rsidR="00000000" w:rsidRDefault="00000000">
      <w:pPr>
        <w:ind w:left="1134" w:hanging="1134"/>
      </w:pPr>
      <w:r>
        <w:tab/>
        <w:t>-</w:t>
      </w:r>
      <w:r>
        <w:tab/>
        <w:t>уровень бедности - четверть населения проживает за чертой бедности (чертой бедности считается доход в 50 евро);  и</w:t>
      </w:r>
    </w:p>
    <w:p w:rsidR="00000000" w:rsidRDefault="00000000">
      <w:pPr>
        <w:ind w:left="1134" w:hanging="1134"/>
      </w:pPr>
    </w:p>
    <w:p w:rsidR="00000000" w:rsidRDefault="00000000">
      <w:pPr>
        <w:ind w:left="1134" w:hanging="1134"/>
      </w:pPr>
      <w:r>
        <w:tab/>
        <w:t>-</w:t>
      </w:r>
      <w:r>
        <w:tab/>
        <w:t>количество беженцев и перемещенных лиц:  43 000 (7% населения).</w:t>
      </w:r>
    </w:p>
    <w:p w:rsidR="00000000" w:rsidRDefault="00000000">
      <w:pPr>
        <w:ind w:left="1134" w:hanging="1134"/>
      </w:pPr>
    </w:p>
    <w:p w:rsidR="00000000" w:rsidRDefault="00000000">
      <w:pPr>
        <w:keepLines/>
      </w:pPr>
      <w:r>
        <w:t>468.</w:t>
      </w:r>
      <w:r>
        <w:tab/>
        <w:t>На сегодняшний день были приняты следующие меры:  в июле 2002 года был окончательно доработан и утвержден Всемирным банком и Международным валютным фондом предварительный документ о стратегии сокращения масштабов нищеты (</w:t>
      </w:r>
      <w:proofErr w:type="spellStart"/>
      <w:r>
        <w:t>ДССМН</w:t>
      </w:r>
      <w:proofErr w:type="spellEnd"/>
      <w:r>
        <w:t>).  Этот документ содержит:</w:t>
      </w:r>
    </w:p>
    <w:p w:rsidR="00000000" w:rsidRDefault="00000000"/>
    <w:p w:rsidR="00000000" w:rsidRDefault="00000000">
      <w:r>
        <w:tab/>
        <w:t>-</w:t>
      </w:r>
      <w:r>
        <w:tab/>
        <w:t>обзор текущего положения;</w:t>
      </w:r>
    </w:p>
    <w:p w:rsidR="00000000" w:rsidRDefault="00000000"/>
    <w:p w:rsidR="00000000" w:rsidRDefault="00000000">
      <w:r>
        <w:tab/>
        <w:t>-</w:t>
      </w:r>
      <w:r>
        <w:tab/>
        <w:t>анализ существующих уровней бедности;</w:t>
      </w:r>
    </w:p>
    <w:p w:rsidR="00000000" w:rsidRDefault="00000000"/>
    <w:p w:rsidR="00000000" w:rsidRDefault="00000000">
      <w:r>
        <w:tab/>
        <w:t>-</w:t>
      </w:r>
      <w:r>
        <w:tab/>
        <w:t>ключевые элементы стратегии по сокращению масштабов нищеты:</w:t>
      </w:r>
    </w:p>
    <w:p w:rsidR="00000000" w:rsidRDefault="00000000"/>
    <w:p w:rsidR="00000000" w:rsidRDefault="00000000">
      <w:r>
        <w:tab/>
      </w:r>
      <w:r>
        <w:tab/>
        <w:t>-</w:t>
      </w:r>
      <w:r>
        <w:tab/>
        <w:t>макроэкономическая стабильность;</w:t>
      </w:r>
    </w:p>
    <w:p w:rsidR="00000000" w:rsidRDefault="00000000"/>
    <w:p w:rsidR="00000000" w:rsidRDefault="00000000">
      <w:r>
        <w:tab/>
      </w:r>
      <w:r>
        <w:tab/>
        <w:t>-</w:t>
      </w:r>
      <w:r>
        <w:tab/>
        <w:t>ликвидация "серого сектора" экономики;</w:t>
      </w:r>
    </w:p>
    <w:p w:rsidR="00000000" w:rsidRDefault="00000000"/>
    <w:p w:rsidR="00000000" w:rsidRDefault="00000000">
      <w:r>
        <w:tab/>
      </w:r>
      <w:r>
        <w:tab/>
        <w:t>-</w:t>
      </w:r>
      <w:r>
        <w:tab/>
        <w:t>развитие предпринимательского сектора и рыночной экономики;  и</w:t>
      </w:r>
    </w:p>
    <w:p w:rsidR="00000000" w:rsidRDefault="00000000"/>
    <w:p w:rsidR="00000000" w:rsidRDefault="00000000">
      <w:r>
        <w:tab/>
      </w:r>
      <w:r>
        <w:tab/>
        <w:t>-</w:t>
      </w:r>
      <w:r>
        <w:tab/>
        <w:t>определение целевых групп, пользующихся социальными льготами.</w:t>
      </w:r>
    </w:p>
    <w:p w:rsidR="00000000" w:rsidRDefault="00000000"/>
    <w:p w:rsidR="00000000" w:rsidRDefault="00000000">
      <w:r>
        <w:t>469.</w:t>
      </w:r>
      <w:r>
        <w:tab/>
        <w:t>Процесс разработки стратегии должен осуществляться на основе консультаций с участием представителей всех сегментов общества, с помощью создания базы данных (отсутствие соответствующих данных и показателей служит усугубляющим фактором), а также путем осуществления контроля и отслеживания хода работы.</w:t>
      </w:r>
    </w:p>
    <w:p w:rsidR="00000000" w:rsidRDefault="00000000"/>
    <w:p w:rsidR="00000000" w:rsidRDefault="00000000">
      <w:r>
        <w:t>470.</w:t>
      </w:r>
      <w:r>
        <w:tab/>
        <w:t>Процесс разработки указанной стратегии был поручен правительством Республики Черногории министерству труда и социального обеспечения, а министр был назначен координатором этого проекта.  Правительство также назначило координационный орган, который будет осуществлять надзор за этим процессом.  В его состав входят министры финансов, здравоохранения, просвещения и науки, сельского хозяйства, водоснабжения и лесного хозяйства, секретари по вопросам развития и информации, а также директор Агентства развития.</w:t>
      </w:r>
    </w:p>
    <w:p w:rsidR="00000000" w:rsidRDefault="00000000"/>
    <w:p w:rsidR="00000000" w:rsidRDefault="00000000">
      <w:r>
        <w:t>471.</w:t>
      </w:r>
      <w:r>
        <w:tab/>
        <w:t>Министерство труда и социального обеспечения приняло во внимание рекомендации Всемирного банка и опыт соседних стран в этой области.  На основе проделанной работы министерство подготовило организационную схему участия всех партнеров в процессе разработки стратегии, который будет реализован путем принятия надлежащих организационных мер, обеспечения его конкретности и научной обоснованности и проведения консультаций.  Подготовка организационной схемы проекта требует создания рабочих групп и органов для проведения оперативных консультаций.</w:t>
      </w:r>
    </w:p>
    <w:p w:rsidR="00000000" w:rsidRDefault="00000000"/>
    <w:p w:rsidR="00000000" w:rsidRDefault="00000000">
      <w:r>
        <w:t>472.</w:t>
      </w:r>
      <w:r>
        <w:tab/>
        <w:t xml:space="preserve">Ключевая часть данного организационного процесса должна быть реализована новым органом, который будет действовать в рамках министерства труда и социального обеспечения.  Так называемый отдел управления будет иметь в своей структуре координаторов по секторам, переводчика, специалиста по связям с общественностью и технического секретаря. </w:t>
      </w:r>
    </w:p>
    <w:p w:rsidR="00000000" w:rsidRDefault="00000000"/>
    <w:p w:rsidR="00000000" w:rsidRDefault="00000000">
      <w:r>
        <w:t>473.</w:t>
      </w:r>
      <w:r>
        <w:tab/>
        <w:t xml:space="preserve">В состав совета проекта входят представители всех партнеров, принимающих участие в процессе разработки стратегии:  государственные ведомства, эксперты и представители консультативных советов.  </w:t>
      </w:r>
    </w:p>
    <w:p w:rsidR="00000000" w:rsidRDefault="00000000"/>
    <w:p w:rsidR="00000000" w:rsidRDefault="00000000">
      <w:r>
        <w:t>474.</w:t>
      </w:r>
      <w:r>
        <w:tab/>
        <w:t>Рабочая группа экспертов включает в свой состав координаторов специальной группы экспертов в соответствии со сферой их компетенции и, помимо экспертов, представителей профильных министерств.  С учетом установленных приоритетов будут учреждены рабочие группы по следующим направлениям:  образование, здравоохранение, занятость, социальное обеспечение, экономическое и региональное развитие, макроэкономическая политика и экология.  Перед каждой группой экспертов ставится задача подготовить письменный доклад, который будет рассмотрен в рамках двух раундов консультаций.</w:t>
      </w:r>
    </w:p>
    <w:p w:rsidR="00000000" w:rsidRDefault="00000000"/>
    <w:p w:rsidR="00000000" w:rsidRDefault="00000000">
      <w:r>
        <w:t>475.</w:t>
      </w:r>
      <w:r>
        <w:tab/>
        <w:t>Процесс разработки стратегии требует всемерного участия различных сторон, входящих в состав шести консультативных советов, которые примут участие в работе по подготовке стратегии в рамках консультаций.</w:t>
      </w:r>
    </w:p>
    <w:p w:rsidR="00000000" w:rsidRDefault="00000000"/>
    <w:p w:rsidR="00000000" w:rsidRDefault="00000000">
      <w:r>
        <w:t>476.</w:t>
      </w:r>
      <w:r>
        <w:tab/>
        <w:t>Принципы, на которые будет опираться стратегия, в частности, предусматривают, что:</w:t>
      </w:r>
    </w:p>
    <w:p w:rsidR="00000000" w:rsidRDefault="00000000"/>
    <w:p w:rsidR="00000000" w:rsidRDefault="00000000">
      <w:pPr>
        <w:tabs>
          <w:tab w:val="clear" w:pos="567"/>
        </w:tabs>
        <w:ind w:left="1122" w:hanging="555"/>
      </w:pPr>
      <w:r>
        <w:t>-</w:t>
      </w:r>
      <w:r>
        <w:tab/>
        <w:t>стратегия является продуктом работы всего общества;</w:t>
      </w:r>
    </w:p>
    <w:p w:rsidR="00000000" w:rsidRDefault="00000000">
      <w:pPr>
        <w:tabs>
          <w:tab w:val="clear" w:pos="567"/>
        </w:tabs>
        <w:ind w:left="1122" w:hanging="555"/>
      </w:pPr>
    </w:p>
    <w:p w:rsidR="00000000" w:rsidRDefault="00000000">
      <w:pPr>
        <w:tabs>
          <w:tab w:val="clear" w:pos="567"/>
        </w:tabs>
        <w:ind w:left="1122" w:hanging="555"/>
      </w:pPr>
      <w:r>
        <w:t>-</w:t>
      </w:r>
      <w:r>
        <w:tab/>
        <w:t>управление реализацией плана действий осуществляется из страны с ориентацией на перспективу самостоятельного развития;</w:t>
      </w:r>
    </w:p>
    <w:p w:rsidR="00000000" w:rsidRDefault="00000000">
      <w:pPr>
        <w:tabs>
          <w:tab w:val="clear" w:pos="567"/>
        </w:tabs>
        <w:ind w:left="1122" w:hanging="555"/>
      </w:pPr>
    </w:p>
    <w:p w:rsidR="00000000" w:rsidRDefault="00000000">
      <w:pPr>
        <w:tabs>
          <w:tab w:val="clear" w:pos="567"/>
        </w:tabs>
        <w:ind w:left="1122" w:hanging="555"/>
      </w:pPr>
      <w:r>
        <w:t>-</w:t>
      </w:r>
      <w:r>
        <w:tab/>
        <w:t>стратегия разрабатывается при участии всех заинтересованных партнеров;</w:t>
      </w:r>
    </w:p>
    <w:p w:rsidR="00000000" w:rsidRDefault="00000000">
      <w:pPr>
        <w:tabs>
          <w:tab w:val="clear" w:pos="567"/>
        </w:tabs>
        <w:ind w:left="1122" w:hanging="555"/>
      </w:pPr>
    </w:p>
    <w:p w:rsidR="00000000" w:rsidRDefault="00000000">
      <w:pPr>
        <w:tabs>
          <w:tab w:val="clear" w:pos="567"/>
        </w:tabs>
        <w:ind w:left="1122" w:hanging="555"/>
      </w:pPr>
      <w:r>
        <w:t>-</w:t>
      </w:r>
      <w:r>
        <w:tab/>
        <w:t>она обеспечивает интеграцию социально-экономического и экологического измерений развития;</w:t>
      </w:r>
    </w:p>
    <w:p w:rsidR="00000000" w:rsidRDefault="00000000">
      <w:pPr>
        <w:tabs>
          <w:tab w:val="clear" w:pos="567"/>
        </w:tabs>
        <w:ind w:left="1122" w:hanging="555"/>
      </w:pPr>
    </w:p>
    <w:p w:rsidR="00000000" w:rsidRDefault="00000000">
      <w:pPr>
        <w:ind w:left="567"/>
      </w:pPr>
      <w:r>
        <w:t>-</w:t>
      </w:r>
      <w:r>
        <w:tab/>
        <w:t>особый акцент в ней ставится на развитие человеческого потенциала;  и</w:t>
      </w:r>
    </w:p>
    <w:p w:rsidR="00000000" w:rsidRDefault="00000000">
      <w:pPr>
        <w:ind w:left="567"/>
      </w:pPr>
    </w:p>
    <w:p w:rsidR="00000000" w:rsidRDefault="00000000">
      <w:pPr>
        <w:ind w:left="567"/>
      </w:pPr>
      <w:r>
        <w:t>-</w:t>
      </w:r>
      <w:r>
        <w:tab/>
        <w:t xml:space="preserve">весь процесс является </w:t>
      </w:r>
      <w:proofErr w:type="spellStart"/>
      <w:r>
        <w:t>транспарентным</w:t>
      </w:r>
      <w:proofErr w:type="spellEnd"/>
      <w:r>
        <w:t>.</w:t>
      </w:r>
    </w:p>
    <w:p w:rsidR="00000000" w:rsidRDefault="00000000">
      <w:pPr>
        <w:ind w:left="567"/>
      </w:pPr>
    </w:p>
    <w:p w:rsidR="00000000" w:rsidRDefault="00000000">
      <w:r>
        <w:t>Хотя разработка стратегии должна осуществляться исходя из внутренних возможностей страны, помощь международных партнеров-доноров служит в этой связи необходимым элементом.  На сегодняшний день в качестве потенциальных доноров выступают следующие организации:  Всемирный банк, министерство по вопросам международного развития Соединенного Королевства, ПРООН и другие агентства ООН.</w:t>
      </w:r>
    </w:p>
    <w:p w:rsidR="00000000" w:rsidRDefault="00000000"/>
    <w:p w:rsidR="00000000" w:rsidRDefault="00000000">
      <w:r>
        <w:t>477.</w:t>
      </w:r>
      <w:r>
        <w:tab/>
        <w:t>Накопленный на сегодняшний день опыт в процессе разработки стратегии включает итоги дебатов по следующим темам:  институциональная структура и бедность, новые рабочие места и бедность, а также социальная защита и бедность.</w:t>
      </w:r>
    </w:p>
    <w:p w:rsidR="00000000" w:rsidRDefault="00000000"/>
    <w:p w:rsidR="00000000" w:rsidRDefault="00000000">
      <w:r>
        <w:t>478.</w:t>
      </w:r>
      <w:r>
        <w:tab/>
        <w:t>Страна приняла участие в Форуме по проблемам сокращения масштабов бедности для Албании, Боснии и Герцеговины и Югославии, внеся в него вклад в виде обмена опытом среди стран, достигших определенного этапа в процессе разработки стратегии в этой области.</w:t>
      </w:r>
    </w:p>
    <w:p w:rsidR="00000000" w:rsidRDefault="00000000"/>
    <w:p w:rsidR="00000000" w:rsidRDefault="00000000">
      <w:r>
        <w:t>479.</w:t>
      </w:r>
      <w:r>
        <w:tab/>
        <w:t>В целом можно сказать, что разработка стратегии находится на подготовительном этапе.  После создания рабочих групп мы намерены перейти к следующему этапу, требующему прежде всего дать определение явлению бедности, установить цели, стратегические приоритеты и т.д.</w:t>
      </w:r>
    </w:p>
    <w:p w:rsidR="00000000" w:rsidRDefault="00000000"/>
    <w:p w:rsidR="00000000" w:rsidRDefault="00000000">
      <w:r>
        <w:t>480.</w:t>
      </w:r>
      <w:r>
        <w:tab/>
        <w:t>Согласно принятому плану, предполагается, что полностью стратегия будет принята в середине 2003 года.</w:t>
      </w:r>
    </w:p>
    <w:p w:rsidR="00000000" w:rsidRDefault="00000000"/>
    <w:p w:rsidR="00000000" w:rsidRDefault="00000000">
      <w:pPr>
        <w:rPr>
          <w:b/>
          <w:bCs/>
        </w:rPr>
      </w:pPr>
      <w:r>
        <w:rPr>
          <w:b/>
          <w:bCs/>
        </w:rPr>
        <w:t>Пункт 2</w:t>
      </w:r>
    </w:p>
    <w:p w:rsidR="00000000" w:rsidRDefault="00000000">
      <w:pPr>
        <w:jc w:val="center"/>
        <w:rPr>
          <w:b/>
          <w:bCs/>
        </w:rPr>
      </w:pPr>
    </w:p>
    <w:p w:rsidR="00000000" w:rsidRDefault="00000000">
      <w:r>
        <w:t>481.</w:t>
      </w:r>
      <w:r>
        <w:tab/>
        <w:t>Обязательство руководствоваться принципом недискриминации провозглашено в статье 15 Конституции Республики Черногории, которая гласит, что "все граждане являются свободными и равными без различий в отношении каких-либо особенностей и/или других личных качеств".  Эта статья также однозначно определяет обязательство и конституционную гарантию самой широкой защиты всех черногорцев от дискриминации.  Это обязательство далее раскрывается в национальном законодательстве.  В Уголовном кодексе Республики Черногории любое нарушение равенства (статья 43) определяется как уголовное правонарушение.  Наказуемым является любой акт, посредством которого любое лицо и любой гражданин лишается, ограничивается, получает привилегии или льготы в отношении пользования правами, провозглашенными в Конституции, законах, других нормативных или общих актах и ратифицированных международных договорах, по признаку национального или этнического происхождения, расы, религии, политических или иных убеждений, пола, языка, уровня образования и социального положения.  Указанные деяния могут караться лишением свободы на срок от трех месяцев до пяти лет.</w:t>
      </w:r>
    </w:p>
    <w:p w:rsidR="00000000" w:rsidRDefault="00000000"/>
    <w:p w:rsidR="00000000" w:rsidRDefault="00000000">
      <w:r>
        <w:t>482.</w:t>
      </w:r>
      <w:r>
        <w:tab/>
        <w:t>Положения о недискриминации также действуют применительно к иностранцам, проживающим на территории Республики Черногории.  К примеру, вопрос о медицинском обслуживании регулируется Решением о порядке пользования услугами здравоохранения и иными правами, связанными с системой медицинского страхования для иностранцев, которые проживают на территории Республики и которые не могут воспользоваться медицинскими услугами на иных основаниях (</w:t>
      </w:r>
      <w:r>
        <w:rPr>
          <w:i/>
          <w:iCs/>
        </w:rPr>
        <w:t>Официальный вестник, Республика Черногория</w:t>
      </w:r>
      <w:r>
        <w:t>, № 2/91).  В статье 2 указанного решения говорится о том, что иностранцы, находящиеся на территории Республики для целей получения образования или профессиональной подготовки, а также проживающие с ними члены их семей, если они не имеют доступа к системе медицинского обслуживания, пользуются правом на медицинскую помощь и другими правами, вытекающими из медицинского страхования, в той же степени, что и граждане Республики Черногории.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r>
        <w:t>483.</w:t>
      </w:r>
      <w:r>
        <w:tab/>
        <w:t xml:space="preserve">В действующем в Республике Черногории законодательстве - Конституции, законах и нормах - провозглашены равные права мужчин и женщин.  Таким образом, формально вопросы равенство полов четко регулируются во всех сферах жизни.  Не существует специального закона, посвященного гендерному равенству, однако этот вопрос отражен практически во всех законодательных актах.  </w:t>
      </w:r>
    </w:p>
    <w:p w:rsidR="00000000" w:rsidRDefault="00000000"/>
    <w:p w:rsidR="00000000" w:rsidRDefault="00000000">
      <w:r>
        <w:t>484.</w:t>
      </w:r>
      <w:r>
        <w:tab/>
        <w:t>Что касается образования на всех ступенях и политики в области занятости, то каждое учебное заведение и каждая вакантная должность являются в равной степени открытыми для женщин и мужчин, которые соответствуют предписанным требованиям.  Вместе с тем работодатели, как правило, отдают предпочтение мужчинам;  в частности, молодым женщинам нередко отказывают в приеме на работу, поскольку работодатель исходит из того, что они забеременеют и прекратят работу, чтобы заниматься семьей.</w:t>
      </w:r>
    </w:p>
    <w:p w:rsidR="00000000" w:rsidRDefault="00000000">
      <w:pPr>
        <w:pStyle w:val="FootnoteText"/>
        <w:spacing w:line="288" w:lineRule="auto"/>
      </w:pPr>
    </w:p>
    <w:p w:rsidR="00000000" w:rsidRDefault="00000000">
      <w:r>
        <w:t>485.</w:t>
      </w:r>
      <w:r>
        <w:tab/>
        <w:t>Таким образом, между законом, который провозглашает равенство, и реальной практикой более привилегированного положения мужчин обнаруживается существенное различие.  Почему это происходит?  Ответ на этот вопрос в значительной степени объясняется традиционной структурой черногорского общества, которое является весьма патриархальным:  дети воспитываются в среде, в которой традиции и обычаи запрещают женщинам заниматься какой-либо иной деятельностью, помимо воспитания детей и ведения домашнего хозяйства.  Даже сегодня в ряде районов страны родители не разрешают девочкам продолжать обучение в школе после того, как им исполняется 11</w:t>
      </w:r>
      <w:r>
        <w:noBreakHyphen/>
        <w:t xml:space="preserve">12 лет.  Недостаточный уровень образования женщин и в обществе в целом ограничивает сферу прав, которыми могут пользоваться женщины.  </w:t>
      </w:r>
    </w:p>
    <w:p w:rsidR="00000000" w:rsidRDefault="00000000"/>
    <w:p w:rsidR="00000000" w:rsidRDefault="00000000">
      <w:r>
        <w:t>486.</w:t>
      </w:r>
      <w:r>
        <w:tab/>
        <w:t>Кроме того, несмотря на постепенное сокращение масштабов соответствующей практики, традиции по</w:t>
      </w:r>
      <w:r>
        <w:noBreakHyphen/>
        <w:t xml:space="preserve">прежнему требуют, чтобы сестра добровольно отказывалась от наследства в пользу брата, невзирая на то, что на этот счет имеются соответствующие правовые нормы, поскольку мужчины и женщины пользуются равенством в вопросах наследования имущества родителей.  </w:t>
      </w:r>
    </w:p>
    <w:p w:rsidR="00000000" w:rsidRDefault="00000000"/>
    <w:p w:rsidR="00000000" w:rsidRDefault="00000000">
      <w:r>
        <w:t>487.</w:t>
      </w:r>
      <w:r>
        <w:tab/>
        <w:t>На четвертой Всемирной конференции по положению женщин, состоявшейся в Пекине в 1995 году, была принята платформа действий (доклад четвертой Всемирной конференции по положению женщин, Пекин, 4-15 сентября 1995 года, публикация Организации Объединенных Наций, в продаже под номером Е.96.</w:t>
      </w:r>
      <w:r>
        <w:rPr>
          <w:lang w:val="en-US"/>
        </w:rPr>
        <w:t>N</w:t>
      </w:r>
      <w:r>
        <w:t xml:space="preserve">.13, глава </w:t>
      </w:r>
      <w:r>
        <w:rPr>
          <w:lang w:val="en-US"/>
        </w:rPr>
        <w:t>I</w:t>
      </w:r>
      <w:r>
        <w:t xml:space="preserve">, резолюция 1, приложение </w:t>
      </w:r>
      <w:r>
        <w:rPr>
          <w:lang w:val="en-US"/>
        </w:rPr>
        <w:t>I</w:t>
      </w:r>
      <w:r>
        <w:t xml:space="preserve">), в которой излагается комплексная программа улучшения положения женщин во всех сферах публичной и частной жизни и предоставления им равной доли в процессе принятия решений в социальной, экономической, культурной и политической сферах.  В последующий период многие страны приняли национальные планы действий на основе Пекинской платформы.  Однако из-за военных действий в Союзной Республике Югославии в 1990-е годы ни Союзная Республика Югославия, ни Черногория не разработали национальные планы действий по поощрению прав женщин.  На сегодняшний день в этой области действуют лишь несколько НПО. </w:t>
      </w:r>
    </w:p>
    <w:p w:rsidR="00000000" w:rsidRDefault="00000000"/>
    <w:p w:rsidR="00000000" w:rsidRDefault="00000000">
      <w:r>
        <w:t>488.</w:t>
      </w:r>
      <w:r>
        <w:tab/>
        <w:t xml:space="preserve">В новом правительстве (избранном после выборов в октябре 2002 года) два министерских поста были заняты женщинами (что составляет 10% от общего количества министерских портфелей).  Количество женщин, занимающих посты секретарей и заместителей министра, является более высоким, и их доля составляет 20% от общей численности указанных постов.  Вместе с тем из 7 женщин - членов парламента ни одна не занимает наиболее ответственные должности;  женщины также не занимают постов председателей рабочих органов ни в правительстве, ни в парламенте.  Перед последними парламентскими выборами пост спикера парламента Республики Черногория занимала женщина;  кроме того, женщина была также председателем нового парламентского комитета по гендерному равенству, учрежденного в июле 2001 года.  В настоящее время в Черногории из 21 муниципального образования в трех городах (Будва, Никшич и Бар) посты мэров занимают женщины.  </w:t>
      </w:r>
    </w:p>
    <w:p w:rsidR="00000000" w:rsidRDefault="00000000"/>
    <w:p w:rsidR="00000000" w:rsidRDefault="00000000">
      <w:r>
        <w:t>489.</w:t>
      </w:r>
      <w:r>
        <w:tab/>
        <w:t xml:space="preserve">Несмотря на неудовлетворительное представительство женщин во властных структурах, в последние годы отношение государственных органов и политических партий к гендерной проблематике становится более позитивным.  Кроме того, хотя положение женщины в обществе существенно не изменилось, вопросы положения женщин и их права в сфере личной жизни и работы, в особенности их участие в структурах принятия решений, все чаще становятся предметом обсуждения.  Этим вопросам уделяется большее внимание в средствах массовой информации и, хотя для изменения сложившихся стереотипов потребуется время, уже в ближайшие годы можно ожидать определенного прогресса в этой области.  </w:t>
      </w:r>
    </w:p>
    <w:p w:rsidR="00000000" w:rsidRDefault="00000000"/>
    <w:p w:rsidR="00000000" w:rsidRDefault="00000000">
      <w:r>
        <w:t>490.</w:t>
      </w:r>
      <w:r>
        <w:tab/>
        <w:t>Из-за трудностей последнего десятилетия практически не проводились исследования по вопросу о положении и представительстве женщин в Черногории, вследствие чего на сегодняшний день точных данных в этой сфере не имеется.  На данный момент ни одно из правительственных ведомств серьезно не занималось этой проблемой.  В статистическом бюллетене за 2001 год Республиканского статистического управления можно найти лишь следующие данные:</w:t>
      </w:r>
    </w:p>
    <w:p w:rsidR="00000000" w:rsidRDefault="00000000"/>
    <w:p w:rsidR="00000000" w:rsidRDefault="00000000">
      <w:pPr>
        <w:tabs>
          <w:tab w:val="clear" w:pos="567"/>
          <w:tab w:val="clear" w:pos="1134"/>
        </w:tabs>
        <w:ind w:left="1131" w:hanging="585"/>
      </w:pPr>
      <w:r>
        <w:t>-</w:t>
      </w:r>
      <w:r>
        <w:tab/>
        <w:t xml:space="preserve">согласно результатам переписи населения 1991 года, от общей численности населения в 591 269 человек женщины составляли 50,6% (299 329);  от общей численности населения трудоспособного возраста в 145 741 человек женщины составляли 38,6% (91 359);  из 74 531 лиц, получавших зарплату, 35 397 составляли женщины (47,5%);  и из 279 458 лиц на иждивении 172 393 (61,7%) были женщинами;  </w:t>
      </w:r>
    </w:p>
    <w:p w:rsidR="00000000" w:rsidRDefault="00000000">
      <w:pPr>
        <w:tabs>
          <w:tab w:val="clear" w:pos="567"/>
          <w:tab w:val="clear" w:pos="1134"/>
        </w:tabs>
        <w:ind w:left="1131" w:hanging="585"/>
      </w:pPr>
    </w:p>
    <w:p w:rsidR="00000000" w:rsidRDefault="00000000">
      <w:pPr>
        <w:tabs>
          <w:tab w:val="clear" w:pos="567"/>
          <w:tab w:val="clear" w:pos="1134"/>
        </w:tabs>
        <w:ind w:left="1131" w:hanging="585"/>
      </w:pPr>
      <w:r>
        <w:t>-</w:t>
      </w:r>
      <w:r>
        <w:tab/>
        <w:t xml:space="preserve">что касается гендерной структуры работников, то наиболее свежие данные относятся к 31 декабря 1993 года:  на этот период из общего числа в 129 005 работников 52 001 были женщинами;  из них 6 074 имели высшее образование, 4 335 закончили колледжи, 17 766 имели среднее образование и 1 495 закончили начальную школу;  из работавших женщин 868 были высококвалифицированными работниками, 10 895 квалифицированными работниками, 1 980 работниками с низкой квалификацией и 8 588 неквалифицированными работниками;  </w:t>
      </w:r>
    </w:p>
    <w:p w:rsidR="00000000" w:rsidRDefault="00000000">
      <w:pPr>
        <w:tabs>
          <w:tab w:val="clear" w:pos="567"/>
          <w:tab w:val="clear" w:pos="1134"/>
        </w:tabs>
        <w:ind w:left="1131" w:hanging="585"/>
      </w:pPr>
    </w:p>
    <w:p w:rsidR="00000000" w:rsidRDefault="00000000">
      <w:pPr>
        <w:tabs>
          <w:tab w:val="clear" w:pos="567"/>
          <w:tab w:val="clear" w:pos="1134"/>
        </w:tabs>
        <w:ind w:left="1131" w:hanging="585"/>
      </w:pPr>
      <w:r>
        <w:t>-</w:t>
      </w:r>
      <w:r>
        <w:tab/>
        <w:t>в 1999/2000 учебном году в дневные начальные школы было принято 77 726 учащихся, из которых 37 762 были девочками;  из 30 756 учащихся средних школ девушек было 15 662.</w:t>
      </w:r>
    </w:p>
    <w:p w:rsidR="00000000" w:rsidRDefault="00000000">
      <w:pPr>
        <w:ind w:left="567" w:hanging="567"/>
      </w:pPr>
    </w:p>
    <w:p w:rsidR="00000000" w:rsidRDefault="00000000">
      <w:r>
        <w:t>491.</w:t>
      </w:r>
      <w:r>
        <w:tab/>
        <w:t xml:space="preserve">В Законе о выборе советников и членов парламента не была предусмотрена так называемая квота для женщин.  Однако в начале 2001 года непосредственно перед досрочными парламентскими выборами и по инициативе одной из НПО четыре политические партии - ДПС, СДП, ЛССГ и ДУА - подписали соглашение, в котором взяли обязательство принять меры к тому, чтобы 30% кандидатов в их списках составляли женщины.  Еще до подписания этого соглашения ряд политических партий включил вопрос о "квоте для женщин" в программы их партий.  Результатом этой инициативы стало почти двухкратное увеличение числа женщин в парламенте:  если в парламенте предыдущего созыва их было около 5%, то в парламенте нового состава доля женщин достигла 10%.  </w:t>
      </w:r>
    </w:p>
    <w:p w:rsidR="00000000" w:rsidRDefault="00000000"/>
    <w:p w:rsidR="00000000" w:rsidRDefault="00000000">
      <w:r>
        <w:t>492.</w:t>
      </w:r>
      <w:r>
        <w:tab/>
        <w:t>Женщины несколько лучше представлены в судебной системе, в частности в судах первичных инстанций (около 60% в муниципальных судах).  В вышестоящих судах (Подгорица и Бьелом-Полье) доля женщин составляет 42%, а в Верховном суде - около </w:t>
      </w:r>
      <w:proofErr w:type="spellStart"/>
      <w:r>
        <w:t>26%</w:t>
      </w:r>
      <w:proofErr w:type="spellEnd"/>
      <w:r>
        <w:t xml:space="preserve">.  </w:t>
      </w:r>
    </w:p>
    <w:p w:rsidR="00000000" w:rsidRDefault="00000000"/>
    <w:p w:rsidR="00000000" w:rsidRDefault="00000000">
      <w:r>
        <w:t>493.</w:t>
      </w:r>
      <w:r>
        <w:tab/>
        <w:t xml:space="preserve">В Черногории действует около 30 НПО, занимающихся женской проблематикой, в частности вопросами укрепления роли женщины в экономике и политике, оказания помощи женщинам, ставшим жертвами насилия, стимулирования предпринимательства и т.д.  Одна из этих НПО издает журнал "Ива", а другая публикует издание под названием "Бюллетень".  </w:t>
      </w:r>
    </w:p>
    <w:p w:rsidR="00000000" w:rsidRDefault="00000000"/>
    <w:p w:rsidR="00000000" w:rsidRDefault="00000000">
      <w:r>
        <w:t>494.</w:t>
      </w:r>
      <w:r>
        <w:tab/>
        <w:t xml:space="preserve">Правительство выделяет определенные средства на реализацию проектов по укреплению гражданского общества в соответствии с положениями Закона о НПО.  По этой линии был профинансирован ряд проектов, предложенных женскими НПО.  </w:t>
      </w:r>
    </w:p>
    <w:p w:rsidR="00000000" w:rsidRDefault="00000000"/>
    <w:p w:rsidR="00000000" w:rsidRDefault="00000000">
      <w:r>
        <w:t>495.</w:t>
      </w:r>
      <w:r>
        <w:tab/>
        <w:t xml:space="preserve">С момента создания в 1999 году Рабочей группы по вопросам гендерного равенства (РГГР) в рамках Пакта стабильности для Юго-Восточной Европы в ее работе принимали участие два представителя сектора женских НПО Черногории и правительственный координатор по вопросам гендерного равенства.  Назначение правительственного координатора по вопросам гендерного равенства, участие Черногории в деятельности РГГР, проектные предложения правительства в отношении создания государственного механизма обеспечения гендерного равенства, а также учреждение парламентского комитета по вопросам гендерного равенства свидетельствуют о твердом курсе правительства Черногории на принятие и осуществление международных стандартов в этой области.  </w:t>
      </w:r>
    </w:p>
    <w:p w:rsidR="00000000" w:rsidRDefault="00000000"/>
    <w:p w:rsidR="00000000" w:rsidRDefault="00000000">
      <w:r>
        <w:t>496.</w:t>
      </w:r>
      <w:r>
        <w:tab/>
        <w:t>Черногория реализовала несколько проектов при поддержке РГГР Пакта стабильности.  Два из них - "Права женщин - права человека" и "Женщины в политике - женщинам это по силам!" - были инициированы НПО Черногории.  В результате завершения первого из этих проектов были предложены изменения к Закону о выборах советников и депутатов парламента, в частности было предложено ввести обязательную двадцатипроцентную квоту (в первоначальном предложении фигурировала цифра в 30%) для женщин в парламенте, на всех уровнях принятия решений в законодательной, исполнительной и судебной ветвях власти.  Второй проект, дополнительный компонент которого получил название "Женщинам это по силам–</w:t>
      </w:r>
      <w:r>
        <w:rPr>
          <w:lang w:val="en-US"/>
        </w:rPr>
        <w:t>II</w:t>
      </w:r>
      <w:r>
        <w:t>", был посвящен специальной подготовке женщин из политических партий Черногории, независимо от их различной партийной принадлежности, национальности и религии, семейного положения и уровня образования.  В осуществлении этого проекта также принимали участие женщины из НПО и профессиональных союзов.  Данный проект имеет важное значение, поскольку для повышения качества и масштабов представительства женщин на политической арене женщинам необходима специальная подготовка, касающаяся методов участия в публичной жизни.</w:t>
      </w:r>
    </w:p>
    <w:p w:rsidR="00000000" w:rsidRDefault="00000000"/>
    <w:p w:rsidR="00000000" w:rsidRDefault="00000000">
      <w:r>
        <w:t>497.</w:t>
      </w:r>
      <w:r>
        <w:tab/>
        <w:t>Третий проект, инициированный правительством, направлен на создание механизма обеспечения гендерного равенства на основе общих обязательств по уважению прав человека, в частности тех из них, которые предполагают более адекватное отношение к женщинам в семье и в обществе.  Из-за задержки в выделении средств, парламентских выборов и формирования нового правительства этот механизм пока еще не создан, однако эта задача будет решена в самом ближайшем будущем.  В целом предполагается, что в течение первого года функционирования данного механизма будут решаться следующие задачи:</w:t>
      </w:r>
    </w:p>
    <w:p w:rsidR="00000000" w:rsidRDefault="00000000"/>
    <w:p w:rsidR="00000000" w:rsidRDefault="00000000">
      <w:pPr>
        <w:ind w:left="1134" w:hanging="1134"/>
      </w:pPr>
      <w:r>
        <w:tab/>
        <w:t>-</w:t>
      </w:r>
      <w:r>
        <w:tab/>
        <w:t>создание гендерной статистической базы данных и проведение исследования по вопросу о положении женщин во всех сферах жизни;</w:t>
      </w:r>
    </w:p>
    <w:p w:rsidR="00000000" w:rsidRDefault="00000000">
      <w:pPr>
        <w:ind w:left="1134" w:hanging="1134"/>
      </w:pPr>
    </w:p>
    <w:p w:rsidR="00000000" w:rsidRDefault="00000000">
      <w:pPr>
        <w:ind w:left="1134" w:hanging="1134"/>
      </w:pPr>
      <w:r>
        <w:tab/>
        <w:t>-</w:t>
      </w:r>
      <w:r>
        <w:tab/>
        <w:t>создание базы данных о передовом международном опыте в области обеспечения гендерного равенства;</w:t>
      </w:r>
    </w:p>
    <w:p w:rsidR="00000000" w:rsidRDefault="00000000">
      <w:pPr>
        <w:ind w:left="1134" w:hanging="1134"/>
      </w:pPr>
    </w:p>
    <w:p w:rsidR="00000000" w:rsidRDefault="00000000">
      <w:pPr>
        <w:ind w:left="1134" w:hanging="1134"/>
      </w:pPr>
      <w:r>
        <w:tab/>
        <w:t>-</w:t>
      </w:r>
      <w:r>
        <w:tab/>
        <w:t>координация деятельности основных правительственных, парламентских и неправительственных органов в области ликвидации всех видов дискриминации женщин и девушек, насилия в отношении женщин и искоренения явлений, нарушающих права человека женщин;</w:t>
      </w:r>
    </w:p>
    <w:p w:rsidR="00000000" w:rsidRDefault="00000000">
      <w:pPr>
        <w:ind w:left="1134" w:hanging="1134"/>
      </w:pPr>
    </w:p>
    <w:p w:rsidR="00000000" w:rsidRDefault="00000000">
      <w:pPr>
        <w:ind w:left="1134" w:hanging="1134"/>
      </w:pPr>
      <w:r>
        <w:tab/>
        <w:t>-</w:t>
      </w:r>
      <w:r>
        <w:tab/>
        <w:t>разработка поправок и предложений для нового законодательства в целях улучшения положения женщин в семье, экономике и политической жизни;</w:t>
      </w:r>
    </w:p>
    <w:p w:rsidR="00000000" w:rsidRDefault="00000000">
      <w:pPr>
        <w:ind w:left="1134" w:hanging="1134"/>
      </w:pPr>
    </w:p>
    <w:p w:rsidR="00000000" w:rsidRDefault="00000000">
      <w:pPr>
        <w:ind w:left="1134" w:hanging="1134"/>
      </w:pPr>
      <w:r>
        <w:tab/>
        <w:t>-</w:t>
      </w:r>
      <w:r>
        <w:tab/>
        <w:t>развертывание кампании по повышению общего уровня информированности о проблемах, относящихся к гендерному равенству, публикация материалов в средствах массовой информации для информирования общественности об осуществлении всех прав человека женщин и необходимости организации добровольных консультативных услуг и правовой помощи в экстренных случаях.</w:t>
      </w:r>
    </w:p>
    <w:p w:rsidR="00000000" w:rsidRDefault="00000000">
      <w:pPr>
        <w:ind w:left="1134" w:hanging="1134"/>
      </w:pPr>
    </w:p>
    <w:p w:rsidR="00000000" w:rsidRDefault="00000000">
      <w:r>
        <w:t>498.</w:t>
      </w:r>
      <w:r>
        <w:tab/>
        <w:t>В дополнение к вышесказанному Черногория участвовала в проекте в рамках Пакта стабильности под названием "Защита жертв сексуальной торговли в Черногории", в котором участвовали не только правительства, но и НПО и международные организации при координации со стороны ОБСЕ.  Правительство также приняло Национальный план действий по борьбе с сексуальной торговлей.</w:t>
      </w:r>
    </w:p>
    <w:p w:rsidR="00000000" w:rsidRDefault="00000000"/>
    <w:p w:rsidR="00000000" w:rsidRDefault="00000000">
      <w:r>
        <w:t>499.</w:t>
      </w:r>
      <w:r>
        <w:tab/>
        <w:t>Другим региональным проектом, реализованным под эгидой Пакта стабильности, стал проект под названием "Роль женщин из Юго-Восточной Европы в предупреждении и урегулировании конфликтов и налаживании постконфликтного диалога".</w:t>
      </w:r>
    </w:p>
    <w:p w:rsidR="00000000" w:rsidRDefault="00000000"/>
    <w:p w:rsidR="00000000" w:rsidRDefault="00000000">
      <w:r>
        <w:t>500.</w:t>
      </w:r>
      <w:r>
        <w:tab/>
        <w:t>В заключение следует отметить инициативу по созданию сети женских НПО в Черногории и, хотя эта сеть еще не полностью создана, как НПО, так и правительство признают необходимость развертывания такой сети.</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r>
        <w:t>501.</w:t>
      </w:r>
      <w:r>
        <w:tab/>
        <w:t xml:space="preserve">Республика Черногория как член Союзной Республики Югославии (в настоящее время Государственный Союз Сербии и Черногории) ратифицировала Международный пакт об экономических, социальных и культурных правах.   </w:t>
      </w:r>
    </w:p>
    <w:p w:rsidR="00000000" w:rsidRDefault="00000000"/>
    <w:p w:rsidR="00000000" w:rsidRDefault="00000000">
      <w:r>
        <w:t>502.</w:t>
      </w:r>
      <w:r>
        <w:tab/>
        <w:t>Согласно пункту 2 статьи 16 Союзной Конституции, "международные соглашения, которые были подтверждены и опубликованы в соответствии с Конституцией и нормами международного права, являются составной частью внутреннего правового режима".  Положения Пакта представляют собой внутреннее право Черногории и не противоречат соответствующему законодательству.</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pStyle w:val="10"/>
        <w:jc w:val="left"/>
        <w:rPr>
          <w:bCs/>
        </w:rPr>
      </w:pPr>
      <w:r>
        <w:rPr>
          <w:bCs/>
        </w:rPr>
        <w:t>Пункты 1 и 2</w:t>
      </w:r>
    </w:p>
    <w:p w:rsidR="00000000" w:rsidRDefault="00000000">
      <w:pPr>
        <w:rPr>
          <w:b/>
          <w:bCs/>
        </w:rPr>
      </w:pPr>
    </w:p>
    <w:p w:rsidR="00000000" w:rsidRDefault="00000000">
      <w:r>
        <w:t>503.</w:t>
      </w:r>
      <w:r>
        <w:tab/>
        <w:t>Республика Черногория как член Союзной Республики Югославии (в настоящее время Государственный союз Сербии и Черногории) ратифицировала Международный пакт о гражданских и политических правах.</w:t>
      </w:r>
    </w:p>
    <w:p w:rsidR="00000000" w:rsidRDefault="00000000"/>
    <w:p w:rsidR="00000000" w:rsidRDefault="00000000">
      <w:r>
        <w:t>504.</w:t>
      </w:r>
      <w:r>
        <w:tab/>
        <w:t>Согласно пункту 2 статьи 16 Союзной Конституции, "международные соглашения, которые были подтверждены и опубликованы в соответствии с Конституцией и нормами международного права, являются составной частью внутреннего правового режима".  Положения Пакта представляют собой внутреннее право Черногории и не противоречат соответствующему законодательству.</w:t>
      </w:r>
    </w:p>
    <w:p w:rsidR="00000000" w:rsidRDefault="00000000"/>
    <w:p w:rsidR="00000000" w:rsidRDefault="00000000">
      <w:pPr>
        <w:keepNext/>
        <w:jc w:val="center"/>
        <w:rPr>
          <w:b/>
          <w:bCs/>
        </w:rPr>
      </w:pPr>
      <w:r>
        <w:rPr>
          <w:b/>
          <w:bCs/>
        </w:rPr>
        <w:t>Статья 6</w:t>
      </w:r>
    </w:p>
    <w:p w:rsidR="00000000" w:rsidRDefault="00000000">
      <w:pPr>
        <w:keepNext/>
        <w:jc w:val="center"/>
        <w:rPr>
          <w:b/>
          <w:bCs/>
        </w:rPr>
      </w:pPr>
    </w:p>
    <w:p w:rsidR="00000000" w:rsidRDefault="00000000">
      <w:pPr>
        <w:pStyle w:val="10"/>
        <w:keepNext/>
        <w:jc w:val="left"/>
        <w:rPr>
          <w:bCs/>
        </w:rPr>
      </w:pPr>
      <w:r>
        <w:rPr>
          <w:bCs/>
        </w:rPr>
        <w:t>Пункт 1</w:t>
      </w:r>
    </w:p>
    <w:p w:rsidR="00000000" w:rsidRDefault="00000000">
      <w:pPr>
        <w:keepNext/>
        <w:rPr>
          <w:b/>
          <w:bCs/>
        </w:rPr>
      </w:pPr>
    </w:p>
    <w:p w:rsidR="00000000" w:rsidRDefault="00000000">
      <w:r>
        <w:t>505.</w:t>
      </w:r>
      <w:r>
        <w:tab/>
        <w:t>Опираясь на принципы гуманности, Республика Черногория в своей Конституции и законах провозгласила, что каждому человеку гарантируется право на работу, свободный выбор профессии и занятий, справедливые и гуманные условия труда и социальная защита от безработицы.  Особая защита предоставляется инвалидам.</w:t>
      </w:r>
    </w:p>
    <w:p w:rsidR="00000000" w:rsidRDefault="00000000"/>
    <w:p w:rsidR="00000000" w:rsidRDefault="00000000">
      <w:r>
        <w:t>506.</w:t>
      </w:r>
      <w:r>
        <w:tab/>
        <w:t>Гарантируется право на владение собственностью, свобода зарабатывать себе на жизнь трудом и заниматься предпринимательством.  Запрещаются любые акты или действия, которые способствуют или поощряют появление на рынке монополиста или препятствуют осуществлению рыночных операций.</w:t>
      </w:r>
    </w:p>
    <w:p w:rsidR="00000000" w:rsidRDefault="00000000"/>
    <w:p w:rsidR="00000000" w:rsidRDefault="00000000">
      <w:r>
        <w:t>507.</w:t>
      </w:r>
      <w:r>
        <w:tab/>
        <w:t>Работники являются равными в осуществлении их прав, вытекающих из труда, без каких-либо различий в отношении их национального происхождения, расы, пола, языка, религии, политических и иных убеждений, уровня образования, социального происхождения, финансового положения или каких-либо иных личных качеств.  Работодатель обязан уважать права и равенства работников в интересах обеспечения их прав и уважения их личной жизни и достоинства.</w:t>
      </w:r>
    </w:p>
    <w:p w:rsidR="00000000" w:rsidRDefault="00000000"/>
    <w:p w:rsidR="00000000" w:rsidRDefault="00000000">
      <w:r>
        <w:t>508.</w:t>
      </w:r>
      <w:r>
        <w:tab/>
        <w:t>Иностранцы в нашей стране имеют свободы, права и обязательства, закрепленные в Конституции, соответствующих законах и международных договорах.  Таким образом, иностранные поданные и любые лица, не имеющие гражданства нашей страны, могут быть приняты на работу на условиях, оговоренных в соответствующем законе и международных конвенциях.</w:t>
      </w:r>
    </w:p>
    <w:p w:rsidR="00000000" w:rsidRDefault="00000000"/>
    <w:p w:rsidR="00000000" w:rsidRDefault="00000000">
      <w:pPr>
        <w:pStyle w:val="10"/>
        <w:jc w:val="left"/>
        <w:rPr>
          <w:bCs/>
        </w:rPr>
      </w:pPr>
      <w:r>
        <w:rPr>
          <w:bCs/>
        </w:rPr>
        <w:t>Пункт 2</w:t>
      </w:r>
    </w:p>
    <w:p w:rsidR="00000000" w:rsidRDefault="00000000">
      <w:pPr>
        <w:rPr>
          <w:b/>
          <w:bCs/>
        </w:rPr>
      </w:pPr>
    </w:p>
    <w:p w:rsidR="00000000" w:rsidRDefault="00000000">
      <w:r>
        <w:t>509.</w:t>
      </w:r>
      <w:r>
        <w:tab/>
        <w:t>Наша страна приняла ряд конвенций МОТ, включая Конвенцию № 122 о политике в области занятости (1964 год) и Конвенцию № 111 о дискриминации в области труда и занятий (1958 год).</w:t>
      </w:r>
    </w:p>
    <w:p w:rsidR="00000000" w:rsidRDefault="00000000"/>
    <w:p w:rsidR="00000000" w:rsidRDefault="00000000">
      <w:r>
        <w:t>510.</w:t>
      </w:r>
      <w:r>
        <w:tab/>
        <w:t>Начавшийся в 90</w:t>
      </w:r>
      <w:r>
        <w:noBreakHyphen/>
        <w:t>х годах процесс социально-экономических преобразований путем принятия мер по переводу экономики на рыночные рельсы, ускоренный реструктуризацией экономики в системе управления и форм собственности, в силу своего характера, масштаба, динамизма и интенсивности привел к кардинальным изменениям в общем экономическом и системном, а также социо-экономическом контексте, но также стал отражением политики в области занятости.  Принятые в этот период меры едва ли могли бы быть эффективно осуществлены без нормативных предпосылок, создающих благоприятные условия для реформ.</w:t>
      </w:r>
    </w:p>
    <w:p w:rsidR="00000000" w:rsidRDefault="00000000"/>
    <w:p w:rsidR="00000000" w:rsidRDefault="00000000">
      <w:r>
        <w:t>511.</w:t>
      </w:r>
      <w:r>
        <w:tab/>
        <w:t>В этой связи был разработан пакет новых законов в области труда и занятости.  В 2002 году был принят Закон о занятости, и в настоящее время идет процесс его осуществления.  Проект Закона о труде находится на рассмотрении в парламенте, а проект Закона о забастовках находится на этапе предварительного обсуждения с социальными партиями.</w:t>
      </w:r>
    </w:p>
    <w:p w:rsidR="00000000" w:rsidRDefault="00000000"/>
    <w:p w:rsidR="00000000" w:rsidRDefault="00000000">
      <w:r>
        <w:t>512.</w:t>
      </w:r>
      <w:r>
        <w:tab/>
        <w:t>Под инструментами рыночной трудовой политики подразумеваются меры, включающие посредничество, профессиональное консультирование, профессионально-техническое образование, а также профессиональную ориентацию в целях участия в рынке труда с учетом гибких форм занятости как стимула создания рабочих мест.  Политика в области рынка труда является местом соприкосновения социальных и рыночных проблем в целях определения активной и пассивной политики в области занятости.</w:t>
      </w:r>
    </w:p>
    <w:p w:rsidR="00000000" w:rsidRDefault="00000000"/>
    <w:p w:rsidR="00000000" w:rsidRDefault="00000000">
      <w:r>
        <w:t>513.</w:t>
      </w:r>
      <w:r>
        <w:tab/>
        <w:t>В новом Законе о занятости четко разграничиваются пассивная и активная политика в области занятости, при этом также закрепляется право на социальное обеспечение в период поиска работы.</w:t>
      </w:r>
    </w:p>
    <w:p w:rsidR="00000000" w:rsidRDefault="00000000"/>
    <w:p w:rsidR="00000000" w:rsidRDefault="00000000">
      <w:r>
        <w:t>514.</w:t>
      </w:r>
      <w:r>
        <w:tab/>
        <w:t>Активная политика в области занятости предполагает различные меры стимулирования занятости, образования, профессионально-технического обучения, переподготовки и дополнительной подготовки для целей участия в трудовом процессе, в частности в отношении работников более старших возрастов, которые лишились работы в результате преобразований и приватизации.  Кроме того, осуществляется ряд других мер по стимулированию создания рабочих мест:  участие в создании новых рабочих мест, профессиональная реабилитация лиц со сниженной трудоспособностью, защита категории работников старших возрастов, потерявших работу и зарегистрированных в агентстве по вопросам занятости до того, как они нашли работу или удовлетворяют необходимым условиям для получения пенсии, а также оказание помощи определенным экономическим секторам в обеспечении рабочего процесса в течение года.</w:t>
      </w:r>
    </w:p>
    <w:p w:rsidR="00000000" w:rsidRDefault="00000000"/>
    <w:p w:rsidR="00000000" w:rsidRDefault="00000000">
      <w:r>
        <w:t>515.</w:t>
      </w:r>
      <w:r>
        <w:tab/>
        <w:t xml:space="preserve">Необходимо подчеркнуть, что осуществление нового Закона о занятости весьма затруднено тем, что пока еще не принят новый Закон о труде в качестве еще одного нормативного акта, основанного на принципах реформ.  </w:t>
      </w:r>
    </w:p>
    <w:p w:rsidR="00000000" w:rsidRDefault="00000000"/>
    <w:p w:rsidR="00000000" w:rsidRDefault="00000000">
      <w:r>
        <w:t>516.</w:t>
      </w:r>
      <w:r>
        <w:tab/>
        <w:t>Несмотря на неблагоприятные обстоятельства, сложность и важность решения проблемы безработицы в Черногории диктует необходимость принятия кардинальных мер и шагов по линии Агентства по вопросам занятости Черногории в виде программ, которые позволят снизить уровень безработицы.  В 2001 году в Агентстве по вопросам занятости было зарегистрировано в среднем 81 468 безработных лиц, что на 2 597 человек, или 3,3%, меньше, чем было годом ранее.</w:t>
      </w:r>
    </w:p>
    <w:p w:rsidR="00000000" w:rsidRDefault="00000000"/>
    <w:p w:rsidR="00000000" w:rsidRDefault="00000000">
      <w:r>
        <w:t>517.</w:t>
      </w:r>
      <w:r>
        <w:tab/>
        <w:t xml:space="preserve">В этой связи основной акцент в деятельности Агентства по вопросам занятости в Черногории в течение последних нескольких лет делался на реализации программы непрерывного стимулирования создания новых рабочих мест и поощрения предпринимательства в Черногории.  </w:t>
      </w:r>
    </w:p>
    <w:p w:rsidR="00000000" w:rsidRDefault="00000000"/>
    <w:p w:rsidR="00000000" w:rsidRDefault="00000000">
      <w:r>
        <w:t>518.</w:t>
      </w:r>
      <w:r>
        <w:tab/>
        <w:t>Цель этой программы состоит в предоставлении по запросу кредитов лицам, зарегистрированным в качестве безработных, с тем чтобы они могли начать деятельность в сфере самостоятельной занятости.  Из общего количества утвержденных программ 52% приходились на сельское хозяйство, 17% - на ремесла и услуги, 10% - на торговлю и 9% </w:t>
      </w:r>
      <w:r>
        <w:noBreakHyphen/>
        <w:t> на промышленность и горнодобывающую отрасль.  Таким образом, в рамках программы предусматривалось создание около 4 439 новых рабочих мест.  Из общего числа позитивно оцененных проектов (6 353 проекта) 42,2% составляли проекты, представленные женщинами, что имеет важное значение с учетом того, что в странах переходного периода Центральной и Восточной Европы этот показатель составляет около </w:t>
      </w:r>
      <w:proofErr w:type="spellStart"/>
      <w:r>
        <w:t>28%</w:t>
      </w:r>
      <w:proofErr w:type="spellEnd"/>
      <w:r>
        <w:t xml:space="preserve">.  </w:t>
      </w:r>
    </w:p>
    <w:p w:rsidR="00000000" w:rsidRDefault="00000000"/>
    <w:p w:rsidR="00000000" w:rsidRDefault="00000000">
      <w:r>
        <w:t>519.</w:t>
      </w:r>
      <w:r>
        <w:tab/>
        <w:t xml:space="preserve">Наряду с этим, позитивные результаты были также достигнуты в области профессиональной подготовки, т.е. улучшения качества рабочей силы в соответствии с требованиями рынка труда.  Профессиональная переподготовка осуществляется главным образом в рамках различных программ (обучение, дополнительная подготовка, переподготовка или специализация в области металлообработки, ремесленного производства, сельского хозяйства, информационных технологий, иностранных языков, туризма и ресторанного обслуживания и т.д.).  В рамках этой системы такую подготовку в год проходят в среднем 1 500 безработных или потерявших работу лиц.  </w:t>
      </w:r>
    </w:p>
    <w:p w:rsidR="00000000" w:rsidRDefault="00000000"/>
    <w:p w:rsidR="00000000" w:rsidRDefault="00000000">
      <w:r>
        <w:t>520.</w:t>
      </w:r>
      <w:r>
        <w:tab/>
        <w:t xml:space="preserve">Согласно законам о трудовых отношениях, благодаря посреднической деятельности Агентства по вопросам занятости, предоставляется информация о свободных рабочих местах, с тем чтобы предотвратить злоупотребления, связанные с трудоустройством, и обеспечить возможность для заинтересованного лица, зарегистрированного в качестве безработного в Агентстве по вопросам занятости, получить работу, отвечающую его квалификации и уровню образования, и тем самым исключить возможность какой-либо дискриминации в некоторых областях профессиональной деятельности.  </w:t>
      </w:r>
    </w:p>
    <w:p w:rsidR="00000000" w:rsidRDefault="00000000"/>
    <w:p w:rsidR="00000000" w:rsidRDefault="00000000">
      <w:r>
        <w:t>521.</w:t>
      </w:r>
      <w:r>
        <w:tab/>
        <w:t xml:space="preserve">Ввиду значительного числа обращения безработных в Агентство по вопросам занятости, что связано с преобразованием обанкротившихся промышленных предприятий, на рынке труда серьезно нарушилось равновесие спроса и предложения рабочей силы.  Если для примерно 300 профессий, по которым работодатели сталкиваются с трудностями при найме соответствующих работников, в реестрах безработных зарегистрирован дефицит, то около 400 специальностей зарегистрированных безработных в новой структуре экономики остаются невостребованными.  </w:t>
      </w:r>
    </w:p>
    <w:p w:rsidR="00000000" w:rsidRDefault="00000000"/>
    <w:p w:rsidR="00000000" w:rsidRDefault="00000000">
      <w:r>
        <w:t>522.</w:t>
      </w:r>
      <w:r>
        <w:tab/>
        <w:t xml:space="preserve">Анализ различных уровней профессиональной подготовки указывает на нехватку работников по примерно 115 специальностям.  Таким образом, для того чтобы уравновесить предложение и спрос рабочей силы необходимо принять меры для налаживания сотрудничества образовательных учреждений с Агентством по вопросам занятости в рамках конкретных программ профессионального обучения молодежи и сохранения высококвалифицированных профессионалов, высвобождающихся в связи с новыми потребностями рынка труда.  </w:t>
      </w:r>
    </w:p>
    <w:p w:rsidR="00000000" w:rsidRDefault="00000000"/>
    <w:p w:rsidR="00000000" w:rsidRDefault="00000000">
      <w:r>
        <w:t>523.</w:t>
      </w:r>
      <w:r>
        <w:tab/>
        <w:t xml:space="preserve">На уровне республики в региональном масштабе, а также в некоторых областях трудовой деятельности не проводятся тщательные комплексные исследования в отношении перспектив востребованности рабочей силы на более продолжительный период (7-10 лет), на основе которых можно было бы формировать долгосрочную политику в области занятости и корректировать ее в соответствии с будущими потребностями рынка труда.  В частности это относится к реальной ситуации в области занятости и безработицы, прежде всего с учетом многолетней традиции "работы без соответствующего разрешения", что делает невозможными любые попытки долгосрочного прогнозирования спроса и предложения, дефицита или избытка специалистов по той или иной профессии.  В этой связи в рамках Агентства по вопросам занятости был учрежден Центр по развитию людских ресурсов в целях проведения долгосрочных исследований, подготовки прогнозов конъюнктуры рынка труда и ведения иной деятельности.  </w:t>
      </w:r>
    </w:p>
    <w:p w:rsidR="00000000" w:rsidRDefault="00000000"/>
    <w:p w:rsidR="00000000" w:rsidRDefault="00000000">
      <w:r>
        <w:t>524.</w:t>
      </w:r>
      <w:r>
        <w:tab/>
        <w:t>Для мониторинга и анализа положения на рынках труда в соответствии с международно принятыми нормами в этой области было учреждено Национальное агентство по исследованию рынка труда.</w:t>
      </w:r>
    </w:p>
    <w:p w:rsidR="00000000" w:rsidRDefault="00000000"/>
    <w:p w:rsidR="00000000" w:rsidRDefault="00000000">
      <w:pPr>
        <w:keepLines/>
      </w:pPr>
      <w:r>
        <w:t>525.</w:t>
      </w:r>
      <w:r>
        <w:tab/>
        <w:t xml:space="preserve">В течение последних нескольких лет это агентство вело интенсивную работу в области профессионально-технической подготовки, а именно нового методологического подхода за счет привлечения опыта стран с развитыми рынками труда, в частности в области упорядочения и консолидирования комплексной системы информации и регистрации в области рынка труда.  </w:t>
      </w:r>
    </w:p>
    <w:p w:rsidR="00000000" w:rsidRDefault="00000000"/>
    <w:p w:rsidR="00000000" w:rsidRDefault="00000000">
      <w:r>
        <w:t>526.</w:t>
      </w:r>
      <w:r>
        <w:tab/>
        <w:t xml:space="preserve">Необходимо подчеркнуть некоторые неблагоприятные обстоятельства и факторы, мешающие решению проблемы безработицы:  </w:t>
      </w:r>
    </w:p>
    <w:p w:rsidR="00000000" w:rsidRDefault="00000000"/>
    <w:p w:rsidR="00000000" w:rsidRDefault="00000000">
      <w:pPr>
        <w:tabs>
          <w:tab w:val="clear" w:pos="567"/>
        </w:tabs>
        <w:ind w:left="1131" w:hanging="567"/>
      </w:pPr>
      <w:r>
        <w:t>-</w:t>
      </w:r>
      <w:r>
        <w:tab/>
        <w:t xml:space="preserve">неопределенность в отношении интенсивности и динамики переходных процессов в относительно долгосрочной перспективе;  </w:t>
      </w:r>
    </w:p>
    <w:p w:rsidR="00000000" w:rsidRDefault="00000000">
      <w:pPr>
        <w:tabs>
          <w:tab w:val="clear" w:pos="567"/>
        </w:tabs>
        <w:ind w:left="1131" w:hanging="567"/>
      </w:pPr>
    </w:p>
    <w:p w:rsidR="00000000" w:rsidRDefault="00000000">
      <w:pPr>
        <w:tabs>
          <w:tab w:val="clear" w:pos="567"/>
        </w:tabs>
        <w:ind w:left="1131" w:hanging="567"/>
      </w:pPr>
      <w:r>
        <w:t>-</w:t>
      </w:r>
      <w:r>
        <w:tab/>
        <w:t>отсутствие долгосрочных и стратегических макроэкономических исследований и нехватка квалифицированного персонала, который мог бы заниматься изучением этой проблематики, а также недостаточные институциональные возможности для решения этих вопросов на республиканском и региональном уровнях;</w:t>
      </w:r>
    </w:p>
    <w:p w:rsidR="00000000" w:rsidRDefault="00000000">
      <w:pPr>
        <w:tabs>
          <w:tab w:val="clear" w:pos="567"/>
        </w:tabs>
        <w:ind w:left="1131" w:hanging="567"/>
      </w:pPr>
    </w:p>
    <w:p w:rsidR="00000000" w:rsidRDefault="00000000">
      <w:pPr>
        <w:tabs>
          <w:tab w:val="clear" w:pos="567"/>
        </w:tabs>
        <w:ind w:left="1131" w:hanging="567"/>
      </w:pPr>
      <w:r>
        <w:t>-</w:t>
      </w:r>
      <w:r>
        <w:tab/>
        <w:t xml:space="preserve">отсутствие налаженного социального партнерства в решении текущих социально-экономических проблем;  </w:t>
      </w:r>
    </w:p>
    <w:p w:rsidR="00000000" w:rsidRDefault="00000000">
      <w:pPr>
        <w:tabs>
          <w:tab w:val="clear" w:pos="567"/>
        </w:tabs>
        <w:ind w:left="1131" w:hanging="567"/>
      </w:pPr>
    </w:p>
    <w:p w:rsidR="00000000" w:rsidRDefault="00000000">
      <w:pPr>
        <w:tabs>
          <w:tab w:val="clear" w:pos="567"/>
        </w:tabs>
        <w:ind w:left="1131" w:hanging="567"/>
      </w:pPr>
      <w:r>
        <w:t>-</w:t>
      </w:r>
      <w:r>
        <w:tab/>
        <w:t xml:space="preserve">неконкретная и неполная нормативная база, регулирующая эти вопросы, которая остается неизменной в течение длительного времени и является неприменимой на практике для решения проблем в этой области;  </w:t>
      </w:r>
    </w:p>
    <w:p w:rsidR="00000000" w:rsidRDefault="00000000">
      <w:pPr>
        <w:tabs>
          <w:tab w:val="clear" w:pos="567"/>
        </w:tabs>
        <w:ind w:left="1131" w:hanging="567"/>
      </w:pPr>
    </w:p>
    <w:p w:rsidR="00000000" w:rsidRDefault="00000000">
      <w:pPr>
        <w:tabs>
          <w:tab w:val="clear" w:pos="567"/>
        </w:tabs>
        <w:ind w:left="1131" w:hanging="567"/>
      </w:pPr>
      <w:r>
        <w:t>-</w:t>
      </w:r>
      <w:r>
        <w:tab/>
        <w:t>широко распространенные нереалистичные ожидания со стороны большинства работодателей в отношении того, что государство сможет в целом решить все указанные проблемы в течение весьма короткого времени;  и</w:t>
      </w:r>
    </w:p>
    <w:p w:rsidR="00000000" w:rsidRDefault="00000000">
      <w:pPr>
        <w:tabs>
          <w:tab w:val="clear" w:pos="567"/>
        </w:tabs>
        <w:ind w:left="1131" w:hanging="567"/>
      </w:pPr>
    </w:p>
    <w:p w:rsidR="00000000" w:rsidRDefault="00000000">
      <w:pPr>
        <w:tabs>
          <w:tab w:val="clear" w:pos="567"/>
        </w:tabs>
        <w:ind w:left="1131" w:hanging="567"/>
      </w:pPr>
      <w:r>
        <w:t>-</w:t>
      </w:r>
      <w:r>
        <w:tab/>
        <w:t>высокий уровень банкротств и ожидаемое значительное количество увольнений в промышленности и т.д.</w:t>
      </w:r>
    </w:p>
    <w:p w:rsidR="00000000" w:rsidRDefault="00000000">
      <w:pPr>
        <w:ind w:left="567" w:hanging="567"/>
      </w:pPr>
    </w:p>
    <w:p w:rsidR="00000000" w:rsidRDefault="00000000">
      <w:r>
        <w:t>527.</w:t>
      </w:r>
      <w:r>
        <w:tab/>
        <w:t xml:space="preserve">Следует особо отметить "работу без соответствующего разрешения" в "серой экономике", которая является одной из актуальных и сложных проблем, требующих немедленного решения в рамках программы борьбы с теневой экономикой.  Хотя в определенной степени такое явление существовало и ранее, его интенсивность, формы и последствия особенно четко проявились в течение последних десяти лет переходного процесса.  В Черногории отсутствуют точные данные о количестве незарегистрированных работников и о той степени, в которой "работа без соответствующего разрешения" присутствует в "теневой экономике", при этом также не проводятся комплексные исследования, которые могли бы дать определенную информацию о существовании этого явления. </w:t>
      </w:r>
    </w:p>
    <w:p w:rsidR="00000000" w:rsidRDefault="00000000"/>
    <w:p w:rsidR="00000000" w:rsidRDefault="00000000">
      <w:r>
        <w:t>528.</w:t>
      </w:r>
      <w:r>
        <w:tab/>
        <w:t>В "теневой экономике" заняты в основном лица, которые не зарегистрированы ни как занятые, ни как безработные (занятые лица, находящиеся в вынужденном отпуске, пенсионеры, беженцы и перемещенные лица), а также некоторые лица, которые зарегистрированы как безработные, но не имеют права на получение пособия по безработице, к числу которых в основном относятся молодые люди в возрасте 20-30 лет.</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r>
        <w:rPr>
          <w:b/>
          <w:bCs/>
        </w:rPr>
        <w:t>Пункт 1 а)</w:t>
      </w:r>
    </w:p>
    <w:p w:rsidR="00000000" w:rsidRDefault="00000000"/>
    <w:p w:rsidR="00000000" w:rsidRDefault="00000000">
      <w:r>
        <w:t>529.</w:t>
      </w:r>
      <w:r>
        <w:tab/>
        <w:t xml:space="preserve">Одним из основных прав в области занятости является право на получение вознаграждения, которое регулируется в соответствии с законодательством и коллективными соглашениями.  </w:t>
      </w:r>
    </w:p>
    <w:p w:rsidR="00000000" w:rsidRDefault="00000000"/>
    <w:p w:rsidR="00000000" w:rsidRDefault="00000000">
      <w:r>
        <w:t>530.</w:t>
      </w:r>
      <w:r>
        <w:tab/>
        <w:t xml:space="preserve">Вознаграждение является справедливым, если оно соответствует ценности выполненной работы.  Работа оценивается в соответствии с законодательством и коллективными соглашениями, в которых для этой цели используются главным образом следующие элементы:  цена работы, результаты работы и затраченное на работу время.  Таким образом, стоимость труда определяется в соответствии с коллективным соглашением в отношении труда на определенных рабочих местах и результатами согласно установленным нормам, стандартам и иным количественным и качественным характеристикам, на основе которых измеряются результаты работы.  Минимальная стоимость труда (минимальный размер заработной платы) за работу в течение полного рабочего дня, т.е. за определенный объем работы при установленных результатах работы, не должна быть ниже установленного в законодательстве вознаграждения за самую неквалифицированную работу.  </w:t>
      </w:r>
    </w:p>
    <w:p w:rsidR="00000000" w:rsidRDefault="00000000"/>
    <w:p w:rsidR="00000000" w:rsidRDefault="00000000">
      <w:r>
        <w:t>531.</w:t>
      </w:r>
      <w:r>
        <w:tab/>
        <w:t xml:space="preserve">Общее коллективное соглашение содержит руководящие принципы приведения этой сложной процедуры в соответствие с положениями Методологии определения минимальной стоимости труда, которая является составной частью коллективного соглашения. </w:t>
      </w:r>
    </w:p>
    <w:p w:rsidR="00000000" w:rsidRDefault="00000000"/>
    <w:p w:rsidR="00000000" w:rsidRDefault="00000000">
      <w:pPr>
        <w:keepLines/>
      </w:pPr>
      <w:r>
        <w:t>532.</w:t>
      </w:r>
      <w:r>
        <w:tab/>
        <w:t>Минимальная стоимость труда (минимальный размер заработной платы) определяется на основе следующих факторов:  потребностей работников и их семей, общего уровня заработной платы, объема расходов на проживание и соответствующего уровня жизни других социальных групп, а также ряда экономических факторов.</w:t>
      </w:r>
    </w:p>
    <w:p w:rsidR="00000000" w:rsidRDefault="00000000"/>
    <w:p w:rsidR="00000000" w:rsidRDefault="00000000">
      <w:r>
        <w:t>533.</w:t>
      </w:r>
      <w:r>
        <w:tab/>
        <w:t>Минимальный размер оплаты труда за каждый месяц устанавливается в ходе трехсторонних переговоров специальной группой переговорщиков, которая включает представителей правительства Черногории, Палаты экономики и Конфедерации независимых профессиональных союзов Черногории.</w:t>
      </w:r>
    </w:p>
    <w:p w:rsidR="00000000" w:rsidRDefault="00000000"/>
    <w:p w:rsidR="00000000" w:rsidRDefault="00000000">
      <w:r>
        <w:t>534.</w:t>
      </w:r>
      <w:r>
        <w:tab/>
        <w:t>Базовая цена работы определяется путем умножения минимальной стоимости труда (минимального размера оплаты труда) за наименее квалифицированную работу на определенный коэффициент, зависящий от типа работы, которая была произведена в соответствии с уровнем квалификации, необходимым для выполнения данной работы.  Цена конкретной работы определяется в коллективном соглашении для работодателя (пункт 1 статьи 75 Закона об основах трудовых отношений) на основе стоимости труда для наименее квалифицированной работы и базовой цены работы, определенной с учетом уровня необходимой квалификации и в зависимости от сложности решаемых задач, степени ответственности и условий работы.  Такая цена не может быть меньше цены труда, установленной в общем коллективном соглашении или отраслевых коллективных соглашениях.  В исключительных случаях, когда дела у работодателей идут плохо, в коллективном соглашении может быть оговорено, что цена за определенную работу может быть на 20% ниже цены, указанной в коллективном соглашении.</w:t>
      </w:r>
    </w:p>
    <w:p w:rsidR="00000000" w:rsidRDefault="00000000"/>
    <w:p w:rsidR="00000000" w:rsidRDefault="00000000">
      <w:r>
        <w:t>535.</w:t>
      </w:r>
      <w:r>
        <w:tab/>
        <w:t>Основная цель установления размера минимальной оплаты труда состояла в необходимости обеспечения минимального уровня социальной и материальной защиты трудящихся и членов их семей.  Минимальный размер оплаты труда устанавливается в соответствии с указанной выше процедурой и действует применительно ко всем работникам в промышленности и административных органах.</w:t>
      </w:r>
    </w:p>
    <w:p w:rsidR="00000000" w:rsidRDefault="00000000"/>
    <w:p w:rsidR="00000000" w:rsidRDefault="00000000">
      <w:r>
        <w:t>536.</w:t>
      </w:r>
      <w:r>
        <w:tab/>
        <w:t>Размер минимальной оплаты труда прежде всего зависит от определенных экономических показателей и возможности работодателя выплачивать заработную плату определенного уровня, которая в свою очередь зависит от достигнутых в течение последних трех месяцев производственных результатов и возможности работодателя обеспечить регулярную выплату определенной заработной платы всем работникам.</w:t>
      </w:r>
    </w:p>
    <w:p w:rsidR="00000000" w:rsidRDefault="00000000"/>
    <w:p w:rsidR="00000000" w:rsidRDefault="00000000">
      <w:r>
        <w:t>537.</w:t>
      </w:r>
      <w:r>
        <w:tab/>
        <w:t>Основными необходимыми условиями для повышения минимального размера заработной платы являются:  более чем 50-процентное увеличение базовой стоимости жизни для семьи из четырех человек, позитивные тенденции в промышленности, возможность работодателя обеспечивать регулярную выплату заработной платы определенного уровня.</w:t>
      </w:r>
    </w:p>
    <w:p w:rsidR="00000000" w:rsidRDefault="00000000"/>
    <w:p w:rsidR="00000000" w:rsidRDefault="00000000">
      <w:r>
        <w:t>538.</w:t>
      </w:r>
      <w:r>
        <w:tab/>
        <w:t>Вместе с тем в случае неплатежеспособности работодателя в течение определенного периода и невозможности регулярной выплаты заработной платы работникам последние могут претендовать на получение гарантированного заработка, размер которого составляет 65% от установленной минимальной цены работы за определенный месяц в соответствии с Правилами о заработной плате, пособиях и других заработках трудящихся в Республике Черногории.</w:t>
      </w:r>
    </w:p>
    <w:p w:rsidR="00000000" w:rsidRDefault="00000000"/>
    <w:p w:rsidR="00000000" w:rsidRDefault="00000000">
      <w:r>
        <w:t>539.</w:t>
      </w:r>
      <w:r>
        <w:tab/>
        <w:t>Решение о выплате гарантированной заработной платы принимается компетентным органом.  Гарантированная заработная плата может выплачиваться не более трех месяцев в течение одного года.  После прекращения хозяйственной деятельности и принятия в связи с этим решения о выплате гарантированной заработной платы в консультациях по данной процедуре в обязательном порядке участвуют профессиональные союзы.  Несколько последних лет были исключительно сложным периодом для предприятий, действующих в условиях экономической системы Республики (санкции, уровень благосостояния в сопредельном районе и т.д.).  На фоне постоянной неплатежеспособности задержка по выплате заработной платы на этих предприятиях составляет до нескольких месяцев.  К другим причинам такого положения относится и то, что если тот или иной работодатель должен выплатить гарантированную заработную плату за трехмесячный месячный период, то это может быть сделано только с санкции соответствующего профильного министерства.</w:t>
      </w:r>
    </w:p>
    <w:p w:rsidR="00000000" w:rsidRDefault="00000000"/>
    <w:p w:rsidR="00000000" w:rsidRDefault="00000000">
      <w:r>
        <w:t>540.</w:t>
      </w:r>
      <w:r>
        <w:tab/>
        <w:t>В период 1999-2002 годов некоторые работодатели весьма часто не могли выплачивать гарантированную заработную плату в установленном порядке, и для решения этой серьезной проблемы правительство Республики Черногории выделяло значительные финансовые средства.  Лишь за 2001 и 2002 годы из бюджета на эти цели было выделено около 8 млн. евро.</w:t>
      </w:r>
    </w:p>
    <w:p w:rsidR="00000000" w:rsidRDefault="00000000"/>
    <w:p w:rsidR="00000000" w:rsidRDefault="00000000">
      <w:r>
        <w:t>541.</w:t>
      </w:r>
      <w:r>
        <w:tab/>
        <w:t>Наряду с этим работники имеют право на получение заработной платы в объеме, предусмотренном в коллективных соглашениях, за праздничные и выходные дни, в период оплачиваемого отпуска, прохождения военных сборов, работы в некоторых государственных учреждениях и других случаях, предусмотренных в законодательстве и коллективном соглашении.</w:t>
      </w:r>
    </w:p>
    <w:p w:rsidR="00000000" w:rsidRDefault="00000000"/>
    <w:p w:rsidR="00000000" w:rsidRDefault="00000000">
      <w:r>
        <w:t>542.</w:t>
      </w:r>
      <w:r>
        <w:tab/>
        <w:t xml:space="preserve">Работники имеют право на получение дополнительного вознаграждения за работу в выходные и праздничные дни, сверхурочную работу, работу в ночное время, а также в случаях, предусмотренных в законодательстве и трудовом соглашении.  </w:t>
      </w:r>
    </w:p>
    <w:p w:rsidR="00000000" w:rsidRDefault="00000000"/>
    <w:p w:rsidR="00000000" w:rsidRDefault="00000000">
      <w:r>
        <w:t>543.</w:t>
      </w:r>
      <w:r>
        <w:tab/>
        <w:t>Работники также имеют право на получение других видов вознаграждения, связанных с работой, включая:  отпускное пособие, пособие на питание и пособие на проезд, а также иные пособия, предусмотренные в законодательстве и коллективном соглашении.  К иным видам вознаграждения относятся:  премия за изобретение, премия за рационализаторское предложение и премии за иные виды новаторской деятельности, премии в связи с юбилеями, пособия по социальной помощи, суточные, командировочные и пенсионные выплаты.</w:t>
      </w:r>
    </w:p>
    <w:p w:rsidR="00000000" w:rsidRDefault="00000000"/>
    <w:p w:rsidR="00000000" w:rsidRDefault="00000000">
      <w:pPr>
        <w:rPr>
          <w:b/>
          <w:bCs/>
        </w:rPr>
      </w:pPr>
      <w:r>
        <w:rPr>
          <w:b/>
          <w:bCs/>
        </w:rPr>
        <w:t xml:space="preserve">Пункт 1 </w:t>
      </w:r>
      <w:r>
        <w:rPr>
          <w:b/>
          <w:bCs/>
          <w:lang w:val="en-US"/>
        </w:rPr>
        <w:t>b</w:t>
      </w:r>
      <w:r>
        <w:rPr>
          <w:b/>
          <w:bCs/>
        </w:rPr>
        <w:t>)</w:t>
      </w:r>
    </w:p>
    <w:p w:rsidR="00000000" w:rsidRDefault="00000000">
      <w:pPr>
        <w:rPr>
          <w:b/>
          <w:bCs/>
        </w:rPr>
      </w:pPr>
    </w:p>
    <w:p w:rsidR="00000000" w:rsidRDefault="00000000">
      <w:r>
        <w:t>544.</w:t>
      </w:r>
      <w:r>
        <w:tab/>
        <w:t>Исходя из конституционного права каждого на труд, провозглашенного в статье 52 Конституции Республики Черногории, и положений статьи 53, которая, помимо других прав, закрепляет за трудящимися право на защиту в сфере труда и благоприятные условия труда, права трудящихся на защиту в сфере труда никогда не оспаривались даже в условиях существовавшей ранее системы.  Они опирались на международные нормы защиты в сфере труда.  Гармонизация норм защиты в сфере труда осуществляется в рамках открытого процесса, что позволяет совершенствовать режим защиты.  Этот процесс диктует необходимость постоянного отслеживания деятельности международных организаций и учреждений в этой области.  Помимо других функций он имеет целью обеспечить безопасные и здоровые условия труда.</w:t>
      </w:r>
    </w:p>
    <w:p w:rsidR="00000000" w:rsidRDefault="00000000"/>
    <w:p w:rsidR="00000000" w:rsidRDefault="00000000">
      <w:r>
        <w:t>545.</w:t>
      </w:r>
      <w:r>
        <w:tab/>
        <w:t>Работники осуществляют свое право на защиту и безопасность в сфере труда в соответствии с Законом о защите в сфере труда, положениями коллективных соглашений, установленными нормами и стандартами защиты в сфере труда, нормативными актами, принятыми работодателями или иными юридическими или физическими лицами, руководителями государственных ведомств или местными органами власти.</w:t>
      </w:r>
    </w:p>
    <w:p w:rsidR="00000000" w:rsidRDefault="00000000"/>
    <w:p w:rsidR="00000000" w:rsidRDefault="00000000">
      <w:r>
        <w:t>546.</w:t>
      </w:r>
      <w:r>
        <w:tab/>
        <w:t>Защита в сфере труда реализуется работодателем, а также компетентным государственным органом или органом местной власти, если каким-либо другим законом не устанавливается иное.  В основе системы защиты в сфере труда лежит императивный характер установленных норм, которые никогда не снимают ответственности с лиц, не обеспечивающих безопасность труда.  Работники, которые должны пользоваться спецодеждой, также не освобождаются от исполнения их прав и обязанностей.</w:t>
      </w:r>
    </w:p>
    <w:p w:rsidR="00000000" w:rsidRDefault="00000000"/>
    <w:p w:rsidR="00000000" w:rsidRDefault="00000000">
      <w:r>
        <w:t>547.</w:t>
      </w:r>
      <w:r>
        <w:tab/>
        <w:t>Защита в сфере труда является составной частью организации работы и трудового процесса.  Безопасность труда, здоровые условия труда и охрана окружающей среды от загрязнения в результате производственно-технологических процессов обеспечиваются с помощью комплекса мер, инструментов и мероприятий, направленных на предупреждение любых вредных воздействий на здоровье, производственного травматизма и профессиональных заболеваний.  Наряду с соответствующим законодательством имеются многочисленные подзаконные акты (инструкции по его применению), в которых более подробно раскрываются конкретные элементы защиты в сфере труда.</w:t>
      </w:r>
    </w:p>
    <w:p w:rsidR="00000000" w:rsidRDefault="00000000"/>
    <w:p w:rsidR="00000000" w:rsidRDefault="00000000">
      <w:r>
        <w:t>548.</w:t>
      </w:r>
      <w:r>
        <w:tab/>
        <w:t>Работодатели, на предприятиях которых в производственном процессе используются определенные инструменты, в зависимости от базового характера работы, обязаны осуществлять их контроль и проверку в сроки, предусмотренные их изготовителями, а также в технических нормах и правилах, касающихся обеспечения техники безопасности.</w:t>
      </w:r>
    </w:p>
    <w:p w:rsidR="00000000" w:rsidRDefault="00000000"/>
    <w:p w:rsidR="00000000" w:rsidRDefault="00000000">
      <w:r>
        <w:t>549.</w:t>
      </w:r>
      <w:r>
        <w:tab/>
        <w:t>Работодателям вменяется в обязанность сбор и хранение данных в области безопасности труда в соответствии с правилами, регламентирующими защиту в сфере труда.  При невыполнении работодателем требования в отношении сбора и хранения указанных данных (о работниках, выполняющих особенно трудную работу или работающих в особенно тяжелых условиях, в связи с чем они должны регулярно проходить медицинское освидетельствование, о производственных травмах, о профессиональных заболеваниях, о получивших инвалидность работниках по категориям инвалидности или по опасным материалам, и т.д.) применяются жесткие правовые санкции.  Контроль за соблюдением установленных норм защиты осуществляется компетентным надзорным органом, ведающим вопросами защиты в сфере труда.</w:t>
      </w:r>
    </w:p>
    <w:p w:rsidR="00000000" w:rsidRDefault="00000000"/>
    <w:p w:rsidR="00000000" w:rsidRDefault="00000000">
      <w:r>
        <w:t>550.</w:t>
      </w:r>
      <w:r>
        <w:tab/>
        <w:t xml:space="preserve">Наряду с этим, работник обязан выполнять предписанные меры техники безопасности, и при отсутствии мер защиты работник имеет право отказаться от выполнения работы, если он полагает, что несоблюдение требований техники безопасности непосредственно угрожает его жизни и здоровью.  Если работник отказывается от выполнения работы на этих основаниях, работодатель не имеет права наказывать работника или аннулировать заключенный с ним договор.  </w:t>
      </w:r>
    </w:p>
    <w:p w:rsidR="00000000" w:rsidRDefault="00000000"/>
    <w:p w:rsidR="00000000" w:rsidRDefault="00000000">
      <w:r>
        <w:t>551.</w:t>
      </w:r>
      <w:r>
        <w:tab/>
        <w:t>На компетентные подразделения трудовой инспекции в сотрудничестве с Фондом медицинского страхования Черногории возлагается обязанность сбора и хранения данных о производственном травматизме и профессиональных заболеваниях.  Система сбора таких данных существовала до 1990 года.  С началом переходного процесса в нашей стране это взаимодействие было нарушено, вследствие чего достоверных ежегодных данных о количестве производственных травм и профессиональных заболеваниях за последние десять лет не имеется.</w:t>
      </w:r>
    </w:p>
    <w:p w:rsidR="00000000" w:rsidRDefault="00000000"/>
    <w:p w:rsidR="00000000" w:rsidRDefault="00000000">
      <w:pPr>
        <w:keepLines/>
      </w:pPr>
      <w:r>
        <w:t>552.</w:t>
      </w:r>
      <w:r>
        <w:tab/>
        <w:t>Согласно результатам инспекций за ранее указанный период, несчастные случаи на производстве со смертельным исходом имели место на предприятии "Черногорская энергосеть", и в соответствии с имеющимися данными за 1990-2002 годы в десяти случаях причиной смерти стал удар электрическим током, а в трех случаях - физические травмы, причиненные гидравлическим и термоэлектрическим оборудованием.</w:t>
      </w:r>
    </w:p>
    <w:p w:rsidR="00000000" w:rsidRDefault="00000000"/>
    <w:p w:rsidR="00000000" w:rsidRDefault="00000000">
      <w:pPr>
        <w:rPr>
          <w:b/>
          <w:bCs/>
        </w:rPr>
      </w:pPr>
      <w:r>
        <w:rPr>
          <w:b/>
          <w:bCs/>
        </w:rPr>
        <w:t>Пункт 1 с)</w:t>
      </w:r>
    </w:p>
    <w:p w:rsidR="00000000" w:rsidRDefault="00000000">
      <w:pPr>
        <w:rPr>
          <w:b/>
          <w:bCs/>
        </w:rPr>
      </w:pPr>
    </w:p>
    <w:p w:rsidR="00000000" w:rsidRDefault="00000000">
      <w:r>
        <w:t>553.</w:t>
      </w:r>
      <w:r>
        <w:tab/>
        <w:t>С учетом гарантий свободы выбора профессии и работы, равенства граждан в области выбора занятий, а также запрещения принудительного труда каждому гражданину гарантируется право свободного принятия решения в отношении выбора занятий и работы на условиях, оговоренных в законодательстве.  Таким образом, занятость является добровольным правом, и никто не может быть принужден к труду.  Занятость представляет собой двусторонние правовые взаимоотношения, поскольку в ней участвуют два юридических лица:  работник и работодатель.  В рыночной концепции трудовых отношений трудоустройство базируется на договоре между работником и работодателем, посредством которого работодатель нанимает работника и использует его знания и опыт для получения прибыли.  С другой стороны, работник в целях получения вознаграждения предоставляет свои знания и умения в распоряжение работодателя, условия труда у которого не могут быть менее благоприятными, чем условия, оговоренные в законодательстве и коллективном соглашении.</w:t>
      </w:r>
    </w:p>
    <w:p w:rsidR="00000000" w:rsidRDefault="00000000"/>
    <w:p w:rsidR="00000000" w:rsidRDefault="00000000">
      <w:r>
        <w:t>554.</w:t>
      </w:r>
      <w:r>
        <w:tab/>
        <w:t>Права, обязанности и ответственность в связи с занятостью охватывают следующие элементы:  заключение договора на трудоустройство, назначение на работу/должность, соответствующую аналогичному уровню профессиональной квалификации для цели выполнения аналогичной работы, повышение уровня квалификации, нормирование рабочего времени, ежегодный отпуск и продолжительность времени отсутствия на работе, безопасность на рабочем месте, обеспечение социальной защиты в случае увольнения, заработная плата, другие виды вознаграждения, дисциплинарная и финансовая ответственность, прекращение занятости и защита прав работников.</w:t>
      </w:r>
    </w:p>
    <w:p w:rsidR="00000000" w:rsidRDefault="00000000"/>
    <w:p w:rsidR="00000000" w:rsidRDefault="00000000">
      <w:r>
        <w:t>555.</w:t>
      </w:r>
      <w:r>
        <w:tab/>
        <w:t>Права, обязательства и ответственность в сфере труда охватывают медицинское обслуживание, пенсионное страхование и страхование инвалидов, а также иные формы социального страхования.</w:t>
      </w:r>
    </w:p>
    <w:p w:rsidR="00000000" w:rsidRDefault="00000000"/>
    <w:p w:rsidR="00000000" w:rsidRDefault="00000000">
      <w:r>
        <w:t>556.</w:t>
      </w:r>
      <w:r>
        <w:tab/>
        <w:t>Из указанного выше следует, что сама работа определяет качество трудовых отношений между работником и работодателем, при этом условия труда могут быть улучшены или оставаться без изменения в течение определенного или неопределенного периода времени, указываемого в трудовом контракте, который заключается между сторонами, участвующими в трудовых отношениях.</w:t>
      </w:r>
    </w:p>
    <w:p w:rsidR="00000000" w:rsidRDefault="00000000"/>
    <w:p w:rsidR="00000000" w:rsidRDefault="00000000">
      <w:r>
        <w:t>557.</w:t>
      </w:r>
      <w:r>
        <w:tab/>
        <w:t>Таким образом, если в законодательстве не предусмотрено иное, неработающее лицо не получает заработной платы и не пользуется какими-либо иными правами, вытекающими из занятости.</w:t>
      </w:r>
    </w:p>
    <w:p w:rsidR="00000000" w:rsidRDefault="00000000"/>
    <w:p w:rsidR="00000000" w:rsidRDefault="00000000">
      <w:pPr>
        <w:pStyle w:val="Heading1"/>
        <w:rPr>
          <w:bCs/>
        </w:rPr>
      </w:pPr>
      <w:r>
        <w:rPr>
          <w:bCs/>
        </w:rPr>
        <w:t xml:space="preserve">Пункт 1 </w:t>
      </w:r>
      <w:proofErr w:type="spellStart"/>
      <w:r>
        <w:rPr>
          <w:bCs/>
        </w:rPr>
        <w:t>d</w:t>
      </w:r>
      <w:proofErr w:type="spellEnd"/>
      <w:r>
        <w:rPr>
          <w:bCs/>
        </w:rPr>
        <w:t>)</w:t>
      </w:r>
    </w:p>
    <w:p w:rsidR="00000000" w:rsidRDefault="00000000">
      <w:pPr>
        <w:pStyle w:val="Heading1"/>
        <w:rPr>
          <w:b w:val="0"/>
        </w:rPr>
      </w:pPr>
    </w:p>
    <w:p w:rsidR="00000000" w:rsidRDefault="00000000">
      <w:r>
        <w:t>558.</w:t>
      </w:r>
      <w:r>
        <w:tab/>
        <w:t>В положениях Конституции Республики Черногории и Закона о труде работникам предоставляется право на нормированное рабочее время, продолжительность которого составляет 40 часов в неделю.  Рабочее время может быть полным, неполным, сокращенным или продленным по сравнению с полным рабочим временем в случаях, предусмотренных в законодательстве, а также при перераспределении общего числа рабочих часов из расчета за год в рамках некоторых видов профессиональной деятельности.</w:t>
      </w:r>
    </w:p>
    <w:p w:rsidR="00000000" w:rsidRDefault="00000000"/>
    <w:p w:rsidR="00000000" w:rsidRDefault="00000000">
      <w:r>
        <w:t>559.</w:t>
      </w:r>
      <w:r>
        <w:tab/>
        <w:t>Законодательство предусматривает право на перерывы в работе и отпуск.  Трудящиеся в течение рабочего дня имеют право на 30-минутный перерыв, который не может использоваться в самом начале или в самом конце рабочего дня, право на ежедневный отдых между двумя последовательными рабочими днями продолжительностью не менее 12 часов подряд, право на еженедельный отдых продолжительностью не менее 24 часов подряд, а также право на ежегодный отпуск.</w:t>
      </w:r>
    </w:p>
    <w:p w:rsidR="00000000" w:rsidRDefault="00000000"/>
    <w:p w:rsidR="00000000" w:rsidRDefault="00000000">
      <w:r>
        <w:t>560.</w:t>
      </w:r>
      <w:r>
        <w:tab/>
        <w:t>Трудящиеся не могут отказаться от своего права на все виды перерывов в работе и отпуск и не могут быть лишены этого права работодателем.</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r>
        <w:t>561.</w:t>
      </w:r>
      <w:r>
        <w:tab/>
        <w:t xml:space="preserve">Гражданам гарантируется свобода создания политических, профсоюзных и других ассоциаций и осуществления соответствующей деятельности.  </w:t>
      </w:r>
    </w:p>
    <w:p w:rsidR="00000000" w:rsidRDefault="00000000"/>
    <w:p w:rsidR="00000000" w:rsidRDefault="00000000">
      <w:r>
        <w:t>562.</w:t>
      </w:r>
      <w:r>
        <w:tab/>
        <w:t xml:space="preserve">Профессиональные союзы создаются на основе принципа свободы ассоциации, гарантированной в статье 40 Конституции Республики Черногории;  они создаются для цели защиты прав и поощрения профессиональных и экономических интересов их членов.  Членами профессиональных союзов являются трудящиеся и, таким образом, эти организации являются организациями трудящихся, в которые они вступают, руководствуясь чувством солидарности.  Профессиональные союзы основаны на принципе плюрализма, вследствие чего может параллельно существовать несколько профессиональных союзов.  Профессиональные союзы являются независимыми организациями.  Они выступают в роли юридических лиц и имеют свои уставы, органы и собственность.  Для создания ассоциации от трудящихся не требуется наличия какого-либо разрешения, однако такие ассоциации должны быть зарегистрированы как организации в компетентных органах.  Профсоюзные свободы и защита профсоюзных прав ассоциаций и возможность ведения переговоров в целях заключения коллективного соглашения закреплены в законодательстве о труде, положения которого соответствуют нормам соответствующих конвенций МОТ (Конвенция № 87 о свободе объединений и защите права объединяться в профсоюзы (1948 год ) и Конвенция № 98 о применении принципов права на объединение в профсоюзы и на ведение коллективных переговоров (1949 год)).  </w:t>
      </w:r>
    </w:p>
    <w:p w:rsidR="00000000" w:rsidRDefault="00000000"/>
    <w:p w:rsidR="00000000" w:rsidRDefault="00000000">
      <w:r>
        <w:t>563.</w:t>
      </w:r>
      <w:r>
        <w:tab/>
        <w:t xml:space="preserve">Работодатель обязан обеспечить представителю профессионального союза возможность участия в процедуре определения прав, обязанностей и ответственности трудящихся, вытекающих из положений законодательства и коллективного соглашения.  </w:t>
      </w:r>
    </w:p>
    <w:p w:rsidR="00000000" w:rsidRDefault="00000000"/>
    <w:p w:rsidR="00000000" w:rsidRDefault="00000000">
      <w:r>
        <w:t>564.</w:t>
      </w:r>
      <w:r>
        <w:tab/>
        <w:t>Представитель профсоюза принимает участие в защите прав уволенных работников, подготовке решения об увольнении, дисциплинарных процедурах, процедурах заключения, исправления или прекращения трудового соглашения, организации забастовок в соответствии с законодательством и т.д.</w:t>
      </w:r>
    </w:p>
    <w:p w:rsidR="00000000" w:rsidRDefault="00000000"/>
    <w:p w:rsidR="00000000" w:rsidRDefault="00000000">
      <w:r>
        <w:t>565.</w:t>
      </w:r>
      <w:r>
        <w:tab/>
        <w:t xml:space="preserve">Представитель профсоюза не может привлекаться к ответственности или ставиться в менее выгодное положение в связи с его профсоюзной деятельностью, если она осуществляется в соответствии с положениями законодательства и коллективного соглашения.  Международная организация труда защищает представителей профсоюзов посредством Конвенции № 135 о защите прав представителей работников на предприятии и предоставляемых им возможностях (1971 год) таким же образом, как и представителей работников, поскольку они представляют индивидуальные и коллективные интересы работников, чьи интересы уважаются в нашем законодательстве.  Таким образом, защита представителей профессионального союза касается только сферы его профсоюзной деятельности.  </w:t>
      </w:r>
    </w:p>
    <w:p w:rsidR="00000000" w:rsidRDefault="00000000"/>
    <w:p w:rsidR="00000000" w:rsidRDefault="00000000">
      <w:pPr>
        <w:rPr>
          <w:b/>
          <w:bCs/>
        </w:rPr>
      </w:pPr>
      <w:r>
        <w:rPr>
          <w:b/>
          <w:bCs/>
        </w:rPr>
        <w:t>Пункт 2</w:t>
      </w:r>
    </w:p>
    <w:p w:rsidR="00000000" w:rsidRDefault="00000000">
      <w:pPr>
        <w:rPr>
          <w:b/>
          <w:bCs/>
        </w:rPr>
      </w:pPr>
    </w:p>
    <w:p w:rsidR="00000000" w:rsidRDefault="00000000">
      <w:r>
        <w:t>566.</w:t>
      </w:r>
      <w:r>
        <w:tab/>
        <w:t xml:space="preserve">Согласно конституционным обязательствам нашей страны, международным нормам и обязательствам, принятым в результате ратификации Международного пакта об экономических, социальных и культурных правах и Конвенция МОТ № 87 о свободе объединений и защите права объединяться в профсоюзы (1948 год), работники имеют право на организацию забастовки в целях защиты их профессиональных и экономических интересов.  </w:t>
      </w:r>
    </w:p>
    <w:p w:rsidR="00000000" w:rsidRDefault="00000000"/>
    <w:p w:rsidR="00000000" w:rsidRDefault="00000000">
      <w:r>
        <w:t>567.</w:t>
      </w:r>
      <w:r>
        <w:tab/>
        <w:t xml:space="preserve">Решение о начале забастовки принимает профессиональный союз как организация, отстаивающая интересы трудящихся, поскольку смысл существования и деятельности этой организации состоит в обеспечении защиты прав и интересов работников.  </w:t>
      </w:r>
    </w:p>
    <w:p w:rsidR="00000000" w:rsidRDefault="00000000"/>
    <w:p w:rsidR="00000000" w:rsidRDefault="00000000">
      <w:r>
        <w:t>568.</w:t>
      </w:r>
      <w:r>
        <w:tab/>
        <w:t xml:space="preserve">Вопросы, касающиеся проведения забастовок, в национальном законодательстве регулируются на основе федерального Закона о забастовках.  В этом Законе устанавливается, что забастовка представляет собой организованное прекращение работы трудящимися в целях защиты их профессиональных и экономических интересов в сфере труда.  В этом правовом определении проводится четкое отличие забастовки как инструмента выражения трудящимися своего мнения и защиты ими профессиональных и экономических интересов в сфере труда от иных форм организованных протестов, направленных на защиту интересов в сфере политической жизни, права граждан на защиту которых также гарантируются в нашей Конституции.  </w:t>
      </w:r>
    </w:p>
    <w:p w:rsidR="00000000" w:rsidRDefault="00000000"/>
    <w:p w:rsidR="00000000" w:rsidRDefault="00000000">
      <w:r>
        <w:t>569.</w:t>
      </w:r>
      <w:r>
        <w:tab/>
        <w:t xml:space="preserve">Условия осуществления права на забастовку включают принятие решения о проведении забастовки, создание забастовочного комитета, уведомление о проведении забастовки, определение места сбора для начала забастовки, если забастовка будет проходить в форме собрания работников, попытка достижения соглашения путем переговоров и обеспечение защиты людей и собственности в ходе забастовки.  За исключением особо оговоренных в законодательстве случаев, указанные положения являются общими условиями, которые действуют применительно к забастовкам всех типов.  </w:t>
      </w:r>
    </w:p>
    <w:p w:rsidR="00000000" w:rsidRDefault="00000000"/>
    <w:p w:rsidR="00000000" w:rsidRDefault="00000000">
      <w:r>
        <w:t>570.</w:t>
      </w:r>
      <w:r>
        <w:tab/>
        <w:t>При проведении забастовки работников в сферах, представляющих общественный интерес, должны быть обеспечены минимальный уровень обслуживания, безопасности людей и собственности, а также выполнение страной ее международных обязательств.</w:t>
      </w:r>
    </w:p>
    <w:p w:rsidR="00000000" w:rsidRDefault="00000000"/>
    <w:p w:rsidR="00000000" w:rsidRDefault="00000000">
      <w:r>
        <w:t>571.</w:t>
      </w:r>
      <w:r>
        <w:tab/>
        <w:t xml:space="preserve">В законодательстве определяются правовые последствия, которые забастовка, организованная и проведенная в соответствии с положениями законодательства, может иметь для работников, организаторов и участников забастовки.  Участники забастовки не могут быть привлечены к дисциплинарной и финансовой ответственности, а также не могут быть уволены на этом основании.  Работники, участвующие в забастовке, пользуются их основными правами в области занятости, за исключением права на получение заработной платы, при этом их право на пенсионное страхование и страхование по инвалидности определяется в других соответствующих законодательных положениях.  </w:t>
      </w:r>
    </w:p>
    <w:p w:rsidR="00000000" w:rsidRDefault="00000000"/>
    <w:p w:rsidR="00000000" w:rsidRDefault="00000000">
      <w:r>
        <w:t>572.</w:t>
      </w:r>
      <w:r>
        <w:tab/>
        <w:t xml:space="preserve">При организации забастовки с соблюдением условий, оговоренных в законодательстве, работодатель не имеет право нанимать других лиц для замены бастующих работников до принятия решения в отношении требования забастовщиков и до окончания забастовки по согласованию с забастовщиками или в соответствии с принятым им решением.  С учетом того, что право на проведение забастовки является неотъемлемым конституционным правом трудящихся, никто не может воспрепятствовать свободному осуществлению трудящимися их права, в особенности с применением силы.  </w:t>
      </w:r>
    </w:p>
    <w:p w:rsidR="00000000" w:rsidRDefault="00000000"/>
    <w:p w:rsidR="00000000" w:rsidRDefault="00000000">
      <w:r>
        <w:t>573.</w:t>
      </w:r>
      <w:r>
        <w:tab/>
        <w:t xml:space="preserve">Предусматривается возможность вмешательства компетентного государственного органа в целях защиты жизненных интересов государства и предупреждения таких последствий забастовки, которые могут поставить под непосредственную угрозу жизнь и здоровье людей, сохранность имущества, или привести к причинению непосредственного или невосполнимого ущерба.  </w:t>
      </w:r>
    </w:p>
    <w:p w:rsidR="00000000" w:rsidRDefault="00000000"/>
    <w:p w:rsidR="00000000" w:rsidRDefault="00000000">
      <w:r>
        <w:t>574.</w:t>
      </w:r>
      <w:r>
        <w:tab/>
        <w:t xml:space="preserve">В этой связи в положениях Конституции и законодательства запрещается осуществление права на забастовку работниками государственных органов, профессиональных военнослужащих и сотрудников полиции.  При организации или участии в забастовке указанных работников они могут быть подвергнуты санкциям и уволены с работы.  </w:t>
      </w:r>
    </w:p>
    <w:p w:rsidR="00000000" w:rsidRDefault="00000000"/>
    <w:p w:rsidR="00000000" w:rsidRDefault="00000000">
      <w:pPr>
        <w:rPr>
          <w:b/>
          <w:bCs/>
        </w:rPr>
      </w:pPr>
      <w:r>
        <w:rPr>
          <w:b/>
          <w:bCs/>
        </w:rPr>
        <w:t>Пункт 3</w:t>
      </w:r>
    </w:p>
    <w:p w:rsidR="00000000" w:rsidRDefault="00000000">
      <w:pPr>
        <w:rPr>
          <w:b/>
          <w:bCs/>
        </w:rPr>
      </w:pPr>
    </w:p>
    <w:p w:rsidR="00000000" w:rsidRDefault="00000000">
      <w:r>
        <w:t>575.</w:t>
      </w:r>
      <w:r>
        <w:tab/>
        <w:t xml:space="preserve">Союзная Республика Югославия ратифицировала 66 конвенций МОТ, из которых 65 вступили в силу.  На сегодняшний день они имеют обязательную силу для Государственного союза Сербии и Черногории.  Республика Черногория несет обязательства по соблюдению положений, закрепленных в этих конвенциях.  </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r>
        <w:t>576.</w:t>
      </w:r>
      <w:r>
        <w:tab/>
        <w:t xml:space="preserve">В нашей стране действуют следующие формы социального страхования:  пенсия по старости, пенсия по инвалидности, пенсия для находящихся на иждивении членов семьи в случае потери кормильца (семейное пособие) и пособия за производственные травмы.  </w:t>
      </w:r>
    </w:p>
    <w:p w:rsidR="00000000" w:rsidRDefault="00000000"/>
    <w:p w:rsidR="00000000" w:rsidRDefault="00000000">
      <w:pPr>
        <w:rPr>
          <w:b/>
          <w:bCs/>
        </w:rPr>
      </w:pPr>
      <w:r>
        <w:rPr>
          <w:b/>
          <w:bCs/>
        </w:rPr>
        <w:t>Пенсия по старости</w:t>
      </w:r>
    </w:p>
    <w:p w:rsidR="00000000" w:rsidRDefault="00000000">
      <w:pPr>
        <w:rPr>
          <w:b/>
          <w:bCs/>
        </w:rPr>
      </w:pPr>
    </w:p>
    <w:p w:rsidR="00000000" w:rsidRDefault="00000000">
      <w:r>
        <w:t>577.</w:t>
      </w:r>
      <w:r>
        <w:tab/>
        <w:t xml:space="preserve">Согласно положениям Закона об основах страхования пенсионеров и инвалидов (Официальный вестник, № 30/9), право на получение пенсии по старости получает застрахованное лицо при соблюдении ряда требований, касающихся возраста и срока участия в системе пенсионного страхования.  </w:t>
      </w:r>
    </w:p>
    <w:p w:rsidR="00000000" w:rsidRDefault="00000000"/>
    <w:p w:rsidR="00000000" w:rsidRDefault="00000000">
      <w:r>
        <w:t>578.</w:t>
      </w:r>
      <w:r>
        <w:tab/>
        <w:t>Право на получение пенсии по старости предоставляется лицу по достижении 60</w:t>
      </w:r>
      <w:r>
        <w:noBreakHyphen/>
        <w:t>летнего возраста (для мужчин) и 55-летнего возраста (для женщин) и при наличии не менее 20 лет участия в системе пенсионного страхования.</w:t>
      </w:r>
    </w:p>
    <w:p w:rsidR="00000000" w:rsidRDefault="00000000"/>
    <w:p w:rsidR="00000000" w:rsidRDefault="00000000">
      <w:r>
        <w:t>579.</w:t>
      </w:r>
      <w:r>
        <w:tab/>
        <w:t>В соответствии с положениями Конвенции МОТ № 102 о минимальных нормах социального обеспечения (1952 год) лица с менее чем 20-летним периодом участия в пенсионном фонде приобретают право на получение пенсии по старости по достижении 65-летнего возраста (для мужчин) и 60-летнего возраста (для женщин) при наличии не менее 15 лет трудового стажа.  Также предусматривается, что бенефициары могут приобрести право на получение пенсии по старости при наличии 40 лет (для мужчин) и 35 лет (для женщин) трудового стажа по достижении ими 50-летнего возраста.</w:t>
      </w:r>
    </w:p>
    <w:p w:rsidR="00000000" w:rsidRDefault="00000000"/>
    <w:p w:rsidR="00000000" w:rsidRDefault="00000000">
      <w:r>
        <w:t>580.</w:t>
      </w:r>
      <w:r>
        <w:tab/>
        <w:t>Размер пенсии по старости исчисляется на основе среднемесячной заработной платы или размера отчислений в пенсионный фонд в течение 10</w:t>
      </w:r>
      <w:r>
        <w:noBreakHyphen/>
        <w:t>летнего непрерывного периода, в зависимости от того, какой из этих двух показателей является более выгодным для бенефициара.</w:t>
      </w:r>
    </w:p>
    <w:p w:rsidR="00000000" w:rsidRDefault="00000000"/>
    <w:p w:rsidR="00000000" w:rsidRDefault="00000000">
      <w:r>
        <w:t>581.</w:t>
      </w:r>
      <w:r>
        <w:tab/>
        <w:t xml:space="preserve">Базовая ставка для выплаты отчислений в фонд пенсионного страхования и страхования по инвалидности для этой категории застрахованных лиц определяется исходя из размера заработной платы или иных форм заработка, которые бенефициар мог бы получить за работу со сниженной трудоспособностью на условиях и в размере, оговоренных в законодательстве, коллективном трудовом соглашении или страховых положениях. </w:t>
      </w:r>
    </w:p>
    <w:p w:rsidR="00000000" w:rsidRDefault="00000000"/>
    <w:p w:rsidR="00000000" w:rsidRDefault="00000000">
      <w:r>
        <w:t>582.</w:t>
      </w:r>
      <w:r>
        <w:tab/>
        <w:t>Базовая ставка пенсионных отчислений для работников сельского хозяйства устанавливается на уровне 50% от среднего чистого размера заработной платы в Республике за месяц, в течение которого производится выплата.</w:t>
      </w:r>
    </w:p>
    <w:p w:rsidR="00000000" w:rsidRDefault="00000000"/>
    <w:p w:rsidR="00000000" w:rsidRDefault="00000000">
      <w:r>
        <w:t>583.</w:t>
      </w:r>
      <w:r>
        <w:tab/>
        <w:t>Для бенефициара, занимающегося частным предпринимательством (кустарно</w:t>
      </w:r>
      <w:r>
        <w:noBreakHyphen/>
        <w:t>ремесленным производством) базовая пенсионная ставка исчисляется в соответствии с имеющимися данными и записями в соответствующих коммерческих реестрах как ежемесячная базовая ставка страхования.  Эта ставка рассчитывается на основе облагаемого налогом дохода в порядке, предусмотренном в правилах взимания подоходного налога.  Базовая ставка пенсионных отчислений для этой категории бенефициаров не может быть ниже троекратной минимальной оплаты труда в Республике за те месяцы, за которые производится выплата взноса, и не может превышать 15-кратный минимальный размер оплаты труда.</w:t>
      </w:r>
    </w:p>
    <w:p w:rsidR="00000000" w:rsidRDefault="00000000"/>
    <w:p w:rsidR="00000000" w:rsidRDefault="00000000">
      <w:pPr>
        <w:rPr>
          <w:b/>
          <w:bCs/>
        </w:rPr>
      </w:pPr>
      <w:r>
        <w:rPr>
          <w:b/>
          <w:bCs/>
        </w:rPr>
        <w:t>Пенсия по инвалидности</w:t>
      </w:r>
    </w:p>
    <w:p w:rsidR="00000000" w:rsidRDefault="00000000">
      <w:pPr>
        <w:rPr>
          <w:b/>
          <w:bCs/>
        </w:rPr>
      </w:pPr>
    </w:p>
    <w:p w:rsidR="00000000" w:rsidRDefault="00000000">
      <w:r>
        <w:t>584.</w:t>
      </w:r>
      <w:r>
        <w:tab/>
        <w:t xml:space="preserve">Условия приобретения права на получение пенсии по инвалидности несколько отличаются в зависимости от причины инвалидности.  В случаях, когда инвалидность была вызвана производственной травмой или профессиональным заболеванием, застрахованное лицо приобретает право на получение пенсии по инвалидности независимо от срока участия в пенсионном фонде.  Если инвалидность наступила в результате непроизводственной травмы или в результате какого-либо заболевания, то право на получение пенсии по инвалидности бенефициар получает лишь в том случае, если в течение одной трети периода своей трудовой деятельности он производил отчисления в пенсионный фонд. </w:t>
      </w:r>
    </w:p>
    <w:p w:rsidR="00000000" w:rsidRDefault="00000000"/>
    <w:p w:rsidR="00000000" w:rsidRDefault="00000000">
      <w:r>
        <w:t>585.</w:t>
      </w:r>
      <w:r>
        <w:tab/>
        <w:t>В целях защиты молодых бенефициаров, ставших инвалидами в результате непроизводственной травмы или заболевания до достижения 30</w:t>
      </w:r>
      <w:r>
        <w:noBreakHyphen/>
        <w:t>летнего возраста, право на получение пенсии по инвалидности предоставляется на весьма льготных условиях с точки зрения срока участия в пенсионном фонде.</w:t>
      </w:r>
    </w:p>
    <w:p w:rsidR="00000000" w:rsidRDefault="00000000"/>
    <w:p w:rsidR="00000000" w:rsidRDefault="00000000">
      <w:r>
        <w:t>586.</w:t>
      </w:r>
      <w:r>
        <w:tab/>
        <w:t>Размер пенсии по инвалидности исчисляется на основе базовой пенсионной ставки так же, как пенсия по старости.  В случае наступления инвалидности в результате производственной травмы или производственного заболевания размер пенсии по инвалидности составляет 85% базовой пенсионной ставки.</w:t>
      </w:r>
    </w:p>
    <w:p w:rsidR="00000000" w:rsidRDefault="00000000"/>
    <w:p w:rsidR="00000000" w:rsidRDefault="00000000">
      <w:r>
        <w:t>587.</w:t>
      </w:r>
      <w:r>
        <w:tab/>
        <w:t>Если инвалидность наступила в результате непроизводственной травмы или заболевания, размер пенсии по инвалидности определяется в зависимости от пола застрахованного лица, его возраста на момент наступления инвалидности, периода отчисления пенсионных взносов и процентного соотношения периода участия в пенсионном фонде к трудовому стажу, необходимому для выхода на пенсию.  Размер пенсии по инвалидности, как и пенсии по старости, составляет не более 85% от базовой пенсионной ставки.</w:t>
      </w:r>
    </w:p>
    <w:p w:rsidR="00000000" w:rsidRDefault="00000000"/>
    <w:p w:rsidR="00000000" w:rsidRDefault="00000000">
      <w:pPr>
        <w:rPr>
          <w:b/>
          <w:bCs/>
        </w:rPr>
      </w:pPr>
      <w:r>
        <w:rPr>
          <w:b/>
          <w:bCs/>
        </w:rPr>
        <w:t>Пенсия для находящихся на иждивении членов семьи в случае потери кормильца (семейное пособие)</w:t>
      </w:r>
    </w:p>
    <w:p w:rsidR="00000000" w:rsidRDefault="00000000">
      <w:pPr>
        <w:rPr>
          <w:b/>
          <w:bCs/>
        </w:rPr>
      </w:pPr>
    </w:p>
    <w:p w:rsidR="00000000" w:rsidRDefault="00000000">
      <w:r>
        <w:t>588.</w:t>
      </w:r>
      <w:r>
        <w:tab/>
        <w:t>В случае смерти застрахованного лица, т.е. бенефициара данного права, члены его семьи могут приобрести право на получение указанного пособия в том случае, если они удовлетворяют установленным в законодательстве критериям.  В Законе о страховании пенсионеров и инвалидов (Официальный вестник Союзной Республики Югославии, № 30/96) предусматриваются так называемые общие условия, необходимые для получения семейного пособия, т.е. условия, касающиеся умершего застрахованного лица и бенефициаров пенсионного пособия или пособия по инвалидности.</w:t>
      </w:r>
    </w:p>
    <w:p w:rsidR="00000000" w:rsidRDefault="00000000"/>
    <w:p w:rsidR="00000000" w:rsidRDefault="00000000">
      <w:r>
        <w:t>589.</w:t>
      </w:r>
      <w:r>
        <w:tab/>
        <w:t xml:space="preserve">В соответствии с обязательством, закрепленным в Конвенции МОТ № 102 о минимальных нормах социального обеспечения (1952 год), в качестве условия для получения данного пособия устанавливается минимальный трудовой стаж скончавшегося работника (пенсия по старости или инвалидности выплачивается при условии, если период отчисления страховых взносов составляет не менее пяти лет, а период отчисления пенсионных взносов </w:t>
      </w:r>
      <w:r>
        <w:noBreakHyphen/>
        <w:t xml:space="preserve"> не менее 10 лет).  </w:t>
      </w:r>
    </w:p>
    <w:p w:rsidR="00000000" w:rsidRDefault="00000000"/>
    <w:p w:rsidR="00000000" w:rsidRDefault="00000000">
      <w:r>
        <w:t>590.</w:t>
      </w:r>
      <w:r>
        <w:tab/>
        <w:t>Правом на получение семейного пособия в предусмотренном законодательством порядке могут пользоваться следующие члены семьи:</w:t>
      </w:r>
    </w:p>
    <w:p w:rsidR="00000000" w:rsidRDefault="00000000"/>
    <w:p w:rsidR="00000000" w:rsidRDefault="00000000">
      <w:pPr>
        <w:tabs>
          <w:tab w:val="clear" w:pos="567"/>
        </w:tabs>
        <w:ind w:left="1131" w:hanging="546"/>
      </w:pPr>
      <w:r>
        <w:t>-</w:t>
      </w:r>
      <w:r>
        <w:tab/>
        <w:t>супруг(а),  незаконнорожденные дети, дети, рожденные вне брака, усыновленные дети, приемные дети, внуки, братья, сестры и родители;  и</w:t>
      </w:r>
    </w:p>
    <w:p w:rsidR="00000000" w:rsidRDefault="00000000">
      <w:pPr>
        <w:tabs>
          <w:tab w:val="clear" w:pos="567"/>
        </w:tabs>
        <w:ind w:left="1131" w:hanging="546"/>
      </w:pPr>
    </w:p>
    <w:p w:rsidR="00000000" w:rsidRDefault="00000000">
      <w:pPr>
        <w:tabs>
          <w:tab w:val="clear" w:pos="567"/>
        </w:tabs>
        <w:ind w:left="1131" w:hanging="546"/>
      </w:pPr>
      <w:r>
        <w:t>-</w:t>
      </w:r>
      <w:r>
        <w:tab/>
        <w:t>бывший(</w:t>
      </w:r>
      <w:proofErr w:type="spellStart"/>
      <w:r>
        <w:t>ая</w:t>
      </w:r>
      <w:proofErr w:type="spellEnd"/>
      <w:r>
        <w:t xml:space="preserve">) супруг(а), если данное лицо по решению суда пользовалось правом на содержание со стороны умершего.  </w:t>
      </w:r>
    </w:p>
    <w:p w:rsidR="00000000" w:rsidRDefault="00000000"/>
    <w:p w:rsidR="00000000" w:rsidRDefault="00000000">
      <w:r>
        <w:t>591.</w:t>
      </w:r>
      <w:r>
        <w:tab/>
        <w:t xml:space="preserve">Размер семейного пособия исчисляется в виде процентной доли от пенсии по старости или по инвалидности, которую застрахованное лицо могло бы получать на момент смерти.  Размер пособия зависит от числа членов семьи, имеющих право на получение этого пособия.  </w:t>
      </w:r>
    </w:p>
    <w:p w:rsidR="00000000" w:rsidRDefault="00000000"/>
    <w:p w:rsidR="00000000" w:rsidRDefault="00000000">
      <w:pPr>
        <w:rPr>
          <w:b/>
          <w:bCs/>
        </w:rPr>
      </w:pPr>
      <w:r>
        <w:rPr>
          <w:b/>
          <w:bCs/>
        </w:rPr>
        <w:t>Пособие за производственные травмы</w:t>
      </w:r>
    </w:p>
    <w:p w:rsidR="00000000" w:rsidRDefault="00000000">
      <w:pPr>
        <w:rPr>
          <w:b/>
          <w:bCs/>
        </w:rPr>
      </w:pPr>
    </w:p>
    <w:p w:rsidR="00000000" w:rsidRDefault="00000000">
      <w:r>
        <w:t>592.</w:t>
      </w:r>
      <w:r>
        <w:tab/>
        <w:t>При получении застрахованным лицом тяжелых увечий на производстве или профессионального заболевания, когда степень тяжести повреждений составляет не менее 30%, указанное лицо может претендовать на получение данного пособия.</w:t>
      </w:r>
    </w:p>
    <w:p w:rsidR="00000000" w:rsidRDefault="00000000"/>
    <w:p w:rsidR="00000000" w:rsidRDefault="00000000">
      <w:r>
        <w:t>593.</w:t>
      </w:r>
      <w:r>
        <w:tab/>
        <w:t>Размер компенсации за телесные повреждения исчисляется в виде процентной доли от средней чистой заработной платы работников в Республике за предыдущий год и в зависимости от степени тяжести телесных повреждений в соответствии с законом.</w:t>
      </w:r>
    </w:p>
    <w:p w:rsidR="00000000" w:rsidRDefault="00000000"/>
    <w:p w:rsidR="00000000" w:rsidRDefault="00000000">
      <w:r>
        <w:t>594.</w:t>
      </w:r>
      <w:r>
        <w:tab/>
        <w:t xml:space="preserve">Принцип системы пенсионного страхования и страхования по инвалидности состоит в том, что относящиеся к данному страхованию права предоставляются на более благоприятных условиях и с увеличением размера пособия в том случае, если инвалидность наступила в результате производственной травмы или профессионального заболевания.  В таком случае члены семьи пользуются правом на получение семейного пособия вне зависимости от периода участия в пенсионном фонде скончавшегося застрахованного лица.  Кроме того, при наступлении инвалидности в результате производственной травмы или заболевания размер пенсии по инвалидности может составлять до </w:t>
      </w:r>
      <w:proofErr w:type="spellStart"/>
      <w:r>
        <w:t>85%</w:t>
      </w:r>
      <w:proofErr w:type="spellEnd"/>
      <w:r>
        <w:t>.</w:t>
      </w:r>
    </w:p>
    <w:p w:rsidR="00000000" w:rsidRDefault="00000000"/>
    <w:p w:rsidR="00000000" w:rsidRDefault="00000000">
      <w:r>
        <w:t>595.</w:t>
      </w:r>
      <w:r>
        <w:tab/>
        <w:t>В Черногории система пенсионного страхования и страхования по инвалидности опирается на принцип солидарности поколений, т.е. работающее поколение трудящихся за счет отчисления страховых взносов обеспечивает финансовые средства для выплаты пенсионных пособий.</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rPr>
          <w:b/>
          <w:bCs/>
        </w:rPr>
      </w:pPr>
      <w:r>
        <w:rPr>
          <w:b/>
          <w:bCs/>
        </w:rPr>
        <w:t>Пункты 1, 2 и 3</w:t>
      </w:r>
    </w:p>
    <w:p w:rsidR="00000000" w:rsidRDefault="00000000">
      <w:pPr>
        <w:rPr>
          <w:b/>
          <w:bCs/>
        </w:rPr>
      </w:pPr>
    </w:p>
    <w:p w:rsidR="00000000" w:rsidRDefault="00000000">
      <w:r>
        <w:t>596.</w:t>
      </w:r>
      <w:r>
        <w:tab/>
        <w:t>В Республике Черногории правовая защита семьи относится к сфере компетенции министерства труда и социального обеспечения и регулируется положениями Закона о семье (</w:t>
      </w:r>
      <w:r>
        <w:rPr>
          <w:i/>
          <w:iCs/>
        </w:rPr>
        <w:t>Официальный вестник Республики Черногории</w:t>
      </w:r>
      <w:r>
        <w:t>, № 7/89) и Закона о социальной защите детей (</w:t>
      </w:r>
      <w:r>
        <w:rPr>
          <w:i/>
          <w:iCs/>
        </w:rPr>
        <w:t>Официальный вестник Республики Черногории</w:t>
      </w:r>
      <w:r>
        <w:t>, № 48/93, 16/95 и 47/01), а также нормами и правилами, действующими в других областях (уголовное законодательство, трудовое законодательство и др.).</w:t>
      </w:r>
    </w:p>
    <w:p w:rsidR="00000000" w:rsidRDefault="00000000"/>
    <w:p w:rsidR="00000000" w:rsidRDefault="00000000">
      <w:r>
        <w:t>597.</w:t>
      </w:r>
      <w:r>
        <w:tab/>
        <w:t>Закон о семье регулирует правовые вопросы, касающиеся брака и семейных отношений, взаимоотношения между родителями и детьми, усыновления, опекунства, порядка выплаты алиментов, имущественных отношений в семье, порядка судебного разбирательства по делам, относящимся к брачным и семейным отношениям, а также некоторые формы социальной и правовой защиты семьи.</w:t>
      </w:r>
    </w:p>
    <w:p w:rsidR="00000000" w:rsidRDefault="00000000"/>
    <w:p w:rsidR="00000000" w:rsidRDefault="00000000">
      <w:r>
        <w:t>598.</w:t>
      </w:r>
      <w:r>
        <w:tab/>
        <w:t>Согласно положениям этого Закона, семья определяется как группа лиц, состоящая из родителей, детей и иных родственников, объединенных взаимными правами и обязанностями.</w:t>
      </w:r>
    </w:p>
    <w:p w:rsidR="00000000" w:rsidRDefault="00000000"/>
    <w:p w:rsidR="00000000" w:rsidRDefault="00000000">
      <w:r>
        <w:t>599.</w:t>
      </w:r>
      <w:r>
        <w:tab/>
        <w:t xml:space="preserve">Условия для надлежащего воспитания детей обеспечиваются за счет мер в сфере социальной защиты, здравоохранения и правовой защиты, системы воспитания, образования, информации, политики в области занятости, налоговой политики и других видов деятельности, направленных на обеспечение благосостояния семьи и ее членов.  </w:t>
      </w:r>
    </w:p>
    <w:p w:rsidR="00000000" w:rsidRDefault="00000000"/>
    <w:p w:rsidR="00000000" w:rsidRDefault="00000000">
      <w:r>
        <w:t>600.</w:t>
      </w:r>
      <w:r>
        <w:tab/>
        <w:t>В Законе о семье определяются права, обеспечивающие защиту интересов семьи и ее членов.  Одной из форм такой защиты является опекунство, которое обеспечивает особый режим защиты несовершеннолетних детей, лишенных родительской заботы, а также детей, которые достигли совершеннолетия, однако не способны самостоятельно заботиться о себе и отстаивать свои права и интересы.</w:t>
      </w:r>
    </w:p>
    <w:p w:rsidR="00000000" w:rsidRDefault="00000000"/>
    <w:p w:rsidR="00000000" w:rsidRDefault="00000000">
      <w:r>
        <w:t>601.</w:t>
      </w:r>
      <w:r>
        <w:tab/>
        <w:t xml:space="preserve">Усыновление представляет собой процедуру установления взаимоотношений между приемными родителями и усыновляемым ребенком в целях создания для усыновляемого ребенка таких же условий, в которых обычно живут дети в нормальной семье.  </w:t>
      </w:r>
    </w:p>
    <w:p w:rsidR="00000000" w:rsidRDefault="00000000"/>
    <w:p w:rsidR="00000000" w:rsidRDefault="00000000">
      <w:r>
        <w:t>602.</w:t>
      </w:r>
      <w:r>
        <w:tab/>
        <w:t xml:space="preserve">Обязательство в отношении содержания между родителями и другими родственниками, а также между супругами и внебрачными партнерами, также служит свидетельством семейной солидарности.  Размер содержания рассчитывается на основе потребностей находящегося на содержании лица с учетом материальных возможностей лица, обеспечивающего содержание.  </w:t>
      </w:r>
    </w:p>
    <w:p w:rsidR="00000000" w:rsidRDefault="00000000"/>
    <w:p w:rsidR="00000000" w:rsidRDefault="00000000">
      <w:r>
        <w:t>603.</w:t>
      </w:r>
      <w:r>
        <w:tab/>
        <w:t>Имущественные отношения в семье опираются на принципы равенства, взаимности и солидарности, а также принцип максимальной защиты интересов детей.  С точки зрения прав на содержание и других правовых и имущественных отношений внебрачный союз пользуется тем же статусом.</w:t>
      </w:r>
    </w:p>
    <w:p w:rsidR="00000000" w:rsidRDefault="00000000"/>
    <w:p w:rsidR="00000000" w:rsidRDefault="00000000">
      <w:r>
        <w:t>604.</w:t>
      </w:r>
      <w:r>
        <w:tab/>
        <w:t>В законодательстве брак определяется как союз между мужчиной и женщиной, связанных законными узами.  Брак не является законным, если один из супругов вступил в брачные отношения по принуждению, под угрозой или в результате обмана.  Брак не может быть зарегистрирован, если одному из супругов не исполнилось 18 лет.  В исключительных случаях суд может дать разрешение на вступление в брак несовершеннолетнего лица по достижении им 16-летнего возраста.</w:t>
      </w:r>
    </w:p>
    <w:p w:rsidR="00000000" w:rsidRDefault="00000000"/>
    <w:p w:rsidR="00000000" w:rsidRDefault="00000000">
      <w:r>
        <w:t>605.</w:t>
      </w:r>
      <w:r>
        <w:tab/>
        <w:t>Охрана семьи реализуется компетентными органами социального обеспечения (центрами социальной работы) и компетентными судами (разводы, алименты, потеря трудоспособности, лишение родительских прав).  Система финансовой поддержки семей обеспечивается из бюджета Республики Черногории на основе соответствующих законодательных положений.</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606.</w:t>
      </w:r>
      <w:r>
        <w:tab/>
        <w:t>В Республике Черногории не существует национальной программы в области питания и обеспечения жильем.  Деятельность в этих областях осуществляется в соответствии с нормами, регулирующими режим защиты наиболее уязвимых категорий населения.</w:t>
      </w:r>
    </w:p>
    <w:p w:rsidR="00000000" w:rsidRDefault="00000000"/>
    <w:p w:rsidR="00000000" w:rsidRDefault="00000000">
      <w:r>
        <w:t>607.</w:t>
      </w:r>
      <w:r>
        <w:tab/>
        <w:t>Закон о социальной защите детей регулирует права, относящиеся к социальной защите и охране детства, целью которых является защита наиболее уязвимых категорий населения.</w:t>
      </w:r>
    </w:p>
    <w:p w:rsidR="00000000" w:rsidRDefault="00000000"/>
    <w:p w:rsidR="00000000" w:rsidRDefault="00000000">
      <w:r>
        <w:t>608.</w:t>
      </w:r>
      <w:r>
        <w:tab/>
        <w:t>Права в рамках программы социального обеспечения включают:  право на денежное пособие для семьи, право на получение квалификации для работы, проживание в учреждении социального обеспечения или в другой семье, пособия на уход и помощь со стороны другого лица, медицинское обслуживание, похоронные издержки и единовременное материальное пособие.</w:t>
      </w:r>
    </w:p>
    <w:p w:rsidR="00000000" w:rsidRDefault="00000000"/>
    <w:p w:rsidR="00000000" w:rsidRDefault="00000000">
      <w:r>
        <w:t>609.</w:t>
      </w:r>
      <w:r>
        <w:tab/>
        <w:t>Права в рамках программы защиты ребенка включают детское пособие, пособие на новорожденного, пособие на организацию детского досуга и питание в столовых для учащихся.</w:t>
      </w:r>
    </w:p>
    <w:p w:rsidR="00000000" w:rsidRDefault="00000000"/>
    <w:p w:rsidR="00000000" w:rsidRDefault="00000000">
      <w:pPr>
        <w:rPr>
          <w:b/>
          <w:bCs/>
        </w:rPr>
      </w:pPr>
      <w:r>
        <w:rPr>
          <w:b/>
          <w:bCs/>
        </w:rPr>
        <w:t>Характеристика некоторых прав</w:t>
      </w:r>
    </w:p>
    <w:p w:rsidR="00000000" w:rsidRDefault="00000000">
      <w:pPr>
        <w:rPr>
          <w:b/>
          <w:bCs/>
        </w:rPr>
      </w:pPr>
    </w:p>
    <w:p w:rsidR="00000000" w:rsidRDefault="00000000">
      <w:r>
        <w:t>610.</w:t>
      </w:r>
      <w:r>
        <w:tab/>
        <w:t xml:space="preserve">Финансовая помощь семье (ФПС):  ФПС представляет собой пособие для нуждающихся лиц или семей при условии выполнения последними требований, установленных в законодательстве.  Право на получение ФПС может быть предоставлено семье или членам семьи при условии, что они:  </w:t>
      </w:r>
    </w:p>
    <w:p w:rsidR="00000000" w:rsidRDefault="00000000"/>
    <w:p w:rsidR="00000000" w:rsidRDefault="00000000">
      <w:pPr>
        <w:ind w:left="1134" w:hanging="1134"/>
      </w:pPr>
      <w:r>
        <w:tab/>
        <w:t>-</w:t>
      </w:r>
      <w:r>
        <w:tab/>
        <w:t>являются нетрудоспособными при отсутствии родственников, юридически обязанных обеспечивать их содержание, или при неспособности имеющихся родственников обеспечивать их содержание;</w:t>
      </w:r>
    </w:p>
    <w:p w:rsidR="00000000" w:rsidRDefault="00000000">
      <w:pPr>
        <w:ind w:left="1134" w:hanging="1134"/>
      </w:pPr>
    </w:p>
    <w:p w:rsidR="00000000" w:rsidRDefault="00000000">
      <w:pPr>
        <w:ind w:left="1134" w:hanging="1134"/>
      </w:pPr>
      <w:r>
        <w:tab/>
        <w:t>-</w:t>
      </w:r>
      <w:r>
        <w:tab/>
        <w:t>являются трудоспособными при условии, что к ним относятся:  родители, воспитывающие несовершеннолетних детей, или дети, достигшие совершеннолетнего возраста, но не способные работать и зарабатывать при том условии, что такая нетрудоспособность наступила до достижения ребенком 18</w:t>
      </w:r>
      <w:r>
        <w:noBreakHyphen/>
        <w:t>летнего возраста;</w:t>
      </w:r>
    </w:p>
    <w:p w:rsidR="00000000" w:rsidRDefault="00000000">
      <w:pPr>
        <w:ind w:left="1134" w:hanging="1134"/>
      </w:pPr>
    </w:p>
    <w:p w:rsidR="00000000" w:rsidRDefault="00000000">
      <w:pPr>
        <w:ind w:left="1134" w:hanging="1134"/>
      </w:pPr>
      <w:r>
        <w:tab/>
        <w:t>-</w:t>
      </w:r>
      <w:r>
        <w:tab/>
        <w:t>были лишены права на проживание в учреждении для детей, не имеющих родительского ухода, или права на проживание с другой семьей, на период не более двух лет после даты отмены решения о таком проживании;</w:t>
      </w:r>
    </w:p>
    <w:p w:rsidR="00000000" w:rsidRDefault="00000000">
      <w:pPr>
        <w:ind w:left="1134" w:hanging="1134"/>
      </w:pPr>
    </w:p>
    <w:p w:rsidR="00000000" w:rsidRDefault="00000000">
      <w:pPr>
        <w:ind w:left="1134" w:hanging="1134"/>
      </w:pPr>
      <w:r>
        <w:tab/>
        <w:t>-</w:t>
      </w:r>
      <w:r>
        <w:tab/>
        <w:t>завершили свое образование в школах для детей с особыми потребностями или классах для детей с особыми потребностями в обычных школах;  и</w:t>
      </w:r>
    </w:p>
    <w:p w:rsidR="00000000" w:rsidRDefault="00000000">
      <w:pPr>
        <w:ind w:left="1134" w:hanging="1134"/>
      </w:pPr>
    </w:p>
    <w:p w:rsidR="00000000" w:rsidRDefault="00000000">
      <w:pPr>
        <w:ind w:left="1134" w:hanging="1134"/>
      </w:pPr>
      <w:r>
        <w:tab/>
        <w:t>-</w:t>
      </w:r>
      <w:r>
        <w:tab/>
        <w:t>размер пособий в рамках ФПС исчисляется в виде процентной доли средней заработной платы в Республике Черногории за предыдущий квартал и зависит от количества членов семьи.</w:t>
      </w:r>
    </w:p>
    <w:p w:rsidR="00000000" w:rsidRDefault="00000000"/>
    <w:p w:rsidR="00000000" w:rsidRDefault="00000000">
      <w:r>
        <w:t>611.</w:t>
      </w:r>
      <w:r>
        <w:tab/>
        <w:t xml:space="preserve">В дополнение к уровню дохода семьи, который служит критерием для определения суммы пособия в рамках ФПС, размер пособия также зависит от наличия у семьи движимого и недвижимого имущества.  Характеристики владения собственностью также определяются законом и зависят от количества членов семьи.  </w:t>
      </w:r>
    </w:p>
    <w:p w:rsidR="00000000" w:rsidRDefault="00000000"/>
    <w:p w:rsidR="00000000" w:rsidRDefault="00000000">
      <w:r>
        <w:t>612.</w:t>
      </w:r>
      <w:r>
        <w:tab/>
        <w:t xml:space="preserve">Прежде всего устанавливается, соответствует ли лицо или семья критериям в рамках программы ФПС, после чего определяется размер пособий в зависимости от среднего уровня заработной платы в Республике Черногории за предыдущий месяц. </w:t>
      </w:r>
    </w:p>
    <w:p w:rsidR="00000000" w:rsidRDefault="00000000"/>
    <w:p w:rsidR="00000000" w:rsidRDefault="00000000">
      <w:r>
        <w:t>613.</w:t>
      </w:r>
      <w:r>
        <w:tab/>
        <w:t xml:space="preserve">Лица и семьи, соответствующие критериям на получение ФПС, но уже имеющие определенные доходы, имеют право на получение разницы в зависимости от количества членов семьи.  </w:t>
      </w:r>
    </w:p>
    <w:p w:rsidR="00000000" w:rsidRDefault="00000000"/>
    <w:p w:rsidR="00000000" w:rsidRDefault="00000000">
      <w:r>
        <w:t>614.</w:t>
      </w:r>
      <w:r>
        <w:tab/>
        <w:t xml:space="preserve">После вступления в силу изменений и поправок (октябрь 2001 года) было введено дискреционное право.  Дискреционное право означает возможность предоставления права даже в случае невыполнения одного из условий.  Это право предоставляется по предложению социального работника при условии контроля со стороны комиссии Центра социального обеспечения (ЦСО) в течение определенного периода времени с возможностью его возобновления.  Сумма предоставляемого пособия может достигать 50% от предусмотренной суммы в зависимости от количества членов семьи.  Дискреционное право может также использоваться для отклонения претензий или приостановления действия права в случае его необоснованности (например, семья получает достаточный для самообеспечения доход, однако официальные данные об этом отсутствуют по причине работы на "черном" рынке).  </w:t>
      </w:r>
    </w:p>
    <w:p w:rsidR="00000000" w:rsidRDefault="00000000"/>
    <w:p w:rsidR="00000000" w:rsidRDefault="00000000">
      <w:r>
        <w:t>615.</w:t>
      </w:r>
      <w:r>
        <w:tab/>
        <w:t xml:space="preserve">В августе 2002 года в Республике Черногории право на получение ФПС было предоставлено 9 843 семьям с 27 960 членами.  Это количество включает 12 695 детей в возрасте до 16 лет;  7 574 женщины и 10 633 мужчины в возрасте старше 16 лет.  Объем ежемесячных расходов на выплату этого пособия составляет около 621 000 евро.  </w:t>
      </w:r>
    </w:p>
    <w:p w:rsidR="00000000" w:rsidRDefault="00000000"/>
    <w:p w:rsidR="00000000" w:rsidRDefault="00000000">
      <w:r>
        <w:t>616.</w:t>
      </w:r>
      <w:r>
        <w:tab/>
        <w:t xml:space="preserve">Пособие на ребенка:  В соответствии с законом право получения пособия на ребенка предоставляется:  </w:t>
      </w:r>
    </w:p>
    <w:p w:rsidR="00000000" w:rsidRDefault="00000000"/>
    <w:p w:rsidR="00000000" w:rsidRDefault="00000000">
      <w:pPr>
        <w:tabs>
          <w:tab w:val="clear" w:pos="567"/>
        </w:tabs>
        <w:ind w:left="1131" w:hanging="585"/>
      </w:pPr>
      <w:r>
        <w:t>-</w:t>
      </w:r>
      <w:r>
        <w:tab/>
        <w:t xml:space="preserve">первым трем детям в семье, получающей ФПС, на уровне 30% от минимальной оплаты труда в Республике Черногории;  </w:t>
      </w:r>
    </w:p>
    <w:p w:rsidR="00000000" w:rsidRDefault="00000000">
      <w:pPr>
        <w:tabs>
          <w:tab w:val="clear" w:pos="567"/>
        </w:tabs>
        <w:ind w:left="1131" w:hanging="585"/>
      </w:pPr>
    </w:p>
    <w:p w:rsidR="00000000" w:rsidRDefault="00000000">
      <w:pPr>
        <w:tabs>
          <w:tab w:val="clear" w:pos="567"/>
        </w:tabs>
        <w:ind w:left="1131" w:hanging="585"/>
      </w:pPr>
      <w:r>
        <w:t>-</w:t>
      </w:r>
      <w:r>
        <w:tab/>
        <w:t xml:space="preserve">детям с незначительными отклонениями в развитии, посещающим школу для детей с особыми потребностями или специальные классы в обычных школах независимо от финансовых условий или количества детей в семье, в размере 40% от минимального размера оплаты труда в Республике Черногории;  </w:t>
      </w:r>
    </w:p>
    <w:p w:rsidR="00000000" w:rsidRDefault="00000000">
      <w:pPr>
        <w:tabs>
          <w:tab w:val="clear" w:pos="567"/>
        </w:tabs>
        <w:ind w:left="1131" w:hanging="585"/>
      </w:pPr>
    </w:p>
    <w:p w:rsidR="00000000" w:rsidRDefault="00000000">
      <w:pPr>
        <w:tabs>
          <w:tab w:val="clear" w:pos="567"/>
        </w:tabs>
        <w:ind w:left="1131" w:hanging="585"/>
      </w:pPr>
      <w:r>
        <w:t>-</w:t>
      </w:r>
      <w:r>
        <w:tab/>
        <w:t xml:space="preserve">детям с физическими и психическими отклонениями, которые являются нетрудоспособными и которым не оказывается помощь независимо от финансового положения и количества членов в семье, в размере 50% от минимального размера оплаты труда в Республике Черногории.  </w:t>
      </w:r>
    </w:p>
    <w:p w:rsidR="00000000" w:rsidRDefault="00000000">
      <w:pPr>
        <w:ind w:left="567" w:hanging="567"/>
      </w:pPr>
    </w:p>
    <w:p w:rsidR="00000000" w:rsidRDefault="00000000">
      <w:r>
        <w:t>617.</w:t>
      </w:r>
      <w:r>
        <w:tab/>
        <w:t xml:space="preserve">Согласно данным министерства труда и социального обеспечения в августе 2002 года правом на получение пособия на ребенка пользовались 6 240 семей с 11 847 детьми, или </w:t>
      </w:r>
      <w:proofErr w:type="spellStart"/>
      <w:r>
        <w:t>7%</w:t>
      </w:r>
      <w:proofErr w:type="spellEnd"/>
      <w:r>
        <w:t xml:space="preserve"> от общего количества детей.  Сумма предоставленной помощи составляет 193 555 евро.  Из указанного количества 4 073 были дошкольниками, 7 157 - учащимися начальной школы и 643 - учащимися средней школы.  </w:t>
      </w:r>
    </w:p>
    <w:p w:rsidR="00000000" w:rsidRDefault="00000000"/>
    <w:p w:rsidR="00000000" w:rsidRDefault="00000000">
      <w:r>
        <w:t>618.</w:t>
      </w:r>
      <w:r>
        <w:tab/>
        <w:t xml:space="preserve">Пособия на уход и помощь со стороны другого лица:  Право на получение пособия на уход и помощь со стороны другого лица предоставляется лицам с незначительными, средними или тяжелыми нарушениями умственного развития, лицам, страдающим аутизмом, дистрофией, лицам с многочисленными нарушениями, лицам с потерей зрения и лицам с серьезными нарушениями, отвечающим требованиям на получение помощи и ухода со стороны третьих лиц, вне зависимости от уровня дохода семьи.  </w:t>
      </w:r>
    </w:p>
    <w:p w:rsidR="00000000" w:rsidRDefault="00000000"/>
    <w:p w:rsidR="00000000" w:rsidRDefault="00000000">
      <w:r>
        <w:t>619.</w:t>
      </w:r>
      <w:r>
        <w:tab/>
        <w:t xml:space="preserve">Размер этого пособия составляет 60% от минимального уровня оплаты труда.  Согласно данным министерства труда и социального обеспечения правом на получение этого пособия пользуются 5 147 лиц.  Если указанные лица также являются бенефициарами ФПС, то размер пособия устанавливается на уровне 100% от минимальной оплаты труда.  Правом на получение этого пособия пользуется 976 лиц, при этом общая сумма ассигнований на данное пособие составила 203 807 евро.  </w:t>
      </w:r>
    </w:p>
    <w:p w:rsidR="00000000" w:rsidRDefault="00000000"/>
    <w:p w:rsidR="00000000" w:rsidRDefault="00000000">
      <w:r>
        <w:t>620.</w:t>
      </w:r>
      <w:r>
        <w:tab/>
        <w:t xml:space="preserve">Единовременная помощь:  Данное пособие направлено на оказание помощи семьям, оказавшимся в трудных условиях вне зависимости от того, получают ли они уже одно из пособий в рамках программ социального обеспечения.  Размер единовременного пособия определяется с учетом конкретной ситуации и имеющихся средств.  </w:t>
      </w:r>
    </w:p>
    <w:p w:rsidR="00000000" w:rsidRDefault="00000000"/>
    <w:p w:rsidR="00000000" w:rsidRDefault="00000000">
      <w:r>
        <w:t>621.</w:t>
      </w:r>
      <w:r>
        <w:tab/>
        <w:t xml:space="preserve">Помещение в учреждение социального обеспечения или в другую семью:  Право на такое помещение предоставляется следующим лицам:  </w:t>
      </w:r>
    </w:p>
    <w:p w:rsidR="00000000" w:rsidRDefault="00000000"/>
    <w:p w:rsidR="00000000" w:rsidRDefault="00000000">
      <w:pPr>
        <w:tabs>
          <w:tab w:val="clear" w:pos="567"/>
        </w:tabs>
        <w:ind w:left="1131" w:hanging="585"/>
      </w:pPr>
      <w:r>
        <w:t>-</w:t>
      </w:r>
      <w:r>
        <w:tab/>
        <w:t xml:space="preserve">детям, не имеющим родительского ухода, и детям, нормальному развитию которых препятствуют семейные условия, детям с физическими и психическими отклонениями, а также детям с </w:t>
      </w:r>
      <w:proofErr w:type="spellStart"/>
      <w:r>
        <w:t>бихевиоральными</w:t>
      </w:r>
      <w:proofErr w:type="spellEnd"/>
      <w:r>
        <w:t xml:space="preserve"> нарушениями;  и </w:t>
      </w:r>
    </w:p>
    <w:p w:rsidR="00000000" w:rsidRDefault="00000000">
      <w:pPr>
        <w:tabs>
          <w:tab w:val="clear" w:pos="567"/>
        </w:tabs>
        <w:ind w:left="1131" w:hanging="585"/>
      </w:pPr>
    </w:p>
    <w:p w:rsidR="00000000" w:rsidRDefault="00000000">
      <w:pPr>
        <w:tabs>
          <w:tab w:val="clear" w:pos="567"/>
        </w:tabs>
        <w:ind w:left="1131" w:hanging="585"/>
      </w:pPr>
      <w:r>
        <w:t>-</w:t>
      </w:r>
      <w:r>
        <w:tab/>
        <w:t xml:space="preserve">пенсионерам и другим пожилым лицам, не способным жить без посторонней помощи, взрослым инвалидам с тяжелыми формами хронических заболеваний и умственно неполноценным лицам, нуждающимся в ежедневной помощи.  </w:t>
      </w:r>
    </w:p>
    <w:p w:rsidR="00000000" w:rsidRDefault="00000000">
      <w:pPr>
        <w:ind w:left="567" w:hanging="567"/>
      </w:pPr>
    </w:p>
    <w:p w:rsidR="00000000" w:rsidRDefault="00000000">
      <w:r>
        <w:t>622.</w:t>
      </w:r>
      <w:r>
        <w:tab/>
        <w:t xml:space="preserve">В Республике Черногории в учреждениях всех типов насчитывается в общей сложности 900 лиц из указанных категорий, при этом проживают с семьей еще 200 лиц.  </w:t>
      </w:r>
    </w:p>
    <w:p w:rsidR="00000000" w:rsidRDefault="00000000"/>
    <w:p w:rsidR="00000000" w:rsidRDefault="00000000">
      <w:r>
        <w:t>623.</w:t>
      </w:r>
      <w:r>
        <w:tab/>
        <w:t xml:space="preserve">В Республике Черногории жилищные вопросы регулировались в зависимости от трудового статуса.  Это означает, что жилищные вопросы работающих лиц решались по месту их работы.  Пенсионеров - через республиканский пенсионный фонд;  и лиц, получающих пособие по социальному обеспечению - через местные органы власти в зависимости от их финансового положения.  </w:t>
      </w:r>
    </w:p>
    <w:p w:rsidR="00000000" w:rsidRDefault="00000000"/>
    <w:p w:rsidR="00000000" w:rsidRDefault="00000000">
      <w:r>
        <w:t>624.</w:t>
      </w:r>
      <w:r>
        <w:tab/>
        <w:t xml:space="preserve">В условиях приватизации все больше людей лишаются возможности решать свои жилищные проблемы по месту работы, что обуславливает острую необходимость в разработке национального плана жилищного строительства для решения этой проблемы на уровне Республики.  </w:t>
      </w:r>
    </w:p>
    <w:p w:rsidR="00000000" w:rsidRDefault="00000000"/>
    <w:p w:rsidR="00000000" w:rsidRDefault="00000000">
      <w:pPr>
        <w:rPr>
          <w:b/>
        </w:rPr>
      </w:pPr>
      <w:r>
        <w:rPr>
          <w:b/>
        </w:rPr>
        <w:t>Пункт 2</w:t>
      </w:r>
    </w:p>
    <w:p w:rsidR="00000000" w:rsidRDefault="00000000">
      <w:pPr>
        <w:rPr>
          <w:b/>
        </w:rPr>
      </w:pPr>
    </w:p>
    <w:p w:rsidR="00000000" w:rsidRDefault="00000000">
      <w:r>
        <w:t>625.</w:t>
      </w:r>
      <w:r>
        <w:tab/>
        <w:t xml:space="preserve">В Республике Черногории не имеется национальной продовольственной программы.  Деятельность в этом направлении осуществляется через программы социального обеспечения, то есть за счет улучшения уровня жизни наиболее уязвимых категорий населения.  Наряду с этим повышение уровня жизни семей осуществляется с помощью различных мероприятий в области занятости и налоговой политики.  </w:t>
      </w:r>
    </w:p>
    <w:p w:rsidR="00000000" w:rsidRDefault="00000000"/>
    <w:p w:rsidR="00000000" w:rsidRDefault="00000000">
      <w:pPr>
        <w:jc w:val="center"/>
        <w:rPr>
          <w:b/>
          <w:bCs/>
        </w:rPr>
      </w:pPr>
      <w:r>
        <w:rPr>
          <w:b/>
          <w:bCs/>
        </w:rPr>
        <w:t>Статья 12</w:t>
      </w:r>
    </w:p>
    <w:p w:rsidR="00000000" w:rsidRDefault="00000000">
      <w:pPr>
        <w:jc w:val="center"/>
        <w:rPr>
          <w:b/>
          <w:bCs/>
        </w:rPr>
      </w:pPr>
    </w:p>
    <w:p w:rsidR="00000000" w:rsidRDefault="00000000">
      <w:pPr>
        <w:rPr>
          <w:b/>
          <w:bCs/>
        </w:rPr>
      </w:pPr>
      <w:r>
        <w:rPr>
          <w:b/>
          <w:bCs/>
        </w:rPr>
        <w:t>Пункт 1</w:t>
      </w:r>
    </w:p>
    <w:p w:rsidR="00000000" w:rsidRDefault="00000000">
      <w:pPr>
        <w:rPr>
          <w:b/>
          <w:bCs/>
        </w:rPr>
      </w:pPr>
    </w:p>
    <w:p w:rsidR="00000000" w:rsidRDefault="00000000">
      <w:r>
        <w:t>626.</w:t>
      </w:r>
      <w:r>
        <w:tab/>
        <w:t xml:space="preserve">Статья 57 Конституции Республики Черногории гарантирует каждому право на медицинское обслуживание, а также право детей, беременных женщин и престарелых граждан на финансируемую государством медицинскую помощь при условии, что они не пользуются этим правом в рамках какой-либо иной программы.  </w:t>
      </w:r>
    </w:p>
    <w:p w:rsidR="00000000" w:rsidRDefault="00000000"/>
    <w:p w:rsidR="00000000" w:rsidRDefault="00000000">
      <w:r>
        <w:t>627.</w:t>
      </w:r>
      <w:r>
        <w:tab/>
        <w:t>В национальной политике в области здравоохранения определяются цели развития системы здравоохранения, а также меры и виды деятельности по их осуществлению.  В положениях Закона об охране здоровья охрана здоровья определяется как организованная деятельность общества, направленная на охрану и улучшение здоровья, а также предупреждение, ограничение и раннее выявление заболеваний, повреждений и других нарушений здоровья, своевременное и эффективное лечение и реабилитацию.  Согласно положению Закона об охране здоровья и медицинском страховании, а также инструкциям по его применению, программа охраны здоровья представляет собой процесс определения проблем, связанных с состоянием здоровья сообщества, выявления потребностей и определения источников для удовлетворения этих потребностей, определения приоритетных задач, которые являются реалистичными и достижимыми, а также планирования административных мероприятий для выполнения этих задач.  Политика в области здравоохранения в Черногории опирается на положения Закона об охране здоровья и медицинском страховании, решения Фонда учреждений в государственной системе здравоохранения, а также другие подзаконные акты, более подробно определяющие содержание и охват системы медицинского обслуживания.</w:t>
      </w:r>
    </w:p>
    <w:p w:rsidR="00000000" w:rsidRDefault="00000000"/>
    <w:p w:rsidR="00000000" w:rsidRDefault="00000000">
      <w:r>
        <w:t>628.</w:t>
      </w:r>
      <w:r>
        <w:tab/>
        <w:t xml:space="preserve">Принятая в Республике Черногории политика в области здравоохранения до 2020 года опирается на два документа Ассамблеи Всемирной организации здравоохранения:  "Всемирная декларация здравоохранения" и "Политика всеобщего здоровья на </w:t>
      </w:r>
      <w:r>
        <w:rPr>
          <w:lang w:val="en-US"/>
        </w:rPr>
        <w:t>XXI</w:t>
      </w:r>
      <w:r>
        <w:t xml:space="preserve"> век".</w:t>
      </w:r>
    </w:p>
    <w:p w:rsidR="00000000" w:rsidRDefault="00000000"/>
    <w:p w:rsidR="00000000" w:rsidRDefault="00000000">
      <w:r>
        <w:t>629.</w:t>
      </w:r>
      <w:r>
        <w:tab/>
        <w:t>Политика в области здравоохранения в Республике Черногории до 2020 года включает рамки для законодательных, программных и иных конкретных действий, направленных на повышение эффективности и качества услуг в системе здравоохранения, а также интеграцию системы здравоохранения Республики в европейский и мировой процесс развития здравоохранения.</w:t>
      </w:r>
    </w:p>
    <w:p w:rsidR="00000000" w:rsidRDefault="00000000"/>
    <w:p w:rsidR="00000000" w:rsidRDefault="00000000">
      <w:r>
        <w:t>630.</w:t>
      </w:r>
      <w:r>
        <w:tab/>
        <w:t xml:space="preserve">Задачи политики в области здравоохранения:  Политика в области здравоохранения в Республике Черногории до 2020 года направлена на решение следующих задач:  </w:t>
      </w:r>
    </w:p>
    <w:p w:rsidR="00000000" w:rsidRDefault="00000000"/>
    <w:p w:rsidR="00000000" w:rsidRDefault="00000000">
      <w:r>
        <w:tab/>
        <w:t>-</w:t>
      </w:r>
      <w:r>
        <w:tab/>
        <w:t>увеличение ожидаемой продолжительности жизни;</w:t>
      </w:r>
    </w:p>
    <w:p w:rsidR="00000000" w:rsidRDefault="00000000"/>
    <w:p w:rsidR="00000000" w:rsidRDefault="00000000">
      <w:r>
        <w:tab/>
        <w:t>-</w:t>
      </w:r>
      <w:r>
        <w:tab/>
        <w:t>повышение качества жизни за счет мер здравоохранения;</w:t>
      </w:r>
    </w:p>
    <w:p w:rsidR="00000000" w:rsidRDefault="00000000"/>
    <w:p w:rsidR="00000000" w:rsidRDefault="00000000">
      <w:r>
        <w:tab/>
        <w:t>-</w:t>
      </w:r>
      <w:r>
        <w:tab/>
        <w:t>уменьшение диспропорций в системе медицинского обслуживания;</w:t>
      </w:r>
    </w:p>
    <w:p w:rsidR="00000000" w:rsidRDefault="00000000"/>
    <w:p w:rsidR="00000000" w:rsidRDefault="00000000">
      <w:r>
        <w:tab/>
        <w:t>-</w:t>
      </w:r>
      <w:r>
        <w:tab/>
        <w:t>страхование от финансового риска;</w:t>
      </w:r>
    </w:p>
    <w:p w:rsidR="00000000" w:rsidRDefault="00000000"/>
    <w:p w:rsidR="00000000" w:rsidRDefault="00000000">
      <w:r>
        <w:tab/>
        <w:t>-</w:t>
      </w:r>
      <w:r>
        <w:tab/>
        <w:t>развитие системы первичной медицинской помощи;  и</w:t>
      </w:r>
    </w:p>
    <w:p w:rsidR="00000000" w:rsidRDefault="00000000"/>
    <w:p w:rsidR="00000000" w:rsidRDefault="00000000">
      <w:r>
        <w:tab/>
        <w:t>-</w:t>
      </w:r>
      <w:r>
        <w:tab/>
        <w:t>развитие информационной системы.</w:t>
      </w:r>
    </w:p>
    <w:p w:rsidR="00000000" w:rsidRDefault="00000000"/>
    <w:p w:rsidR="00000000" w:rsidRDefault="00000000">
      <w:r>
        <w:t>631.</w:t>
      </w:r>
      <w:r>
        <w:tab/>
        <w:t xml:space="preserve">Позитивные показатели состояния здоровья населения включают:  уровень рождаемости, естественный прирост населения и индекс жизнеспособности.  С учетом уменьшения количества живорождений за последние годы и повышения уровня смертности в Черногории показатель естественного прироста населения снизился с 9,10 до 5,3 вместе с индексом жизнеспособности (с 242 до 163,3).  Все позитивные показатели свидетельствуют также об изменении в 1999 году возрастной структуры населения.  </w:t>
      </w:r>
    </w:p>
    <w:p w:rsidR="00000000" w:rsidRDefault="00000000"/>
    <w:p w:rsidR="00000000" w:rsidRDefault="00000000">
      <w:r>
        <w:t>632.</w:t>
      </w:r>
      <w:r>
        <w:tab/>
        <w:t xml:space="preserve">С увеличением ожидаемой продолжительности жизни с 75,16 года (71,5 для мужчин и 78,7 для женщин) и с учетом того, что 8,3% граждан находятся в возрасте старше 65 лет, а </w:t>
      </w:r>
      <w:proofErr w:type="spellStart"/>
      <w:r>
        <w:t>28,6%</w:t>
      </w:r>
      <w:proofErr w:type="spellEnd"/>
      <w:r>
        <w:t> - моложе 19 лет, в Черногории отмечается тенденция к старению населения.  Вместе с тем население Черногории, средний возраст которого составляет немногим более 30 лет, по</w:t>
      </w:r>
      <w:r>
        <w:noBreakHyphen/>
        <w:t>прежнему считается относительно молодым.</w:t>
      </w:r>
    </w:p>
    <w:p w:rsidR="00000000" w:rsidRDefault="00000000"/>
    <w:p w:rsidR="00000000" w:rsidRDefault="00000000">
      <w:r>
        <w:t>633.</w:t>
      </w:r>
      <w:r>
        <w:tab/>
        <w:t>Негативные показатели включают уровень детской смертности и уровень общей смертности.  За указанный период был отмечен рост количества умерших детей (со 107 в 1991 году до 118 в 1999 году) и уровня детской смертности (в 1999 году он составил 13,4%).</w:t>
      </w:r>
    </w:p>
    <w:p w:rsidR="00000000" w:rsidRDefault="00000000"/>
    <w:p w:rsidR="00000000" w:rsidRDefault="00000000">
      <w:pPr>
        <w:jc w:val="center"/>
        <w:rPr>
          <w:b/>
          <w:bCs/>
        </w:rPr>
      </w:pPr>
      <w:r>
        <w:rPr>
          <w:b/>
          <w:bCs/>
        </w:rPr>
        <w:t>Таблица 1</w:t>
      </w:r>
    </w:p>
    <w:p w:rsidR="00000000" w:rsidRDefault="00000000">
      <w:pPr>
        <w:jc w:val="center"/>
        <w:rPr>
          <w:b/>
          <w:bCs/>
        </w:rPr>
      </w:pPr>
    </w:p>
    <w:p w:rsidR="00000000" w:rsidRDefault="00000000">
      <w:pPr>
        <w:jc w:val="center"/>
        <w:rPr>
          <w:b/>
          <w:bCs/>
        </w:rPr>
      </w:pPr>
      <w:r>
        <w:rPr>
          <w:b/>
          <w:bCs/>
        </w:rPr>
        <w:t>Основные демографические показатели</w:t>
      </w:r>
    </w:p>
    <w:p w:rsidR="00000000" w:rsidRDefault="00000000">
      <w:pPr>
        <w:jc w:val="center"/>
        <w:rPr>
          <w:b/>
          <w:bCs/>
        </w:rPr>
      </w:pPr>
      <w:r>
        <w:rPr>
          <w:b/>
          <w:bCs/>
        </w:rPr>
        <w:t>Республики Черногории в 1991 и 1999 годах</w:t>
      </w:r>
    </w:p>
    <w:p w:rsidR="00000000" w:rsidRDefault="00000000">
      <w:pPr>
        <w:jc w:val="center"/>
        <w:rPr>
          <w:b/>
          <w:bCs/>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8"/>
        <w:gridCol w:w="1683"/>
        <w:gridCol w:w="1309"/>
        <w:gridCol w:w="1683"/>
        <w:gridCol w:w="1235"/>
      </w:tblGrid>
      <w:tr w:rsidR="00000000">
        <w:tblPrEx>
          <w:tblCellMar>
            <w:top w:w="0" w:type="dxa"/>
            <w:bottom w:w="0" w:type="dxa"/>
          </w:tblCellMar>
        </w:tblPrEx>
        <w:trPr>
          <w:cantSplit/>
        </w:trPr>
        <w:tc>
          <w:tcPr>
            <w:tcW w:w="3848" w:type="dxa"/>
          </w:tcPr>
          <w:p w:rsidR="00000000" w:rsidRDefault="00000000">
            <w:r>
              <w:t>Показатель</w:t>
            </w:r>
          </w:p>
        </w:tc>
        <w:tc>
          <w:tcPr>
            <w:tcW w:w="2992" w:type="dxa"/>
            <w:gridSpan w:val="2"/>
          </w:tcPr>
          <w:p w:rsidR="00000000" w:rsidRDefault="00000000">
            <w:pPr>
              <w:jc w:val="center"/>
            </w:pPr>
            <w:r>
              <w:t>1991 год</w:t>
            </w:r>
          </w:p>
        </w:tc>
        <w:tc>
          <w:tcPr>
            <w:tcW w:w="2918" w:type="dxa"/>
            <w:gridSpan w:val="2"/>
          </w:tcPr>
          <w:p w:rsidR="00000000" w:rsidRDefault="00000000">
            <w:pPr>
              <w:jc w:val="center"/>
            </w:pPr>
            <w:r>
              <w:t>2000 год</w:t>
            </w:r>
          </w:p>
        </w:tc>
      </w:tr>
      <w:tr w:rsidR="00000000">
        <w:tblPrEx>
          <w:tblCellMar>
            <w:top w:w="0" w:type="dxa"/>
            <w:bottom w:w="0" w:type="dxa"/>
          </w:tblCellMar>
        </w:tblPrEx>
        <w:tc>
          <w:tcPr>
            <w:tcW w:w="3848" w:type="dxa"/>
            <w:tcBorders>
              <w:bottom w:val="single" w:sz="4" w:space="0" w:color="auto"/>
            </w:tcBorders>
          </w:tcPr>
          <w:p w:rsidR="00000000" w:rsidRDefault="00000000">
            <w:pPr>
              <w:jc w:val="center"/>
            </w:pPr>
          </w:p>
        </w:tc>
        <w:tc>
          <w:tcPr>
            <w:tcW w:w="1683" w:type="dxa"/>
            <w:tcBorders>
              <w:bottom w:val="single" w:sz="4" w:space="0" w:color="auto"/>
            </w:tcBorders>
          </w:tcPr>
          <w:p w:rsidR="00000000" w:rsidRDefault="00000000">
            <w:pPr>
              <w:jc w:val="center"/>
            </w:pPr>
            <w:r>
              <w:t>Количество</w:t>
            </w:r>
          </w:p>
        </w:tc>
        <w:tc>
          <w:tcPr>
            <w:tcW w:w="1309" w:type="dxa"/>
            <w:tcBorders>
              <w:bottom w:val="single" w:sz="4" w:space="0" w:color="auto"/>
            </w:tcBorders>
          </w:tcPr>
          <w:p w:rsidR="00000000" w:rsidRDefault="00000000">
            <w:pPr>
              <w:tabs>
                <w:tab w:val="clear" w:pos="1134"/>
                <w:tab w:val="left" w:pos="1388"/>
              </w:tabs>
              <w:jc w:val="center"/>
            </w:pPr>
            <w:r>
              <w:t>Уровень</w:t>
            </w:r>
          </w:p>
        </w:tc>
        <w:tc>
          <w:tcPr>
            <w:tcW w:w="1683" w:type="dxa"/>
            <w:tcBorders>
              <w:bottom w:val="single" w:sz="4" w:space="0" w:color="auto"/>
            </w:tcBorders>
          </w:tcPr>
          <w:p w:rsidR="00000000" w:rsidRDefault="00000000">
            <w:pPr>
              <w:jc w:val="center"/>
            </w:pPr>
            <w:r>
              <w:t>Количество</w:t>
            </w:r>
          </w:p>
        </w:tc>
        <w:tc>
          <w:tcPr>
            <w:tcW w:w="1235" w:type="dxa"/>
            <w:tcBorders>
              <w:bottom w:val="single" w:sz="4" w:space="0" w:color="auto"/>
            </w:tcBorders>
          </w:tcPr>
          <w:p w:rsidR="00000000" w:rsidRDefault="00000000">
            <w:pPr>
              <w:jc w:val="center"/>
            </w:pPr>
            <w:r>
              <w:t>Уровень</w:t>
            </w:r>
          </w:p>
        </w:tc>
      </w:tr>
      <w:tr w:rsidR="00000000">
        <w:tblPrEx>
          <w:tblCellMar>
            <w:top w:w="0" w:type="dxa"/>
            <w:bottom w:w="0" w:type="dxa"/>
          </w:tblCellMar>
        </w:tblPrEx>
        <w:tc>
          <w:tcPr>
            <w:tcW w:w="3848" w:type="dxa"/>
            <w:tcBorders>
              <w:bottom w:val="nil"/>
            </w:tcBorders>
          </w:tcPr>
          <w:p w:rsidR="00000000" w:rsidRDefault="00000000">
            <w:r>
              <w:t>Живорождения</w:t>
            </w:r>
          </w:p>
        </w:tc>
        <w:tc>
          <w:tcPr>
            <w:tcW w:w="1683" w:type="dxa"/>
            <w:tcBorders>
              <w:bottom w:val="nil"/>
            </w:tcBorders>
          </w:tcPr>
          <w:p w:rsidR="00000000" w:rsidRDefault="00000000">
            <w:pPr>
              <w:jc w:val="center"/>
            </w:pPr>
            <w:r>
              <w:t>9 606</w:t>
            </w:r>
          </w:p>
        </w:tc>
        <w:tc>
          <w:tcPr>
            <w:tcW w:w="1309" w:type="dxa"/>
            <w:tcBorders>
              <w:bottom w:val="nil"/>
            </w:tcBorders>
          </w:tcPr>
          <w:p w:rsidR="00000000" w:rsidRDefault="00000000">
            <w:pPr>
              <w:jc w:val="center"/>
            </w:pPr>
            <w:r>
              <w:t>15,50</w:t>
            </w:r>
          </w:p>
        </w:tc>
        <w:tc>
          <w:tcPr>
            <w:tcW w:w="1683" w:type="dxa"/>
            <w:tcBorders>
              <w:bottom w:val="nil"/>
            </w:tcBorders>
          </w:tcPr>
          <w:p w:rsidR="00000000" w:rsidRDefault="00000000">
            <w:pPr>
              <w:jc w:val="center"/>
            </w:pPr>
            <w:r>
              <w:t>8 807</w:t>
            </w:r>
          </w:p>
        </w:tc>
        <w:tc>
          <w:tcPr>
            <w:tcW w:w="1235" w:type="dxa"/>
            <w:tcBorders>
              <w:bottom w:val="nil"/>
            </w:tcBorders>
          </w:tcPr>
          <w:p w:rsidR="00000000" w:rsidRDefault="00000000">
            <w:pPr>
              <w:jc w:val="center"/>
            </w:pPr>
            <w:r>
              <w:t>13,5</w:t>
            </w:r>
          </w:p>
        </w:tc>
      </w:tr>
      <w:tr w:rsidR="00000000">
        <w:tblPrEx>
          <w:tblCellMar>
            <w:top w:w="0" w:type="dxa"/>
            <w:bottom w:w="0" w:type="dxa"/>
          </w:tblCellMar>
        </w:tblPrEx>
        <w:tc>
          <w:tcPr>
            <w:tcW w:w="3848" w:type="dxa"/>
            <w:tcBorders>
              <w:top w:val="nil"/>
              <w:bottom w:val="nil"/>
            </w:tcBorders>
          </w:tcPr>
          <w:p w:rsidR="00000000" w:rsidRDefault="00000000">
            <w:r>
              <w:t>Общее количество смертей</w:t>
            </w:r>
          </w:p>
        </w:tc>
        <w:tc>
          <w:tcPr>
            <w:tcW w:w="1683" w:type="dxa"/>
            <w:tcBorders>
              <w:top w:val="nil"/>
              <w:bottom w:val="nil"/>
            </w:tcBorders>
          </w:tcPr>
          <w:p w:rsidR="00000000" w:rsidRDefault="00000000">
            <w:pPr>
              <w:jc w:val="center"/>
            </w:pPr>
            <w:r>
              <w:t>3 970</w:t>
            </w:r>
          </w:p>
        </w:tc>
        <w:tc>
          <w:tcPr>
            <w:tcW w:w="1309" w:type="dxa"/>
            <w:tcBorders>
              <w:top w:val="nil"/>
              <w:bottom w:val="nil"/>
            </w:tcBorders>
          </w:tcPr>
          <w:p w:rsidR="00000000" w:rsidRDefault="00000000">
            <w:pPr>
              <w:jc w:val="center"/>
            </w:pPr>
            <w:r>
              <w:t>6,40</w:t>
            </w:r>
          </w:p>
        </w:tc>
        <w:tc>
          <w:tcPr>
            <w:tcW w:w="1683" w:type="dxa"/>
            <w:tcBorders>
              <w:top w:val="nil"/>
              <w:bottom w:val="nil"/>
            </w:tcBorders>
          </w:tcPr>
          <w:p w:rsidR="00000000" w:rsidRDefault="00000000">
            <w:pPr>
              <w:jc w:val="center"/>
            </w:pPr>
            <w:r>
              <w:t>5 393</w:t>
            </w:r>
          </w:p>
        </w:tc>
        <w:tc>
          <w:tcPr>
            <w:tcW w:w="1235" w:type="dxa"/>
            <w:tcBorders>
              <w:top w:val="nil"/>
              <w:bottom w:val="nil"/>
            </w:tcBorders>
          </w:tcPr>
          <w:p w:rsidR="00000000" w:rsidRDefault="00000000">
            <w:pPr>
              <w:jc w:val="center"/>
            </w:pPr>
            <w:r>
              <w:t>8,2</w:t>
            </w:r>
          </w:p>
        </w:tc>
      </w:tr>
      <w:tr w:rsidR="00000000">
        <w:tblPrEx>
          <w:tblCellMar>
            <w:top w:w="0" w:type="dxa"/>
            <w:bottom w:w="0" w:type="dxa"/>
          </w:tblCellMar>
        </w:tblPrEx>
        <w:tc>
          <w:tcPr>
            <w:tcW w:w="3848" w:type="dxa"/>
            <w:tcBorders>
              <w:top w:val="nil"/>
              <w:bottom w:val="nil"/>
            </w:tcBorders>
          </w:tcPr>
          <w:p w:rsidR="00000000" w:rsidRDefault="00000000">
            <w:r>
              <w:t>Умершие дети</w:t>
            </w:r>
          </w:p>
        </w:tc>
        <w:tc>
          <w:tcPr>
            <w:tcW w:w="1683" w:type="dxa"/>
            <w:tcBorders>
              <w:top w:val="nil"/>
              <w:bottom w:val="nil"/>
            </w:tcBorders>
          </w:tcPr>
          <w:p w:rsidR="00000000" w:rsidRDefault="00000000">
            <w:pPr>
              <w:jc w:val="center"/>
            </w:pPr>
            <w:r>
              <w:t>107</w:t>
            </w:r>
          </w:p>
        </w:tc>
        <w:tc>
          <w:tcPr>
            <w:tcW w:w="1309" w:type="dxa"/>
            <w:tcBorders>
              <w:top w:val="nil"/>
              <w:bottom w:val="nil"/>
            </w:tcBorders>
          </w:tcPr>
          <w:p w:rsidR="00000000" w:rsidRDefault="00000000">
            <w:pPr>
              <w:jc w:val="center"/>
            </w:pPr>
            <w:r>
              <w:t>11,14</w:t>
            </w:r>
          </w:p>
        </w:tc>
        <w:tc>
          <w:tcPr>
            <w:tcW w:w="1683" w:type="dxa"/>
            <w:tcBorders>
              <w:top w:val="nil"/>
              <w:bottom w:val="nil"/>
            </w:tcBorders>
          </w:tcPr>
          <w:p w:rsidR="00000000" w:rsidRDefault="00000000">
            <w:pPr>
              <w:jc w:val="center"/>
            </w:pPr>
            <w:r>
              <w:t>118</w:t>
            </w:r>
          </w:p>
        </w:tc>
        <w:tc>
          <w:tcPr>
            <w:tcW w:w="1235" w:type="dxa"/>
            <w:tcBorders>
              <w:top w:val="nil"/>
              <w:bottom w:val="nil"/>
            </w:tcBorders>
          </w:tcPr>
          <w:p w:rsidR="00000000" w:rsidRDefault="00000000">
            <w:pPr>
              <w:jc w:val="center"/>
            </w:pPr>
            <w:r>
              <w:t>13,4</w:t>
            </w:r>
          </w:p>
        </w:tc>
      </w:tr>
      <w:tr w:rsidR="00000000">
        <w:tblPrEx>
          <w:tblCellMar>
            <w:top w:w="0" w:type="dxa"/>
            <w:bottom w:w="0" w:type="dxa"/>
          </w:tblCellMar>
        </w:tblPrEx>
        <w:tc>
          <w:tcPr>
            <w:tcW w:w="3848" w:type="dxa"/>
            <w:tcBorders>
              <w:top w:val="nil"/>
              <w:bottom w:val="nil"/>
            </w:tcBorders>
          </w:tcPr>
          <w:p w:rsidR="00000000" w:rsidRDefault="00000000">
            <w:r>
              <w:t>Естественный прирост</w:t>
            </w:r>
          </w:p>
        </w:tc>
        <w:tc>
          <w:tcPr>
            <w:tcW w:w="1683" w:type="dxa"/>
            <w:tcBorders>
              <w:top w:val="nil"/>
              <w:bottom w:val="nil"/>
            </w:tcBorders>
          </w:tcPr>
          <w:p w:rsidR="00000000" w:rsidRDefault="00000000">
            <w:pPr>
              <w:jc w:val="center"/>
            </w:pPr>
            <w:r>
              <w:t>5 636</w:t>
            </w:r>
          </w:p>
        </w:tc>
        <w:tc>
          <w:tcPr>
            <w:tcW w:w="1309" w:type="dxa"/>
            <w:tcBorders>
              <w:top w:val="nil"/>
              <w:bottom w:val="nil"/>
            </w:tcBorders>
          </w:tcPr>
          <w:p w:rsidR="00000000" w:rsidRDefault="00000000">
            <w:pPr>
              <w:jc w:val="center"/>
            </w:pPr>
            <w:r>
              <w:t>9,10</w:t>
            </w:r>
          </w:p>
        </w:tc>
        <w:tc>
          <w:tcPr>
            <w:tcW w:w="1683" w:type="dxa"/>
            <w:tcBorders>
              <w:top w:val="nil"/>
              <w:bottom w:val="nil"/>
            </w:tcBorders>
          </w:tcPr>
          <w:p w:rsidR="00000000" w:rsidRDefault="00000000">
            <w:pPr>
              <w:jc w:val="center"/>
            </w:pPr>
            <w:r>
              <w:t>3 414</w:t>
            </w:r>
          </w:p>
        </w:tc>
        <w:tc>
          <w:tcPr>
            <w:tcW w:w="1235" w:type="dxa"/>
            <w:tcBorders>
              <w:top w:val="nil"/>
              <w:bottom w:val="nil"/>
            </w:tcBorders>
          </w:tcPr>
          <w:p w:rsidR="00000000" w:rsidRDefault="00000000">
            <w:pPr>
              <w:jc w:val="center"/>
            </w:pPr>
            <w:r>
              <w:t>5,3</w:t>
            </w:r>
          </w:p>
        </w:tc>
      </w:tr>
      <w:tr w:rsidR="00000000">
        <w:tblPrEx>
          <w:tblCellMar>
            <w:top w:w="0" w:type="dxa"/>
            <w:bottom w:w="0" w:type="dxa"/>
          </w:tblCellMar>
        </w:tblPrEx>
        <w:tc>
          <w:tcPr>
            <w:tcW w:w="3848" w:type="dxa"/>
            <w:tcBorders>
              <w:top w:val="nil"/>
            </w:tcBorders>
          </w:tcPr>
          <w:p w:rsidR="00000000" w:rsidRDefault="00000000">
            <w:r>
              <w:t>Коэффициент жизнеспособности</w:t>
            </w:r>
          </w:p>
        </w:tc>
        <w:tc>
          <w:tcPr>
            <w:tcW w:w="1683" w:type="dxa"/>
            <w:tcBorders>
              <w:top w:val="nil"/>
            </w:tcBorders>
          </w:tcPr>
          <w:p w:rsidR="00000000" w:rsidRDefault="00000000">
            <w:pPr>
              <w:jc w:val="center"/>
            </w:pPr>
            <w:r>
              <w:t>9 606/3 970</w:t>
            </w:r>
          </w:p>
        </w:tc>
        <w:tc>
          <w:tcPr>
            <w:tcW w:w="1309" w:type="dxa"/>
            <w:tcBorders>
              <w:top w:val="nil"/>
            </w:tcBorders>
          </w:tcPr>
          <w:p w:rsidR="00000000" w:rsidRDefault="00000000">
            <w:pPr>
              <w:jc w:val="center"/>
            </w:pPr>
            <w:r>
              <w:t>242</w:t>
            </w:r>
          </w:p>
        </w:tc>
        <w:tc>
          <w:tcPr>
            <w:tcW w:w="1683" w:type="dxa"/>
            <w:tcBorders>
              <w:top w:val="nil"/>
            </w:tcBorders>
          </w:tcPr>
          <w:p w:rsidR="00000000" w:rsidRDefault="00000000">
            <w:pPr>
              <w:jc w:val="center"/>
            </w:pPr>
            <w:r>
              <w:t>8 807/5 393</w:t>
            </w:r>
          </w:p>
        </w:tc>
        <w:tc>
          <w:tcPr>
            <w:tcW w:w="1235" w:type="dxa"/>
            <w:tcBorders>
              <w:top w:val="nil"/>
            </w:tcBorders>
          </w:tcPr>
          <w:p w:rsidR="00000000" w:rsidRDefault="00000000">
            <w:pPr>
              <w:jc w:val="center"/>
            </w:pPr>
            <w:r>
              <w:t>163,3</w:t>
            </w:r>
          </w:p>
        </w:tc>
      </w:tr>
    </w:tbl>
    <w:p w:rsidR="00000000" w:rsidRDefault="00000000">
      <w:pPr>
        <w:jc w:val="center"/>
      </w:pPr>
    </w:p>
    <w:p w:rsidR="00000000" w:rsidRDefault="00000000">
      <w:r>
        <w:t>634.</w:t>
      </w:r>
      <w:r>
        <w:tab/>
        <w:t>Являясь весьма важным показателем общего уровня жизни населения, экономической силы общества и работы служб здравоохранения, уровень смертности новорожденных находится ниже значения, предусмотренного в программе "Здоровье для всех до 2000 года" (14%), и весьма близок к значению, определенному в программе охраны здоровья граждан Черногории (13%).  Общий уровень смертности населения, составивший в 1999 году 8,2%, превышает значение 1991 года (6,4%) и остается неизменным по сравнению с предыдущими годами.  Средний возраст умерших составляет 67,44 года (64,43 для мужчин и 70,74 для женщин).  Большинство умерших относились к возрастной группе старше 65 лет (81,81%), на втором месте находилась возрастная группа 44-65 лет (8,21%) и на третьем - возрастая группа 25-44 года (5,64%).</w:t>
      </w:r>
    </w:p>
    <w:p w:rsidR="00000000" w:rsidRDefault="00000000"/>
    <w:p w:rsidR="00000000" w:rsidRDefault="00000000">
      <w:r>
        <w:t>635.</w:t>
      </w:r>
      <w:r>
        <w:tab/>
        <w:t>Что касается группы заболеваний, перечисленных в классификации МКБ-10, большинство смертей в Республике Черногории в 1999 году были вызваны следующими заболеваниями, перечисленными в таблице 2.</w:t>
      </w:r>
    </w:p>
    <w:p w:rsidR="00000000" w:rsidRDefault="00000000"/>
    <w:p w:rsidR="00000000" w:rsidRDefault="00000000">
      <w:pPr>
        <w:jc w:val="center"/>
        <w:rPr>
          <w:b/>
          <w:bCs/>
        </w:rPr>
      </w:pPr>
      <w:r>
        <w:rPr>
          <w:b/>
          <w:bCs/>
        </w:rPr>
        <w:t>Таблица 2</w:t>
      </w:r>
    </w:p>
    <w:p w:rsidR="00000000" w:rsidRDefault="00000000">
      <w:pPr>
        <w:jc w:val="center"/>
        <w:rPr>
          <w:b/>
          <w:bCs/>
        </w:rPr>
      </w:pPr>
    </w:p>
    <w:p w:rsidR="00000000" w:rsidRDefault="00000000">
      <w:pPr>
        <w:jc w:val="center"/>
        <w:rPr>
          <w:b/>
          <w:bCs/>
        </w:rPr>
      </w:pPr>
      <w:r>
        <w:rPr>
          <w:b/>
          <w:bCs/>
        </w:rPr>
        <w:t xml:space="preserve">Смертность в Республике Черногории в разбивке </w:t>
      </w:r>
    </w:p>
    <w:p w:rsidR="00000000" w:rsidRDefault="00000000">
      <w:pPr>
        <w:jc w:val="center"/>
        <w:rPr>
          <w:b/>
          <w:bCs/>
        </w:rPr>
      </w:pPr>
      <w:r>
        <w:rPr>
          <w:b/>
          <w:bCs/>
        </w:rPr>
        <w:t>по группам заболеваний в 1999 году</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7"/>
        <w:gridCol w:w="1103"/>
        <w:gridCol w:w="4965"/>
        <w:gridCol w:w="1298"/>
        <w:gridCol w:w="1388"/>
      </w:tblGrid>
      <w:tr w:rsidR="00000000">
        <w:tblPrEx>
          <w:tblCellMar>
            <w:top w:w="0" w:type="dxa"/>
            <w:bottom w:w="0" w:type="dxa"/>
          </w:tblCellMar>
        </w:tblPrEx>
        <w:trPr>
          <w:cantSplit/>
        </w:trPr>
        <w:tc>
          <w:tcPr>
            <w:tcW w:w="657" w:type="dxa"/>
            <w:tcBorders>
              <w:bottom w:val="single" w:sz="4" w:space="0" w:color="auto"/>
            </w:tcBorders>
          </w:tcPr>
          <w:p w:rsidR="00000000" w:rsidRDefault="00000000">
            <w:pPr>
              <w:jc w:val="center"/>
            </w:pPr>
            <w:r>
              <w:t>№</w:t>
            </w:r>
          </w:p>
        </w:tc>
        <w:tc>
          <w:tcPr>
            <w:tcW w:w="6068" w:type="dxa"/>
            <w:gridSpan w:val="2"/>
            <w:tcBorders>
              <w:bottom w:val="single" w:sz="4" w:space="0" w:color="auto"/>
            </w:tcBorders>
          </w:tcPr>
          <w:p w:rsidR="00000000" w:rsidRDefault="00000000">
            <w:pPr>
              <w:jc w:val="center"/>
              <w:rPr>
                <w:b/>
                <w:bCs/>
              </w:rPr>
            </w:pPr>
            <w:r>
              <w:t>Группы заболеваний</w:t>
            </w:r>
          </w:p>
        </w:tc>
        <w:tc>
          <w:tcPr>
            <w:tcW w:w="1298" w:type="dxa"/>
            <w:tcBorders>
              <w:bottom w:val="single" w:sz="4" w:space="0" w:color="auto"/>
            </w:tcBorders>
          </w:tcPr>
          <w:p w:rsidR="00000000" w:rsidRDefault="00000000">
            <w:pPr>
              <w:jc w:val="center"/>
            </w:pPr>
            <w:r>
              <w:t>Число</w:t>
            </w:r>
          </w:p>
        </w:tc>
        <w:tc>
          <w:tcPr>
            <w:tcW w:w="1388" w:type="dxa"/>
            <w:tcBorders>
              <w:bottom w:val="single" w:sz="4" w:space="0" w:color="auto"/>
            </w:tcBorders>
          </w:tcPr>
          <w:p w:rsidR="00000000" w:rsidRDefault="00000000">
            <w:pPr>
              <w:jc w:val="center"/>
            </w:pPr>
            <w:r>
              <w:t>Проценты</w:t>
            </w:r>
          </w:p>
        </w:tc>
      </w:tr>
      <w:tr w:rsidR="00000000">
        <w:tblPrEx>
          <w:tblCellMar>
            <w:top w:w="0" w:type="dxa"/>
            <w:bottom w:w="0" w:type="dxa"/>
          </w:tblCellMar>
        </w:tblPrEx>
        <w:trPr>
          <w:cantSplit/>
        </w:trPr>
        <w:tc>
          <w:tcPr>
            <w:tcW w:w="657" w:type="dxa"/>
            <w:tcBorders>
              <w:bottom w:val="nil"/>
            </w:tcBorders>
          </w:tcPr>
          <w:p w:rsidR="00000000" w:rsidRDefault="00000000">
            <w:pPr>
              <w:jc w:val="center"/>
            </w:pPr>
            <w:r>
              <w:t>1.</w:t>
            </w:r>
          </w:p>
        </w:tc>
        <w:tc>
          <w:tcPr>
            <w:tcW w:w="1103" w:type="dxa"/>
            <w:tcBorders>
              <w:bottom w:val="nil"/>
            </w:tcBorders>
          </w:tcPr>
          <w:p w:rsidR="00000000" w:rsidRDefault="00000000">
            <w:pPr>
              <w:jc w:val="center"/>
            </w:pPr>
            <w:r>
              <w:rPr>
                <w:lang w:val="en-US"/>
              </w:rPr>
              <w:t>IX</w:t>
            </w:r>
          </w:p>
        </w:tc>
        <w:tc>
          <w:tcPr>
            <w:tcW w:w="4965" w:type="dxa"/>
            <w:tcBorders>
              <w:bottom w:val="nil"/>
            </w:tcBorders>
          </w:tcPr>
          <w:p w:rsidR="00000000" w:rsidRDefault="00000000">
            <w:r>
              <w:t>Заболевания сердечно-сосудистой системы (100-199)</w:t>
            </w:r>
          </w:p>
        </w:tc>
        <w:tc>
          <w:tcPr>
            <w:tcW w:w="1298" w:type="dxa"/>
            <w:tcBorders>
              <w:bottom w:val="nil"/>
            </w:tcBorders>
          </w:tcPr>
          <w:p w:rsidR="00000000" w:rsidRDefault="00000000">
            <w:pPr>
              <w:jc w:val="center"/>
            </w:pPr>
            <w:r>
              <w:t>2 438</w:t>
            </w:r>
          </w:p>
        </w:tc>
        <w:tc>
          <w:tcPr>
            <w:tcW w:w="1388" w:type="dxa"/>
            <w:tcBorders>
              <w:bottom w:val="nil"/>
            </w:tcBorders>
          </w:tcPr>
          <w:p w:rsidR="00000000" w:rsidRDefault="00000000">
            <w:pPr>
              <w:jc w:val="center"/>
            </w:pPr>
            <w:r>
              <w:t>45,21</w:t>
            </w:r>
          </w:p>
        </w:tc>
      </w:tr>
      <w:tr w:rsidR="00000000">
        <w:tblPrEx>
          <w:tblCellMar>
            <w:top w:w="0" w:type="dxa"/>
            <w:bottom w:w="0" w:type="dxa"/>
          </w:tblCellMar>
        </w:tblPrEx>
        <w:trPr>
          <w:cantSplit/>
        </w:trPr>
        <w:tc>
          <w:tcPr>
            <w:tcW w:w="657" w:type="dxa"/>
            <w:tcBorders>
              <w:top w:val="nil"/>
              <w:bottom w:val="nil"/>
            </w:tcBorders>
          </w:tcPr>
          <w:p w:rsidR="00000000" w:rsidRDefault="00000000">
            <w:pPr>
              <w:jc w:val="center"/>
            </w:pPr>
            <w:r>
              <w:t>2.</w:t>
            </w:r>
          </w:p>
        </w:tc>
        <w:tc>
          <w:tcPr>
            <w:tcW w:w="1103" w:type="dxa"/>
            <w:tcBorders>
              <w:top w:val="nil"/>
              <w:bottom w:val="nil"/>
            </w:tcBorders>
          </w:tcPr>
          <w:p w:rsidR="00000000" w:rsidRDefault="00000000">
            <w:pPr>
              <w:jc w:val="center"/>
            </w:pPr>
            <w:r>
              <w:rPr>
                <w:lang w:val="en-US"/>
              </w:rPr>
              <w:t>II</w:t>
            </w:r>
          </w:p>
        </w:tc>
        <w:tc>
          <w:tcPr>
            <w:tcW w:w="4965" w:type="dxa"/>
            <w:tcBorders>
              <w:top w:val="nil"/>
              <w:bottom w:val="nil"/>
            </w:tcBorders>
          </w:tcPr>
          <w:p w:rsidR="00000000" w:rsidRDefault="00000000">
            <w:r>
              <w:t>Онкологические заболевания (С00-</w:t>
            </w:r>
            <w:r>
              <w:rPr>
                <w:lang w:val="en-US"/>
              </w:rPr>
              <w:t>D</w:t>
            </w:r>
            <w:r>
              <w:t>48)</w:t>
            </w:r>
          </w:p>
        </w:tc>
        <w:tc>
          <w:tcPr>
            <w:tcW w:w="1298" w:type="dxa"/>
            <w:tcBorders>
              <w:top w:val="nil"/>
              <w:bottom w:val="nil"/>
            </w:tcBorders>
          </w:tcPr>
          <w:p w:rsidR="00000000" w:rsidRDefault="00000000">
            <w:pPr>
              <w:jc w:val="center"/>
            </w:pPr>
            <w:r>
              <w:t>1 097</w:t>
            </w:r>
          </w:p>
        </w:tc>
        <w:tc>
          <w:tcPr>
            <w:tcW w:w="1388" w:type="dxa"/>
            <w:tcBorders>
              <w:top w:val="nil"/>
              <w:bottom w:val="nil"/>
            </w:tcBorders>
          </w:tcPr>
          <w:p w:rsidR="00000000" w:rsidRDefault="00000000">
            <w:pPr>
              <w:jc w:val="center"/>
            </w:pPr>
            <w:r>
              <w:t>20,34</w:t>
            </w:r>
          </w:p>
        </w:tc>
      </w:tr>
      <w:tr w:rsidR="00000000">
        <w:tblPrEx>
          <w:tblCellMar>
            <w:top w:w="0" w:type="dxa"/>
            <w:bottom w:w="0" w:type="dxa"/>
          </w:tblCellMar>
        </w:tblPrEx>
        <w:trPr>
          <w:cantSplit/>
        </w:trPr>
        <w:tc>
          <w:tcPr>
            <w:tcW w:w="657" w:type="dxa"/>
            <w:tcBorders>
              <w:top w:val="nil"/>
              <w:bottom w:val="nil"/>
            </w:tcBorders>
          </w:tcPr>
          <w:p w:rsidR="00000000" w:rsidRDefault="00000000">
            <w:pPr>
              <w:jc w:val="center"/>
            </w:pPr>
            <w:r>
              <w:t>3.</w:t>
            </w:r>
          </w:p>
        </w:tc>
        <w:tc>
          <w:tcPr>
            <w:tcW w:w="1103" w:type="dxa"/>
            <w:tcBorders>
              <w:top w:val="nil"/>
              <w:bottom w:val="nil"/>
            </w:tcBorders>
          </w:tcPr>
          <w:p w:rsidR="00000000" w:rsidRDefault="00000000">
            <w:pPr>
              <w:jc w:val="center"/>
            </w:pPr>
            <w:r>
              <w:rPr>
                <w:lang w:val="en-US"/>
              </w:rPr>
              <w:t>XIV</w:t>
            </w:r>
            <w:r>
              <w:t xml:space="preserve"> </w:t>
            </w:r>
            <w:r>
              <w:rPr>
                <w:lang w:val="en-US"/>
              </w:rPr>
              <w:t>II</w:t>
            </w:r>
          </w:p>
        </w:tc>
        <w:tc>
          <w:tcPr>
            <w:tcW w:w="4965" w:type="dxa"/>
            <w:tcBorders>
              <w:top w:val="nil"/>
              <w:bottom w:val="nil"/>
            </w:tcBorders>
          </w:tcPr>
          <w:p w:rsidR="00000000" w:rsidRDefault="00000000">
            <w:r>
              <w:t>Симптомы, проявления, лабораторные и  патологические обследования (</w:t>
            </w:r>
            <w:r>
              <w:rPr>
                <w:lang w:val="en-US"/>
              </w:rPr>
              <w:t>R</w:t>
            </w:r>
            <w:r>
              <w:t>00-</w:t>
            </w:r>
            <w:r>
              <w:rPr>
                <w:lang w:val="en-US"/>
              </w:rPr>
              <w:t>R</w:t>
            </w:r>
            <w:r>
              <w:t>99)</w:t>
            </w:r>
          </w:p>
        </w:tc>
        <w:tc>
          <w:tcPr>
            <w:tcW w:w="1298" w:type="dxa"/>
            <w:tcBorders>
              <w:top w:val="nil"/>
              <w:bottom w:val="nil"/>
            </w:tcBorders>
          </w:tcPr>
          <w:p w:rsidR="00000000" w:rsidRDefault="00000000">
            <w:pPr>
              <w:jc w:val="center"/>
            </w:pPr>
            <w:r>
              <w:t>820</w:t>
            </w:r>
          </w:p>
        </w:tc>
        <w:tc>
          <w:tcPr>
            <w:tcW w:w="1388" w:type="dxa"/>
            <w:tcBorders>
              <w:top w:val="nil"/>
              <w:bottom w:val="nil"/>
            </w:tcBorders>
          </w:tcPr>
          <w:p w:rsidR="00000000" w:rsidRDefault="00000000">
            <w:pPr>
              <w:jc w:val="center"/>
            </w:pPr>
            <w:r>
              <w:t>15,20</w:t>
            </w:r>
          </w:p>
        </w:tc>
      </w:tr>
      <w:tr w:rsidR="00000000">
        <w:tblPrEx>
          <w:tblCellMar>
            <w:top w:w="0" w:type="dxa"/>
            <w:bottom w:w="0" w:type="dxa"/>
          </w:tblCellMar>
        </w:tblPrEx>
        <w:trPr>
          <w:cantSplit/>
        </w:trPr>
        <w:tc>
          <w:tcPr>
            <w:tcW w:w="657" w:type="dxa"/>
            <w:tcBorders>
              <w:top w:val="nil"/>
              <w:bottom w:val="nil"/>
            </w:tcBorders>
          </w:tcPr>
          <w:p w:rsidR="00000000" w:rsidRDefault="00000000">
            <w:pPr>
              <w:jc w:val="center"/>
            </w:pPr>
            <w:r>
              <w:t>4.</w:t>
            </w:r>
          </w:p>
        </w:tc>
        <w:tc>
          <w:tcPr>
            <w:tcW w:w="1103" w:type="dxa"/>
            <w:tcBorders>
              <w:top w:val="nil"/>
              <w:bottom w:val="nil"/>
            </w:tcBorders>
          </w:tcPr>
          <w:p w:rsidR="00000000" w:rsidRDefault="00000000">
            <w:pPr>
              <w:jc w:val="center"/>
            </w:pPr>
            <w:r>
              <w:rPr>
                <w:lang w:val="en-US"/>
              </w:rPr>
              <w:t>XIX</w:t>
            </w:r>
          </w:p>
        </w:tc>
        <w:tc>
          <w:tcPr>
            <w:tcW w:w="4965" w:type="dxa"/>
            <w:tcBorders>
              <w:top w:val="nil"/>
              <w:bottom w:val="nil"/>
            </w:tcBorders>
          </w:tcPr>
          <w:p w:rsidR="00000000" w:rsidRDefault="00000000">
            <w:r>
              <w:t>Ранения, отравления, последствия воздействия внешних факторов (</w:t>
            </w:r>
            <w:r>
              <w:rPr>
                <w:lang w:val="en-US"/>
              </w:rPr>
              <w:t>S</w:t>
            </w:r>
            <w:r>
              <w:t>00-</w:t>
            </w:r>
            <w:r>
              <w:rPr>
                <w:lang w:val="en-US"/>
              </w:rPr>
              <w:t>T</w:t>
            </w:r>
            <w:r>
              <w:t>98)</w:t>
            </w:r>
          </w:p>
        </w:tc>
        <w:tc>
          <w:tcPr>
            <w:tcW w:w="1298" w:type="dxa"/>
            <w:tcBorders>
              <w:top w:val="nil"/>
              <w:bottom w:val="nil"/>
            </w:tcBorders>
          </w:tcPr>
          <w:p w:rsidR="00000000" w:rsidRDefault="00000000">
            <w:pPr>
              <w:jc w:val="center"/>
            </w:pPr>
            <w:r>
              <w:t>304</w:t>
            </w:r>
          </w:p>
        </w:tc>
        <w:tc>
          <w:tcPr>
            <w:tcW w:w="1388" w:type="dxa"/>
            <w:tcBorders>
              <w:top w:val="nil"/>
              <w:bottom w:val="nil"/>
            </w:tcBorders>
          </w:tcPr>
          <w:p w:rsidR="00000000" w:rsidRDefault="00000000">
            <w:pPr>
              <w:jc w:val="center"/>
            </w:pPr>
            <w:r>
              <w:t>5,64</w:t>
            </w:r>
          </w:p>
        </w:tc>
      </w:tr>
      <w:tr w:rsidR="00000000">
        <w:tblPrEx>
          <w:tblCellMar>
            <w:top w:w="0" w:type="dxa"/>
            <w:bottom w:w="0" w:type="dxa"/>
          </w:tblCellMar>
        </w:tblPrEx>
        <w:trPr>
          <w:cantSplit/>
        </w:trPr>
        <w:tc>
          <w:tcPr>
            <w:tcW w:w="657" w:type="dxa"/>
            <w:tcBorders>
              <w:top w:val="nil"/>
            </w:tcBorders>
          </w:tcPr>
          <w:p w:rsidR="00000000" w:rsidRDefault="00000000">
            <w:pPr>
              <w:jc w:val="center"/>
            </w:pPr>
            <w:r>
              <w:t>5.</w:t>
            </w:r>
          </w:p>
        </w:tc>
        <w:tc>
          <w:tcPr>
            <w:tcW w:w="1103" w:type="dxa"/>
            <w:tcBorders>
              <w:top w:val="nil"/>
            </w:tcBorders>
          </w:tcPr>
          <w:p w:rsidR="00000000" w:rsidRDefault="00000000">
            <w:pPr>
              <w:jc w:val="center"/>
            </w:pPr>
            <w:r>
              <w:rPr>
                <w:lang w:val="en-US"/>
              </w:rPr>
              <w:t>X</w:t>
            </w:r>
          </w:p>
        </w:tc>
        <w:tc>
          <w:tcPr>
            <w:tcW w:w="4965" w:type="dxa"/>
            <w:tcBorders>
              <w:top w:val="nil"/>
            </w:tcBorders>
          </w:tcPr>
          <w:p w:rsidR="00000000" w:rsidRDefault="00000000">
            <w:r>
              <w:t>Заболевания респираторной системы (</w:t>
            </w:r>
            <w:r>
              <w:rPr>
                <w:lang w:val="en-US"/>
              </w:rPr>
              <w:t>J</w:t>
            </w:r>
            <w:r>
              <w:t>00-</w:t>
            </w:r>
            <w:r>
              <w:rPr>
                <w:lang w:val="en-US"/>
              </w:rPr>
              <w:t>J</w:t>
            </w:r>
            <w:r>
              <w:t>99)</w:t>
            </w:r>
          </w:p>
        </w:tc>
        <w:tc>
          <w:tcPr>
            <w:tcW w:w="1298" w:type="dxa"/>
            <w:tcBorders>
              <w:top w:val="nil"/>
            </w:tcBorders>
          </w:tcPr>
          <w:p w:rsidR="00000000" w:rsidRDefault="00000000">
            <w:pPr>
              <w:jc w:val="center"/>
            </w:pPr>
            <w:r>
              <w:t>183</w:t>
            </w:r>
          </w:p>
        </w:tc>
        <w:tc>
          <w:tcPr>
            <w:tcW w:w="1388" w:type="dxa"/>
            <w:tcBorders>
              <w:top w:val="nil"/>
            </w:tcBorders>
          </w:tcPr>
          <w:p w:rsidR="00000000" w:rsidRDefault="00000000">
            <w:pPr>
              <w:jc w:val="center"/>
            </w:pPr>
            <w:r>
              <w:t>3,39</w:t>
            </w:r>
          </w:p>
        </w:tc>
      </w:tr>
      <w:tr w:rsidR="00000000">
        <w:tblPrEx>
          <w:tblCellMar>
            <w:top w:w="0" w:type="dxa"/>
            <w:bottom w:w="0" w:type="dxa"/>
          </w:tblCellMar>
        </w:tblPrEx>
        <w:trPr>
          <w:cantSplit/>
        </w:trPr>
        <w:tc>
          <w:tcPr>
            <w:tcW w:w="6725" w:type="dxa"/>
            <w:gridSpan w:val="3"/>
          </w:tcPr>
          <w:p w:rsidR="00000000" w:rsidRDefault="00000000">
            <w:r>
              <w:t>Общее количество смертей:</w:t>
            </w:r>
          </w:p>
        </w:tc>
        <w:tc>
          <w:tcPr>
            <w:tcW w:w="1298" w:type="dxa"/>
          </w:tcPr>
          <w:p w:rsidR="00000000" w:rsidRDefault="00000000">
            <w:pPr>
              <w:jc w:val="center"/>
            </w:pPr>
            <w:r>
              <w:t>5 393</w:t>
            </w:r>
          </w:p>
        </w:tc>
        <w:tc>
          <w:tcPr>
            <w:tcW w:w="1388" w:type="dxa"/>
          </w:tcPr>
          <w:p w:rsidR="00000000" w:rsidRDefault="00000000">
            <w:pPr>
              <w:jc w:val="center"/>
            </w:pPr>
            <w:r>
              <w:t>100,00</w:t>
            </w:r>
          </w:p>
        </w:tc>
      </w:tr>
    </w:tbl>
    <w:p w:rsidR="00000000" w:rsidRDefault="00000000">
      <w:pPr>
        <w:jc w:val="center"/>
        <w:rPr>
          <w:b/>
          <w:bCs/>
        </w:rPr>
      </w:pPr>
    </w:p>
    <w:p w:rsidR="00000000" w:rsidRDefault="00000000">
      <w:r>
        <w:t>636.</w:t>
      </w:r>
      <w:r>
        <w:tab/>
        <w:t>На территории Республики Черногории непрерывно и с относительно широким охватом осуществляется программа обязательной вакцинации для лиц определенного возраста.  С 1999 года большинство муниципалитетов достигли удовлетворительного охвата программами вакцинации (свыше 95%).</w:t>
      </w:r>
    </w:p>
    <w:p w:rsidR="00000000" w:rsidRDefault="00000000"/>
    <w:p w:rsidR="00000000" w:rsidRDefault="00000000">
      <w:r>
        <w:t>637.</w:t>
      </w:r>
      <w:r>
        <w:tab/>
        <w:t>В результате войны в Черногорию приехало значительное число беженцев и внутренних перемещенных лиц, что вызвало распространение инфекционных заболеваний.  В 1999 году в Черногории было зарегистрировано 10 107 инфекционных больных, что составляет 0,31 на 10 000 населения и равно среднему показателю за предыдущее десятилетие.</w:t>
      </w:r>
    </w:p>
    <w:p w:rsidR="00000000" w:rsidRDefault="00000000"/>
    <w:p w:rsidR="00000000" w:rsidRDefault="00000000">
      <w:r>
        <w:t>638.</w:t>
      </w:r>
      <w:r>
        <w:tab/>
        <w:t>Анализ по группам инфекционных заболеваний показывает, что наиболее распространенными являлись инфекционные респираторные заболевания (41,6%), кишечные инфекции (36,17%) и паразитарные и грибковые болезни (19,48%).  Из зарегистрированных инфекционных заболеваний в 1999 году наиболее распространенными были ветряная оспа (28,54%), острый энтероколит (23,94%), чесотка (8,6%), паротит (8,3%) и педикулез (8,4%).</w:t>
      </w:r>
    </w:p>
    <w:p w:rsidR="00000000" w:rsidRDefault="00000000"/>
    <w:p w:rsidR="00000000" w:rsidRDefault="00000000">
      <w:r>
        <w:t>639.</w:t>
      </w:r>
      <w:r>
        <w:tab/>
        <w:t>С 1989 года, когда был зарегистрирован первый случай ВИЧ-инфекции, до конца 2000 года было зарегистрировано 29 инфицированных лиц (7 вновь инфицированных, при этом в 2000 году ВИЧ-инфицированных зарегистрировано не было).  Из общего количества зарегистрированных лиц 16 скончалось (1 человек в 2000 году) и 14 являются носителями ВИЧ</w:t>
      </w:r>
      <w:r>
        <w:noBreakHyphen/>
        <w:t>инфекции.</w:t>
      </w:r>
    </w:p>
    <w:p w:rsidR="00000000" w:rsidRDefault="00000000"/>
    <w:p w:rsidR="00000000" w:rsidRDefault="00000000">
      <w:r>
        <w:t>640.</w:t>
      </w:r>
      <w:r>
        <w:tab/>
        <w:t xml:space="preserve">С точки зрения социальной медицины наиболее важное значение из всех заболеваний имеет туберкулез.  В 1999 году было зарегистрировано 144 случая заболевания активной формой туберкулеза, при этом уровень смертности составляет 22 на 100 000 населения.  </w:t>
      </w:r>
    </w:p>
    <w:p w:rsidR="00000000" w:rsidRDefault="00000000"/>
    <w:p w:rsidR="00000000" w:rsidRDefault="00000000">
      <w:r>
        <w:t>641.</w:t>
      </w:r>
      <w:r>
        <w:tab/>
        <w:t xml:space="preserve">Наиболее важным фактором, прямо или </w:t>
      </w:r>
      <w:proofErr w:type="spellStart"/>
      <w:r>
        <w:t>опосредованно</w:t>
      </w:r>
      <w:proofErr w:type="spellEnd"/>
      <w:r>
        <w:t xml:space="preserve"> оказывающим влияние на состояние здоровья населения, является окружающая среда.  Все остальные факторы (уровень здравоохранения, экономика, культура и т.д.) влияют на здоровье в меньшей мере.  Воздействие окружающей среды на состояние здоровья населения постоянно контролируется путем проверки качества питьевой воды, продуктов питания и товаров широкого потребления.  </w:t>
      </w:r>
    </w:p>
    <w:p w:rsidR="00000000" w:rsidRDefault="00000000"/>
    <w:p w:rsidR="00000000" w:rsidRDefault="00000000">
      <w:pPr>
        <w:rPr>
          <w:b/>
          <w:bCs/>
        </w:rPr>
      </w:pPr>
      <w:r>
        <w:rPr>
          <w:b/>
          <w:bCs/>
        </w:rPr>
        <w:t>Сеть и возможности учреждений здравоохранения</w:t>
      </w:r>
    </w:p>
    <w:p w:rsidR="00000000" w:rsidRDefault="00000000">
      <w:pPr>
        <w:rPr>
          <w:b/>
          <w:bCs/>
        </w:rPr>
      </w:pPr>
    </w:p>
    <w:p w:rsidR="00000000" w:rsidRDefault="00000000">
      <w:r>
        <w:t>642.</w:t>
      </w:r>
      <w:r>
        <w:tab/>
        <w:t xml:space="preserve">Система учреждений здравоохранения на территории Черногории включает 18 поликлиник, 7 больниц общего профиля, 3 специализированные больницы, Клинический центр Черногории в Подгорице, Институт здравоохранения Черногории, Государственный фармацевтический институт Черногории, Институт Игало имени доктора Сима Милошевича и кабинеты частных врачей. </w:t>
      </w:r>
    </w:p>
    <w:p w:rsidR="00000000" w:rsidRDefault="00000000"/>
    <w:p w:rsidR="00000000" w:rsidRDefault="00000000">
      <w:r>
        <w:t>643.</w:t>
      </w:r>
      <w:r>
        <w:tab/>
        <w:t xml:space="preserve">Возможности больниц на период до 2020 года запланированы с учетом постановления о количестве больничных коек в Республике Черногории из расчета четыре койки на 1 000 жителей.  </w:t>
      </w:r>
    </w:p>
    <w:p w:rsidR="00000000" w:rsidRDefault="00000000"/>
    <w:p w:rsidR="00000000" w:rsidRDefault="00000000">
      <w:pPr>
        <w:keepLines/>
      </w:pPr>
      <w:r>
        <w:t>644.</w:t>
      </w:r>
      <w:r>
        <w:tab/>
        <w:t>После основания медицинской школы, внедрения новых методов диагностики и закупки самого современного медицинского оборудования возникла необходимость изменения структуры вместимости специализированных больниц и повышения степени их специализации, поскольку ряд медицинских учреждений был укомплектован высококвалифицированными специалистами благодаря научно-технической работе и профессиональной подготовке в медицинской школе.  Это приводит к снижению количества пациентов, пользующихся медицинскими услугами за пределами Республики.</w:t>
      </w:r>
    </w:p>
    <w:p w:rsidR="00000000" w:rsidRDefault="00000000"/>
    <w:p w:rsidR="00000000" w:rsidRDefault="00000000">
      <w:pPr>
        <w:rPr>
          <w:b/>
          <w:bCs/>
        </w:rPr>
      </w:pPr>
      <w:r>
        <w:rPr>
          <w:b/>
          <w:bCs/>
        </w:rPr>
        <w:t>Медицинский персонал</w:t>
      </w:r>
    </w:p>
    <w:p w:rsidR="00000000" w:rsidRDefault="00000000">
      <w:pPr>
        <w:rPr>
          <w:b/>
          <w:bCs/>
        </w:rPr>
      </w:pPr>
    </w:p>
    <w:p w:rsidR="00000000" w:rsidRDefault="00000000">
      <w:r>
        <w:t>645.</w:t>
      </w:r>
      <w:r>
        <w:tab/>
        <w:t xml:space="preserve">Программа подготовки медицинского персонала направлена на увеличение доли медицинских работников в общей структуре работников в секторе здравоохранения, переквалификацию врачебно-медицинского персонала в соответствии с учебной программой медицинской школы и дополнительными программами образования для их работы в системе первичной медико-санитарной помощи. </w:t>
      </w:r>
    </w:p>
    <w:p w:rsidR="00000000" w:rsidRDefault="00000000"/>
    <w:p w:rsidR="00000000" w:rsidRDefault="00000000">
      <w:pPr>
        <w:jc w:val="center"/>
        <w:rPr>
          <w:b/>
          <w:bCs/>
        </w:rPr>
      </w:pPr>
      <w:r>
        <w:rPr>
          <w:b/>
          <w:bCs/>
        </w:rPr>
        <w:t>Таблица 3</w:t>
      </w:r>
    </w:p>
    <w:p w:rsidR="00000000" w:rsidRDefault="00000000">
      <w:pPr>
        <w:jc w:val="center"/>
        <w:rPr>
          <w:b/>
          <w:bCs/>
        </w:rPr>
      </w:pPr>
    </w:p>
    <w:p w:rsidR="00000000" w:rsidRDefault="00000000">
      <w:pPr>
        <w:jc w:val="center"/>
        <w:rPr>
          <w:b/>
          <w:bCs/>
        </w:rPr>
      </w:pPr>
      <w:r>
        <w:rPr>
          <w:b/>
          <w:bCs/>
        </w:rPr>
        <w:t xml:space="preserve">Численность и структура врачебного и вспомогательного персонала </w:t>
      </w:r>
      <w:r>
        <w:rPr>
          <w:b/>
          <w:bCs/>
        </w:rPr>
        <w:br/>
        <w:t>в Черногории, 2002 год</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9"/>
        <w:gridCol w:w="2431"/>
      </w:tblGrid>
      <w:tr w:rsidR="00000000">
        <w:tblPrEx>
          <w:tblCellMar>
            <w:top w:w="0" w:type="dxa"/>
            <w:bottom w:w="0" w:type="dxa"/>
          </w:tblCellMar>
        </w:tblPrEx>
        <w:tc>
          <w:tcPr>
            <w:tcW w:w="6919" w:type="dxa"/>
            <w:tcBorders>
              <w:bottom w:val="single" w:sz="4" w:space="0" w:color="auto"/>
            </w:tcBorders>
          </w:tcPr>
          <w:p w:rsidR="00000000" w:rsidRDefault="00000000">
            <w:r>
              <w:t>Медицинский персонал</w:t>
            </w:r>
          </w:p>
        </w:tc>
        <w:tc>
          <w:tcPr>
            <w:tcW w:w="2431" w:type="dxa"/>
            <w:tcBorders>
              <w:bottom w:val="single" w:sz="4" w:space="0" w:color="auto"/>
            </w:tcBorders>
          </w:tcPr>
          <w:p w:rsidR="00000000" w:rsidRDefault="00000000">
            <w:pPr>
              <w:pStyle w:val="16"/>
            </w:pPr>
            <w:r>
              <w:t>Количество</w:t>
            </w:r>
          </w:p>
        </w:tc>
      </w:tr>
      <w:tr w:rsidR="00000000">
        <w:tblPrEx>
          <w:tblCellMar>
            <w:top w:w="0" w:type="dxa"/>
            <w:bottom w:w="0" w:type="dxa"/>
          </w:tblCellMar>
        </w:tblPrEx>
        <w:tc>
          <w:tcPr>
            <w:tcW w:w="6919" w:type="dxa"/>
            <w:tcBorders>
              <w:bottom w:val="nil"/>
            </w:tcBorders>
          </w:tcPr>
          <w:p w:rsidR="00000000" w:rsidRDefault="00000000">
            <w:r>
              <w:t>Доктора, всего</w:t>
            </w:r>
          </w:p>
        </w:tc>
        <w:tc>
          <w:tcPr>
            <w:tcW w:w="2431" w:type="dxa"/>
            <w:tcBorders>
              <w:bottom w:val="nil"/>
            </w:tcBorders>
          </w:tcPr>
          <w:p w:rsidR="00000000" w:rsidRDefault="00000000">
            <w:pPr>
              <w:tabs>
                <w:tab w:val="clear" w:pos="1701"/>
                <w:tab w:val="clear" w:pos="2268"/>
                <w:tab w:val="left" w:pos="1575"/>
              </w:tabs>
              <w:ind w:right="640"/>
              <w:jc w:val="right"/>
            </w:pPr>
            <w:r>
              <w:t>1 033</w:t>
            </w:r>
          </w:p>
        </w:tc>
      </w:tr>
      <w:tr w:rsidR="00000000">
        <w:tblPrEx>
          <w:tblCellMar>
            <w:top w:w="0" w:type="dxa"/>
            <w:bottom w:w="0" w:type="dxa"/>
          </w:tblCellMar>
        </w:tblPrEx>
        <w:tc>
          <w:tcPr>
            <w:tcW w:w="6919" w:type="dxa"/>
            <w:tcBorders>
              <w:top w:val="nil"/>
              <w:bottom w:val="nil"/>
            </w:tcBorders>
          </w:tcPr>
          <w:p w:rsidR="00000000" w:rsidRDefault="00000000">
            <w:r>
              <w:t>Работники системы здравоохранения</w:t>
            </w:r>
          </w:p>
        </w:tc>
        <w:tc>
          <w:tcPr>
            <w:tcW w:w="2431" w:type="dxa"/>
            <w:tcBorders>
              <w:top w:val="nil"/>
              <w:bottom w:val="nil"/>
            </w:tcBorders>
          </w:tcPr>
          <w:p w:rsidR="00000000" w:rsidRDefault="00000000">
            <w:pPr>
              <w:tabs>
                <w:tab w:val="clear" w:pos="1701"/>
                <w:tab w:val="clear" w:pos="2268"/>
                <w:tab w:val="left" w:pos="1575"/>
              </w:tabs>
              <w:ind w:right="640"/>
              <w:jc w:val="right"/>
            </w:pPr>
            <w:r>
              <w:t>88</w:t>
            </w:r>
          </w:p>
        </w:tc>
      </w:tr>
      <w:tr w:rsidR="00000000">
        <w:tblPrEx>
          <w:tblCellMar>
            <w:top w:w="0" w:type="dxa"/>
            <w:bottom w:w="0" w:type="dxa"/>
          </w:tblCellMar>
        </w:tblPrEx>
        <w:tc>
          <w:tcPr>
            <w:tcW w:w="6919" w:type="dxa"/>
            <w:tcBorders>
              <w:top w:val="nil"/>
              <w:bottom w:val="nil"/>
            </w:tcBorders>
          </w:tcPr>
          <w:p w:rsidR="00000000" w:rsidRDefault="00000000">
            <w:r>
              <w:t>Зубные врачи</w:t>
            </w:r>
          </w:p>
        </w:tc>
        <w:tc>
          <w:tcPr>
            <w:tcW w:w="2431" w:type="dxa"/>
            <w:tcBorders>
              <w:top w:val="nil"/>
              <w:bottom w:val="nil"/>
            </w:tcBorders>
          </w:tcPr>
          <w:p w:rsidR="00000000" w:rsidRDefault="00000000">
            <w:pPr>
              <w:tabs>
                <w:tab w:val="clear" w:pos="1701"/>
                <w:tab w:val="clear" w:pos="2268"/>
                <w:tab w:val="left" w:pos="1575"/>
              </w:tabs>
              <w:ind w:right="640"/>
              <w:jc w:val="right"/>
            </w:pPr>
            <w:r>
              <w:t>285</w:t>
            </w:r>
          </w:p>
        </w:tc>
      </w:tr>
      <w:tr w:rsidR="00000000">
        <w:tblPrEx>
          <w:tblCellMar>
            <w:top w:w="0" w:type="dxa"/>
            <w:bottom w:w="0" w:type="dxa"/>
          </w:tblCellMar>
        </w:tblPrEx>
        <w:tc>
          <w:tcPr>
            <w:tcW w:w="6919" w:type="dxa"/>
            <w:tcBorders>
              <w:top w:val="nil"/>
              <w:bottom w:val="nil"/>
            </w:tcBorders>
          </w:tcPr>
          <w:p w:rsidR="00000000" w:rsidRDefault="00000000">
            <w:r>
              <w:t>Фармакологи</w:t>
            </w:r>
          </w:p>
        </w:tc>
        <w:tc>
          <w:tcPr>
            <w:tcW w:w="2431" w:type="dxa"/>
            <w:tcBorders>
              <w:top w:val="nil"/>
              <w:bottom w:val="nil"/>
            </w:tcBorders>
          </w:tcPr>
          <w:p w:rsidR="00000000" w:rsidRDefault="00000000">
            <w:pPr>
              <w:tabs>
                <w:tab w:val="clear" w:pos="1701"/>
                <w:tab w:val="clear" w:pos="2268"/>
                <w:tab w:val="left" w:pos="1575"/>
              </w:tabs>
              <w:ind w:right="640"/>
              <w:jc w:val="right"/>
            </w:pPr>
            <w:r>
              <w:t>148</w:t>
            </w:r>
          </w:p>
        </w:tc>
      </w:tr>
      <w:tr w:rsidR="00000000">
        <w:tblPrEx>
          <w:tblCellMar>
            <w:top w:w="0" w:type="dxa"/>
            <w:bottom w:w="0" w:type="dxa"/>
          </w:tblCellMar>
        </w:tblPrEx>
        <w:tc>
          <w:tcPr>
            <w:tcW w:w="6919" w:type="dxa"/>
            <w:tcBorders>
              <w:top w:val="nil"/>
            </w:tcBorders>
          </w:tcPr>
          <w:p w:rsidR="00000000" w:rsidRDefault="00000000">
            <w:r>
              <w:t xml:space="preserve">Другие медицинские работники со средним и двухлетним послесредним образованием </w:t>
            </w:r>
          </w:p>
        </w:tc>
        <w:tc>
          <w:tcPr>
            <w:tcW w:w="2431" w:type="dxa"/>
            <w:tcBorders>
              <w:top w:val="nil"/>
            </w:tcBorders>
          </w:tcPr>
          <w:p w:rsidR="00000000" w:rsidRDefault="00000000">
            <w:pPr>
              <w:tabs>
                <w:tab w:val="clear" w:pos="1701"/>
                <w:tab w:val="clear" w:pos="2268"/>
                <w:tab w:val="left" w:pos="1575"/>
              </w:tabs>
              <w:ind w:right="640"/>
              <w:jc w:val="right"/>
            </w:pPr>
            <w:r>
              <w:t>3 643</w:t>
            </w:r>
          </w:p>
        </w:tc>
      </w:tr>
      <w:tr w:rsidR="00000000">
        <w:tblPrEx>
          <w:tblCellMar>
            <w:top w:w="0" w:type="dxa"/>
            <w:bottom w:w="0" w:type="dxa"/>
          </w:tblCellMar>
        </w:tblPrEx>
        <w:tc>
          <w:tcPr>
            <w:tcW w:w="6919" w:type="dxa"/>
          </w:tcPr>
          <w:p w:rsidR="00000000" w:rsidRDefault="00000000">
            <w:r>
              <w:t>Всего</w:t>
            </w:r>
          </w:p>
        </w:tc>
        <w:tc>
          <w:tcPr>
            <w:tcW w:w="2431" w:type="dxa"/>
          </w:tcPr>
          <w:p w:rsidR="00000000" w:rsidRDefault="00000000">
            <w:pPr>
              <w:tabs>
                <w:tab w:val="clear" w:pos="1701"/>
                <w:tab w:val="clear" w:pos="2268"/>
                <w:tab w:val="left" w:pos="1575"/>
              </w:tabs>
              <w:ind w:right="640"/>
              <w:jc w:val="right"/>
            </w:pPr>
            <w:r>
              <w:t>5 197</w:t>
            </w:r>
          </w:p>
        </w:tc>
      </w:tr>
    </w:tbl>
    <w:p w:rsidR="00000000" w:rsidRDefault="00000000"/>
    <w:p w:rsidR="00000000" w:rsidRDefault="00000000">
      <w:r>
        <w:t>646.</w:t>
      </w:r>
      <w:r>
        <w:tab/>
        <w:t>Одним из ключевых параметров службы здравоохранения и необходимым предварительным условием улучшения состояния здоровья населения является соотношение численности медицинского персонала и населения.</w:t>
      </w:r>
    </w:p>
    <w:p w:rsidR="00000000" w:rsidRDefault="00000000"/>
    <w:p w:rsidR="00000000" w:rsidRDefault="00000000">
      <w:r>
        <w:tab/>
        <w:t>Охват населения медицинскими работниками характеризуется следующей статистикой:</w:t>
      </w:r>
    </w:p>
    <w:p w:rsidR="00000000" w:rsidRDefault="00000000"/>
    <w:p w:rsidR="00000000" w:rsidRDefault="00000000">
      <w:r>
        <w:tab/>
        <w:t>-</w:t>
      </w:r>
      <w:r>
        <w:tab/>
        <w:t>632,6 человека на каждого врача;</w:t>
      </w:r>
    </w:p>
    <w:p w:rsidR="00000000" w:rsidRDefault="00000000"/>
    <w:p w:rsidR="00000000" w:rsidRDefault="00000000">
      <w:pPr>
        <w:ind w:left="1134" w:hanging="1134"/>
      </w:pPr>
      <w:r>
        <w:tab/>
        <w:t>-</w:t>
      </w:r>
      <w:r>
        <w:tab/>
        <w:t>1 162,8 человека на каждого врача в системе первичной медико-санитарной помощи;</w:t>
      </w:r>
    </w:p>
    <w:p w:rsidR="00000000" w:rsidRDefault="00000000">
      <w:pPr>
        <w:ind w:left="1134" w:hanging="1134"/>
      </w:pPr>
    </w:p>
    <w:p w:rsidR="00000000" w:rsidRDefault="00000000">
      <w:pPr>
        <w:ind w:left="1134" w:hanging="1134"/>
      </w:pPr>
      <w:r>
        <w:tab/>
        <w:t>-</w:t>
      </w:r>
      <w:r>
        <w:tab/>
        <w:t>2 269,2 человека на каждого врача в системе вторичной медико-санитарной помощи;</w:t>
      </w:r>
    </w:p>
    <w:p w:rsidR="00000000" w:rsidRDefault="00000000">
      <w:pPr>
        <w:ind w:left="1134" w:hanging="1134"/>
      </w:pPr>
    </w:p>
    <w:p w:rsidR="00000000" w:rsidRDefault="00000000">
      <w:pPr>
        <w:ind w:left="1134" w:hanging="1134"/>
      </w:pPr>
      <w:r>
        <w:tab/>
        <w:t>-</w:t>
      </w:r>
      <w:r>
        <w:tab/>
        <w:t xml:space="preserve">3 571,2 человека на каждого врача в специализированных и полуспециализированных медицинских учреждениях;  </w:t>
      </w:r>
    </w:p>
    <w:p w:rsidR="00000000" w:rsidRDefault="00000000">
      <w:pPr>
        <w:ind w:left="1134" w:hanging="1134"/>
      </w:pPr>
    </w:p>
    <w:p w:rsidR="00000000" w:rsidRDefault="00000000">
      <w:pPr>
        <w:ind w:left="1134" w:hanging="1134"/>
      </w:pPr>
      <w:r>
        <w:tab/>
        <w:t>-</w:t>
      </w:r>
      <w:r>
        <w:tab/>
        <w:t>2 293,1 человека на каждого фармаколога;  и</w:t>
      </w:r>
    </w:p>
    <w:p w:rsidR="00000000" w:rsidRDefault="00000000">
      <w:pPr>
        <w:ind w:left="1134" w:hanging="1134"/>
      </w:pPr>
    </w:p>
    <w:p w:rsidR="00000000" w:rsidRDefault="00000000">
      <w:pPr>
        <w:ind w:left="1134" w:hanging="1134"/>
      </w:pPr>
      <w:r>
        <w:tab/>
        <w:t>-</w:t>
      </w:r>
      <w:r>
        <w:tab/>
        <w:t>181,2 человека на каждого работника здравоохранения со средним или послесредним образованием.</w:t>
      </w:r>
    </w:p>
    <w:p w:rsidR="00000000" w:rsidRDefault="00000000">
      <w:pPr>
        <w:ind w:left="1134" w:hanging="1134"/>
      </w:pPr>
    </w:p>
    <w:p w:rsidR="00000000" w:rsidRDefault="00000000">
      <w:r>
        <w:t>647.</w:t>
      </w:r>
      <w:r>
        <w:tab/>
        <w:t xml:space="preserve">Численность медицинского персонала регулируется в соответствии с действующими стандартами с учетом динамики изменения населения и количества больничных мест.  Имеющиеся данные указывают на отсутствие роста численности медицинского персонала в соответствии с ростом численности пациентов лечебных учреждений или койко-мест, поскольку, как было выявлено, возможности больниц и количество услуг не соответствуют предусмотренным критериям.  </w:t>
      </w:r>
    </w:p>
    <w:p w:rsidR="00000000" w:rsidRDefault="00000000"/>
    <w:p w:rsidR="00000000" w:rsidRDefault="00000000">
      <w:r>
        <w:t>648.</w:t>
      </w:r>
      <w:r>
        <w:tab/>
        <w:t xml:space="preserve">Поскольку в течение последних нескольких лет вопросам мониторинга и внедрения новых тенденций в медицине и технологии за счет закупки современного оборудования, разработки информационных систем и профессиональной подготовки врачебного персонала уделяется значительно более пристальное внимание, было признано необходимым начать подготовку изменений и дополнений ко всем нормам и правилам, регулирующим деятельность в секторе здравоохранения.  В случае внесения таких изменений и дополнений соответствующие нормы и правила будут ориентированы на оказание поддержки ряду работников системы здравоохранения.  В настоящее время в секторе здравоохранения насчитывается в общей сложности 7 696 работников, из которых 5 570 относятся к врачебному и 2 126 - к </w:t>
      </w:r>
      <w:proofErr w:type="spellStart"/>
      <w:r>
        <w:t>неврачебному</w:t>
      </w:r>
      <w:proofErr w:type="spellEnd"/>
      <w:r>
        <w:t xml:space="preserve"> персоналу.  Институт здравоохранения начал проработку этой проблемы в 2001 году.  </w:t>
      </w:r>
    </w:p>
    <w:p w:rsidR="00000000" w:rsidRDefault="00000000"/>
    <w:p w:rsidR="00000000" w:rsidRDefault="00000000">
      <w:r>
        <w:t>649.</w:t>
      </w:r>
      <w:r>
        <w:tab/>
        <w:t xml:space="preserve">Работа по подготовке правил об услугах и персонале для системы первичной медико-санитарной помощи была завершена в первом квартале 2002 года.  Раздел правил, касающийся систем вторичного и третичного медико-санитарного обслуживания, была завершена в конце июня 2002 года.  </w:t>
      </w:r>
    </w:p>
    <w:p w:rsidR="00000000" w:rsidRDefault="00000000"/>
    <w:p w:rsidR="00000000" w:rsidRDefault="00000000">
      <w:pPr>
        <w:keepNext/>
        <w:rPr>
          <w:b/>
          <w:bCs/>
        </w:rPr>
      </w:pPr>
      <w:r>
        <w:rPr>
          <w:b/>
          <w:bCs/>
        </w:rPr>
        <w:t>Пункт 2 а)</w:t>
      </w:r>
    </w:p>
    <w:p w:rsidR="00000000" w:rsidRDefault="00000000">
      <w:pPr>
        <w:keepNext/>
        <w:rPr>
          <w:b/>
          <w:bCs/>
        </w:rPr>
      </w:pPr>
    </w:p>
    <w:p w:rsidR="00000000" w:rsidRDefault="00000000">
      <w:pPr>
        <w:keepNext/>
      </w:pPr>
      <w:r>
        <w:t>650.</w:t>
      </w:r>
      <w:r>
        <w:tab/>
        <w:t>Единственной информацией о детской смертности, которой мы располагаем, являются общие статистические данные за 2001 год, согласно которым:</w:t>
      </w:r>
    </w:p>
    <w:p w:rsidR="00000000" w:rsidRDefault="00000000"/>
    <w:p w:rsidR="00000000" w:rsidRDefault="00000000">
      <w:r>
        <w:tab/>
        <w:t>-</w:t>
      </w:r>
      <w:r>
        <w:tab/>
        <w:t>общий коэффициент рождаемости составляет 13,3% (13,9% в 2000 году);</w:t>
      </w:r>
    </w:p>
    <w:p w:rsidR="00000000" w:rsidRDefault="00000000"/>
    <w:p w:rsidR="00000000" w:rsidRDefault="00000000">
      <w:r>
        <w:tab/>
        <w:t>-</w:t>
      </w:r>
      <w:r>
        <w:tab/>
        <w:t>общий коэффициент смертности составляет 8,2% (неизменный с 2000 года);</w:t>
      </w:r>
    </w:p>
    <w:p w:rsidR="00000000" w:rsidRDefault="00000000"/>
    <w:p w:rsidR="00000000" w:rsidRDefault="00000000">
      <w:pPr>
        <w:ind w:left="1134" w:hanging="1134"/>
      </w:pPr>
      <w:r>
        <w:tab/>
        <w:t>-</w:t>
      </w:r>
      <w:r>
        <w:tab/>
        <w:t>коэффициент естественного прироста населения составляет 5,1% (5,7% в 2000 году);</w:t>
      </w:r>
    </w:p>
    <w:p w:rsidR="00000000" w:rsidRDefault="00000000">
      <w:pPr>
        <w:ind w:left="1134" w:hanging="1134"/>
      </w:pPr>
    </w:p>
    <w:p w:rsidR="00000000" w:rsidRDefault="00000000">
      <w:pPr>
        <w:ind w:left="1134" w:hanging="1134"/>
      </w:pPr>
      <w:r>
        <w:tab/>
        <w:t>-</w:t>
      </w:r>
      <w:r>
        <w:tab/>
        <w:t>коэффициент детской смертности составляет 12,9% (10,9% в 2000 году);  и</w:t>
      </w:r>
    </w:p>
    <w:p w:rsidR="00000000" w:rsidRDefault="00000000">
      <w:pPr>
        <w:ind w:left="1134" w:hanging="1134"/>
      </w:pPr>
    </w:p>
    <w:p w:rsidR="00000000" w:rsidRDefault="00000000">
      <w:pPr>
        <w:ind w:left="1134" w:hanging="1134"/>
      </w:pPr>
      <w:r>
        <w:tab/>
        <w:t>-</w:t>
      </w:r>
      <w:r>
        <w:tab/>
        <w:t>индекс жизнеспособности составляет 162,4 (169,9 в 2000 году).</w:t>
      </w:r>
    </w:p>
    <w:p w:rsidR="00000000" w:rsidRDefault="00000000">
      <w:pPr>
        <w:ind w:left="1134" w:hanging="1134"/>
      </w:pPr>
    </w:p>
    <w:p w:rsidR="00000000" w:rsidRDefault="00000000">
      <w:r>
        <w:t>651.</w:t>
      </w:r>
      <w:r>
        <w:tab/>
        <w:t>Данные о причинах смерти были подготовлены Федеральным управлением статистики для нужд Республиканского статистического управления.  Эти данные приводятся в разбивке по возрасту, полу, причине смерти и отдельным муниципальным образованиям (города, деревни и др.).  Указанная работа пока еще не проделана за 2001 год ни для Союзной Республики Югославии, ни для двух республик, Сербии и Черногории, и в этом отношении мы не может выполнить предусмотренные требования.</w:t>
      </w:r>
    </w:p>
    <w:p w:rsidR="00000000" w:rsidRDefault="00000000"/>
    <w:p w:rsidR="00000000" w:rsidRDefault="00000000">
      <w:r>
        <w:t>652.</w:t>
      </w:r>
      <w:r>
        <w:tab/>
        <w:t>На основе имеющихся данных можно сделать следующие выводы:</w:t>
      </w:r>
    </w:p>
    <w:p w:rsidR="00000000" w:rsidRDefault="00000000"/>
    <w:p w:rsidR="00000000" w:rsidRDefault="00000000">
      <w:r>
        <w:tab/>
        <w:t>а)</w:t>
      </w:r>
      <w:r>
        <w:tab/>
        <w:t>из общего количества смертей (5 412) количество умерших детей в разбивке по возрасту составляет:</w:t>
      </w:r>
    </w:p>
    <w:p w:rsidR="00000000" w:rsidRDefault="00000000"/>
    <w:p w:rsidR="00000000" w:rsidRDefault="00000000">
      <w:r>
        <w:tab/>
        <w:t>-</w:t>
      </w:r>
      <w:r>
        <w:tab/>
        <w:t xml:space="preserve">0-14 лет - 130, или 2,4% (мальчики - 2,78%;  девочки - </w:t>
      </w:r>
      <w:proofErr w:type="spellStart"/>
      <w:r>
        <w:t>1,99%</w:t>
      </w:r>
      <w:proofErr w:type="spellEnd"/>
      <w:r>
        <w:t>);</w:t>
      </w:r>
    </w:p>
    <w:p w:rsidR="00000000" w:rsidRDefault="00000000"/>
    <w:p w:rsidR="00000000" w:rsidRDefault="00000000">
      <w:r>
        <w:tab/>
        <w:t>-</w:t>
      </w:r>
      <w:r>
        <w:tab/>
        <w:t>15-19 лет - 22, или 0,41% (мальчики - 0,54%;  девочки - 0,27%);  и</w:t>
      </w:r>
    </w:p>
    <w:p w:rsidR="00000000" w:rsidRDefault="00000000"/>
    <w:p w:rsidR="00000000" w:rsidRDefault="00000000">
      <w:r>
        <w:tab/>
        <w:t>-</w:t>
      </w:r>
      <w:r>
        <w:tab/>
        <w:t xml:space="preserve">0-19 лет - 152, или 2,81% (мальчики - 3,32%;  девочки - </w:t>
      </w:r>
      <w:proofErr w:type="spellStart"/>
      <w:r>
        <w:t>2,26%</w:t>
      </w:r>
      <w:proofErr w:type="spellEnd"/>
      <w:r>
        <w:t>);</w:t>
      </w:r>
    </w:p>
    <w:p w:rsidR="00000000" w:rsidRDefault="00000000"/>
    <w:p w:rsidR="00000000" w:rsidRDefault="00000000">
      <w:r>
        <w:tab/>
      </w:r>
      <w:proofErr w:type="spellStart"/>
      <w:r>
        <w:t>b</w:t>
      </w:r>
      <w:proofErr w:type="spellEnd"/>
      <w:r>
        <w:t>)</w:t>
      </w:r>
      <w:r>
        <w:tab/>
        <w:t>что касается структуры смертности, то количество умерших детей в разбивке по группам заболеваний является следующим:</w:t>
      </w:r>
    </w:p>
    <w:p w:rsidR="00000000" w:rsidRDefault="00000000"/>
    <w:p w:rsidR="00000000" w:rsidRDefault="00000000">
      <w:pPr>
        <w:ind w:left="1134" w:hanging="1134"/>
      </w:pPr>
      <w:r>
        <w:tab/>
        <w:t>-</w:t>
      </w:r>
      <w:r>
        <w:tab/>
        <w:t xml:space="preserve">опухолевые заболевания - шесть, или </w:t>
      </w:r>
      <w:proofErr w:type="spellStart"/>
      <w:r>
        <w:t>0,68%</w:t>
      </w:r>
      <w:proofErr w:type="spellEnd"/>
      <w:r>
        <w:t xml:space="preserve"> (мальчики - 1,14%;  девочки </w:t>
      </w:r>
      <w:r>
        <w:noBreakHyphen/>
        <w:t> </w:t>
      </w:r>
      <w:proofErr w:type="spellStart"/>
      <w:r>
        <w:t>0,00%</w:t>
      </w:r>
      <w:proofErr w:type="spellEnd"/>
      <w:r>
        <w:t>);</w:t>
      </w:r>
    </w:p>
    <w:p w:rsidR="00000000" w:rsidRDefault="00000000">
      <w:pPr>
        <w:ind w:left="1134" w:hanging="1134"/>
      </w:pPr>
    </w:p>
    <w:p w:rsidR="00000000" w:rsidRDefault="00000000">
      <w:pPr>
        <w:ind w:left="1134" w:hanging="1134"/>
      </w:pPr>
      <w:r>
        <w:tab/>
        <w:t>-</w:t>
      </w:r>
      <w:r>
        <w:tab/>
        <w:t xml:space="preserve">сосудистые заболевания - 14, или 0,48% (мальчики - 0,35%;  девочки - </w:t>
      </w:r>
      <w:proofErr w:type="spellStart"/>
      <w:r>
        <w:t>0,60%</w:t>
      </w:r>
      <w:proofErr w:type="spellEnd"/>
      <w:r>
        <w:t>);</w:t>
      </w:r>
    </w:p>
    <w:p w:rsidR="00000000" w:rsidRDefault="00000000">
      <w:pPr>
        <w:ind w:left="1134" w:hanging="1134"/>
      </w:pPr>
    </w:p>
    <w:p w:rsidR="00000000" w:rsidRDefault="00000000">
      <w:pPr>
        <w:ind w:left="1134" w:hanging="1134"/>
      </w:pPr>
      <w:r>
        <w:tab/>
        <w:t>-</w:t>
      </w:r>
      <w:r>
        <w:tab/>
        <w:t>заболевания в перенатальный период - 12;</w:t>
      </w:r>
    </w:p>
    <w:p w:rsidR="00000000" w:rsidRDefault="00000000">
      <w:pPr>
        <w:ind w:left="1134" w:hanging="1134"/>
      </w:pPr>
    </w:p>
    <w:p w:rsidR="00000000" w:rsidRDefault="00000000">
      <w:pPr>
        <w:ind w:left="1134" w:hanging="1134"/>
      </w:pPr>
      <w:r>
        <w:tab/>
        <w:t>-</w:t>
      </w:r>
      <w:r>
        <w:tab/>
        <w:t>врожденные отклонения и аномалии - 12;</w:t>
      </w:r>
    </w:p>
    <w:p w:rsidR="00000000" w:rsidRDefault="00000000">
      <w:pPr>
        <w:ind w:left="1134" w:hanging="1134"/>
      </w:pPr>
    </w:p>
    <w:p w:rsidR="00000000" w:rsidRDefault="00000000">
      <w:pPr>
        <w:ind w:left="1134" w:hanging="1134"/>
      </w:pPr>
      <w:r>
        <w:tab/>
        <w:t>-</w:t>
      </w:r>
      <w:r>
        <w:tab/>
        <w:t xml:space="preserve">симптомы проявления и патологические клинические и лабораторные обследования - 14, или </w:t>
      </w:r>
      <w:proofErr w:type="spellStart"/>
      <w:r>
        <w:t>2,06%</w:t>
      </w:r>
      <w:proofErr w:type="spellEnd"/>
      <w:r>
        <w:t xml:space="preserve"> (мальчики - 2,48%;  девочки - </w:t>
      </w:r>
      <w:proofErr w:type="spellStart"/>
      <w:r>
        <w:t>1,68%</w:t>
      </w:r>
      <w:proofErr w:type="spellEnd"/>
      <w:r>
        <w:t>);</w:t>
      </w:r>
    </w:p>
    <w:p w:rsidR="00000000" w:rsidRDefault="00000000">
      <w:pPr>
        <w:ind w:left="1134" w:hanging="1134"/>
      </w:pPr>
    </w:p>
    <w:p w:rsidR="00000000" w:rsidRDefault="00000000">
      <w:pPr>
        <w:ind w:left="1134" w:hanging="1134"/>
      </w:pPr>
      <w:r>
        <w:tab/>
        <w:t>-</w:t>
      </w:r>
      <w:r>
        <w:tab/>
        <w:t>заболевания нервной системы - три, или 11,11% (мальчики - 27,27%;  девочки </w:t>
      </w:r>
      <w:r>
        <w:noBreakHyphen/>
        <w:t> </w:t>
      </w:r>
      <w:proofErr w:type="spellStart"/>
      <w:r>
        <w:t>0,00%</w:t>
      </w:r>
      <w:proofErr w:type="spellEnd"/>
      <w:r>
        <w:t>);</w:t>
      </w:r>
    </w:p>
    <w:p w:rsidR="00000000" w:rsidRDefault="00000000">
      <w:pPr>
        <w:ind w:left="1134" w:hanging="1134"/>
      </w:pPr>
    </w:p>
    <w:p w:rsidR="00000000" w:rsidRDefault="00000000">
      <w:pPr>
        <w:ind w:left="1134" w:hanging="1134"/>
      </w:pPr>
      <w:r>
        <w:tab/>
        <w:t>-</w:t>
      </w:r>
      <w:r>
        <w:tab/>
        <w:t xml:space="preserve">заболевания респираторной системы - два, или 0,91% (мальчики - 0,76%;  девочки - </w:t>
      </w:r>
      <w:proofErr w:type="spellStart"/>
      <w:r>
        <w:t>1,15%</w:t>
      </w:r>
      <w:proofErr w:type="spellEnd"/>
      <w:r>
        <w:t>);</w:t>
      </w:r>
    </w:p>
    <w:p w:rsidR="00000000" w:rsidRDefault="00000000">
      <w:pPr>
        <w:ind w:left="1134" w:hanging="1134"/>
      </w:pPr>
    </w:p>
    <w:p w:rsidR="00000000" w:rsidRDefault="00000000">
      <w:pPr>
        <w:ind w:left="1134" w:hanging="1134"/>
      </w:pPr>
      <w:r>
        <w:tab/>
        <w:t>-</w:t>
      </w:r>
      <w:r>
        <w:tab/>
        <w:t xml:space="preserve">инфекционные и паразитарные заболевания - два, или 16,67% (мальчики - 25%;  девочки - </w:t>
      </w:r>
      <w:proofErr w:type="spellStart"/>
      <w:r>
        <w:t>0,00%</w:t>
      </w:r>
      <w:proofErr w:type="spellEnd"/>
      <w:r>
        <w:t>);</w:t>
      </w:r>
    </w:p>
    <w:p w:rsidR="00000000" w:rsidRDefault="00000000">
      <w:pPr>
        <w:ind w:left="1134" w:hanging="1134"/>
      </w:pPr>
    </w:p>
    <w:p w:rsidR="00000000" w:rsidRDefault="00000000">
      <w:pPr>
        <w:ind w:left="1134" w:hanging="1134"/>
      </w:pPr>
      <w:r>
        <w:tab/>
        <w:t>-</w:t>
      </w:r>
      <w:r>
        <w:tab/>
        <w:t>травмы, отравления и последствия негативного воздействия внешних факторов </w:t>
      </w:r>
      <w:r>
        <w:noBreakHyphen/>
        <w:t xml:space="preserve"> четыре, или 1,63% (мальчики - 1,70%;  девочки - 1,40%);  и</w:t>
      </w:r>
    </w:p>
    <w:p w:rsidR="00000000" w:rsidRDefault="00000000">
      <w:pPr>
        <w:ind w:left="1134" w:hanging="1134"/>
      </w:pPr>
    </w:p>
    <w:p w:rsidR="00000000" w:rsidRDefault="00000000">
      <w:pPr>
        <w:ind w:left="1134" w:hanging="1134"/>
      </w:pPr>
      <w:r>
        <w:tab/>
        <w:t>-</w:t>
      </w:r>
      <w:r>
        <w:tab/>
        <w:t>один ребенок скончался от заболевания пищеварительной системы и один - от заболевания эндокринной системы.</w:t>
      </w:r>
    </w:p>
    <w:p w:rsidR="00000000" w:rsidRDefault="00000000">
      <w:pPr>
        <w:ind w:left="1134" w:hanging="1134"/>
      </w:pPr>
    </w:p>
    <w:p w:rsidR="00000000" w:rsidRDefault="00000000">
      <w:r>
        <w:t>653.</w:t>
      </w:r>
      <w:r>
        <w:tab/>
        <w:t>Умершие в возрастной группе 15-19 лет (22 человека) относятся к возрастной группе 15-24 лет, в которой зарегистрировано 59 смертей.  Поскольку из 51 умершего 11 человек умерли от сосудистых заболеваний, 11 - от симптомов и проявлений, выявленных в ходе патологических, клинических и лабораторных обследований, 29 </w:t>
      </w:r>
      <w:r>
        <w:noBreakHyphen/>
        <w:t xml:space="preserve"> от полученных травм, отравлений и последствий внешних воздействий, то можно заключить, что большинство смертельных случаев происходит в возрастной группе 15-19 лет, поскольку 22 человека в этой группе скончались от одной из трех перечисленных причин. </w:t>
      </w:r>
    </w:p>
    <w:p w:rsidR="00000000" w:rsidRDefault="00000000"/>
    <w:p w:rsidR="00000000" w:rsidRDefault="00000000">
      <w:r>
        <w:t>654.</w:t>
      </w:r>
      <w:r>
        <w:tab/>
        <w:t>В соответствии с демографическими прогнозами на 2000 год (Программа охраны здоровья населения Черногории на 2000 год) в возрастной группе 0-18 лет было зарегистрировано 188 000 детей.  Таким образом, можно произвести расчет соответствующих коэффициентов смертности в разбивке по отдельным заболеваниям для всего населения в этой возрастной группе.</w:t>
      </w:r>
    </w:p>
    <w:p w:rsidR="00000000" w:rsidRDefault="00000000"/>
    <w:p w:rsidR="00000000" w:rsidRDefault="00000000">
      <w:r>
        <w:t>655.</w:t>
      </w:r>
      <w:r>
        <w:tab/>
        <w:t xml:space="preserve">Программа охраны здоровья на 2001 год в Черногории включает в качестве одного из компонентов системы здравоохранения медицинское обслуживание детей младшего и дошкольного возраста.  В качестве основы для определения целей для этого сегмента была взята стратегия Всемирной организации здравоохранения, изложенная в документе "21 цель на </w:t>
      </w:r>
      <w:proofErr w:type="spellStart"/>
      <w:r>
        <w:t>ХХ</w:t>
      </w:r>
      <w:proofErr w:type="spellEnd"/>
      <w:r>
        <w:rPr>
          <w:lang w:val="en-US"/>
        </w:rPr>
        <w:t>I</w:t>
      </w:r>
      <w:r>
        <w:t xml:space="preserve"> век", в соответствии с запланированными показателями осуществления намеченных целей в ходе реализации этой программы.  Программа охватывала 64 509 детей в возрасте от 0 до 7 лет (9,74% от общей численности населения), которые были зарегистрированы в Черногории в 2001 году.</w:t>
      </w:r>
    </w:p>
    <w:p w:rsidR="00000000" w:rsidRDefault="00000000"/>
    <w:p w:rsidR="00000000" w:rsidRDefault="00000000">
      <w:pPr>
        <w:rPr>
          <w:b/>
          <w:bCs/>
        </w:rPr>
      </w:pPr>
      <w:r>
        <w:rPr>
          <w:b/>
          <w:bCs/>
        </w:rPr>
        <w:t>Основные цели программы:</w:t>
      </w:r>
    </w:p>
    <w:p w:rsidR="00000000" w:rsidRDefault="00000000"/>
    <w:p w:rsidR="00000000" w:rsidRDefault="00000000">
      <w:r>
        <w:t>656.</w:t>
      </w:r>
      <w:r>
        <w:tab/>
        <w:t>Снижение коэффициента детской смертности:  ниже 13 на 1 000.  Для оценки хода выполнения этой цели использовались следующие показатели:  коэффициент детской смертности:  количество умерших детей на 1 000 живорождений, коэффициент смертности в неонатальный период (количество умерших детей в период первых 28 дней жизни на 1 000 живых детей), коэффициент смертности в постнеонатальный период (количество умерших детей в период с 29 дня до одного года на 1 000 живых детей), а также общий коэффициент смертности детей.</w:t>
      </w:r>
    </w:p>
    <w:p w:rsidR="00000000" w:rsidRDefault="00000000"/>
    <w:p w:rsidR="00000000" w:rsidRDefault="00000000">
      <w:r>
        <w:t>657.</w:t>
      </w:r>
      <w:r>
        <w:tab/>
        <w:t>Были также приняты меры к уменьшению количества детей с малым весом при рождении до уровня ниже 10%.  В качестве показателя для контроля хода достижения этой цели использовалась процентная доля живых детей, вес которых при рождении составлял менее 2 500 грамм.</w:t>
      </w:r>
    </w:p>
    <w:p w:rsidR="00000000" w:rsidRDefault="00000000"/>
    <w:p w:rsidR="00000000" w:rsidRDefault="00000000">
      <w:r>
        <w:t>658.</w:t>
      </w:r>
      <w:r>
        <w:tab/>
        <w:t>Другая цель состояла в продолжении программы стимулирования грудного вскармливания детей, цель которой состояла в поощрении женщин к грудному кормлению их детей и их информировании о важности здорового питания для развития ребенка.  С учетом этой цели больницы, в которых эта программа еще не осуществлялась, взяли на себя обязательство внедрить ее в обязательном порядке в 2001 году.</w:t>
      </w:r>
    </w:p>
    <w:p w:rsidR="00000000" w:rsidRDefault="00000000"/>
    <w:p w:rsidR="00000000" w:rsidRDefault="00000000">
      <w:r>
        <w:t>659.</w:t>
      </w:r>
      <w:r>
        <w:tab/>
        <w:t>Другие цели включали снижение коэффициента смертности среди детей в возрасте до пяти лет (на 15% по сравнению с показателями в предыдущий период), сокращение на одну треть коэффициента смертности от острых респираторных инфекций и сокращение на 50% коэффициента смертности от диарейных заболеваний и на 25% от диареи в указанной возрастной группе.</w:t>
      </w:r>
    </w:p>
    <w:p w:rsidR="00000000" w:rsidRDefault="00000000"/>
    <w:p w:rsidR="00000000" w:rsidRDefault="00000000">
      <w:r>
        <w:t>660.</w:t>
      </w:r>
      <w:r>
        <w:tab/>
        <w:t xml:space="preserve">Что касается вакцинации детей, то согласно программе обязательной вакцинации от инфекционных заболеваний необходимая степень охвата детей составляет 95% в сельской местности и не менее 90% в целом по всей Черногории.  Общая цель состоит в искоренении до 2001 года детского паралича, снижении на </w:t>
      </w:r>
      <w:proofErr w:type="spellStart"/>
      <w:r>
        <w:t>90%</w:t>
      </w:r>
      <w:proofErr w:type="spellEnd"/>
      <w:r>
        <w:t xml:space="preserve"> количества пациентов, страдающих от кори, а также снижении на </w:t>
      </w:r>
      <w:proofErr w:type="spellStart"/>
      <w:r>
        <w:t>95%</w:t>
      </w:r>
      <w:proofErr w:type="spellEnd"/>
      <w:r>
        <w:t xml:space="preserve"> количества детей, умерших от этой болезни.</w:t>
      </w:r>
    </w:p>
    <w:p w:rsidR="00000000" w:rsidRDefault="00000000"/>
    <w:p w:rsidR="00000000" w:rsidRDefault="00000000">
      <w:r>
        <w:t>661.</w:t>
      </w:r>
      <w:r>
        <w:tab/>
        <w:t>К другим целям относится снижение частотности острых респираторных заболеваний и диареи среди детей в возрасте до пяти лет, а также заболеваний, связанных с недостатком химических веществ (йод, витамины А и D, а также серозное железо).</w:t>
      </w:r>
    </w:p>
    <w:p w:rsidR="00000000" w:rsidRDefault="00000000"/>
    <w:p w:rsidR="00000000" w:rsidRDefault="00000000">
      <w:r>
        <w:t>662</w:t>
      </w:r>
      <w:r>
        <w:tab/>
        <w:t>В рамках зубоврачебного обслуживания этой группы населения необходимо снизить количество заболеваний циркулярным кариесом и довести долю детей со здоровыми зубами до 70% в возрасте трех лет и до 50% в возрасте шести лет.</w:t>
      </w:r>
    </w:p>
    <w:p w:rsidR="00000000" w:rsidRDefault="00000000"/>
    <w:p w:rsidR="00000000" w:rsidRDefault="00000000">
      <w:r>
        <w:t>663.</w:t>
      </w:r>
      <w:r>
        <w:tab/>
        <w:t>Данная программа нацелена на обеспечение непрерывного мониторинга роста и развития этой группы населения по диаграммам развития, что должно стать неотъемлемым элементом контроля состояния здоровья.  Это позволит работникам здравоохранения и родителям детей регулярно контролировать рост и процесс развития ребенка.</w:t>
      </w:r>
    </w:p>
    <w:p w:rsidR="00000000" w:rsidRDefault="00000000"/>
    <w:p w:rsidR="00000000" w:rsidRDefault="00000000">
      <w:r>
        <w:t>664.</w:t>
      </w:r>
      <w:r>
        <w:tab/>
        <w:t>Наконец, ставится задача контроля процесса развития детей в группе риска и детей-инвалидов за счет организации и развития системы консультационных центров, которые обеспечат надлежащее медицинское обслуживание детей в сложных ситуациях, а также позволят устранить основные причины, приводящие к возникновению таких ситуаций.</w:t>
      </w:r>
    </w:p>
    <w:p w:rsidR="00000000" w:rsidRDefault="00000000"/>
    <w:p w:rsidR="00000000" w:rsidRDefault="00000000">
      <w:pPr>
        <w:rPr>
          <w:b/>
          <w:bCs/>
        </w:rPr>
      </w:pPr>
      <w:r>
        <w:rPr>
          <w:b/>
          <w:bCs/>
        </w:rPr>
        <w:t>Меры по реализации поставленных целей</w:t>
      </w:r>
    </w:p>
    <w:p w:rsidR="00000000" w:rsidRDefault="00000000"/>
    <w:p w:rsidR="00000000" w:rsidRDefault="00000000">
      <w:r>
        <w:t>665.</w:t>
      </w:r>
      <w:r>
        <w:tab/>
        <w:t>Основной мерой для реализации поставленных целей являлось просвещение в области здравоохранения, которое включало организованное систематическое образование родителей и детей, работников образовательных учреждений в целях охраны и улучшения состояния здоровья молодежи.  Эти меры осуществлялись на дому, в медицинских учреждениях, учреждениях дошкольного воспитания и других организациях.</w:t>
      </w:r>
    </w:p>
    <w:p w:rsidR="00000000" w:rsidRDefault="00000000"/>
    <w:p w:rsidR="00000000" w:rsidRDefault="00000000">
      <w:r>
        <w:t>666.</w:t>
      </w:r>
      <w:r>
        <w:tab/>
        <w:t>Важное значение имеет мониторинг коэффициентов детской смертности и проведение в каждом отдельном случае, при необходимости, судебно-медицинской экспертизы.  Другим ключевым моментом является проведение регулярных проверок с целью контроля роста, процесса развития, питания и состояния здоровья, а также ранней диагностики отклонений здоровья при рождении в возрасте 3, 6, 9 и 12 месяцев, а также в возрасте 2, 4 и 6 лет.  Систематический контроль состояния здоровья охватывает 98% детей при рождении и 92% детей в возрасте 2 и 4 лет, а также не менее 98% детей в период до начала обучения в школе.</w:t>
      </w:r>
    </w:p>
    <w:p w:rsidR="00000000" w:rsidRDefault="00000000"/>
    <w:p w:rsidR="00000000" w:rsidRDefault="00000000">
      <w:r>
        <w:t>667.</w:t>
      </w:r>
      <w:r>
        <w:tab/>
        <w:t>Периодические проверки состояния здоровья проводятся в обязательном порядке по крайней мере в течение первого года жизни и один раз в возрасте 3 и 5 лет с целью контроля процесса роста и развития, а также уровня санитарно-гигиенического ухода за ребенком.  Вакцинация производится в соответствии с разработанной программой обязательной вакцинации в рамках систематических проверок состояния здоровья.</w:t>
      </w:r>
    </w:p>
    <w:p w:rsidR="00000000" w:rsidRDefault="00000000"/>
    <w:p w:rsidR="00000000" w:rsidRDefault="00000000">
      <w:r>
        <w:t>668.</w:t>
      </w:r>
      <w:r>
        <w:tab/>
        <w:t>В обязательном порядке проводятся обследования всех детей в целях выявления нарушений обмена веществ (фенилкетонурия и гиперфункция щитовидной железы) на четвертые и пятые сутки после рождения.  Врожденный вывих бедренного сустава, клинический осмотр после рождения и ультразвуковое обследование в период между вторым и третьим месяцем;  анемия - на шестой месяц, нарушение органов зрения и слуха в течение первого года жизни и до начала обучения в школе;  а также выявление речевых и слуховых нарушений - обследование у речевого дефектолога в возрасте четырех-пяти лет.</w:t>
      </w:r>
    </w:p>
    <w:p w:rsidR="00000000" w:rsidRDefault="00000000"/>
    <w:p w:rsidR="00000000" w:rsidRDefault="00000000">
      <w:r>
        <w:t>669.</w:t>
      </w:r>
      <w:r>
        <w:tab/>
        <w:t>Незамедлительно после выявления каких-либо отклонений в состоянии здоровья должны приниматься соответствующие терапевтические и реабилитационные меры с последующим анализом результатов.  Должна проводиться классификация детей по видам отклонений в умственном и физическом развитии с целью предупреждения серьезных осложнений и последствий.</w:t>
      </w:r>
    </w:p>
    <w:p w:rsidR="00000000" w:rsidRDefault="00000000"/>
    <w:p w:rsidR="00000000" w:rsidRDefault="00000000">
      <w:r>
        <w:t>670.</w:t>
      </w:r>
      <w:r>
        <w:tab/>
        <w:t>Необходимо применение современных профилактических мер с целью улучшения состояния полости рта и зубов.  Раз в три года должен проводиться медицинский контроль состояния полости рта.  В сфере зубоврачебного обслуживания регулярный контроль проходят 75% населения, при этом по крайней мере в 40% случаев необходима обработка зубов для снятия зубного камня.</w:t>
      </w:r>
    </w:p>
    <w:p w:rsidR="00000000" w:rsidRDefault="00000000"/>
    <w:p w:rsidR="00000000" w:rsidRDefault="00000000">
      <w:r>
        <w:t>671.</w:t>
      </w:r>
      <w:r>
        <w:tab/>
        <w:t>Необходимы целевые медицинские освидетельствования перед поступлением детей в учреждения дошкольного воспитания и детские лагеря, включая бактериологическую проверку и выдачу справки о прививках.  В учреждениях дошкольного воспитания медицинское освидетельствование общего состояния здоровья детей должно проводиться не реже четырех раз в год.</w:t>
      </w:r>
    </w:p>
    <w:p w:rsidR="00000000" w:rsidRDefault="00000000"/>
    <w:p w:rsidR="00000000" w:rsidRDefault="00000000">
      <w:r>
        <w:t>672.</w:t>
      </w:r>
      <w:r>
        <w:tab/>
        <w:t>Во всех учреждениях дошкольного воспитания не реже одного раза в месяц должна проводиться процедура санитарно-гигиенического контроля.  Достижению целей в области здравоохранения способствует посещение на дому сестринским персоналом, а также развитие всех форм альтернативного больничного лечения (лечение на дому, поликлинические специалисты и консультативная деятельность).</w:t>
      </w:r>
    </w:p>
    <w:p w:rsidR="00000000" w:rsidRDefault="00000000"/>
    <w:p w:rsidR="00000000" w:rsidRDefault="00000000">
      <w:r>
        <w:t>673.</w:t>
      </w:r>
      <w:r>
        <w:tab/>
        <w:t>Медико-санитарное обслуживание населения Черногории данной возрастной группы также осуществляется в детских поликлинических отделениях при больницах и в детских отделениях семи больниц общего профиля и Клиническом центре Черногории в Подгорице.</w:t>
      </w:r>
    </w:p>
    <w:p w:rsidR="00000000" w:rsidRDefault="00000000"/>
    <w:p w:rsidR="00000000" w:rsidRDefault="00000000">
      <w:pPr>
        <w:rPr>
          <w:b/>
          <w:bCs/>
        </w:rPr>
      </w:pPr>
      <w:r>
        <w:rPr>
          <w:b/>
          <w:bCs/>
        </w:rPr>
        <w:t>Пункт 2 b)</w:t>
      </w:r>
    </w:p>
    <w:p w:rsidR="00000000" w:rsidRDefault="00000000"/>
    <w:p w:rsidR="00000000" w:rsidRDefault="00000000">
      <w:r>
        <w:t>674.</w:t>
      </w:r>
      <w:r>
        <w:tab/>
        <w:t xml:space="preserve">Все крупные промышленные предприятия в Черногории расположены поблизости от городов и представляют собой угрозу для окружающей среды.  Промышленность Черногории включает предприятия тяжелой индустрии, металлургические заводы, металлообрабатывающие предприятия, пивоваренные заводы, заводы по производству стекла, целлюлозно-бумажной продукции, мыла и моющих средств.  Растет количество малых и средних предприятий.  </w:t>
      </w:r>
    </w:p>
    <w:p w:rsidR="00000000" w:rsidRDefault="00000000"/>
    <w:p w:rsidR="00000000" w:rsidRDefault="00000000">
      <w:r>
        <w:t>675.</w:t>
      </w:r>
      <w:r>
        <w:tab/>
        <w:t>В 1989 году начался процесс приватизации, первый этап которой был завершен к середине 1996 года, когда 86% компаний были реструктурированы и приватизированы и перешли из государственной собственности в частный сектор.</w:t>
      </w:r>
    </w:p>
    <w:p w:rsidR="00000000" w:rsidRDefault="00000000"/>
    <w:p w:rsidR="00000000" w:rsidRDefault="00000000">
      <w:r>
        <w:t>676.</w:t>
      </w:r>
      <w:r>
        <w:tab/>
        <w:t>Относительно низких уровень производственных технологий и невнимание к вопросам охраны окружающей среды приводят к тому, что большинство промышленных предприятий в Черногории представляют собой угрозу для экологии.  В промышленности отсутствует адекватное управление охраной окружающей среды, не ведется подготовка соответствующих специалистов и отсутствует система управления отходами.</w:t>
      </w:r>
    </w:p>
    <w:p w:rsidR="00000000" w:rsidRDefault="00000000"/>
    <w:p w:rsidR="00000000" w:rsidRDefault="00000000">
      <w:r>
        <w:t>677.</w:t>
      </w:r>
      <w:r>
        <w:tab/>
        <w:t>Крупнейшим источником промышленного загрязнения является алюминиевый комбинат в Подгорице, на котором работает 4 000 человек;  96% продукции комбината идет на экспорт, и 53% доходов в экономике Республики поступает от этого комбината.  Комбинат расположен в районе Подгорицы и природного заповедника на озере Шкадар и оказывает неблагоприятное воздействие на экологическое состояние этих природных ресурсов.</w:t>
      </w:r>
    </w:p>
    <w:p w:rsidR="00000000" w:rsidRDefault="00000000"/>
    <w:p w:rsidR="00000000" w:rsidRDefault="00000000">
      <w:r>
        <w:t>678.</w:t>
      </w:r>
      <w:r>
        <w:tab/>
        <w:t>Производство алюминия ведется по технологии, не предусматривающей эффективных мер борьбы с загрязнением.  В результате электролитических процессов и производства анодов в атмосферу выбрасываются соединения фтора, фенолы и ПАУ.  В технологическом процессе образуется так называемая красная глиняная масса, которая из-за своего химического состава также оказывает неблагоприятное воздействие на подземные воды.  При работе алюминиевого комбината с полной загрузкой количество образующейся красной глиняной массы составляет от 350</w:t>
      </w:r>
      <w:r>
        <w:rPr>
          <w:lang w:val="en-US"/>
        </w:rPr>
        <w:t> </w:t>
      </w:r>
      <w:r>
        <w:t xml:space="preserve">000 до 420 000 тонн.  Сброс сточных вод непосредственно в озеро Шкадар приводит к дополнительному загрязнению окружающей среды.  </w:t>
      </w:r>
    </w:p>
    <w:p w:rsidR="00000000" w:rsidRDefault="00000000"/>
    <w:p w:rsidR="00000000" w:rsidRDefault="00000000">
      <w:r>
        <w:t>679.</w:t>
      </w:r>
      <w:r>
        <w:tab/>
        <w:t>В 1993 году правительство Республики Черногории приняло план действий по охране долины реки Зета.  План действий в отношении алюминиевого комбината включает 51 защитную меру.  Предполагалось, что комбинат возьмет на себя выполнение 34 мер, а правительство Республики Черногории и муниципальные власти Подгорицы - остальные.</w:t>
      </w:r>
    </w:p>
    <w:p w:rsidR="00000000" w:rsidRDefault="00000000"/>
    <w:p w:rsidR="00000000" w:rsidRDefault="00000000">
      <w:r>
        <w:t>680.</w:t>
      </w:r>
      <w:r>
        <w:tab/>
        <w:t>Поскольку комбинат не выполнил взятые на себя обязательства, положение в окружающих его населенных пунктах ухудшилось.  В 2000 году произошла авария в деревне Батун и населенном пункте Велий-Бриег, которая была связана с неисправностью сооружений для локализации красной глиняной массы.  Правительство Черногории приняло решение о переселении 20 домохозяйств из района бедствия, подготовило план отчуждения земли и насаждения защитного лесного пояса.</w:t>
      </w:r>
    </w:p>
    <w:p w:rsidR="00000000" w:rsidRDefault="00000000"/>
    <w:p w:rsidR="00000000" w:rsidRDefault="00000000">
      <w:r>
        <w:t>681.</w:t>
      </w:r>
      <w:r>
        <w:tab/>
        <w:t xml:space="preserve">После аварийного сброса топливного мазута в реку Морача инспектор Республики по вопросам охраны природы издал приказ, в котором комбинату вменялось в обязанность соблюдать предписанные технологические нормы и принять меры по недопущению подобных сбросов в реку.  Поскольку руководство комбината не принято указанных мер против комбината как юридического лица и его руководителя, по данному факту было возбуждено уголовное дело.  </w:t>
      </w:r>
    </w:p>
    <w:p w:rsidR="00000000" w:rsidRDefault="00000000"/>
    <w:p w:rsidR="00000000" w:rsidRDefault="00000000">
      <w:r>
        <w:t>682.</w:t>
      </w:r>
      <w:r>
        <w:tab/>
        <w:t>Еще одним проблемным районом в Черногории является долина реки Плевля из-за расположенной в ней угольной теплоэлектростанции "Плевля", угледобывающего предприятия, мебельной фабрики "Велимир Якич", шахты "Суплия стижена" и значительного количества котельных.  С момента ввода в эксплуатацию теплоэлектростанции в 1981 году объем выбросов составил около 3,5 млн. т золы и шлака.  Территория шлакоотвала занимает 15 га.  Загрязнители включают газообразные, твердые и жидкие токсичные вещества, которые тем или иным образом неблагоприятно влияют на жизненно важные компоненты окружающей среды.  Кроме того, ухудшение качества и деградация среды в результате неблагоприятной деятельности в указанных районах проявляется в повреждениях, нарушениях и изменениях различных элементов окружающей среды, главным образом почв, климата и шумовом загрязнении.</w:t>
      </w:r>
    </w:p>
    <w:p w:rsidR="00000000" w:rsidRDefault="00000000"/>
    <w:p w:rsidR="00000000" w:rsidRDefault="00000000">
      <w:pPr>
        <w:keepLines/>
      </w:pPr>
      <w:r>
        <w:t>683.</w:t>
      </w:r>
      <w:r>
        <w:tab/>
        <w:t>Правительство Республики Черногории приняло оперативную программу комплексной защиты долины реки Плевля.  В этой программе намечено 57 мероприятий, которые планируется осуществить в период 1997-2007 годов силами указанных выше предприятий, органов центральной и местной власти.</w:t>
      </w:r>
    </w:p>
    <w:p w:rsidR="00000000" w:rsidRDefault="00000000"/>
    <w:p w:rsidR="00000000" w:rsidRDefault="00000000">
      <w:r>
        <w:t>684.</w:t>
      </w:r>
      <w:r>
        <w:tab/>
        <w:t xml:space="preserve">Еще одним предприятием, наносящим значительный ущерб окружающей среде, является металлургический комбинат "Борис Кидрич" в Никшиче.  На этом предприятии практически отсутствуют фильтры и периодически производятся выбросы в окружающую среду тяжелых металлов, газов и других токсичных веществ.  Качество воздуха в окружающих районах не соответствует установленным нормам.  </w:t>
      </w:r>
    </w:p>
    <w:p w:rsidR="00000000" w:rsidRDefault="00000000"/>
    <w:p w:rsidR="00000000" w:rsidRDefault="00000000">
      <w:r>
        <w:t>685.</w:t>
      </w:r>
      <w:r>
        <w:tab/>
        <w:t>В районе Мойковача действовало предприятие "Брсково" по добыче свинца и цинка.  В ходе эксплуатации породные отвалы складировались непосредственно на берегу реки Тара.  Несколько лет назад возникла угроза прорыва плотины, и загрязненные воды попали в реку.  После этой аварии была сооружена бетонная дамба и часть склада шахтных отходов была закрыта балластной породой.</w:t>
      </w:r>
    </w:p>
    <w:p w:rsidR="00000000" w:rsidRDefault="00000000"/>
    <w:p w:rsidR="00000000" w:rsidRDefault="00000000">
      <w:r>
        <w:t>686.</w:t>
      </w:r>
      <w:r>
        <w:tab/>
        <w:t>Обычной проблемой для всех предприятий в Черногории является отсутствие эффективных систем очистки сточных вод и канализационных коллекторов.  Согласно проведенным в 1998 году оценкам, объем городских сточных вод, сбрасываемых в речные и морские акватории, ежегодно составляет не менее 27 млн. м</w:t>
      </w:r>
      <w:r>
        <w:rPr>
          <w:vertAlign w:val="superscript"/>
        </w:rPr>
        <w:t>3</w:t>
      </w:r>
      <w:r>
        <w:t xml:space="preserve">, при этом неизвестное количество отходов просачивается непосредственно в почву.  </w:t>
      </w:r>
    </w:p>
    <w:p w:rsidR="00000000" w:rsidRDefault="00000000"/>
    <w:p w:rsidR="00000000" w:rsidRDefault="00000000">
      <w:r>
        <w:t>687.</w:t>
      </w:r>
      <w:r>
        <w:tab/>
        <w:t>В Черногории действует около 20 зарегистрированных свалок твердых отходов, однако ни одна из них не была построена с соблюдением соответствующих нормативов.  Ежемесячно на эти зарегистрированные свалки вывозится около 35 000 м</w:t>
      </w:r>
      <w:r>
        <w:rPr>
          <w:vertAlign w:val="superscript"/>
        </w:rPr>
        <w:t>3</w:t>
      </w:r>
      <w:r>
        <w:t xml:space="preserve"> отходов.  Наиболее крупные свалки расположены в Подгорице и Никшиче.  На свалке в Подгорице объем захоронения отходов из городов Подгорица и Даниловград (не имеющих свалок) составляет около 8 000-9 000 м</w:t>
      </w:r>
      <w:r>
        <w:rPr>
          <w:vertAlign w:val="superscript"/>
        </w:rPr>
        <w:t>3</w:t>
      </w:r>
      <w:r>
        <w:t>, а в Никшиче - около 7 000 м</w:t>
      </w:r>
      <w:r>
        <w:rPr>
          <w:vertAlign w:val="superscript"/>
        </w:rPr>
        <w:t>3</w:t>
      </w:r>
      <w:r>
        <w:t xml:space="preserve"> в месяц.  Крупные свалки также находятся в городах Херцег-Нови, Тиват и Будва (2 500 м</w:t>
      </w:r>
      <w:r>
        <w:rPr>
          <w:vertAlign w:val="superscript"/>
        </w:rPr>
        <w:t>3</w:t>
      </w:r>
      <w:r>
        <w:t xml:space="preserve"> и более в месяц).</w:t>
      </w:r>
    </w:p>
    <w:p w:rsidR="00000000" w:rsidRDefault="00000000"/>
    <w:p w:rsidR="00000000" w:rsidRDefault="00000000">
      <w:r>
        <w:t>688.</w:t>
      </w:r>
      <w:r>
        <w:tab/>
        <w:t>Организованная система сбора и обработки опасных отходов отсутствует.  Часть этих отходов вывозится на неизолированные свалки, что наносит прямой ущерб окружающей среде.</w:t>
      </w:r>
    </w:p>
    <w:p w:rsidR="00000000" w:rsidRDefault="00000000"/>
    <w:p w:rsidR="00000000" w:rsidRDefault="00000000">
      <w:r>
        <w:t>689.</w:t>
      </w:r>
      <w:r>
        <w:tab/>
        <w:t>Следует также отметить низкий санитарно-гигиенический уровень производственных помещений на промышленных предприятиях, а также отсутствие понимания необходимости улучшения положения в этой области.  Вместе с тем на государственных предприятиях и в частном секторе, где условия значительно лучше, применяется иной подход к этой проблеме.  Неудовлетворительные санитарно-гигиенические условия могут приводить к вспышкам различных инфекционных болезней.</w:t>
      </w:r>
    </w:p>
    <w:p w:rsidR="00000000" w:rsidRDefault="00000000"/>
    <w:p w:rsidR="00000000" w:rsidRDefault="00000000">
      <w:r>
        <w:t>690.</w:t>
      </w:r>
      <w:r>
        <w:tab/>
        <w:t xml:space="preserve">Крайне важно отметить, что в ходе бомбовых ударов НАТО в 1999 году было использовано около 400 боеприпасов, содержащих уран.  Был загрязнен район площадью 60 000 кв. м на мысе Арза, полуострове Лиштица в заливе Бока.  За прошедший год группа экспертов очистила территорию площадью 20 000 кв. м, с которой было вывезено 130 ураносодержащих боеприпасов и их фрагментов, которые были затем направлены в научно-исследовательский институт "Винча" в Белграде.  Две тонны загрязненной почвы и других материалов были захоронены в специальном бункере на самом мысе Арза.  В марте этого года планировалось продолжить работы по обеззараживанию, однако из-за задержки с выделением средств на нужды этого проекта работы по обеззараживанию были продолжены в начале сентября.  </w:t>
      </w:r>
    </w:p>
    <w:p w:rsidR="00000000" w:rsidRDefault="00000000"/>
    <w:p w:rsidR="00000000" w:rsidRDefault="00000000">
      <w:r>
        <w:t>691.</w:t>
      </w:r>
      <w:r>
        <w:tab/>
        <w:t xml:space="preserve">С целью организации эффективного сотрудничества и решения этой проблемы правительство Дании после получения данных из Черногории подготовило доклад о состоянии окружающей среды.  </w:t>
      </w:r>
    </w:p>
    <w:p w:rsidR="00000000" w:rsidRDefault="00000000"/>
    <w:p w:rsidR="00000000" w:rsidRDefault="00000000">
      <w:r>
        <w:t>692.</w:t>
      </w:r>
      <w:r>
        <w:tab/>
        <w:t>Еще одним важным документом стал принятый в Женеве 5 ноября 2002 года обзор результативности природоохранной деятельности в Югославии.  Этот доклад был подготовлен группой экспертов Европейской экономической комиссии ООН после двух поездок в Черногорию и в Сербию в сотрудничестве с нашими специалистами.  В главе Х</w:t>
      </w:r>
      <w:r>
        <w:rPr>
          <w:lang w:val="en-US"/>
        </w:rPr>
        <w:t>V</w:t>
      </w:r>
      <w:r>
        <w:t xml:space="preserve"> этого доклада представлена полная информация о состоянии окружающей среды в Черногории и Сербии, а также содержатся предложения по методам решения имеющихся проблем.</w:t>
      </w:r>
    </w:p>
    <w:p w:rsidR="00000000" w:rsidRDefault="00000000"/>
    <w:p w:rsidR="00000000" w:rsidRDefault="00000000">
      <w:r>
        <w:t>693.</w:t>
      </w:r>
      <w:r>
        <w:tab/>
        <w:t xml:space="preserve">Среди международных организаций, с которыми мы сотрудничаем в деле улучшения состояния и защиты окружающей среды, можно отметить следующие:  Всемирный банк, с которым ведется сотрудничество по реализации проекта в области очистки коммунальных сточных вод в населенных пунктах Кото, </w:t>
      </w:r>
      <w:proofErr w:type="spellStart"/>
      <w:r>
        <w:t>Тиват</w:t>
      </w:r>
      <w:proofErr w:type="spellEnd"/>
      <w:r>
        <w:t xml:space="preserve"> и </w:t>
      </w:r>
      <w:proofErr w:type="spellStart"/>
      <w:r>
        <w:t>Будва</w:t>
      </w:r>
      <w:proofErr w:type="spellEnd"/>
      <w:r>
        <w:t xml:space="preserve">, а также строительству системы водоснабжения в верховье долины р. Зета;  на цели реализации этого проекта был выделен </w:t>
      </w:r>
      <w:proofErr w:type="spellStart"/>
      <w:r>
        <w:t>грант</w:t>
      </w:r>
      <w:proofErr w:type="spellEnd"/>
      <w:r>
        <w:t xml:space="preserve"> в размере 2 млн. </w:t>
      </w:r>
      <w:proofErr w:type="spellStart"/>
      <w:r>
        <w:t>долл</w:t>
      </w:r>
      <w:proofErr w:type="spellEnd"/>
      <w:r>
        <w:t>;  кроме того, ведется работа по осуществлению проекта комплексного управления экосистемой оз. </w:t>
      </w:r>
      <w:proofErr w:type="spellStart"/>
      <w:r>
        <w:t>Шкадар</w:t>
      </w:r>
      <w:proofErr w:type="spellEnd"/>
      <w:r>
        <w:t>, Региональный экологический центр (</w:t>
      </w:r>
      <w:proofErr w:type="spellStart"/>
      <w:r>
        <w:t>РЭЦ</w:t>
      </w:r>
      <w:proofErr w:type="spellEnd"/>
      <w:r>
        <w:t>), при этом в стадии реализации находится ряд проектов по укреплению национальных природоохранных агентств и их инспекций в Юго-Восточной Европе за счет создания региональных отделений Балканской сети координации и осуществления природоохранных норм (</w:t>
      </w:r>
      <w:proofErr w:type="spellStart"/>
      <w:r>
        <w:t>БЕРЦЕН</w:t>
      </w:r>
      <w:proofErr w:type="spellEnd"/>
      <w:r>
        <w:t xml:space="preserve">) и Программы развития Организации Объединенных Наций (ПРООН), которая выступает исполняющим агентством по ряду проектов (в области изменения климата и </w:t>
      </w:r>
      <w:proofErr w:type="spellStart"/>
      <w:r>
        <w:t>биоразнообразия</w:t>
      </w:r>
      <w:proofErr w:type="spellEnd"/>
      <w:r>
        <w:t>).</w:t>
      </w:r>
    </w:p>
    <w:p w:rsidR="00000000" w:rsidRDefault="00000000"/>
    <w:p w:rsidR="00000000" w:rsidRDefault="00000000">
      <w:r>
        <w:t>694.</w:t>
      </w:r>
      <w:r>
        <w:tab/>
        <w:t xml:space="preserve">Каждый год правительство Республики Черногории принимает доклад об охране окружающей среды, в котором содержится обзор состояния таких базовых элементов окружающей среды, как атмосфера, вода, почва и </w:t>
      </w:r>
      <w:proofErr w:type="spellStart"/>
      <w:r>
        <w:t>биоразнообразие</w:t>
      </w:r>
      <w:proofErr w:type="spellEnd"/>
      <w:r>
        <w:t>.  В рамках подготовки этого доклада реализуются следующие программы:</w:t>
      </w:r>
    </w:p>
    <w:p w:rsidR="00000000" w:rsidRDefault="00000000"/>
    <w:p w:rsidR="00000000" w:rsidRDefault="00000000">
      <w:r>
        <w:tab/>
        <w:t>-</w:t>
      </w:r>
      <w:r>
        <w:tab/>
        <w:t>программа в области контроля качества воздуха;</w:t>
      </w:r>
    </w:p>
    <w:p w:rsidR="00000000" w:rsidRDefault="00000000"/>
    <w:p w:rsidR="00000000" w:rsidRDefault="00000000">
      <w:pPr>
        <w:ind w:left="1122" w:hanging="1122"/>
      </w:pPr>
      <w:r>
        <w:tab/>
        <w:t>-</w:t>
      </w:r>
      <w:r>
        <w:tab/>
        <w:t>программа изучения качественных и количественных параметров подземных и поверхностных вод;</w:t>
      </w:r>
    </w:p>
    <w:p w:rsidR="00000000" w:rsidRDefault="00000000">
      <w:pPr>
        <w:ind w:left="1122" w:hanging="1122"/>
      </w:pPr>
    </w:p>
    <w:p w:rsidR="00000000" w:rsidRDefault="00000000">
      <w:r>
        <w:tab/>
        <w:t>-</w:t>
      </w:r>
      <w:r>
        <w:tab/>
        <w:t>программа мониторинга содержания радионуклидов;</w:t>
      </w:r>
    </w:p>
    <w:p w:rsidR="00000000" w:rsidRDefault="00000000"/>
    <w:p w:rsidR="00000000" w:rsidRDefault="00000000">
      <w:r>
        <w:tab/>
        <w:t>-</w:t>
      </w:r>
      <w:r>
        <w:tab/>
        <w:t>программа мониторинга содержания опасных и токсичных веществ в почве;</w:t>
      </w:r>
    </w:p>
    <w:p w:rsidR="00000000" w:rsidRDefault="00000000"/>
    <w:p w:rsidR="00000000" w:rsidRDefault="00000000">
      <w:r>
        <w:tab/>
        <w:t>-</w:t>
      </w:r>
      <w:r>
        <w:tab/>
        <w:t xml:space="preserve">программа мониторинга </w:t>
      </w:r>
      <w:proofErr w:type="spellStart"/>
      <w:r>
        <w:t>биоразнообразия</w:t>
      </w:r>
      <w:proofErr w:type="spellEnd"/>
      <w:r>
        <w:t>.</w:t>
      </w:r>
    </w:p>
    <w:p w:rsidR="00000000" w:rsidRDefault="00000000"/>
    <w:p w:rsidR="00000000" w:rsidRDefault="00000000">
      <w:r>
        <w:t>695.</w:t>
      </w:r>
      <w:r>
        <w:tab/>
        <w:t>На основе представленных в этом докладе выводов правительство выдвигает предложения о необходимых мерах в зависимости от результатов мониторинга.</w:t>
      </w:r>
    </w:p>
    <w:p w:rsidR="00000000" w:rsidRDefault="00000000"/>
    <w:p w:rsidR="00000000" w:rsidRDefault="00000000">
      <w:r>
        <w:t>696.</w:t>
      </w:r>
      <w:r>
        <w:tab/>
        <w:t>В 2002 году из бюджета на цели охраны окружающей среды были выделены следующие средства:</w:t>
      </w:r>
    </w:p>
    <w:p w:rsidR="00000000" w:rsidRDefault="00000000"/>
    <w:p w:rsidR="00000000" w:rsidRDefault="00000000">
      <w:pPr>
        <w:tabs>
          <w:tab w:val="clear" w:pos="567"/>
          <w:tab w:val="clear" w:pos="1134"/>
          <w:tab w:val="left" w:pos="561"/>
        </w:tabs>
        <w:ind w:left="1122" w:hanging="1122"/>
      </w:pPr>
      <w:r>
        <w:tab/>
        <w:t>-</w:t>
      </w:r>
      <w:r>
        <w:tab/>
        <w:t>на закупку лабораторного оборудования (</w:t>
      </w:r>
      <w:proofErr w:type="spellStart"/>
      <w:r>
        <w:t>экотоксикологический</w:t>
      </w:r>
      <w:proofErr w:type="spellEnd"/>
      <w:r>
        <w:t xml:space="preserve"> центр) </w:t>
      </w:r>
      <w:r>
        <w:noBreakHyphen/>
        <w:t xml:space="preserve"> 50 000 немецких марок;</w:t>
      </w:r>
    </w:p>
    <w:p w:rsidR="00000000" w:rsidRDefault="00000000">
      <w:pPr>
        <w:tabs>
          <w:tab w:val="clear" w:pos="567"/>
          <w:tab w:val="clear" w:pos="1134"/>
          <w:tab w:val="left" w:pos="561"/>
        </w:tabs>
        <w:ind w:left="1122" w:hanging="1122"/>
      </w:pPr>
    </w:p>
    <w:p w:rsidR="00000000" w:rsidRDefault="00000000">
      <w:pPr>
        <w:ind w:left="1122" w:hanging="1122"/>
      </w:pPr>
      <w:r>
        <w:tab/>
        <w:t>-</w:t>
      </w:r>
      <w:r>
        <w:tab/>
        <w:t>на цели реализации программы национальных парков Черногории </w:t>
      </w:r>
      <w:r>
        <w:noBreakHyphen/>
        <w:t xml:space="preserve"> 200 000 немецких марок;</w:t>
      </w:r>
    </w:p>
    <w:p w:rsidR="00000000" w:rsidRDefault="00000000">
      <w:pPr>
        <w:ind w:left="1122" w:hanging="1122"/>
      </w:pPr>
    </w:p>
    <w:p w:rsidR="00000000" w:rsidRDefault="00000000">
      <w:pPr>
        <w:ind w:left="1122" w:hanging="1122"/>
      </w:pPr>
      <w:r>
        <w:tab/>
        <w:t>-</w:t>
      </w:r>
      <w:r>
        <w:tab/>
        <w:t>на строительство региональной системы водоснабжения для Черногорского побережья - 390 000 немецких марок;</w:t>
      </w:r>
    </w:p>
    <w:p w:rsidR="00000000" w:rsidRDefault="00000000">
      <w:pPr>
        <w:ind w:left="1122" w:hanging="1122"/>
      </w:pPr>
    </w:p>
    <w:p w:rsidR="00000000" w:rsidRDefault="00000000">
      <w:pPr>
        <w:ind w:left="1122" w:hanging="1122"/>
      </w:pPr>
      <w:r>
        <w:tab/>
        <w:t>-</w:t>
      </w:r>
      <w:r>
        <w:tab/>
        <w:t xml:space="preserve">на цели осуществления программ мониторинга была запланирована сумма в размере 340 000 </w:t>
      </w:r>
      <w:proofErr w:type="spellStart"/>
      <w:r>
        <w:t>евро</w:t>
      </w:r>
      <w:proofErr w:type="spellEnd"/>
      <w:r>
        <w:t>, из которых до конца ноября было выделено лишь 191 000 </w:t>
      </w:r>
      <w:proofErr w:type="spellStart"/>
      <w:r>
        <w:t>евро</w:t>
      </w:r>
      <w:proofErr w:type="spellEnd"/>
      <w:r>
        <w:t>.</w:t>
      </w:r>
    </w:p>
    <w:p w:rsidR="00000000" w:rsidRDefault="00000000">
      <w:pPr>
        <w:ind w:left="1122" w:hanging="1122"/>
      </w:pPr>
    </w:p>
    <w:p w:rsidR="00000000" w:rsidRDefault="00000000">
      <w:pPr>
        <w:keepNext/>
        <w:ind w:left="1122" w:hanging="1122"/>
      </w:pPr>
      <w:r>
        <w:rPr>
          <w:b/>
          <w:bCs/>
        </w:rPr>
        <w:t>Пункт 2 с)</w:t>
      </w:r>
    </w:p>
    <w:p w:rsidR="00000000" w:rsidRDefault="00000000">
      <w:pPr>
        <w:keepNext/>
        <w:ind w:left="1122" w:hanging="1122"/>
      </w:pPr>
    </w:p>
    <w:p w:rsidR="00000000" w:rsidRDefault="00000000">
      <w:pPr>
        <w:keepNext/>
      </w:pPr>
      <w:r>
        <w:t>697.</w:t>
      </w:r>
      <w:r>
        <w:tab/>
        <w:t xml:space="preserve">Соблюдая наивысшие стандарты Организации Объединенных Наций, и в первую очередь принцип, согласно которому право на здоровье включает ряд социально-экономических факторов, поощряющих условия, в которых люди могут жить здоровой жизнью, а также включает такие факторы, как пищу и здоровое питание, жилье, доступ к безопасной питьевой воде и адекватным санитарно-гигиеническим средствам, безопасным и здоровым условиям труда и здоровой окружающей среде (статья 12 Международного пакта об экономических, социальных и культурных правах),  Черногория организует систему охраны здоровья с целью обеспечения здоровья отдельных лиц и всего общества, т.е. для осуществления основополагающего права человека - права на здоровье.  </w:t>
      </w:r>
    </w:p>
    <w:p w:rsidR="00000000" w:rsidRDefault="00000000"/>
    <w:p w:rsidR="00000000" w:rsidRDefault="00000000">
      <w:r>
        <w:t>698.</w:t>
      </w:r>
      <w:r>
        <w:tab/>
        <w:t>Национальная стратегия Черногории в области здравоохранения и соответствующие программы основываются на медицинских и научных данных обо всем населении страны, об эпидемиологической обстановке, а также на другой информации, собираемой, обрабатываемой и публикуемой государственными медицинскими учреждениями.</w:t>
      </w:r>
    </w:p>
    <w:p w:rsidR="00000000" w:rsidRDefault="00000000"/>
    <w:p w:rsidR="00000000" w:rsidRDefault="00000000">
      <w:r>
        <w:t>699.</w:t>
      </w:r>
      <w:r>
        <w:tab/>
        <w:t>В целях изучения состояния здоровья всего населения отдел статистики здравоохранения ведет сбор и обработку информации по различным показателям.  Регистрация, сбор и анализ соответствующих данных осуществляется как в учреждениях системы первичной медико-санитарной помощи, так и в его специализированных медицинских отделах.</w:t>
      </w:r>
    </w:p>
    <w:p w:rsidR="00000000" w:rsidRDefault="00000000"/>
    <w:p w:rsidR="00000000" w:rsidRDefault="00000000">
      <w:r>
        <w:t>700.</w:t>
      </w:r>
      <w:r>
        <w:tab/>
        <w:t>В дополнение к мониторингу демографических показателей (численность населения, уровень рождаемости, естественный прирост населения, коэффициент смертности, регистрация заключения браков) проводится также изучение и анализ положения в области медицинского персонала, работников и ассистентов в сфере здравоохранения, а также в медицинских учреждениях:  укомплектованность различных медицинских служб, эффективность их деятельности, качество медицинского обслуживания в больницах и поликлиниках.</w:t>
      </w:r>
    </w:p>
    <w:p w:rsidR="00000000" w:rsidRDefault="00000000"/>
    <w:p w:rsidR="00000000" w:rsidRDefault="00000000">
      <w:r>
        <w:t>701.</w:t>
      </w:r>
      <w:r>
        <w:tab/>
        <w:t>Также ведется сбор и обработка информации о состоянии окружающей среды, что имеет важное значение для обеспечения здоровья граждан.  Регистрируемые параметры включают качество пищи, санитарное состояние питьевой воды, а также любые иные параметры, включенные в оценку определенных критериев состояния здоровья.</w:t>
      </w:r>
    </w:p>
    <w:p w:rsidR="00000000" w:rsidRDefault="00000000"/>
    <w:p w:rsidR="00000000" w:rsidRDefault="00000000">
      <w:r>
        <w:t>702.</w:t>
      </w:r>
      <w:r>
        <w:tab/>
        <w:t>Наиболее важные медицинские показатели включают данные о программе вакцинации, а также отчеты и доклады о трендах развития инфекционных заболеваний, т.е. оценку санитарно-эпидемиологической ситуации.  В большинстве населенных пунктов за прошедшие несколько лет был обеспечен удовлетворительный уровень вакцинации населения.  В рамках системы первичной вакцинации и ревакцинации достигнут удовлетворительный уровень охвата населения по таким инфекционным болезням, как туберкулез, дифтерит, столбняк, коклюш, детский паралич, корь, корьевая краснуха и эпидемический паротит.</w:t>
      </w:r>
    </w:p>
    <w:p w:rsidR="00000000" w:rsidRDefault="00000000"/>
    <w:p w:rsidR="00000000" w:rsidRDefault="00000000">
      <w:r>
        <w:t>703.</w:t>
      </w:r>
      <w:r>
        <w:tab/>
        <w:t>Результаты анализа методов и процедур сбора данных об инфекционных заболеваниях позволяет предположить, что реальное количество заболеваний превышает официальную статистику.  Одним из наиболее слабых мест общего процесса мониторинга инфекционных болезней является неэффективная работа служб здравоохранения в области регистрации и представления отчетности по инфекционным болезням.</w:t>
      </w:r>
    </w:p>
    <w:p w:rsidR="00000000" w:rsidRDefault="00000000"/>
    <w:p w:rsidR="00000000" w:rsidRDefault="00000000">
      <w:pPr>
        <w:jc w:val="center"/>
        <w:rPr>
          <w:b/>
          <w:bCs/>
        </w:rPr>
      </w:pPr>
      <w:r>
        <w:rPr>
          <w:b/>
          <w:bCs/>
        </w:rPr>
        <w:t>Таблица 4</w:t>
      </w:r>
    </w:p>
    <w:p w:rsidR="00000000" w:rsidRDefault="00000000">
      <w:pPr>
        <w:jc w:val="center"/>
        <w:rPr>
          <w:b/>
          <w:bCs/>
        </w:rPr>
      </w:pPr>
    </w:p>
    <w:p w:rsidR="00000000" w:rsidRDefault="00000000">
      <w:pPr>
        <w:jc w:val="center"/>
        <w:rPr>
          <w:b/>
          <w:bCs/>
        </w:rPr>
      </w:pPr>
      <w:r>
        <w:rPr>
          <w:b/>
          <w:bCs/>
        </w:rPr>
        <w:t>Инфекционные заболевания (без учета гриппа и СПИДа) в Черногории, 1992</w:t>
      </w:r>
      <w:r>
        <w:rPr>
          <w:b/>
          <w:bCs/>
        </w:rPr>
        <w:noBreakHyphen/>
        <w:t>2001 годы</w:t>
      </w:r>
    </w:p>
    <w:p w:rsidR="00000000" w:rsidRDefault="00000000">
      <w:pPr>
        <w:jc w:val="cente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4"/>
        <w:gridCol w:w="2046"/>
        <w:gridCol w:w="2494"/>
        <w:gridCol w:w="1922"/>
        <w:gridCol w:w="1965"/>
      </w:tblGrid>
      <w:tr w:rsidR="00000000">
        <w:tblPrEx>
          <w:tblCellMar>
            <w:top w:w="0" w:type="dxa"/>
            <w:bottom w:w="0" w:type="dxa"/>
          </w:tblCellMar>
        </w:tblPrEx>
        <w:trPr>
          <w:cantSplit/>
        </w:trPr>
        <w:tc>
          <w:tcPr>
            <w:tcW w:w="984" w:type="dxa"/>
            <w:tcBorders>
              <w:top w:val="single" w:sz="4" w:space="0" w:color="auto"/>
              <w:left w:val="single" w:sz="4" w:space="0" w:color="auto"/>
              <w:bottom w:val="single" w:sz="6" w:space="0" w:color="auto"/>
              <w:right w:val="single" w:sz="4" w:space="0" w:color="auto"/>
            </w:tcBorders>
            <w:vAlign w:val="center"/>
          </w:tcPr>
          <w:p w:rsidR="00000000" w:rsidRDefault="00000000">
            <w:pPr>
              <w:spacing w:line="240" w:lineRule="auto"/>
              <w:jc w:val="center"/>
              <w:rPr>
                <w:sz w:val="22"/>
              </w:rPr>
            </w:pPr>
            <w:r>
              <w:rPr>
                <w:sz w:val="22"/>
              </w:rPr>
              <w:t>Год</w:t>
            </w:r>
          </w:p>
        </w:tc>
        <w:tc>
          <w:tcPr>
            <w:tcW w:w="2046" w:type="dxa"/>
            <w:tcBorders>
              <w:top w:val="single" w:sz="4" w:space="0" w:color="auto"/>
              <w:left w:val="single" w:sz="4" w:space="0" w:color="auto"/>
              <w:bottom w:val="single" w:sz="6" w:space="0" w:color="auto"/>
            </w:tcBorders>
            <w:vAlign w:val="center"/>
          </w:tcPr>
          <w:p w:rsidR="00000000" w:rsidRDefault="00000000">
            <w:pPr>
              <w:spacing w:line="240" w:lineRule="auto"/>
              <w:jc w:val="center"/>
              <w:rPr>
                <w:sz w:val="22"/>
              </w:rPr>
            </w:pPr>
            <w:r>
              <w:rPr>
                <w:sz w:val="22"/>
              </w:rPr>
              <w:t>Количество больных</w:t>
            </w:r>
          </w:p>
        </w:tc>
        <w:tc>
          <w:tcPr>
            <w:tcW w:w="2494" w:type="dxa"/>
            <w:tcBorders>
              <w:top w:val="single" w:sz="4" w:space="0" w:color="auto"/>
              <w:bottom w:val="single" w:sz="6" w:space="0" w:color="auto"/>
            </w:tcBorders>
            <w:vAlign w:val="center"/>
          </w:tcPr>
          <w:p w:rsidR="00000000" w:rsidRDefault="00000000">
            <w:pPr>
              <w:spacing w:line="240" w:lineRule="auto"/>
              <w:jc w:val="center"/>
              <w:rPr>
                <w:sz w:val="22"/>
              </w:rPr>
            </w:pPr>
            <w:r>
              <w:rPr>
                <w:sz w:val="22"/>
              </w:rPr>
              <w:t>Заболеваний на 100 000 населения</w:t>
            </w:r>
          </w:p>
        </w:tc>
        <w:tc>
          <w:tcPr>
            <w:tcW w:w="1922" w:type="dxa"/>
            <w:tcBorders>
              <w:top w:val="single" w:sz="4" w:space="0" w:color="auto"/>
              <w:bottom w:val="single" w:sz="6" w:space="0" w:color="auto"/>
            </w:tcBorders>
            <w:vAlign w:val="center"/>
          </w:tcPr>
          <w:p w:rsidR="00000000" w:rsidRDefault="00000000">
            <w:pPr>
              <w:spacing w:line="240" w:lineRule="auto"/>
              <w:jc w:val="center"/>
              <w:rPr>
                <w:sz w:val="22"/>
              </w:rPr>
            </w:pPr>
            <w:r>
              <w:rPr>
                <w:sz w:val="22"/>
              </w:rPr>
              <w:t>Количество умерших</w:t>
            </w:r>
          </w:p>
        </w:tc>
        <w:tc>
          <w:tcPr>
            <w:tcW w:w="1965" w:type="dxa"/>
            <w:tcBorders>
              <w:top w:val="single" w:sz="4" w:space="0" w:color="auto"/>
              <w:bottom w:val="single" w:sz="6" w:space="0" w:color="auto"/>
              <w:right w:val="single" w:sz="4" w:space="0" w:color="auto"/>
            </w:tcBorders>
            <w:vAlign w:val="center"/>
          </w:tcPr>
          <w:p w:rsidR="00000000" w:rsidRDefault="00000000">
            <w:pPr>
              <w:spacing w:line="240" w:lineRule="auto"/>
              <w:jc w:val="center"/>
              <w:rPr>
                <w:sz w:val="22"/>
              </w:rPr>
            </w:pPr>
            <w:r>
              <w:rPr>
                <w:sz w:val="22"/>
              </w:rPr>
              <w:t>На 100 000 населения</w:t>
            </w:r>
          </w:p>
        </w:tc>
      </w:tr>
      <w:tr w:rsidR="00000000">
        <w:tblPrEx>
          <w:tblCellMar>
            <w:top w:w="0" w:type="dxa"/>
            <w:bottom w:w="0" w:type="dxa"/>
          </w:tblCellMar>
        </w:tblPrEx>
        <w:trPr>
          <w:cantSplit/>
        </w:trPr>
        <w:tc>
          <w:tcPr>
            <w:tcW w:w="984" w:type="dxa"/>
            <w:tcBorders>
              <w:top w:val="single" w:sz="6" w:space="0" w:color="auto"/>
              <w:left w:val="single" w:sz="4" w:space="0" w:color="auto"/>
              <w:bottom w:val="nil"/>
              <w:right w:val="single" w:sz="4" w:space="0" w:color="auto"/>
            </w:tcBorders>
          </w:tcPr>
          <w:p w:rsidR="00000000" w:rsidRDefault="00000000">
            <w:pPr>
              <w:spacing w:line="240" w:lineRule="auto"/>
              <w:jc w:val="center"/>
              <w:rPr>
                <w:sz w:val="22"/>
              </w:rPr>
            </w:pPr>
            <w:r>
              <w:rPr>
                <w:sz w:val="22"/>
              </w:rPr>
              <w:t>1992</w:t>
            </w:r>
          </w:p>
        </w:tc>
        <w:tc>
          <w:tcPr>
            <w:tcW w:w="2046" w:type="dxa"/>
            <w:tcBorders>
              <w:top w:val="single" w:sz="6" w:space="0" w:color="auto"/>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13 563</w:t>
            </w:r>
          </w:p>
        </w:tc>
        <w:tc>
          <w:tcPr>
            <w:tcW w:w="2494" w:type="dxa"/>
            <w:tcBorders>
              <w:top w:val="single" w:sz="6" w:space="0" w:color="auto"/>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2 166,6</w:t>
            </w:r>
          </w:p>
        </w:tc>
        <w:tc>
          <w:tcPr>
            <w:tcW w:w="1922" w:type="dxa"/>
            <w:tcBorders>
              <w:top w:val="single" w:sz="6" w:space="0" w:color="auto"/>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1</w:t>
            </w:r>
          </w:p>
        </w:tc>
        <w:tc>
          <w:tcPr>
            <w:tcW w:w="1965" w:type="dxa"/>
            <w:tcBorders>
              <w:top w:val="single" w:sz="6" w:space="0" w:color="auto"/>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0,16</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1993</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9 559</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1 514,9</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3</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0,48</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1994</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13 450</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2 118,1</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8</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1,25</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1995</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12 863</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2 026,4</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11</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1,73</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1996</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9 035</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1 427,8</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2</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0,31</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1997</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9 049</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1 430,0</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1</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0,16</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1998</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8 408</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1 328,7</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4</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0,63</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1999</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10 107</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1 579,2</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2</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0,31</w:t>
            </w:r>
          </w:p>
        </w:tc>
      </w:tr>
      <w:tr w:rsidR="00000000">
        <w:tblPrEx>
          <w:tblCellMar>
            <w:top w:w="0" w:type="dxa"/>
            <w:bottom w:w="0" w:type="dxa"/>
          </w:tblCellMar>
        </w:tblPrEx>
        <w:trPr>
          <w:cantSplit/>
        </w:trPr>
        <w:tc>
          <w:tcPr>
            <w:tcW w:w="984" w:type="dxa"/>
            <w:tcBorders>
              <w:top w:val="nil"/>
              <w:left w:val="single" w:sz="4" w:space="0" w:color="auto"/>
              <w:bottom w:val="nil"/>
              <w:right w:val="single" w:sz="4" w:space="0" w:color="auto"/>
            </w:tcBorders>
          </w:tcPr>
          <w:p w:rsidR="00000000" w:rsidRDefault="00000000">
            <w:pPr>
              <w:spacing w:line="240" w:lineRule="auto"/>
              <w:jc w:val="center"/>
              <w:rPr>
                <w:sz w:val="22"/>
              </w:rPr>
            </w:pPr>
            <w:r>
              <w:rPr>
                <w:sz w:val="22"/>
              </w:rPr>
              <w:t>2000</w:t>
            </w:r>
          </w:p>
        </w:tc>
        <w:tc>
          <w:tcPr>
            <w:tcW w:w="2046" w:type="dxa"/>
            <w:tcBorders>
              <w:top w:val="nil"/>
              <w:left w:val="single" w:sz="4" w:space="0" w:color="auto"/>
              <w:bottom w:val="nil"/>
              <w:right w:val="single" w:sz="6" w:space="0" w:color="auto"/>
            </w:tcBorders>
          </w:tcPr>
          <w:p w:rsidR="00000000" w:rsidRDefault="00000000">
            <w:pPr>
              <w:tabs>
                <w:tab w:val="clear" w:pos="1701"/>
              </w:tabs>
              <w:spacing w:line="240" w:lineRule="auto"/>
              <w:ind w:right="640"/>
              <w:jc w:val="right"/>
              <w:rPr>
                <w:sz w:val="22"/>
              </w:rPr>
            </w:pPr>
            <w:r>
              <w:rPr>
                <w:sz w:val="22"/>
              </w:rPr>
              <w:t>9 583</w:t>
            </w:r>
          </w:p>
        </w:tc>
        <w:tc>
          <w:tcPr>
            <w:tcW w:w="2494" w:type="dxa"/>
            <w:tcBorders>
              <w:top w:val="nil"/>
              <w:left w:val="single" w:sz="6" w:space="0" w:color="auto"/>
              <w:bottom w:val="nil"/>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1 455,4</w:t>
            </w:r>
          </w:p>
        </w:tc>
        <w:tc>
          <w:tcPr>
            <w:tcW w:w="1922" w:type="dxa"/>
            <w:tcBorders>
              <w:top w:val="nil"/>
              <w:left w:val="single" w:sz="6" w:space="0" w:color="auto"/>
              <w:bottom w:val="nil"/>
              <w:right w:val="single" w:sz="6" w:space="0" w:color="auto"/>
            </w:tcBorders>
          </w:tcPr>
          <w:p w:rsidR="00000000" w:rsidRDefault="00000000">
            <w:pPr>
              <w:tabs>
                <w:tab w:val="clear" w:pos="1134"/>
                <w:tab w:val="clear" w:pos="1701"/>
              </w:tabs>
              <w:spacing w:line="240" w:lineRule="auto"/>
              <w:ind w:right="813"/>
              <w:jc w:val="right"/>
              <w:rPr>
                <w:sz w:val="22"/>
              </w:rPr>
            </w:pPr>
            <w:r>
              <w:rPr>
                <w:sz w:val="22"/>
              </w:rPr>
              <w:t>0</w:t>
            </w:r>
          </w:p>
        </w:tc>
        <w:tc>
          <w:tcPr>
            <w:tcW w:w="1965" w:type="dxa"/>
            <w:tcBorders>
              <w:top w:val="nil"/>
              <w:left w:val="single" w:sz="6" w:space="0" w:color="auto"/>
              <w:bottom w:val="nil"/>
              <w:right w:val="single" w:sz="4" w:space="0" w:color="auto"/>
            </w:tcBorders>
          </w:tcPr>
          <w:p w:rsidR="00000000" w:rsidRDefault="00000000">
            <w:pPr>
              <w:tabs>
                <w:tab w:val="clear" w:pos="1134"/>
              </w:tabs>
              <w:spacing w:line="240" w:lineRule="auto"/>
              <w:ind w:left="654" w:right="138"/>
              <w:rPr>
                <w:sz w:val="22"/>
              </w:rPr>
            </w:pPr>
            <w:r>
              <w:rPr>
                <w:sz w:val="22"/>
              </w:rPr>
              <w:t>0,0</w:t>
            </w:r>
          </w:p>
        </w:tc>
      </w:tr>
      <w:tr w:rsidR="00000000">
        <w:tblPrEx>
          <w:tblCellMar>
            <w:top w:w="0" w:type="dxa"/>
            <w:bottom w:w="0" w:type="dxa"/>
          </w:tblCellMar>
        </w:tblPrEx>
        <w:trPr>
          <w:cantSplit/>
        </w:trPr>
        <w:tc>
          <w:tcPr>
            <w:tcW w:w="984" w:type="dxa"/>
            <w:tcBorders>
              <w:top w:val="nil"/>
              <w:left w:val="single" w:sz="4" w:space="0" w:color="auto"/>
              <w:bottom w:val="single" w:sz="4" w:space="0" w:color="auto"/>
              <w:right w:val="single" w:sz="4" w:space="0" w:color="auto"/>
            </w:tcBorders>
          </w:tcPr>
          <w:p w:rsidR="00000000" w:rsidRDefault="00000000">
            <w:pPr>
              <w:spacing w:line="240" w:lineRule="auto"/>
              <w:jc w:val="center"/>
              <w:rPr>
                <w:sz w:val="22"/>
              </w:rPr>
            </w:pPr>
            <w:r>
              <w:rPr>
                <w:sz w:val="22"/>
              </w:rPr>
              <w:t>2001</w:t>
            </w:r>
          </w:p>
        </w:tc>
        <w:tc>
          <w:tcPr>
            <w:tcW w:w="2046" w:type="dxa"/>
            <w:tcBorders>
              <w:top w:val="nil"/>
              <w:left w:val="single" w:sz="4" w:space="0" w:color="auto"/>
              <w:bottom w:val="single" w:sz="4" w:space="0" w:color="auto"/>
              <w:right w:val="single" w:sz="6" w:space="0" w:color="auto"/>
            </w:tcBorders>
          </w:tcPr>
          <w:p w:rsidR="00000000" w:rsidRDefault="00000000">
            <w:pPr>
              <w:tabs>
                <w:tab w:val="clear" w:pos="1701"/>
              </w:tabs>
              <w:spacing w:line="240" w:lineRule="auto"/>
              <w:ind w:right="640"/>
              <w:jc w:val="right"/>
              <w:rPr>
                <w:sz w:val="22"/>
              </w:rPr>
            </w:pPr>
            <w:r>
              <w:rPr>
                <w:sz w:val="22"/>
              </w:rPr>
              <w:t>7 610</w:t>
            </w:r>
          </w:p>
        </w:tc>
        <w:tc>
          <w:tcPr>
            <w:tcW w:w="2494" w:type="dxa"/>
            <w:tcBorders>
              <w:top w:val="nil"/>
              <w:left w:val="single" w:sz="6" w:space="0" w:color="auto"/>
              <w:bottom w:val="single" w:sz="4" w:space="0" w:color="auto"/>
              <w:right w:val="single" w:sz="6" w:space="0" w:color="auto"/>
            </w:tcBorders>
          </w:tcPr>
          <w:p w:rsidR="00000000" w:rsidRDefault="00000000">
            <w:pPr>
              <w:tabs>
                <w:tab w:val="clear" w:pos="567"/>
                <w:tab w:val="clear" w:pos="1134"/>
                <w:tab w:val="clear" w:pos="1701"/>
                <w:tab w:val="clear" w:pos="2268"/>
                <w:tab w:val="clear" w:pos="6237"/>
                <w:tab w:val="decimal" w:pos="1388"/>
              </w:tabs>
              <w:spacing w:line="240" w:lineRule="auto"/>
              <w:ind w:left="640"/>
              <w:rPr>
                <w:sz w:val="22"/>
              </w:rPr>
            </w:pPr>
            <w:r>
              <w:rPr>
                <w:sz w:val="22"/>
              </w:rPr>
              <w:t>1 073</w:t>
            </w:r>
          </w:p>
        </w:tc>
        <w:tc>
          <w:tcPr>
            <w:tcW w:w="1922" w:type="dxa"/>
            <w:tcBorders>
              <w:top w:val="nil"/>
              <w:left w:val="single" w:sz="6" w:space="0" w:color="auto"/>
              <w:bottom w:val="single" w:sz="4" w:space="0" w:color="auto"/>
              <w:right w:val="single" w:sz="6" w:space="0" w:color="auto"/>
            </w:tcBorders>
          </w:tcPr>
          <w:p w:rsidR="00000000" w:rsidRDefault="00000000">
            <w:pPr>
              <w:tabs>
                <w:tab w:val="clear" w:pos="1134"/>
                <w:tab w:val="clear" w:pos="1701"/>
              </w:tabs>
              <w:spacing w:line="240" w:lineRule="auto"/>
              <w:ind w:right="813"/>
              <w:jc w:val="right"/>
              <w:rPr>
                <w:sz w:val="22"/>
              </w:rPr>
            </w:pPr>
            <w:r>
              <w:rPr>
                <w:sz w:val="22"/>
              </w:rPr>
              <w:t>2</w:t>
            </w:r>
          </w:p>
        </w:tc>
        <w:tc>
          <w:tcPr>
            <w:tcW w:w="1965" w:type="dxa"/>
            <w:tcBorders>
              <w:top w:val="nil"/>
              <w:left w:val="single" w:sz="6" w:space="0" w:color="auto"/>
              <w:bottom w:val="single" w:sz="4" w:space="0" w:color="auto"/>
              <w:right w:val="single" w:sz="4" w:space="0" w:color="auto"/>
            </w:tcBorders>
          </w:tcPr>
          <w:p w:rsidR="00000000" w:rsidRDefault="00000000">
            <w:pPr>
              <w:tabs>
                <w:tab w:val="clear" w:pos="1134"/>
              </w:tabs>
              <w:spacing w:line="240" w:lineRule="auto"/>
              <w:ind w:left="654" w:right="138"/>
              <w:rPr>
                <w:sz w:val="22"/>
              </w:rPr>
            </w:pPr>
            <w:r>
              <w:rPr>
                <w:sz w:val="22"/>
              </w:rPr>
              <w:t>0,28</w:t>
            </w:r>
          </w:p>
        </w:tc>
      </w:tr>
    </w:tbl>
    <w:p w:rsidR="00000000" w:rsidRDefault="00000000">
      <w:pPr>
        <w:jc w:val="both"/>
        <w:rPr>
          <w:sz w:val="22"/>
        </w:rPr>
      </w:pPr>
    </w:p>
    <w:p w:rsidR="00000000" w:rsidRDefault="00000000">
      <w:pPr>
        <w:rPr>
          <w:b/>
        </w:rPr>
      </w:pPr>
      <w:r>
        <w:rPr>
          <w:b/>
        </w:rPr>
        <w:t>Острые инфекционные заболевания в Республике Черногории в 2001 году</w:t>
      </w:r>
    </w:p>
    <w:p w:rsidR="00000000" w:rsidRDefault="00000000">
      <w:pPr>
        <w:rPr>
          <w:b/>
        </w:rPr>
      </w:pPr>
    </w:p>
    <w:p w:rsidR="00000000" w:rsidRDefault="00000000">
      <w:r>
        <w:rPr>
          <w:bCs/>
        </w:rPr>
        <w:t>704.</w:t>
      </w:r>
      <w:r>
        <w:rPr>
          <w:bCs/>
        </w:rPr>
        <w:tab/>
        <w:t>Что касается инфекционных заболеваний, представление данных по которым является обязательным в соответствии с действующим в Союзной Республике Югославии законодательством (</w:t>
      </w:r>
      <w:r>
        <w:rPr>
          <w:bCs/>
          <w:i/>
          <w:iCs/>
        </w:rPr>
        <w:t>Официальный вестник Союзной Республики Югославии</w:t>
      </w:r>
      <w:r>
        <w:rPr>
          <w:bCs/>
        </w:rPr>
        <w:t>, № 46/96), количество зарегистрированных случаев инфекционных заболеваний зависит от ряда факторов:  фактической санитарно-эпидемиологической ситуации в регионе, вспышек эпидемий со значительным количеством заболевших;  уровня развития медико-санитарных услуг;  наличия традиций использования средств лабораторной диагностики для подтверждения диагноза;  своевременности оказания медицинских услуг с точки зрения регистрации случая инфекционного заболевания;  ведения разъяснительной работы среди граждан в целях убеждения населения немедленно обращаться к врачу в случае заболевания;  а также количества инфекционных заболеваний, по которым в соответствии с законом должна обеспечиваться отчетность.</w:t>
      </w:r>
    </w:p>
    <w:p w:rsidR="00000000" w:rsidRDefault="00000000"/>
    <w:p w:rsidR="00000000" w:rsidRDefault="00000000">
      <w:pPr>
        <w:jc w:val="center"/>
        <w:rPr>
          <w:b/>
          <w:bCs/>
        </w:rPr>
      </w:pPr>
      <w:r>
        <w:rPr>
          <w:b/>
          <w:bCs/>
        </w:rPr>
        <w:t>Таблица 5</w:t>
      </w:r>
    </w:p>
    <w:p w:rsidR="00000000" w:rsidRDefault="00000000">
      <w:pPr>
        <w:jc w:val="center"/>
        <w:rPr>
          <w:b/>
          <w:bCs/>
        </w:rPr>
      </w:pPr>
    </w:p>
    <w:p w:rsidR="00000000" w:rsidRDefault="00000000">
      <w:pPr>
        <w:jc w:val="center"/>
        <w:rPr>
          <w:b/>
          <w:bCs/>
          <w:lang w:val="en-US"/>
        </w:rPr>
      </w:pPr>
      <w:r>
        <w:rPr>
          <w:b/>
          <w:bCs/>
        </w:rPr>
        <w:t xml:space="preserve">Данные об инфекционных заболеваниях в разбивке по месяцам и </w:t>
      </w:r>
    </w:p>
    <w:p w:rsidR="00000000" w:rsidRDefault="00000000">
      <w:pPr>
        <w:jc w:val="center"/>
        <w:rPr>
          <w:b/>
          <w:bCs/>
        </w:rPr>
      </w:pPr>
      <w:r>
        <w:rPr>
          <w:b/>
          <w:bCs/>
        </w:rPr>
        <w:t xml:space="preserve">населенным пунктам в Черногории, без учета данных о гриппе </w:t>
      </w:r>
    </w:p>
    <w:p w:rsidR="00000000" w:rsidRDefault="00000000">
      <w:pPr>
        <w:jc w:val="center"/>
        <w:rPr>
          <w:b/>
          <w:bCs/>
        </w:rPr>
      </w:pPr>
      <w:r>
        <w:rPr>
          <w:b/>
          <w:bCs/>
        </w:rPr>
        <w:t>(данные из месячных отчетов за 2001 год)</w:t>
      </w:r>
    </w:p>
    <w:p w:rsidR="00000000" w:rsidRDefault="00000000">
      <w:pPr>
        <w:jc w:val="center"/>
        <w:rPr>
          <w:b/>
          <w:b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679"/>
        <w:gridCol w:w="679"/>
        <w:gridCol w:w="679"/>
        <w:gridCol w:w="680"/>
        <w:gridCol w:w="679"/>
        <w:gridCol w:w="679"/>
        <w:gridCol w:w="679"/>
        <w:gridCol w:w="680"/>
        <w:gridCol w:w="679"/>
        <w:gridCol w:w="679"/>
        <w:gridCol w:w="679"/>
        <w:gridCol w:w="680"/>
      </w:tblGrid>
      <w:tr w:rsidR="00000000">
        <w:tblPrEx>
          <w:tblCellMar>
            <w:top w:w="0" w:type="dxa"/>
            <w:bottom w:w="0" w:type="dxa"/>
          </w:tblCellMar>
        </w:tblPrEx>
        <w:trPr>
          <w:cantSplit/>
        </w:trPr>
        <w:tc>
          <w:tcPr>
            <w:tcW w:w="126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CommentText"/>
              <w:jc w:val="center"/>
              <w:rPr>
                <w:lang w:val="ru-RU"/>
              </w:rPr>
            </w:pPr>
            <w:r>
              <w:rPr>
                <w:lang w:val="ru-RU"/>
              </w:rPr>
              <w:t>Населенные пункты</w:t>
            </w:r>
          </w:p>
        </w:tc>
        <w:tc>
          <w:tcPr>
            <w:tcW w:w="8151" w:type="dxa"/>
            <w:gridSpan w:val="12"/>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z w:val="20"/>
              </w:rPr>
            </w:pPr>
            <w:r>
              <w:rPr>
                <w:sz w:val="20"/>
              </w:rPr>
              <w:t>Месяцы</w:t>
            </w:r>
          </w:p>
        </w:tc>
      </w:tr>
      <w:tr w:rsidR="00000000">
        <w:tblPrEx>
          <w:tblCellMar>
            <w:top w:w="0" w:type="dxa"/>
            <w:bottom w:w="0" w:type="dxa"/>
          </w:tblCellMar>
        </w:tblPrEx>
        <w:trPr>
          <w:cantSplit/>
        </w:trPr>
        <w:tc>
          <w:tcPr>
            <w:tcW w:w="1260" w:type="dxa"/>
            <w:vMerge/>
            <w:tcBorders>
              <w:top w:val="single" w:sz="4" w:space="0" w:color="auto"/>
              <w:left w:val="single" w:sz="4" w:space="0" w:color="auto"/>
              <w:bottom w:val="single" w:sz="4" w:space="0" w:color="auto"/>
              <w:right w:val="single" w:sz="4" w:space="0" w:color="auto"/>
            </w:tcBorders>
          </w:tcPr>
          <w:p w:rsidR="00000000" w:rsidRDefault="00000000">
            <w:pPr>
              <w:spacing w:line="240" w:lineRule="auto"/>
              <w:rPr>
                <w:sz w:val="20"/>
              </w:rPr>
            </w:pP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Январь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Фев</w:t>
            </w:r>
            <w:r>
              <w:rPr>
                <w:bCs/>
                <w:sz w:val="20"/>
              </w:rPr>
              <w:softHyphen/>
              <w:t>раль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Март</w:t>
            </w:r>
          </w:p>
        </w:tc>
        <w:tc>
          <w:tcPr>
            <w:tcW w:w="6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Ап</w:t>
            </w:r>
            <w:r>
              <w:rPr>
                <w:bCs/>
                <w:sz w:val="20"/>
              </w:rPr>
              <w:softHyphen/>
              <w:t>рель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Май</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Июнь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Июль</w:t>
            </w:r>
          </w:p>
        </w:tc>
        <w:tc>
          <w:tcPr>
            <w:tcW w:w="6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Август</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Сен</w:t>
            </w:r>
            <w:r>
              <w:rPr>
                <w:bCs/>
                <w:sz w:val="20"/>
              </w:rPr>
              <w:softHyphen/>
              <w:t>тябрь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Ок</w:t>
            </w:r>
            <w:r>
              <w:rPr>
                <w:bCs/>
                <w:sz w:val="20"/>
              </w:rPr>
              <w:softHyphen/>
              <w:t>тябрь</w:t>
            </w:r>
          </w:p>
        </w:tc>
        <w:tc>
          <w:tcPr>
            <w:tcW w:w="679"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Но</w:t>
            </w:r>
            <w:r>
              <w:rPr>
                <w:bCs/>
                <w:sz w:val="20"/>
              </w:rPr>
              <w:softHyphen/>
              <w:t>ябрь</w:t>
            </w:r>
          </w:p>
        </w:tc>
        <w:tc>
          <w:tcPr>
            <w:tcW w:w="68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000000" w:rsidRDefault="00000000">
            <w:pPr>
              <w:spacing w:line="216" w:lineRule="auto"/>
              <w:jc w:val="center"/>
              <w:rPr>
                <w:bCs/>
                <w:sz w:val="20"/>
              </w:rPr>
            </w:pPr>
            <w:r>
              <w:rPr>
                <w:bCs/>
                <w:sz w:val="20"/>
              </w:rPr>
              <w:t>Де</w:t>
            </w:r>
            <w:r>
              <w:rPr>
                <w:bCs/>
                <w:sz w:val="20"/>
              </w:rPr>
              <w:softHyphen/>
              <w:t>кабрь</w:t>
            </w:r>
          </w:p>
        </w:tc>
      </w:tr>
      <w:tr w:rsidR="00000000">
        <w:tblPrEx>
          <w:tblCellMar>
            <w:top w:w="0" w:type="dxa"/>
            <w:bottom w:w="0" w:type="dxa"/>
          </w:tblCellMar>
        </w:tblPrEx>
        <w:trPr>
          <w:cantSplit/>
        </w:trPr>
        <w:tc>
          <w:tcPr>
            <w:tcW w:w="1260" w:type="dxa"/>
            <w:tcBorders>
              <w:top w:val="single" w:sz="4" w:space="0" w:color="auto"/>
              <w:left w:val="single" w:sz="4" w:space="0" w:color="auto"/>
              <w:bottom w:val="nil"/>
              <w:right w:val="single" w:sz="4" w:space="0" w:color="auto"/>
            </w:tcBorders>
          </w:tcPr>
          <w:p w:rsidR="00000000" w:rsidRDefault="00000000">
            <w:pPr>
              <w:rPr>
                <w:sz w:val="20"/>
              </w:rPr>
            </w:pPr>
            <w:proofErr w:type="spellStart"/>
            <w:r>
              <w:rPr>
                <w:sz w:val="20"/>
              </w:rPr>
              <w:t>Андриевица</w:t>
            </w:r>
            <w:proofErr w:type="spellEnd"/>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1</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2</w:t>
            </w:r>
          </w:p>
        </w:tc>
        <w:tc>
          <w:tcPr>
            <w:tcW w:w="680"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2</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0</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0</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0</w:t>
            </w:r>
          </w:p>
        </w:tc>
        <w:tc>
          <w:tcPr>
            <w:tcW w:w="680"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0</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0</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1</w:t>
            </w:r>
          </w:p>
        </w:tc>
        <w:tc>
          <w:tcPr>
            <w:tcW w:w="679"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6</w:t>
            </w:r>
          </w:p>
        </w:tc>
        <w:tc>
          <w:tcPr>
            <w:tcW w:w="680" w:type="dxa"/>
            <w:tcBorders>
              <w:top w:val="single" w:sz="4" w:space="0" w:color="auto"/>
              <w:left w:val="single" w:sz="4" w:space="0" w:color="auto"/>
              <w:bottom w:val="nil"/>
              <w:right w:val="single" w:sz="4" w:space="0" w:color="auto"/>
            </w:tcBorders>
          </w:tcPr>
          <w:p w:rsidR="00000000" w:rsidRDefault="00000000">
            <w:pPr>
              <w:ind w:right="113"/>
              <w:jc w:val="right"/>
              <w:rPr>
                <w:sz w:val="20"/>
              </w:rPr>
            </w:pPr>
            <w:r>
              <w:rPr>
                <w:sz w:val="20"/>
              </w:rPr>
              <w:t>5</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r>
              <w:rPr>
                <w:sz w:val="20"/>
              </w:rPr>
              <w:t>Бар</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19</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237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105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Беране</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25</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26/1</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Бьело-Поле</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34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46</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Будва</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127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Даниловград</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166</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134</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Жабляк</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lang w:val="sl-SI"/>
              </w:rPr>
            </w:pPr>
            <w:r>
              <w:rPr>
                <w:sz w:val="20"/>
                <w:lang w:val="sl-SI"/>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136</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Колашим</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Котор</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Мойковач</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Никшич</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27</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Плав</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28</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25</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Плужине</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Плевля</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27</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46</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Подгорица</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177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119</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105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110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106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120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130/1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191</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287</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Рожае</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39</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40</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Тиват</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15</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61</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191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22</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6</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Ульцин</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7</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41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9</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Херцег-Нови</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29</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44</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276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156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26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53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133</w:t>
            </w:r>
          </w:p>
        </w:tc>
      </w:tr>
      <w:tr w:rsidR="00000000">
        <w:tblPrEx>
          <w:tblCellMar>
            <w:top w:w="0" w:type="dxa"/>
            <w:bottom w:w="0" w:type="dxa"/>
          </w:tblCellMar>
        </w:tblPrEx>
        <w:trPr>
          <w:cantSplit/>
        </w:trPr>
        <w:tc>
          <w:tcPr>
            <w:tcW w:w="1260" w:type="dxa"/>
            <w:tcBorders>
              <w:top w:val="nil"/>
              <w:left w:val="single" w:sz="4" w:space="0" w:color="auto"/>
              <w:bottom w:val="nil"/>
              <w:right w:val="single" w:sz="4" w:space="0" w:color="auto"/>
            </w:tcBorders>
          </w:tcPr>
          <w:p w:rsidR="00000000" w:rsidRDefault="00000000">
            <w:pPr>
              <w:rPr>
                <w:sz w:val="20"/>
              </w:rPr>
            </w:pPr>
            <w:proofErr w:type="spellStart"/>
            <w:r>
              <w:rPr>
                <w:sz w:val="20"/>
              </w:rPr>
              <w:t>Цетине</w:t>
            </w:r>
            <w:proofErr w:type="spellEnd"/>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8</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12</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16</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13</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35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35</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14</w:t>
            </w:r>
          </w:p>
        </w:tc>
        <w:tc>
          <w:tcPr>
            <w:tcW w:w="679" w:type="dxa"/>
            <w:tcBorders>
              <w:top w:val="nil"/>
              <w:left w:val="single" w:sz="4" w:space="0" w:color="auto"/>
              <w:bottom w:val="nil"/>
              <w:right w:val="single" w:sz="4" w:space="0" w:color="auto"/>
            </w:tcBorders>
          </w:tcPr>
          <w:p w:rsidR="00000000" w:rsidRDefault="00000000">
            <w:pPr>
              <w:ind w:right="113"/>
              <w:jc w:val="right"/>
              <w:rPr>
                <w:sz w:val="20"/>
              </w:rPr>
            </w:pPr>
            <w:r>
              <w:rPr>
                <w:sz w:val="20"/>
              </w:rPr>
              <w:t>30</w:t>
            </w:r>
          </w:p>
        </w:tc>
        <w:tc>
          <w:tcPr>
            <w:tcW w:w="680" w:type="dxa"/>
            <w:tcBorders>
              <w:top w:val="nil"/>
              <w:left w:val="single" w:sz="4" w:space="0" w:color="auto"/>
              <w:bottom w:val="nil"/>
              <w:right w:val="single" w:sz="4" w:space="0" w:color="auto"/>
            </w:tcBorders>
          </w:tcPr>
          <w:p w:rsidR="00000000" w:rsidRDefault="00000000">
            <w:pPr>
              <w:ind w:right="113"/>
              <w:jc w:val="right"/>
              <w:rPr>
                <w:sz w:val="20"/>
              </w:rPr>
            </w:pPr>
            <w:r>
              <w:rPr>
                <w:sz w:val="20"/>
              </w:rPr>
              <w:t>10</w:t>
            </w:r>
          </w:p>
        </w:tc>
      </w:tr>
      <w:tr w:rsidR="00000000">
        <w:tblPrEx>
          <w:tblCellMar>
            <w:top w:w="0" w:type="dxa"/>
            <w:bottom w:w="0" w:type="dxa"/>
          </w:tblCellMar>
        </w:tblPrEx>
        <w:trPr>
          <w:cantSplit/>
        </w:trPr>
        <w:tc>
          <w:tcPr>
            <w:tcW w:w="1260" w:type="dxa"/>
            <w:tcBorders>
              <w:top w:val="nil"/>
              <w:left w:val="single" w:sz="4" w:space="0" w:color="auto"/>
              <w:bottom w:val="single" w:sz="4" w:space="0" w:color="auto"/>
              <w:right w:val="single" w:sz="4" w:space="0" w:color="auto"/>
            </w:tcBorders>
          </w:tcPr>
          <w:p w:rsidR="00000000" w:rsidRDefault="00000000">
            <w:pPr>
              <w:rPr>
                <w:sz w:val="20"/>
              </w:rPr>
            </w:pPr>
            <w:proofErr w:type="spellStart"/>
            <w:r>
              <w:rPr>
                <w:sz w:val="20"/>
              </w:rPr>
              <w:t>Жавник</w:t>
            </w:r>
            <w:proofErr w:type="spellEnd"/>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79"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c>
          <w:tcPr>
            <w:tcW w:w="680" w:type="dxa"/>
            <w:tcBorders>
              <w:top w:val="nil"/>
              <w:left w:val="single" w:sz="4" w:space="0" w:color="auto"/>
              <w:bottom w:val="single" w:sz="4" w:space="0" w:color="auto"/>
              <w:right w:val="single" w:sz="4" w:space="0" w:color="auto"/>
            </w:tcBorders>
          </w:tcPr>
          <w:p w:rsidR="00000000" w:rsidRDefault="00000000">
            <w:pPr>
              <w:ind w:right="113"/>
              <w:jc w:val="right"/>
              <w:rPr>
                <w:sz w:val="20"/>
              </w:rPr>
            </w:pPr>
            <w:r>
              <w:rPr>
                <w:sz w:val="20"/>
              </w:rPr>
              <w:t>-</w:t>
            </w:r>
          </w:p>
        </w:tc>
      </w:tr>
      <w:tr w:rsidR="00000000">
        <w:tblPrEx>
          <w:tblCellMar>
            <w:top w:w="0" w:type="dxa"/>
            <w:bottom w:w="0" w:type="dxa"/>
          </w:tblCellMar>
        </w:tblPrEx>
        <w:trPr>
          <w:cantSplit/>
        </w:trPr>
        <w:tc>
          <w:tcPr>
            <w:tcW w:w="1260" w:type="dxa"/>
            <w:tcBorders>
              <w:top w:val="single" w:sz="4" w:space="0" w:color="auto"/>
              <w:left w:val="single" w:sz="4" w:space="0" w:color="auto"/>
              <w:bottom w:val="single" w:sz="4" w:space="0" w:color="auto"/>
              <w:right w:val="single" w:sz="4" w:space="0" w:color="auto"/>
            </w:tcBorders>
          </w:tcPr>
          <w:p w:rsidR="00000000" w:rsidRDefault="00000000">
            <w:pPr>
              <w:rPr>
                <w:sz w:val="20"/>
              </w:rPr>
            </w:pPr>
            <w:r>
              <w:rPr>
                <w:sz w:val="20"/>
              </w:rPr>
              <w:t>Всего</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580</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348</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365</w:t>
            </w:r>
          </w:p>
        </w:tc>
        <w:tc>
          <w:tcPr>
            <w:tcW w:w="6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301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348</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406</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791</w:t>
            </w:r>
          </w:p>
        </w:tc>
        <w:tc>
          <w:tcPr>
            <w:tcW w:w="680" w:type="dxa"/>
            <w:tcBorders>
              <w:top w:val="single" w:sz="4" w:space="0" w:color="auto"/>
              <w:left w:val="single" w:sz="4" w:space="0" w:color="auto"/>
              <w:bottom w:val="single" w:sz="4" w:space="0" w:color="auto"/>
              <w:right w:val="single" w:sz="4" w:space="0" w:color="auto"/>
            </w:tcBorders>
          </w:tcPr>
          <w:p w:rsidR="00000000" w:rsidRDefault="00000000">
            <w:pPr>
              <w:ind w:right="113"/>
              <w:rPr>
                <w:sz w:val="20"/>
              </w:rPr>
            </w:pPr>
            <w:r>
              <w:rPr>
                <w:sz w:val="20"/>
              </w:rPr>
              <w:t>1221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tabs>
                <w:tab w:val="left" w:pos="443"/>
              </w:tabs>
              <w:ind w:right="113"/>
              <w:rPr>
                <w:sz w:val="20"/>
              </w:rPr>
            </w:pPr>
            <w:r>
              <w:rPr>
                <w:sz w:val="20"/>
              </w:rPr>
              <w:t>921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left="-7216" w:right="113"/>
              <w:jc w:val="right"/>
              <w:rPr>
                <w:sz w:val="20"/>
              </w:rPr>
            </w:pPr>
            <w:r>
              <w:rPr>
                <w:sz w:val="20"/>
              </w:rPr>
              <w:t>561</w:t>
            </w:r>
          </w:p>
        </w:tc>
        <w:tc>
          <w:tcPr>
            <w:tcW w:w="679" w:type="dxa"/>
            <w:tcBorders>
              <w:top w:val="single" w:sz="4" w:space="0" w:color="auto"/>
              <w:left w:val="single" w:sz="4" w:space="0" w:color="auto"/>
              <w:bottom w:val="single" w:sz="4" w:space="0" w:color="auto"/>
              <w:right w:val="single" w:sz="4" w:space="0" w:color="auto"/>
            </w:tcBorders>
          </w:tcPr>
          <w:p w:rsidR="00000000" w:rsidRDefault="00000000">
            <w:pPr>
              <w:ind w:left="-7763" w:right="113"/>
              <w:jc w:val="right"/>
              <w:rPr>
                <w:sz w:val="20"/>
              </w:rPr>
            </w:pPr>
            <w:r>
              <w:rPr>
                <w:sz w:val="20"/>
              </w:rPr>
              <w:t>801</w:t>
            </w:r>
          </w:p>
        </w:tc>
        <w:tc>
          <w:tcPr>
            <w:tcW w:w="68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20"/>
              </w:rPr>
            </w:pPr>
            <w:r>
              <w:rPr>
                <w:sz w:val="20"/>
              </w:rPr>
              <w:t>967</w:t>
            </w:r>
          </w:p>
        </w:tc>
      </w:tr>
    </w:tbl>
    <w:p w:rsidR="00000000" w:rsidRDefault="00000000"/>
    <w:p w:rsidR="00000000" w:rsidRDefault="00000000">
      <w:r>
        <w:t>705.</w:t>
      </w:r>
      <w:r>
        <w:tab/>
        <w:t>В подобных условиях своевременное принятие надлежащих мер невозможно.  Также затрудняется прогнозирование санитарно-эпидемиологической ситуации в определенных районах.  Несмотря на то, что данные об инфекционных заболеваниях, снимаемые с учетных карточек, не включают фактическое количество лиц с заболеваниями, представление отчетности по которым является обязательным, тренд и динамика ряда инфекционных заболеваний все же поддается относительно достоверному определению.  Порядок представления данных об инфекционных заболеваниях регулируется положениями решения о представлении данных об инфекционных заболеваниях (</w:t>
      </w:r>
      <w:r>
        <w:rPr>
          <w:i/>
          <w:iCs/>
        </w:rPr>
        <w:t>Официальный вестник Союзной Республики Югославии</w:t>
      </w:r>
      <w:r>
        <w:t xml:space="preserve">, № 27/97).  </w:t>
      </w:r>
    </w:p>
    <w:p w:rsidR="00000000" w:rsidRDefault="00000000"/>
    <w:p w:rsidR="00000000" w:rsidRDefault="00000000">
      <w:r>
        <w:t>706.</w:t>
      </w:r>
      <w:r>
        <w:tab/>
        <w:t>Необходимо отметить, что в прошлом году из Черногории выехало значительное количество временных перемещенных лиц, а для по</w:t>
      </w:r>
      <w:r>
        <w:noBreakHyphen/>
        <w:t xml:space="preserve">прежнему остающихся в Республике внутренних перемещенных лиц условия были улучшены.  В настоящее время реализуются меры в рамках плана по улучшению общего уровня жизни внутренних перемещенных лиц в целях обеспечения более высокого уровня личной и общей гигиены, улучшения снабжения продуктами питания и санитарных условий;  несомненно, указанные меры будут способствовать снижению числа острых инфекционных заболеваний.  </w:t>
      </w:r>
    </w:p>
    <w:p w:rsidR="00000000" w:rsidRDefault="00000000"/>
    <w:p w:rsidR="00000000" w:rsidRDefault="00000000">
      <w:r>
        <w:t>707.</w:t>
      </w:r>
      <w:r>
        <w:tab/>
        <w:t xml:space="preserve">В течение 2001 года в Черногории было зарегистрировано 16 случаев инфекционных заболеваний в эпидемической форме.  Проблема состоит в том, что эпидемические вспышки не регистрируются официально (Институт не получает официальных отчетов об эпидемиях от медицинских служб).  Вместо этого, по получении учетной карточки (как правило, они поступают с опозданием на несколько месяцев), институт производит оценку того, действительно ли имел место случай инфекционного заболевания.  Следует иметь в виду, что представленный ниже обзор эпидемиологической ситуации имеет ряд недостатков (из-за отсутствия официальных данных по большинству перечисленных эпидемий) и что эти данные следует воспринимать с определенной осторожностью.  Однако мы полагаем, что представить эти данные все же лучше, чем указать, что случаев эпидемий зарегистрировано не было, что не соответствует реальному положению дел.  </w:t>
      </w:r>
    </w:p>
    <w:p w:rsidR="00000000" w:rsidRDefault="00000000"/>
    <w:p w:rsidR="00000000" w:rsidRDefault="00000000">
      <w:pPr>
        <w:jc w:val="center"/>
        <w:rPr>
          <w:b/>
          <w:bCs/>
        </w:rPr>
      </w:pPr>
      <w:r>
        <w:rPr>
          <w:b/>
          <w:bCs/>
        </w:rPr>
        <w:t>Таблица 6</w:t>
      </w:r>
    </w:p>
    <w:p w:rsidR="00000000" w:rsidRDefault="00000000">
      <w:pPr>
        <w:jc w:val="center"/>
        <w:rPr>
          <w:b/>
          <w:bCs/>
        </w:rPr>
      </w:pPr>
    </w:p>
    <w:p w:rsidR="00000000" w:rsidRDefault="00000000">
      <w:pPr>
        <w:jc w:val="center"/>
        <w:rPr>
          <w:b/>
          <w:bCs/>
        </w:rPr>
      </w:pPr>
      <w:r>
        <w:rPr>
          <w:b/>
          <w:bCs/>
        </w:rPr>
        <w:t>Типы эпидемических заболеваний (по частотности) в Черногории в 2001 году</w:t>
      </w:r>
    </w:p>
    <w:p w:rsidR="00000000" w:rsidRDefault="00000000">
      <w:pPr>
        <w:jc w:val="center"/>
        <w:rPr>
          <w:b/>
          <w:bCs/>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66"/>
        <w:gridCol w:w="2349"/>
        <w:gridCol w:w="2349"/>
        <w:gridCol w:w="2347"/>
      </w:tblGrid>
      <w:tr w:rsidR="00000000">
        <w:tblPrEx>
          <w:tblCellMar>
            <w:top w:w="0" w:type="dxa"/>
            <w:bottom w:w="0" w:type="dxa"/>
          </w:tblCellMar>
        </w:tblPrEx>
        <w:trPr>
          <w:cantSplit/>
        </w:trPr>
        <w:tc>
          <w:tcPr>
            <w:tcW w:w="2366" w:type="dxa"/>
            <w:tcBorders>
              <w:top w:val="single" w:sz="4" w:space="0" w:color="auto"/>
              <w:left w:val="single" w:sz="4" w:space="0" w:color="auto"/>
              <w:bottom w:val="single" w:sz="4" w:space="0" w:color="auto"/>
            </w:tcBorders>
            <w:vAlign w:val="center"/>
          </w:tcPr>
          <w:p w:rsidR="00000000" w:rsidRDefault="00000000">
            <w:pPr>
              <w:spacing w:line="240" w:lineRule="auto"/>
              <w:jc w:val="center"/>
              <w:rPr>
                <w:sz w:val="20"/>
              </w:rPr>
            </w:pPr>
            <w:r>
              <w:rPr>
                <w:sz w:val="20"/>
              </w:rPr>
              <w:t>Тип эпидемического заболевания</w:t>
            </w:r>
          </w:p>
        </w:tc>
        <w:tc>
          <w:tcPr>
            <w:tcW w:w="2349" w:type="dxa"/>
            <w:tcBorders>
              <w:top w:val="single" w:sz="4" w:space="0" w:color="auto"/>
              <w:bottom w:val="single" w:sz="4" w:space="0" w:color="auto"/>
            </w:tcBorders>
            <w:vAlign w:val="center"/>
          </w:tcPr>
          <w:p w:rsidR="00000000" w:rsidRDefault="00000000">
            <w:pPr>
              <w:spacing w:line="240" w:lineRule="auto"/>
              <w:jc w:val="center"/>
              <w:rPr>
                <w:sz w:val="20"/>
              </w:rPr>
            </w:pPr>
            <w:r>
              <w:rPr>
                <w:sz w:val="20"/>
              </w:rPr>
              <w:t>Количество эпидемий</w:t>
            </w:r>
          </w:p>
        </w:tc>
        <w:tc>
          <w:tcPr>
            <w:tcW w:w="2349" w:type="dxa"/>
            <w:tcBorders>
              <w:top w:val="single" w:sz="4" w:space="0" w:color="auto"/>
              <w:bottom w:val="single" w:sz="4" w:space="0" w:color="auto"/>
            </w:tcBorders>
            <w:vAlign w:val="center"/>
          </w:tcPr>
          <w:p w:rsidR="00000000" w:rsidRDefault="00000000">
            <w:pPr>
              <w:spacing w:line="240" w:lineRule="auto"/>
              <w:jc w:val="center"/>
              <w:rPr>
                <w:sz w:val="20"/>
              </w:rPr>
            </w:pPr>
            <w:r>
              <w:rPr>
                <w:sz w:val="20"/>
              </w:rPr>
              <w:t>%</w:t>
            </w:r>
          </w:p>
        </w:tc>
        <w:tc>
          <w:tcPr>
            <w:tcW w:w="2347" w:type="dxa"/>
            <w:tcBorders>
              <w:top w:val="single" w:sz="4" w:space="0" w:color="auto"/>
              <w:bottom w:val="single" w:sz="4" w:space="0" w:color="auto"/>
              <w:right w:val="single" w:sz="4" w:space="0" w:color="auto"/>
            </w:tcBorders>
            <w:vAlign w:val="center"/>
          </w:tcPr>
          <w:p w:rsidR="00000000" w:rsidRDefault="00000000">
            <w:pPr>
              <w:spacing w:line="240" w:lineRule="auto"/>
              <w:jc w:val="center"/>
              <w:rPr>
                <w:sz w:val="20"/>
              </w:rPr>
            </w:pPr>
            <w:r>
              <w:rPr>
                <w:sz w:val="20"/>
              </w:rPr>
              <w:t>Количество заболевших лиц</w:t>
            </w:r>
          </w:p>
        </w:tc>
      </w:tr>
      <w:tr w:rsidR="00000000">
        <w:tblPrEx>
          <w:tblCellMar>
            <w:top w:w="0" w:type="dxa"/>
            <w:bottom w:w="0" w:type="dxa"/>
          </w:tblCellMar>
        </w:tblPrEx>
        <w:trPr>
          <w:cantSplit/>
        </w:trPr>
        <w:tc>
          <w:tcPr>
            <w:tcW w:w="2366" w:type="dxa"/>
            <w:tcBorders>
              <w:top w:val="single" w:sz="4" w:space="0" w:color="auto"/>
              <w:left w:val="single" w:sz="4" w:space="0" w:color="auto"/>
              <w:bottom w:val="nil"/>
            </w:tcBorders>
          </w:tcPr>
          <w:p w:rsidR="00000000" w:rsidRDefault="00000000">
            <w:pPr>
              <w:rPr>
                <w:sz w:val="20"/>
              </w:rPr>
            </w:pPr>
            <w:r>
              <w:rPr>
                <w:sz w:val="20"/>
              </w:rPr>
              <w:t>Респираторная</w:t>
            </w:r>
          </w:p>
        </w:tc>
        <w:tc>
          <w:tcPr>
            <w:tcW w:w="2349" w:type="dxa"/>
            <w:tcBorders>
              <w:top w:val="single" w:sz="4" w:space="0" w:color="auto"/>
              <w:bottom w:val="nil"/>
            </w:tcBorders>
          </w:tcPr>
          <w:p w:rsidR="00000000" w:rsidRDefault="00000000">
            <w:pPr>
              <w:ind w:right="1134"/>
              <w:jc w:val="right"/>
              <w:rPr>
                <w:sz w:val="20"/>
              </w:rPr>
            </w:pPr>
            <w:r>
              <w:rPr>
                <w:sz w:val="20"/>
              </w:rPr>
              <w:t>5</w:t>
            </w:r>
          </w:p>
        </w:tc>
        <w:tc>
          <w:tcPr>
            <w:tcW w:w="2349" w:type="dxa"/>
            <w:tcBorders>
              <w:top w:val="single" w:sz="4" w:space="0" w:color="auto"/>
              <w:bottom w:val="nil"/>
            </w:tcBorders>
          </w:tcPr>
          <w:p w:rsidR="00000000" w:rsidRDefault="00000000">
            <w:pPr>
              <w:ind w:right="1134"/>
              <w:jc w:val="right"/>
              <w:rPr>
                <w:sz w:val="20"/>
              </w:rPr>
            </w:pPr>
            <w:r>
              <w:rPr>
                <w:sz w:val="20"/>
              </w:rPr>
              <w:t>47,8</w:t>
            </w:r>
          </w:p>
        </w:tc>
        <w:tc>
          <w:tcPr>
            <w:tcW w:w="2347" w:type="dxa"/>
            <w:tcBorders>
              <w:top w:val="single" w:sz="4" w:space="0" w:color="auto"/>
              <w:bottom w:val="nil"/>
              <w:right w:val="single" w:sz="4" w:space="0" w:color="auto"/>
            </w:tcBorders>
          </w:tcPr>
          <w:p w:rsidR="00000000" w:rsidRDefault="00000000">
            <w:pPr>
              <w:ind w:right="1134"/>
              <w:jc w:val="right"/>
              <w:rPr>
                <w:sz w:val="20"/>
              </w:rPr>
            </w:pPr>
            <w:r>
              <w:rPr>
                <w:sz w:val="20"/>
              </w:rPr>
              <w:t>740</w:t>
            </w:r>
          </w:p>
        </w:tc>
      </w:tr>
      <w:tr w:rsidR="00000000">
        <w:tblPrEx>
          <w:tblCellMar>
            <w:top w:w="0" w:type="dxa"/>
            <w:bottom w:w="0" w:type="dxa"/>
          </w:tblCellMar>
        </w:tblPrEx>
        <w:trPr>
          <w:cantSplit/>
        </w:trPr>
        <w:tc>
          <w:tcPr>
            <w:tcW w:w="2366" w:type="dxa"/>
            <w:tcBorders>
              <w:top w:val="nil"/>
              <w:left w:val="single" w:sz="4" w:space="0" w:color="auto"/>
              <w:bottom w:val="nil"/>
            </w:tcBorders>
          </w:tcPr>
          <w:p w:rsidR="00000000" w:rsidRDefault="00000000">
            <w:pPr>
              <w:rPr>
                <w:sz w:val="20"/>
              </w:rPr>
            </w:pPr>
            <w:r>
              <w:rPr>
                <w:sz w:val="20"/>
              </w:rPr>
              <w:t>Пищевая</w:t>
            </w:r>
          </w:p>
        </w:tc>
        <w:tc>
          <w:tcPr>
            <w:tcW w:w="2349" w:type="dxa"/>
            <w:tcBorders>
              <w:top w:val="nil"/>
              <w:bottom w:val="nil"/>
            </w:tcBorders>
          </w:tcPr>
          <w:p w:rsidR="00000000" w:rsidRDefault="00000000">
            <w:pPr>
              <w:ind w:right="1134"/>
              <w:jc w:val="right"/>
              <w:rPr>
                <w:sz w:val="20"/>
              </w:rPr>
            </w:pPr>
            <w:r>
              <w:rPr>
                <w:sz w:val="20"/>
              </w:rPr>
              <w:t>6</w:t>
            </w:r>
          </w:p>
        </w:tc>
        <w:tc>
          <w:tcPr>
            <w:tcW w:w="2349" w:type="dxa"/>
            <w:tcBorders>
              <w:top w:val="nil"/>
              <w:bottom w:val="nil"/>
            </w:tcBorders>
          </w:tcPr>
          <w:p w:rsidR="00000000" w:rsidRDefault="00000000">
            <w:pPr>
              <w:ind w:right="1134"/>
              <w:jc w:val="right"/>
              <w:rPr>
                <w:sz w:val="20"/>
              </w:rPr>
            </w:pPr>
            <w:r>
              <w:rPr>
                <w:sz w:val="20"/>
              </w:rPr>
              <w:t>11,2</w:t>
            </w:r>
          </w:p>
        </w:tc>
        <w:tc>
          <w:tcPr>
            <w:tcW w:w="2347" w:type="dxa"/>
            <w:tcBorders>
              <w:top w:val="nil"/>
              <w:bottom w:val="nil"/>
              <w:right w:val="single" w:sz="4" w:space="0" w:color="auto"/>
            </w:tcBorders>
          </w:tcPr>
          <w:p w:rsidR="00000000" w:rsidRDefault="00000000">
            <w:pPr>
              <w:ind w:right="1134"/>
              <w:jc w:val="right"/>
              <w:rPr>
                <w:sz w:val="20"/>
              </w:rPr>
            </w:pPr>
            <w:r>
              <w:rPr>
                <w:sz w:val="20"/>
              </w:rPr>
              <w:t>174</w:t>
            </w:r>
          </w:p>
        </w:tc>
      </w:tr>
      <w:tr w:rsidR="00000000">
        <w:tblPrEx>
          <w:tblCellMar>
            <w:top w:w="0" w:type="dxa"/>
            <w:bottom w:w="0" w:type="dxa"/>
          </w:tblCellMar>
        </w:tblPrEx>
        <w:trPr>
          <w:cantSplit/>
        </w:trPr>
        <w:tc>
          <w:tcPr>
            <w:tcW w:w="2366" w:type="dxa"/>
            <w:tcBorders>
              <w:top w:val="nil"/>
              <w:left w:val="single" w:sz="4" w:space="0" w:color="auto"/>
              <w:bottom w:val="nil"/>
            </w:tcBorders>
          </w:tcPr>
          <w:p w:rsidR="00000000" w:rsidRDefault="00000000">
            <w:pPr>
              <w:rPr>
                <w:sz w:val="20"/>
              </w:rPr>
            </w:pPr>
            <w:r>
              <w:rPr>
                <w:sz w:val="20"/>
              </w:rPr>
              <w:t>Контактная</w:t>
            </w:r>
          </w:p>
        </w:tc>
        <w:tc>
          <w:tcPr>
            <w:tcW w:w="2349" w:type="dxa"/>
            <w:tcBorders>
              <w:top w:val="nil"/>
              <w:bottom w:val="nil"/>
            </w:tcBorders>
          </w:tcPr>
          <w:p w:rsidR="00000000" w:rsidRDefault="00000000">
            <w:pPr>
              <w:ind w:right="1134"/>
              <w:jc w:val="right"/>
              <w:rPr>
                <w:sz w:val="20"/>
              </w:rPr>
            </w:pPr>
            <w:r>
              <w:rPr>
                <w:sz w:val="20"/>
              </w:rPr>
              <w:t>1</w:t>
            </w:r>
          </w:p>
        </w:tc>
        <w:tc>
          <w:tcPr>
            <w:tcW w:w="2349" w:type="dxa"/>
            <w:tcBorders>
              <w:top w:val="nil"/>
              <w:bottom w:val="nil"/>
            </w:tcBorders>
          </w:tcPr>
          <w:p w:rsidR="00000000" w:rsidRDefault="00000000">
            <w:pPr>
              <w:ind w:right="1134"/>
              <w:jc w:val="right"/>
              <w:rPr>
                <w:sz w:val="20"/>
              </w:rPr>
            </w:pPr>
            <w:r>
              <w:rPr>
                <w:sz w:val="20"/>
              </w:rPr>
              <w:t>0,3</w:t>
            </w:r>
          </w:p>
        </w:tc>
        <w:tc>
          <w:tcPr>
            <w:tcW w:w="2347" w:type="dxa"/>
            <w:tcBorders>
              <w:top w:val="nil"/>
              <w:bottom w:val="nil"/>
              <w:right w:val="single" w:sz="4" w:space="0" w:color="auto"/>
            </w:tcBorders>
          </w:tcPr>
          <w:p w:rsidR="00000000" w:rsidRDefault="00000000">
            <w:pPr>
              <w:ind w:right="1134"/>
              <w:jc w:val="right"/>
              <w:rPr>
                <w:sz w:val="20"/>
              </w:rPr>
            </w:pPr>
            <w:r>
              <w:rPr>
                <w:sz w:val="20"/>
              </w:rPr>
              <w:t>5</w:t>
            </w:r>
          </w:p>
        </w:tc>
      </w:tr>
      <w:tr w:rsidR="00000000">
        <w:tblPrEx>
          <w:tblCellMar>
            <w:top w:w="0" w:type="dxa"/>
            <w:bottom w:w="0" w:type="dxa"/>
          </w:tblCellMar>
        </w:tblPrEx>
        <w:trPr>
          <w:cantSplit/>
        </w:trPr>
        <w:tc>
          <w:tcPr>
            <w:tcW w:w="2366" w:type="dxa"/>
            <w:tcBorders>
              <w:top w:val="nil"/>
              <w:left w:val="single" w:sz="4" w:space="0" w:color="auto"/>
              <w:bottom w:val="single" w:sz="4" w:space="0" w:color="auto"/>
            </w:tcBorders>
          </w:tcPr>
          <w:p w:rsidR="00000000" w:rsidRDefault="00000000">
            <w:pPr>
              <w:rPr>
                <w:sz w:val="20"/>
              </w:rPr>
            </w:pPr>
            <w:r>
              <w:rPr>
                <w:sz w:val="20"/>
              </w:rPr>
              <w:t>Смешанная</w:t>
            </w:r>
          </w:p>
        </w:tc>
        <w:tc>
          <w:tcPr>
            <w:tcW w:w="2349" w:type="dxa"/>
            <w:tcBorders>
              <w:top w:val="nil"/>
              <w:bottom w:val="single" w:sz="4" w:space="0" w:color="auto"/>
            </w:tcBorders>
          </w:tcPr>
          <w:p w:rsidR="00000000" w:rsidRDefault="00000000">
            <w:pPr>
              <w:ind w:right="1134"/>
              <w:jc w:val="right"/>
              <w:rPr>
                <w:sz w:val="20"/>
              </w:rPr>
            </w:pPr>
            <w:r>
              <w:rPr>
                <w:sz w:val="20"/>
              </w:rPr>
              <w:t>4</w:t>
            </w:r>
          </w:p>
        </w:tc>
        <w:tc>
          <w:tcPr>
            <w:tcW w:w="2349" w:type="dxa"/>
            <w:tcBorders>
              <w:top w:val="nil"/>
              <w:bottom w:val="single" w:sz="4" w:space="0" w:color="auto"/>
            </w:tcBorders>
          </w:tcPr>
          <w:p w:rsidR="00000000" w:rsidRDefault="00000000">
            <w:pPr>
              <w:ind w:right="1134"/>
              <w:jc w:val="right"/>
              <w:rPr>
                <w:sz w:val="20"/>
              </w:rPr>
            </w:pPr>
            <w:r>
              <w:rPr>
                <w:sz w:val="20"/>
              </w:rPr>
              <w:t>40,7</w:t>
            </w:r>
          </w:p>
        </w:tc>
        <w:tc>
          <w:tcPr>
            <w:tcW w:w="2347" w:type="dxa"/>
            <w:tcBorders>
              <w:top w:val="nil"/>
              <w:bottom w:val="single" w:sz="4" w:space="0" w:color="auto"/>
              <w:right w:val="single" w:sz="4" w:space="0" w:color="auto"/>
            </w:tcBorders>
          </w:tcPr>
          <w:p w:rsidR="00000000" w:rsidRDefault="00000000">
            <w:pPr>
              <w:ind w:right="1134"/>
              <w:jc w:val="right"/>
              <w:rPr>
                <w:sz w:val="20"/>
              </w:rPr>
            </w:pPr>
            <w:r>
              <w:rPr>
                <w:sz w:val="20"/>
              </w:rPr>
              <w:t>627</w:t>
            </w:r>
          </w:p>
        </w:tc>
      </w:tr>
      <w:tr w:rsidR="00000000">
        <w:tblPrEx>
          <w:tblCellMar>
            <w:top w:w="0" w:type="dxa"/>
            <w:bottom w:w="0" w:type="dxa"/>
          </w:tblCellMar>
        </w:tblPrEx>
        <w:trPr>
          <w:cantSplit/>
        </w:trPr>
        <w:tc>
          <w:tcPr>
            <w:tcW w:w="2366" w:type="dxa"/>
            <w:tcBorders>
              <w:top w:val="single" w:sz="4" w:space="0" w:color="auto"/>
              <w:left w:val="single" w:sz="4" w:space="0" w:color="auto"/>
              <w:bottom w:val="single" w:sz="4" w:space="0" w:color="auto"/>
            </w:tcBorders>
          </w:tcPr>
          <w:p w:rsidR="00000000" w:rsidRDefault="00000000">
            <w:pPr>
              <w:rPr>
                <w:sz w:val="20"/>
              </w:rPr>
            </w:pPr>
            <w:r>
              <w:rPr>
                <w:sz w:val="20"/>
              </w:rPr>
              <w:t>Всего</w:t>
            </w:r>
          </w:p>
        </w:tc>
        <w:tc>
          <w:tcPr>
            <w:tcW w:w="2349" w:type="dxa"/>
            <w:tcBorders>
              <w:top w:val="single" w:sz="4" w:space="0" w:color="auto"/>
              <w:bottom w:val="single" w:sz="4" w:space="0" w:color="auto"/>
            </w:tcBorders>
          </w:tcPr>
          <w:p w:rsidR="00000000" w:rsidRDefault="00000000">
            <w:pPr>
              <w:ind w:right="1134"/>
              <w:jc w:val="right"/>
              <w:rPr>
                <w:sz w:val="20"/>
              </w:rPr>
            </w:pPr>
            <w:r>
              <w:rPr>
                <w:sz w:val="20"/>
              </w:rPr>
              <w:t>16</w:t>
            </w:r>
          </w:p>
        </w:tc>
        <w:tc>
          <w:tcPr>
            <w:tcW w:w="2349" w:type="dxa"/>
            <w:tcBorders>
              <w:top w:val="single" w:sz="4" w:space="0" w:color="auto"/>
              <w:bottom w:val="single" w:sz="4" w:space="0" w:color="auto"/>
            </w:tcBorders>
          </w:tcPr>
          <w:p w:rsidR="00000000" w:rsidRDefault="00000000">
            <w:pPr>
              <w:ind w:right="1134"/>
              <w:jc w:val="right"/>
              <w:rPr>
                <w:sz w:val="20"/>
              </w:rPr>
            </w:pPr>
            <w:r>
              <w:rPr>
                <w:sz w:val="20"/>
              </w:rPr>
              <w:t>100,0</w:t>
            </w:r>
          </w:p>
        </w:tc>
        <w:tc>
          <w:tcPr>
            <w:tcW w:w="2347" w:type="dxa"/>
            <w:tcBorders>
              <w:top w:val="single" w:sz="4" w:space="0" w:color="auto"/>
              <w:bottom w:val="single" w:sz="4" w:space="0" w:color="auto"/>
              <w:right w:val="single" w:sz="4" w:space="0" w:color="auto"/>
            </w:tcBorders>
          </w:tcPr>
          <w:p w:rsidR="00000000" w:rsidRDefault="00000000">
            <w:pPr>
              <w:ind w:right="1134"/>
              <w:jc w:val="right"/>
              <w:rPr>
                <w:sz w:val="20"/>
              </w:rPr>
            </w:pPr>
            <w:r>
              <w:rPr>
                <w:sz w:val="20"/>
              </w:rPr>
              <w:t>1546</w:t>
            </w:r>
          </w:p>
        </w:tc>
      </w:tr>
    </w:tbl>
    <w:p w:rsidR="00000000" w:rsidRDefault="00000000"/>
    <w:p w:rsidR="00000000" w:rsidRDefault="00000000">
      <w:pPr>
        <w:pageBreakBefore/>
        <w:spacing w:line="216" w:lineRule="auto"/>
        <w:jc w:val="center"/>
        <w:rPr>
          <w:b/>
          <w:bCs/>
        </w:rPr>
      </w:pPr>
      <w:r>
        <w:rPr>
          <w:b/>
          <w:bCs/>
        </w:rPr>
        <w:t>Таблица 7</w:t>
      </w:r>
    </w:p>
    <w:p w:rsidR="00000000" w:rsidRDefault="00000000">
      <w:pPr>
        <w:spacing w:line="216" w:lineRule="auto"/>
        <w:jc w:val="center"/>
        <w:rPr>
          <w:b/>
          <w:bCs/>
        </w:rPr>
      </w:pPr>
    </w:p>
    <w:p w:rsidR="00000000" w:rsidRDefault="00000000">
      <w:pPr>
        <w:spacing w:line="216" w:lineRule="auto"/>
        <w:jc w:val="center"/>
        <w:rPr>
          <w:b/>
          <w:bCs/>
        </w:rPr>
      </w:pPr>
      <w:r>
        <w:rPr>
          <w:b/>
          <w:bCs/>
        </w:rPr>
        <w:t>Эпидемии в Черногории в 2000 году</w:t>
      </w:r>
    </w:p>
    <w:p w:rsidR="00000000" w:rsidRDefault="00000000">
      <w:pPr>
        <w:spacing w:line="216" w:lineRule="auto"/>
        <w:jc w:val="center"/>
        <w:rPr>
          <w:b/>
          <w:bCs/>
        </w:rPr>
      </w:pPr>
    </w:p>
    <w:tbl>
      <w:tblPr>
        <w:tblW w:w="0" w:type="auto"/>
        <w:tblBorders>
          <w:top w:val="single" w:sz="12" w:space="0" w:color="auto"/>
          <w:left w:val="single" w:sz="12" w:space="0" w:color="auto"/>
          <w:bottom w:val="single" w:sz="12" w:space="0" w:color="auto"/>
          <w:right w:val="single" w:sz="12"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616"/>
        <w:gridCol w:w="1666"/>
        <w:gridCol w:w="1218"/>
        <w:gridCol w:w="1764"/>
        <w:gridCol w:w="1245"/>
        <w:gridCol w:w="1344"/>
        <w:gridCol w:w="1558"/>
      </w:tblGrid>
      <w:tr w:rsidR="00000000">
        <w:trPr>
          <w:cantSplit/>
        </w:trPr>
        <w:tc>
          <w:tcPr>
            <w:tcW w:w="616" w:type="dxa"/>
            <w:tcBorders>
              <w:top w:val="single" w:sz="4" w:space="0" w:color="auto"/>
              <w:left w:val="single" w:sz="4" w:space="0" w:color="auto"/>
              <w:bottom w:val="single" w:sz="4" w:space="0" w:color="auto"/>
            </w:tcBorders>
            <w:vAlign w:val="center"/>
          </w:tcPr>
          <w:p w:rsidR="00000000" w:rsidRDefault="00000000">
            <w:pPr>
              <w:spacing w:line="192" w:lineRule="auto"/>
              <w:jc w:val="center"/>
              <w:rPr>
                <w:bCs/>
                <w:sz w:val="20"/>
              </w:rPr>
            </w:pPr>
            <w:r>
              <w:rPr>
                <w:bCs/>
                <w:sz w:val="20"/>
              </w:rPr>
              <w:t>№</w:t>
            </w:r>
          </w:p>
        </w:tc>
        <w:tc>
          <w:tcPr>
            <w:tcW w:w="1666" w:type="dxa"/>
            <w:tcBorders>
              <w:top w:val="single" w:sz="4" w:space="0" w:color="auto"/>
              <w:bottom w:val="single" w:sz="4" w:space="0" w:color="auto"/>
            </w:tcBorders>
            <w:vAlign w:val="center"/>
          </w:tcPr>
          <w:p w:rsidR="00000000" w:rsidRDefault="00000000">
            <w:pPr>
              <w:spacing w:line="192" w:lineRule="auto"/>
              <w:jc w:val="center"/>
              <w:rPr>
                <w:bCs/>
                <w:sz w:val="20"/>
              </w:rPr>
            </w:pPr>
            <w:r>
              <w:rPr>
                <w:bCs/>
                <w:sz w:val="20"/>
              </w:rPr>
              <w:t>Заболевание</w:t>
            </w:r>
          </w:p>
        </w:tc>
        <w:tc>
          <w:tcPr>
            <w:tcW w:w="1218" w:type="dxa"/>
            <w:tcBorders>
              <w:top w:val="single" w:sz="4" w:space="0" w:color="auto"/>
              <w:bottom w:val="single" w:sz="4" w:space="0" w:color="auto"/>
            </w:tcBorders>
            <w:vAlign w:val="center"/>
          </w:tcPr>
          <w:p w:rsidR="00000000" w:rsidRDefault="00000000">
            <w:pPr>
              <w:spacing w:line="192" w:lineRule="auto"/>
              <w:jc w:val="center"/>
              <w:rPr>
                <w:bCs/>
                <w:sz w:val="20"/>
              </w:rPr>
            </w:pPr>
            <w:r>
              <w:rPr>
                <w:bCs/>
                <w:sz w:val="20"/>
              </w:rPr>
              <w:t>Продолжи</w:t>
            </w:r>
            <w:r>
              <w:rPr>
                <w:bCs/>
                <w:sz w:val="20"/>
              </w:rPr>
              <w:softHyphen/>
              <w:t>тельность</w:t>
            </w:r>
          </w:p>
        </w:tc>
        <w:tc>
          <w:tcPr>
            <w:tcW w:w="1764" w:type="dxa"/>
            <w:tcBorders>
              <w:top w:val="single" w:sz="4" w:space="0" w:color="auto"/>
              <w:bottom w:val="single" w:sz="4" w:space="0" w:color="auto"/>
            </w:tcBorders>
            <w:vAlign w:val="center"/>
          </w:tcPr>
          <w:p w:rsidR="00000000" w:rsidRDefault="00000000">
            <w:pPr>
              <w:tabs>
                <w:tab w:val="left" w:pos="1260"/>
              </w:tabs>
              <w:spacing w:line="192" w:lineRule="auto"/>
              <w:jc w:val="center"/>
              <w:rPr>
                <w:bCs/>
                <w:sz w:val="20"/>
              </w:rPr>
            </w:pPr>
            <w:r>
              <w:rPr>
                <w:bCs/>
                <w:sz w:val="20"/>
              </w:rPr>
              <w:t>Место</w:t>
            </w:r>
          </w:p>
        </w:tc>
        <w:tc>
          <w:tcPr>
            <w:tcW w:w="1245" w:type="dxa"/>
            <w:tcBorders>
              <w:top w:val="single" w:sz="4" w:space="0" w:color="auto"/>
              <w:bottom w:val="single" w:sz="4" w:space="0" w:color="auto"/>
            </w:tcBorders>
            <w:vAlign w:val="center"/>
          </w:tcPr>
          <w:p w:rsidR="00000000" w:rsidRDefault="00000000">
            <w:pPr>
              <w:spacing w:line="192" w:lineRule="auto"/>
              <w:jc w:val="center"/>
              <w:rPr>
                <w:bCs/>
                <w:sz w:val="20"/>
              </w:rPr>
            </w:pPr>
            <w:r>
              <w:rPr>
                <w:bCs/>
                <w:sz w:val="20"/>
              </w:rPr>
              <w:t>Кол-во заболевших лиц</w:t>
            </w:r>
          </w:p>
        </w:tc>
        <w:tc>
          <w:tcPr>
            <w:tcW w:w="1344" w:type="dxa"/>
            <w:tcBorders>
              <w:top w:val="single" w:sz="4" w:space="0" w:color="auto"/>
              <w:bottom w:val="single" w:sz="4" w:space="0" w:color="auto"/>
            </w:tcBorders>
            <w:vAlign w:val="center"/>
          </w:tcPr>
          <w:p w:rsidR="00000000" w:rsidRDefault="00000000">
            <w:pPr>
              <w:pStyle w:val="Heading3"/>
              <w:spacing w:line="192" w:lineRule="auto"/>
              <w:jc w:val="center"/>
              <w:rPr>
                <w:bCs/>
                <w:i w:val="0"/>
                <w:iCs/>
                <w:sz w:val="20"/>
              </w:rPr>
            </w:pPr>
            <w:r>
              <w:rPr>
                <w:bCs/>
                <w:i w:val="0"/>
                <w:iCs/>
                <w:sz w:val="20"/>
              </w:rPr>
              <w:t>Причина</w:t>
            </w:r>
          </w:p>
        </w:tc>
        <w:tc>
          <w:tcPr>
            <w:tcW w:w="1558" w:type="dxa"/>
            <w:tcBorders>
              <w:top w:val="single" w:sz="4" w:space="0" w:color="auto"/>
              <w:bottom w:val="single" w:sz="4" w:space="0" w:color="auto"/>
              <w:right w:val="single" w:sz="4" w:space="0" w:color="auto"/>
            </w:tcBorders>
            <w:vAlign w:val="center"/>
          </w:tcPr>
          <w:p w:rsidR="00000000" w:rsidRDefault="00000000">
            <w:pPr>
              <w:spacing w:line="192" w:lineRule="auto"/>
              <w:jc w:val="center"/>
              <w:rPr>
                <w:bCs/>
                <w:sz w:val="20"/>
              </w:rPr>
            </w:pPr>
            <w:r>
              <w:rPr>
                <w:bCs/>
                <w:sz w:val="20"/>
              </w:rPr>
              <w:t>Источник инфекции и механизм передачи</w:t>
            </w:r>
          </w:p>
        </w:tc>
      </w:tr>
      <w:tr w:rsidR="00000000">
        <w:trPr>
          <w:cantSplit/>
        </w:trPr>
        <w:tc>
          <w:tcPr>
            <w:tcW w:w="616" w:type="dxa"/>
            <w:tcBorders>
              <w:top w:val="single" w:sz="4" w:space="0" w:color="auto"/>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w:t>
            </w:r>
          </w:p>
        </w:tc>
        <w:tc>
          <w:tcPr>
            <w:tcW w:w="1666" w:type="dxa"/>
            <w:tcBorders>
              <w:top w:val="single" w:sz="4" w:space="0" w:color="auto"/>
            </w:tcBorders>
          </w:tcPr>
          <w:p w:rsidR="00000000" w:rsidRDefault="00000000">
            <w:pPr>
              <w:spacing w:line="192" w:lineRule="auto"/>
              <w:rPr>
                <w:sz w:val="20"/>
              </w:rPr>
            </w:pPr>
            <w:r>
              <w:rPr>
                <w:sz w:val="20"/>
              </w:rPr>
              <w:t>Стрептококковая ангина</w:t>
            </w:r>
          </w:p>
        </w:tc>
        <w:tc>
          <w:tcPr>
            <w:tcW w:w="1218" w:type="dxa"/>
            <w:tcBorders>
              <w:top w:val="single" w:sz="4" w:space="0" w:color="auto"/>
            </w:tcBorders>
          </w:tcPr>
          <w:p w:rsidR="00000000" w:rsidRDefault="00000000">
            <w:pPr>
              <w:spacing w:line="192" w:lineRule="auto"/>
              <w:rPr>
                <w:sz w:val="20"/>
              </w:rPr>
            </w:pPr>
            <w:r>
              <w:rPr>
                <w:sz w:val="20"/>
              </w:rPr>
              <w:t>Апрель-май 2001 года</w:t>
            </w:r>
          </w:p>
        </w:tc>
        <w:tc>
          <w:tcPr>
            <w:tcW w:w="1764" w:type="dxa"/>
            <w:tcBorders>
              <w:top w:val="single" w:sz="4" w:space="0" w:color="auto"/>
            </w:tcBorders>
          </w:tcPr>
          <w:p w:rsidR="00000000" w:rsidRDefault="00000000">
            <w:pPr>
              <w:spacing w:line="192" w:lineRule="auto"/>
              <w:rPr>
                <w:sz w:val="20"/>
              </w:rPr>
            </w:pPr>
            <w:proofErr w:type="spellStart"/>
            <w:r>
              <w:rPr>
                <w:sz w:val="20"/>
              </w:rPr>
              <w:t>Плевля</w:t>
            </w:r>
            <w:proofErr w:type="spellEnd"/>
            <w:r>
              <w:rPr>
                <w:sz w:val="20"/>
              </w:rPr>
              <w:t xml:space="preserve"> - дети школьного возраста</w:t>
            </w:r>
          </w:p>
        </w:tc>
        <w:tc>
          <w:tcPr>
            <w:tcW w:w="1245" w:type="dxa"/>
            <w:tcBorders>
              <w:top w:val="single" w:sz="4" w:space="0" w:color="auto"/>
            </w:tcBorders>
          </w:tcPr>
          <w:p w:rsidR="00000000" w:rsidRDefault="00000000">
            <w:pPr>
              <w:spacing w:line="192" w:lineRule="auto"/>
              <w:ind w:right="284"/>
              <w:jc w:val="right"/>
              <w:rPr>
                <w:sz w:val="20"/>
              </w:rPr>
            </w:pPr>
            <w:r>
              <w:rPr>
                <w:sz w:val="20"/>
              </w:rPr>
              <w:t>50</w:t>
            </w:r>
          </w:p>
        </w:tc>
        <w:tc>
          <w:tcPr>
            <w:tcW w:w="1344" w:type="dxa"/>
            <w:tcBorders>
              <w:top w:val="single" w:sz="4" w:space="0" w:color="auto"/>
            </w:tcBorders>
          </w:tcPr>
          <w:p w:rsidR="00000000" w:rsidRDefault="00000000">
            <w:pPr>
              <w:spacing w:line="192" w:lineRule="auto"/>
              <w:rPr>
                <w:sz w:val="20"/>
              </w:rPr>
            </w:pPr>
            <w:r>
              <w:rPr>
                <w:sz w:val="20"/>
              </w:rPr>
              <w:t>Стрептококк</w:t>
            </w:r>
          </w:p>
          <w:p w:rsidR="00000000" w:rsidRDefault="00000000">
            <w:pPr>
              <w:spacing w:line="192" w:lineRule="auto"/>
              <w:rPr>
                <w:sz w:val="20"/>
                <w:lang w:val="en-US"/>
              </w:rPr>
            </w:pPr>
            <w:proofErr w:type="spellStart"/>
            <w:r>
              <w:rPr>
                <w:sz w:val="20"/>
              </w:rPr>
              <w:t>β</w:t>
            </w:r>
            <w:r>
              <w:rPr>
                <w:sz w:val="20"/>
                <w:lang w:val="en-US"/>
              </w:rPr>
              <w:t>haemol</w:t>
            </w:r>
            <w:proofErr w:type="spellEnd"/>
            <w:r>
              <w:rPr>
                <w:sz w:val="20"/>
                <w:lang w:val="en-US"/>
              </w:rPr>
              <w:t xml:space="preserve">., </w:t>
            </w:r>
            <w:proofErr w:type="spellStart"/>
            <w:r>
              <w:rPr>
                <w:sz w:val="20"/>
              </w:rPr>
              <w:t>гр</w:t>
            </w:r>
            <w:proofErr w:type="spellEnd"/>
            <w:r>
              <w:rPr>
                <w:sz w:val="20"/>
                <w:lang w:val="en-US"/>
              </w:rPr>
              <w:t xml:space="preserve"> A</w:t>
            </w:r>
          </w:p>
        </w:tc>
        <w:tc>
          <w:tcPr>
            <w:tcW w:w="1558" w:type="dxa"/>
            <w:tcBorders>
              <w:top w:val="single" w:sz="4" w:space="0" w:color="auto"/>
              <w:right w:val="single" w:sz="4" w:space="0" w:color="auto"/>
            </w:tcBorders>
          </w:tcPr>
          <w:p w:rsidR="00000000" w:rsidRDefault="00000000">
            <w:pPr>
              <w:spacing w:line="192" w:lineRule="auto"/>
              <w:rPr>
                <w:sz w:val="20"/>
              </w:rPr>
            </w:pPr>
            <w:r>
              <w:rPr>
                <w:sz w:val="20"/>
              </w:rPr>
              <w:t>Респираторный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2.</w:t>
            </w:r>
          </w:p>
        </w:tc>
        <w:tc>
          <w:tcPr>
            <w:tcW w:w="1666" w:type="dxa"/>
          </w:tcPr>
          <w:p w:rsidR="00000000" w:rsidRDefault="00000000">
            <w:pPr>
              <w:spacing w:line="192" w:lineRule="auto"/>
              <w:rPr>
                <w:sz w:val="20"/>
              </w:rPr>
            </w:pPr>
            <w:r>
              <w:rPr>
                <w:sz w:val="20"/>
              </w:rPr>
              <w:t>Сальмонеллез</w:t>
            </w:r>
          </w:p>
        </w:tc>
        <w:tc>
          <w:tcPr>
            <w:tcW w:w="1218" w:type="dxa"/>
          </w:tcPr>
          <w:p w:rsidR="00000000" w:rsidRDefault="00000000">
            <w:pPr>
              <w:spacing w:line="192" w:lineRule="auto"/>
              <w:rPr>
                <w:sz w:val="20"/>
              </w:rPr>
            </w:pPr>
            <w:r>
              <w:rPr>
                <w:sz w:val="20"/>
              </w:rPr>
              <w:t>Май-июнь 2001 года</w:t>
            </w:r>
          </w:p>
        </w:tc>
        <w:tc>
          <w:tcPr>
            <w:tcW w:w="1764" w:type="dxa"/>
          </w:tcPr>
          <w:p w:rsidR="00000000" w:rsidRDefault="00000000">
            <w:pPr>
              <w:spacing w:line="192" w:lineRule="auto"/>
              <w:rPr>
                <w:sz w:val="20"/>
              </w:rPr>
            </w:pPr>
            <w:proofErr w:type="spellStart"/>
            <w:r>
              <w:rPr>
                <w:sz w:val="20"/>
              </w:rPr>
              <w:t>Будва</w:t>
            </w:r>
            <w:proofErr w:type="spellEnd"/>
            <w:r>
              <w:rPr>
                <w:sz w:val="20"/>
              </w:rPr>
              <w:t xml:space="preserve"> - подростки и взрослые</w:t>
            </w:r>
          </w:p>
        </w:tc>
        <w:tc>
          <w:tcPr>
            <w:tcW w:w="1245" w:type="dxa"/>
          </w:tcPr>
          <w:p w:rsidR="00000000" w:rsidRDefault="00000000">
            <w:pPr>
              <w:spacing w:line="192" w:lineRule="auto"/>
              <w:ind w:right="284"/>
              <w:jc w:val="right"/>
              <w:rPr>
                <w:sz w:val="20"/>
                <w:lang w:val="en-US"/>
              </w:rPr>
            </w:pPr>
            <w:r>
              <w:rPr>
                <w:sz w:val="20"/>
                <w:lang w:val="en-US"/>
              </w:rPr>
              <w:t>22</w:t>
            </w:r>
          </w:p>
        </w:tc>
        <w:tc>
          <w:tcPr>
            <w:tcW w:w="1344" w:type="dxa"/>
          </w:tcPr>
          <w:p w:rsidR="00000000" w:rsidRDefault="00000000">
            <w:pPr>
              <w:spacing w:line="192" w:lineRule="auto"/>
              <w:rPr>
                <w:sz w:val="20"/>
                <w:lang w:val="en-US"/>
              </w:rPr>
            </w:pPr>
            <w:r>
              <w:rPr>
                <w:sz w:val="20"/>
                <w:lang w:val="en-US"/>
              </w:rPr>
              <w:t xml:space="preserve">Salmonella </w:t>
            </w:r>
            <w:proofErr w:type="spellStart"/>
            <w:r>
              <w:rPr>
                <w:sz w:val="20"/>
                <w:lang w:val="en-US"/>
              </w:rPr>
              <w:t>enteritidis</w:t>
            </w:r>
            <w:proofErr w:type="spellEnd"/>
          </w:p>
        </w:tc>
        <w:tc>
          <w:tcPr>
            <w:tcW w:w="1558" w:type="dxa"/>
            <w:tcBorders>
              <w:right w:val="single" w:sz="4" w:space="0" w:color="auto"/>
            </w:tcBorders>
          </w:tcPr>
          <w:p w:rsidR="00000000" w:rsidRDefault="00000000">
            <w:pPr>
              <w:spacing w:line="192" w:lineRule="auto"/>
              <w:rPr>
                <w:sz w:val="20"/>
                <w:lang w:val="en-US"/>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3.</w:t>
            </w:r>
          </w:p>
        </w:tc>
        <w:tc>
          <w:tcPr>
            <w:tcW w:w="1666" w:type="dxa"/>
          </w:tcPr>
          <w:p w:rsidR="00000000" w:rsidRDefault="00000000">
            <w:pPr>
              <w:spacing w:line="192" w:lineRule="auto"/>
              <w:rPr>
                <w:sz w:val="20"/>
              </w:rPr>
            </w:pPr>
            <w:r>
              <w:rPr>
                <w:sz w:val="20"/>
              </w:rPr>
              <w:t>Сальмонеллез</w:t>
            </w:r>
          </w:p>
        </w:tc>
        <w:tc>
          <w:tcPr>
            <w:tcW w:w="1218" w:type="dxa"/>
          </w:tcPr>
          <w:p w:rsidR="00000000" w:rsidRDefault="00000000">
            <w:pPr>
              <w:spacing w:line="192" w:lineRule="auto"/>
              <w:rPr>
                <w:sz w:val="20"/>
              </w:rPr>
            </w:pPr>
            <w:r>
              <w:rPr>
                <w:sz w:val="20"/>
              </w:rPr>
              <w:t>Июнь 2001 года</w:t>
            </w:r>
          </w:p>
        </w:tc>
        <w:tc>
          <w:tcPr>
            <w:tcW w:w="1764" w:type="dxa"/>
          </w:tcPr>
          <w:p w:rsidR="00000000" w:rsidRDefault="00000000">
            <w:pPr>
              <w:spacing w:line="192" w:lineRule="auto"/>
              <w:rPr>
                <w:sz w:val="20"/>
                <w:lang w:val="en-US"/>
              </w:rPr>
            </w:pPr>
            <w:proofErr w:type="spellStart"/>
            <w:r>
              <w:rPr>
                <w:sz w:val="20"/>
              </w:rPr>
              <w:t>Подгорица</w:t>
            </w:r>
            <w:proofErr w:type="spellEnd"/>
            <w:r>
              <w:rPr>
                <w:sz w:val="20"/>
                <w:lang w:val="en-US"/>
              </w:rPr>
              <w:t xml:space="preserve"> - </w:t>
            </w:r>
            <w:r>
              <w:rPr>
                <w:sz w:val="20"/>
              </w:rPr>
              <w:t>семья</w:t>
            </w:r>
          </w:p>
        </w:tc>
        <w:tc>
          <w:tcPr>
            <w:tcW w:w="1245" w:type="dxa"/>
          </w:tcPr>
          <w:p w:rsidR="00000000" w:rsidRDefault="00000000">
            <w:pPr>
              <w:spacing w:line="192" w:lineRule="auto"/>
              <w:ind w:right="284"/>
              <w:jc w:val="right"/>
              <w:rPr>
                <w:sz w:val="20"/>
                <w:lang w:val="en-US"/>
              </w:rPr>
            </w:pPr>
            <w:r>
              <w:rPr>
                <w:sz w:val="20"/>
                <w:lang w:val="en-US"/>
              </w:rPr>
              <w:t>3</w:t>
            </w:r>
          </w:p>
        </w:tc>
        <w:tc>
          <w:tcPr>
            <w:tcW w:w="1344" w:type="dxa"/>
          </w:tcPr>
          <w:p w:rsidR="00000000" w:rsidRDefault="00000000">
            <w:pPr>
              <w:spacing w:line="192" w:lineRule="auto"/>
              <w:rPr>
                <w:sz w:val="20"/>
                <w:lang w:val="en-US"/>
              </w:rPr>
            </w:pPr>
            <w:r>
              <w:rPr>
                <w:sz w:val="20"/>
                <w:lang w:val="en-US"/>
              </w:rPr>
              <w:t xml:space="preserve">Salmonella </w:t>
            </w:r>
            <w:proofErr w:type="spellStart"/>
            <w:r>
              <w:rPr>
                <w:sz w:val="20"/>
                <w:lang w:val="en-US"/>
              </w:rPr>
              <w:t>enteritidis</w:t>
            </w:r>
            <w:proofErr w:type="spellEnd"/>
          </w:p>
        </w:tc>
        <w:tc>
          <w:tcPr>
            <w:tcW w:w="1558" w:type="dxa"/>
            <w:tcBorders>
              <w:right w:val="single" w:sz="4" w:space="0" w:color="auto"/>
            </w:tcBorders>
          </w:tcPr>
          <w:p w:rsidR="00000000" w:rsidRDefault="00000000">
            <w:pPr>
              <w:spacing w:line="192" w:lineRule="auto"/>
              <w:rPr>
                <w:sz w:val="20"/>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4.</w:t>
            </w:r>
          </w:p>
        </w:tc>
        <w:tc>
          <w:tcPr>
            <w:tcW w:w="1666" w:type="dxa"/>
          </w:tcPr>
          <w:p w:rsidR="00000000" w:rsidRDefault="00000000">
            <w:pPr>
              <w:spacing w:line="192" w:lineRule="auto"/>
              <w:rPr>
                <w:sz w:val="20"/>
              </w:rPr>
            </w:pPr>
            <w:r>
              <w:rPr>
                <w:sz w:val="20"/>
              </w:rPr>
              <w:t xml:space="preserve">Пищевая </w:t>
            </w:r>
            <w:proofErr w:type="spellStart"/>
            <w:r>
              <w:rPr>
                <w:sz w:val="20"/>
              </w:rPr>
              <w:t>токсикоинфекция</w:t>
            </w:r>
            <w:proofErr w:type="spellEnd"/>
          </w:p>
        </w:tc>
        <w:tc>
          <w:tcPr>
            <w:tcW w:w="1218" w:type="dxa"/>
          </w:tcPr>
          <w:p w:rsidR="00000000" w:rsidRDefault="00000000">
            <w:pPr>
              <w:spacing w:line="192" w:lineRule="auto"/>
              <w:rPr>
                <w:sz w:val="20"/>
              </w:rPr>
            </w:pPr>
            <w:r>
              <w:rPr>
                <w:sz w:val="20"/>
              </w:rPr>
              <w:t>Июнь 2001 года</w:t>
            </w:r>
          </w:p>
        </w:tc>
        <w:tc>
          <w:tcPr>
            <w:tcW w:w="1764" w:type="dxa"/>
          </w:tcPr>
          <w:p w:rsidR="00000000" w:rsidRDefault="00000000">
            <w:pPr>
              <w:spacing w:line="192" w:lineRule="auto"/>
              <w:rPr>
                <w:sz w:val="20"/>
              </w:rPr>
            </w:pPr>
            <w:proofErr w:type="spellStart"/>
            <w:r>
              <w:rPr>
                <w:sz w:val="20"/>
              </w:rPr>
              <w:t>Подгорица</w:t>
            </w:r>
            <w:proofErr w:type="spellEnd"/>
            <w:r>
              <w:rPr>
                <w:sz w:val="20"/>
              </w:rPr>
              <w:t xml:space="preserve"> - взрослые Алюминиевый комбинат</w:t>
            </w:r>
          </w:p>
        </w:tc>
        <w:tc>
          <w:tcPr>
            <w:tcW w:w="1245" w:type="dxa"/>
          </w:tcPr>
          <w:p w:rsidR="00000000" w:rsidRDefault="00000000">
            <w:pPr>
              <w:spacing w:line="192" w:lineRule="auto"/>
              <w:ind w:right="284"/>
              <w:jc w:val="right"/>
              <w:rPr>
                <w:sz w:val="20"/>
              </w:rPr>
            </w:pPr>
            <w:r>
              <w:rPr>
                <w:sz w:val="20"/>
              </w:rPr>
              <w:t>47</w:t>
            </w:r>
          </w:p>
        </w:tc>
        <w:tc>
          <w:tcPr>
            <w:tcW w:w="1344" w:type="dxa"/>
          </w:tcPr>
          <w:p w:rsidR="00000000" w:rsidRDefault="00000000">
            <w:pPr>
              <w:spacing w:line="192" w:lineRule="auto"/>
              <w:rPr>
                <w:sz w:val="20"/>
              </w:rPr>
            </w:pPr>
            <w:r>
              <w:rPr>
                <w:sz w:val="20"/>
              </w:rPr>
              <w:t>Неизвестно</w:t>
            </w:r>
          </w:p>
        </w:tc>
        <w:tc>
          <w:tcPr>
            <w:tcW w:w="1558" w:type="dxa"/>
            <w:tcBorders>
              <w:right w:val="single" w:sz="4" w:space="0" w:color="auto"/>
            </w:tcBorders>
          </w:tcPr>
          <w:p w:rsidR="00000000" w:rsidRDefault="00000000">
            <w:pPr>
              <w:spacing w:line="192" w:lineRule="auto"/>
              <w:rPr>
                <w:sz w:val="20"/>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5.</w:t>
            </w:r>
          </w:p>
        </w:tc>
        <w:tc>
          <w:tcPr>
            <w:tcW w:w="1666" w:type="dxa"/>
          </w:tcPr>
          <w:p w:rsidR="00000000" w:rsidRDefault="00000000">
            <w:pPr>
              <w:spacing w:line="192" w:lineRule="auto"/>
              <w:rPr>
                <w:sz w:val="20"/>
              </w:rPr>
            </w:pPr>
            <w:r>
              <w:rPr>
                <w:sz w:val="20"/>
              </w:rPr>
              <w:t>Острый энтероколит</w:t>
            </w:r>
          </w:p>
        </w:tc>
        <w:tc>
          <w:tcPr>
            <w:tcW w:w="1218" w:type="dxa"/>
          </w:tcPr>
          <w:p w:rsidR="00000000" w:rsidRDefault="00000000">
            <w:pPr>
              <w:spacing w:line="192" w:lineRule="auto"/>
              <w:rPr>
                <w:sz w:val="20"/>
              </w:rPr>
            </w:pPr>
            <w:r>
              <w:rPr>
                <w:sz w:val="20"/>
              </w:rPr>
              <w:t>Июль 2001 года</w:t>
            </w:r>
          </w:p>
        </w:tc>
        <w:tc>
          <w:tcPr>
            <w:tcW w:w="1764" w:type="dxa"/>
          </w:tcPr>
          <w:p w:rsidR="00000000" w:rsidRDefault="00000000">
            <w:pPr>
              <w:spacing w:line="192" w:lineRule="auto"/>
              <w:rPr>
                <w:sz w:val="20"/>
              </w:rPr>
            </w:pPr>
            <w:r>
              <w:rPr>
                <w:sz w:val="20"/>
              </w:rPr>
              <w:t>Бар - все возрастные группы</w:t>
            </w:r>
          </w:p>
        </w:tc>
        <w:tc>
          <w:tcPr>
            <w:tcW w:w="1245" w:type="dxa"/>
          </w:tcPr>
          <w:p w:rsidR="00000000" w:rsidRDefault="00000000">
            <w:pPr>
              <w:spacing w:line="192" w:lineRule="auto"/>
              <w:ind w:right="284"/>
              <w:jc w:val="right"/>
              <w:rPr>
                <w:sz w:val="20"/>
              </w:rPr>
            </w:pPr>
            <w:r>
              <w:rPr>
                <w:sz w:val="20"/>
              </w:rPr>
              <w:t>175</w:t>
            </w:r>
          </w:p>
        </w:tc>
        <w:tc>
          <w:tcPr>
            <w:tcW w:w="1344" w:type="dxa"/>
          </w:tcPr>
          <w:p w:rsidR="00000000" w:rsidRDefault="00000000">
            <w:pPr>
              <w:spacing w:line="192" w:lineRule="auto"/>
              <w:rPr>
                <w:sz w:val="20"/>
              </w:rPr>
            </w:pPr>
            <w:r>
              <w:rPr>
                <w:sz w:val="20"/>
              </w:rPr>
              <w:t>Неизвестно</w:t>
            </w:r>
          </w:p>
        </w:tc>
        <w:tc>
          <w:tcPr>
            <w:tcW w:w="1558" w:type="dxa"/>
            <w:tcBorders>
              <w:right w:val="single" w:sz="4" w:space="0" w:color="auto"/>
            </w:tcBorders>
          </w:tcPr>
          <w:p w:rsidR="00000000" w:rsidRDefault="00000000">
            <w:pPr>
              <w:spacing w:line="192" w:lineRule="auto"/>
              <w:rPr>
                <w:sz w:val="20"/>
              </w:rPr>
            </w:pPr>
            <w:r>
              <w:rPr>
                <w:sz w:val="20"/>
              </w:rPr>
              <w:t>Контактный и 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6.</w:t>
            </w:r>
          </w:p>
        </w:tc>
        <w:tc>
          <w:tcPr>
            <w:tcW w:w="1666" w:type="dxa"/>
          </w:tcPr>
          <w:p w:rsidR="00000000" w:rsidRDefault="00000000">
            <w:pPr>
              <w:spacing w:line="192" w:lineRule="auto"/>
              <w:rPr>
                <w:sz w:val="20"/>
              </w:rPr>
            </w:pPr>
            <w:r>
              <w:rPr>
                <w:sz w:val="20"/>
              </w:rPr>
              <w:t>Острый энтероколит</w:t>
            </w:r>
          </w:p>
        </w:tc>
        <w:tc>
          <w:tcPr>
            <w:tcW w:w="1218" w:type="dxa"/>
          </w:tcPr>
          <w:p w:rsidR="00000000" w:rsidRDefault="00000000">
            <w:pPr>
              <w:spacing w:line="192" w:lineRule="auto"/>
              <w:rPr>
                <w:sz w:val="20"/>
              </w:rPr>
            </w:pPr>
            <w:r>
              <w:rPr>
                <w:sz w:val="20"/>
              </w:rPr>
              <w:t>Август 2001 года</w:t>
            </w:r>
          </w:p>
        </w:tc>
        <w:tc>
          <w:tcPr>
            <w:tcW w:w="1764" w:type="dxa"/>
          </w:tcPr>
          <w:p w:rsidR="00000000" w:rsidRDefault="00000000">
            <w:pPr>
              <w:spacing w:line="192" w:lineRule="auto"/>
              <w:rPr>
                <w:sz w:val="20"/>
              </w:rPr>
            </w:pPr>
            <w:proofErr w:type="spellStart"/>
            <w:r>
              <w:rPr>
                <w:sz w:val="20"/>
              </w:rPr>
              <w:t>Херцег-Нови</w:t>
            </w:r>
            <w:proofErr w:type="spellEnd"/>
            <w:r>
              <w:rPr>
                <w:sz w:val="20"/>
              </w:rPr>
              <w:t xml:space="preserve"> - все возрастные группы</w:t>
            </w:r>
          </w:p>
        </w:tc>
        <w:tc>
          <w:tcPr>
            <w:tcW w:w="1245" w:type="dxa"/>
          </w:tcPr>
          <w:p w:rsidR="00000000" w:rsidRDefault="00000000">
            <w:pPr>
              <w:spacing w:line="192" w:lineRule="auto"/>
              <w:ind w:right="284"/>
              <w:jc w:val="right"/>
              <w:rPr>
                <w:sz w:val="20"/>
              </w:rPr>
            </w:pPr>
            <w:r>
              <w:rPr>
                <w:sz w:val="20"/>
              </w:rPr>
              <w:t>250</w:t>
            </w:r>
          </w:p>
        </w:tc>
        <w:tc>
          <w:tcPr>
            <w:tcW w:w="1344" w:type="dxa"/>
          </w:tcPr>
          <w:p w:rsidR="00000000" w:rsidRDefault="00000000">
            <w:pPr>
              <w:spacing w:line="192" w:lineRule="auto"/>
              <w:rPr>
                <w:sz w:val="20"/>
              </w:rPr>
            </w:pPr>
            <w:r>
              <w:rPr>
                <w:sz w:val="20"/>
              </w:rPr>
              <w:t>Неизвестно</w:t>
            </w:r>
          </w:p>
        </w:tc>
        <w:tc>
          <w:tcPr>
            <w:tcW w:w="1558" w:type="dxa"/>
            <w:tcBorders>
              <w:right w:val="single" w:sz="4" w:space="0" w:color="auto"/>
            </w:tcBorders>
          </w:tcPr>
          <w:p w:rsidR="00000000" w:rsidRDefault="00000000">
            <w:pPr>
              <w:spacing w:line="192" w:lineRule="auto"/>
              <w:rPr>
                <w:sz w:val="20"/>
              </w:rPr>
            </w:pPr>
            <w:r>
              <w:rPr>
                <w:sz w:val="20"/>
              </w:rPr>
              <w:t>Контактный и 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7.</w:t>
            </w:r>
          </w:p>
        </w:tc>
        <w:tc>
          <w:tcPr>
            <w:tcW w:w="1666" w:type="dxa"/>
          </w:tcPr>
          <w:p w:rsidR="00000000" w:rsidRDefault="00000000">
            <w:pPr>
              <w:spacing w:line="192" w:lineRule="auto"/>
              <w:rPr>
                <w:sz w:val="20"/>
              </w:rPr>
            </w:pPr>
            <w:r>
              <w:rPr>
                <w:sz w:val="20"/>
              </w:rPr>
              <w:t>Острый энтероколит</w:t>
            </w:r>
          </w:p>
        </w:tc>
        <w:tc>
          <w:tcPr>
            <w:tcW w:w="1218" w:type="dxa"/>
          </w:tcPr>
          <w:p w:rsidR="00000000" w:rsidRDefault="00000000">
            <w:pPr>
              <w:spacing w:line="192" w:lineRule="auto"/>
              <w:rPr>
                <w:sz w:val="20"/>
              </w:rPr>
            </w:pPr>
            <w:r>
              <w:rPr>
                <w:sz w:val="20"/>
              </w:rPr>
              <w:t>Август 2001 года</w:t>
            </w:r>
          </w:p>
        </w:tc>
        <w:tc>
          <w:tcPr>
            <w:tcW w:w="1764" w:type="dxa"/>
          </w:tcPr>
          <w:p w:rsidR="00000000" w:rsidRDefault="00000000">
            <w:pPr>
              <w:spacing w:line="192" w:lineRule="auto"/>
              <w:rPr>
                <w:sz w:val="20"/>
              </w:rPr>
            </w:pPr>
            <w:proofErr w:type="spellStart"/>
            <w:r>
              <w:rPr>
                <w:sz w:val="20"/>
              </w:rPr>
              <w:t>Тиват</w:t>
            </w:r>
            <w:proofErr w:type="spellEnd"/>
            <w:r>
              <w:rPr>
                <w:sz w:val="20"/>
              </w:rPr>
              <w:t xml:space="preserve"> - все возрастные группы</w:t>
            </w:r>
          </w:p>
        </w:tc>
        <w:tc>
          <w:tcPr>
            <w:tcW w:w="1245" w:type="dxa"/>
          </w:tcPr>
          <w:p w:rsidR="00000000" w:rsidRDefault="00000000">
            <w:pPr>
              <w:spacing w:line="192" w:lineRule="auto"/>
              <w:ind w:right="284"/>
              <w:jc w:val="right"/>
              <w:rPr>
                <w:sz w:val="20"/>
              </w:rPr>
            </w:pPr>
            <w:r>
              <w:rPr>
                <w:sz w:val="20"/>
              </w:rPr>
              <w:t>180</w:t>
            </w:r>
          </w:p>
        </w:tc>
        <w:tc>
          <w:tcPr>
            <w:tcW w:w="1344" w:type="dxa"/>
          </w:tcPr>
          <w:p w:rsidR="00000000" w:rsidRDefault="00000000">
            <w:pPr>
              <w:spacing w:line="192" w:lineRule="auto"/>
              <w:rPr>
                <w:sz w:val="20"/>
              </w:rPr>
            </w:pPr>
            <w:r>
              <w:rPr>
                <w:sz w:val="20"/>
              </w:rPr>
              <w:t>Неизвестно</w:t>
            </w:r>
          </w:p>
        </w:tc>
        <w:tc>
          <w:tcPr>
            <w:tcW w:w="1558" w:type="dxa"/>
            <w:tcBorders>
              <w:right w:val="single" w:sz="4" w:space="0" w:color="auto"/>
            </w:tcBorders>
          </w:tcPr>
          <w:p w:rsidR="00000000" w:rsidRDefault="00000000">
            <w:pPr>
              <w:spacing w:line="192" w:lineRule="auto"/>
              <w:rPr>
                <w:sz w:val="20"/>
              </w:rPr>
            </w:pPr>
            <w:r>
              <w:rPr>
                <w:sz w:val="20"/>
              </w:rPr>
              <w:t>Контактный и 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8.</w:t>
            </w:r>
          </w:p>
        </w:tc>
        <w:tc>
          <w:tcPr>
            <w:tcW w:w="1666" w:type="dxa"/>
          </w:tcPr>
          <w:p w:rsidR="00000000" w:rsidRDefault="00000000">
            <w:pPr>
              <w:spacing w:line="192" w:lineRule="auto"/>
              <w:rPr>
                <w:sz w:val="20"/>
              </w:rPr>
            </w:pPr>
            <w:r>
              <w:rPr>
                <w:sz w:val="20"/>
              </w:rPr>
              <w:t xml:space="preserve">Пищевая </w:t>
            </w:r>
            <w:proofErr w:type="spellStart"/>
            <w:r>
              <w:rPr>
                <w:sz w:val="20"/>
              </w:rPr>
              <w:t>токсикоинфекция</w:t>
            </w:r>
            <w:proofErr w:type="spellEnd"/>
          </w:p>
        </w:tc>
        <w:tc>
          <w:tcPr>
            <w:tcW w:w="1218" w:type="dxa"/>
          </w:tcPr>
          <w:p w:rsidR="00000000" w:rsidRDefault="00000000">
            <w:pPr>
              <w:spacing w:line="192" w:lineRule="auto"/>
              <w:rPr>
                <w:sz w:val="20"/>
              </w:rPr>
            </w:pPr>
            <w:r>
              <w:rPr>
                <w:sz w:val="20"/>
              </w:rPr>
              <w:t>Сентябрь 2001 года</w:t>
            </w:r>
          </w:p>
        </w:tc>
        <w:tc>
          <w:tcPr>
            <w:tcW w:w="1764" w:type="dxa"/>
          </w:tcPr>
          <w:p w:rsidR="00000000" w:rsidRDefault="00000000">
            <w:pPr>
              <w:spacing w:line="192" w:lineRule="auto"/>
              <w:rPr>
                <w:sz w:val="20"/>
                <w:lang w:val="en-US"/>
              </w:rPr>
            </w:pPr>
            <w:proofErr w:type="spellStart"/>
            <w:r>
              <w:rPr>
                <w:sz w:val="20"/>
              </w:rPr>
              <w:t>Подгорица</w:t>
            </w:r>
            <w:proofErr w:type="spellEnd"/>
            <w:r>
              <w:rPr>
                <w:sz w:val="20"/>
                <w:lang w:val="en-US"/>
              </w:rPr>
              <w:t xml:space="preserve"> - </w:t>
            </w:r>
            <w:r>
              <w:rPr>
                <w:sz w:val="20"/>
              </w:rPr>
              <w:t>семья</w:t>
            </w:r>
          </w:p>
        </w:tc>
        <w:tc>
          <w:tcPr>
            <w:tcW w:w="1245" w:type="dxa"/>
          </w:tcPr>
          <w:p w:rsidR="00000000" w:rsidRDefault="00000000">
            <w:pPr>
              <w:spacing w:line="192" w:lineRule="auto"/>
              <w:ind w:right="284"/>
              <w:jc w:val="right"/>
              <w:rPr>
                <w:sz w:val="20"/>
                <w:lang w:val="en-US"/>
              </w:rPr>
            </w:pPr>
            <w:r>
              <w:rPr>
                <w:sz w:val="20"/>
                <w:lang w:val="en-US"/>
              </w:rPr>
              <w:t>8</w:t>
            </w:r>
          </w:p>
        </w:tc>
        <w:tc>
          <w:tcPr>
            <w:tcW w:w="1344" w:type="dxa"/>
          </w:tcPr>
          <w:p w:rsidR="00000000" w:rsidRDefault="00000000">
            <w:pPr>
              <w:spacing w:line="192" w:lineRule="auto"/>
              <w:rPr>
                <w:sz w:val="20"/>
                <w:lang w:val="en-US"/>
              </w:rPr>
            </w:pPr>
            <w:r>
              <w:rPr>
                <w:sz w:val="20"/>
                <w:lang w:val="en-US"/>
              </w:rPr>
              <w:t xml:space="preserve">Salmonella </w:t>
            </w:r>
            <w:proofErr w:type="spellStart"/>
            <w:r>
              <w:rPr>
                <w:sz w:val="20"/>
                <w:lang w:val="en-US"/>
              </w:rPr>
              <w:t>enteritidis</w:t>
            </w:r>
            <w:proofErr w:type="spellEnd"/>
          </w:p>
        </w:tc>
        <w:tc>
          <w:tcPr>
            <w:tcW w:w="1558" w:type="dxa"/>
            <w:tcBorders>
              <w:right w:val="single" w:sz="4" w:space="0" w:color="auto"/>
            </w:tcBorders>
          </w:tcPr>
          <w:p w:rsidR="00000000" w:rsidRDefault="00000000">
            <w:pPr>
              <w:spacing w:line="192" w:lineRule="auto"/>
              <w:rPr>
                <w:sz w:val="20"/>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9.</w:t>
            </w:r>
          </w:p>
        </w:tc>
        <w:tc>
          <w:tcPr>
            <w:tcW w:w="1666" w:type="dxa"/>
          </w:tcPr>
          <w:p w:rsidR="00000000" w:rsidRDefault="00000000">
            <w:pPr>
              <w:spacing w:line="192" w:lineRule="auto"/>
              <w:rPr>
                <w:sz w:val="20"/>
              </w:rPr>
            </w:pPr>
            <w:r>
              <w:rPr>
                <w:sz w:val="20"/>
              </w:rPr>
              <w:t xml:space="preserve">Пищевая </w:t>
            </w:r>
            <w:proofErr w:type="spellStart"/>
            <w:r>
              <w:rPr>
                <w:sz w:val="20"/>
              </w:rPr>
              <w:t>токсикоинфекция</w:t>
            </w:r>
            <w:proofErr w:type="spellEnd"/>
          </w:p>
        </w:tc>
        <w:tc>
          <w:tcPr>
            <w:tcW w:w="1218" w:type="dxa"/>
          </w:tcPr>
          <w:p w:rsidR="00000000" w:rsidRDefault="00000000">
            <w:pPr>
              <w:spacing w:line="192" w:lineRule="auto"/>
              <w:rPr>
                <w:sz w:val="20"/>
              </w:rPr>
            </w:pPr>
            <w:r>
              <w:rPr>
                <w:sz w:val="20"/>
              </w:rPr>
              <w:t>Сентябрь 2001 года</w:t>
            </w:r>
          </w:p>
        </w:tc>
        <w:tc>
          <w:tcPr>
            <w:tcW w:w="1764" w:type="dxa"/>
          </w:tcPr>
          <w:p w:rsidR="00000000" w:rsidRDefault="00000000">
            <w:pPr>
              <w:spacing w:line="192" w:lineRule="auto"/>
              <w:rPr>
                <w:sz w:val="20"/>
              </w:rPr>
            </w:pPr>
            <w:proofErr w:type="spellStart"/>
            <w:r>
              <w:rPr>
                <w:sz w:val="20"/>
              </w:rPr>
              <w:t>Подгорица</w:t>
            </w:r>
            <w:proofErr w:type="spellEnd"/>
            <w:r>
              <w:rPr>
                <w:sz w:val="20"/>
              </w:rPr>
              <w:t xml:space="preserve"> - семья</w:t>
            </w:r>
          </w:p>
        </w:tc>
        <w:tc>
          <w:tcPr>
            <w:tcW w:w="1245" w:type="dxa"/>
          </w:tcPr>
          <w:p w:rsidR="00000000" w:rsidRDefault="00000000">
            <w:pPr>
              <w:spacing w:line="192" w:lineRule="auto"/>
              <w:ind w:right="284"/>
              <w:jc w:val="right"/>
              <w:rPr>
                <w:sz w:val="20"/>
                <w:lang w:val="en-US"/>
              </w:rPr>
            </w:pPr>
            <w:r>
              <w:rPr>
                <w:sz w:val="20"/>
                <w:lang w:val="en-US"/>
              </w:rPr>
              <w:t>13</w:t>
            </w:r>
          </w:p>
        </w:tc>
        <w:tc>
          <w:tcPr>
            <w:tcW w:w="1344" w:type="dxa"/>
          </w:tcPr>
          <w:p w:rsidR="00000000" w:rsidRDefault="00000000">
            <w:pPr>
              <w:spacing w:line="192" w:lineRule="auto"/>
              <w:rPr>
                <w:sz w:val="20"/>
                <w:lang w:val="en-US"/>
              </w:rPr>
            </w:pPr>
            <w:r>
              <w:rPr>
                <w:sz w:val="20"/>
                <w:lang w:val="en-US"/>
              </w:rPr>
              <w:t xml:space="preserve">Salmonella </w:t>
            </w:r>
            <w:proofErr w:type="spellStart"/>
            <w:r>
              <w:rPr>
                <w:sz w:val="20"/>
                <w:lang w:val="en-US"/>
              </w:rPr>
              <w:t>enteritidis</w:t>
            </w:r>
            <w:proofErr w:type="spellEnd"/>
          </w:p>
        </w:tc>
        <w:tc>
          <w:tcPr>
            <w:tcW w:w="1558" w:type="dxa"/>
            <w:tcBorders>
              <w:right w:val="single" w:sz="4" w:space="0" w:color="auto"/>
            </w:tcBorders>
          </w:tcPr>
          <w:p w:rsidR="00000000" w:rsidRDefault="00000000">
            <w:pPr>
              <w:spacing w:line="192" w:lineRule="auto"/>
              <w:rPr>
                <w:sz w:val="20"/>
                <w:lang w:val="en-US"/>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10.</w:t>
            </w:r>
          </w:p>
        </w:tc>
        <w:tc>
          <w:tcPr>
            <w:tcW w:w="1666" w:type="dxa"/>
          </w:tcPr>
          <w:p w:rsidR="00000000" w:rsidRDefault="00000000">
            <w:pPr>
              <w:spacing w:line="192" w:lineRule="auto"/>
              <w:rPr>
                <w:sz w:val="20"/>
              </w:rPr>
            </w:pPr>
            <w:r>
              <w:rPr>
                <w:sz w:val="20"/>
              </w:rPr>
              <w:t xml:space="preserve">Пищевая </w:t>
            </w:r>
            <w:proofErr w:type="spellStart"/>
            <w:r>
              <w:rPr>
                <w:sz w:val="20"/>
              </w:rPr>
              <w:t>токсикоинфекция</w:t>
            </w:r>
            <w:proofErr w:type="spellEnd"/>
          </w:p>
        </w:tc>
        <w:tc>
          <w:tcPr>
            <w:tcW w:w="1218" w:type="dxa"/>
          </w:tcPr>
          <w:p w:rsidR="00000000" w:rsidRDefault="00000000">
            <w:pPr>
              <w:spacing w:line="192" w:lineRule="auto"/>
              <w:rPr>
                <w:sz w:val="20"/>
              </w:rPr>
            </w:pPr>
            <w:r>
              <w:rPr>
                <w:sz w:val="20"/>
              </w:rPr>
              <w:t>Сентябрь 2001 года</w:t>
            </w:r>
          </w:p>
        </w:tc>
        <w:tc>
          <w:tcPr>
            <w:tcW w:w="1764" w:type="dxa"/>
          </w:tcPr>
          <w:p w:rsidR="00000000" w:rsidRDefault="00000000">
            <w:pPr>
              <w:spacing w:line="192" w:lineRule="auto"/>
              <w:rPr>
                <w:sz w:val="20"/>
              </w:rPr>
            </w:pPr>
            <w:proofErr w:type="spellStart"/>
            <w:r>
              <w:rPr>
                <w:sz w:val="20"/>
              </w:rPr>
              <w:t>Херцег-Нови</w:t>
            </w:r>
            <w:proofErr w:type="spellEnd"/>
            <w:r>
              <w:rPr>
                <w:sz w:val="20"/>
              </w:rPr>
              <w:t xml:space="preserve"> - группа подростков на экскурсии</w:t>
            </w:r>
          </w:p>
        </w:tc>
        <w:tc>
          <w:tcPr>
            <w:tcW w:w="1245" w:type="dxa"/>
          </w:tcPr>
          <w:p w:rsidR="00000000" w:rsidRDefault="00000000">
            <w:pPr>
              <w:spacing w:line="192" w:lineRule="auto"/>
              <w:ind w:right="284"/>
              <w:jc w:val="right"/>
              <w:rPr>
                <w:sz w:val="20"/>
                <w:lang w:val="en-US"/>
              </w:rPr>
            </w:pPr>
            <w:r>
              <w:rPr>
                <w:sz w:val="20"/>
                <w:lang w:val="en-US"/>
              </w:rPr>
              <w:t>81</w:t>
            </w:r>
          </w:p>
        </w:tc>
        <w:tc>
          <w:tcPr>
            <w:tcW w:w="1344" w:type="dxa"/>
          </w:tcPr>
          <w:p w:rsidR="00000000" w:rsidRDefault="00000000">
            <w:pPr>
              <w:spacing w:line="192" w:lineRule="auto"/>
              <w:rPr>
                <w:sz w:val="20"/>
                <w:lang w:val="en-US"/>
              </w:rPr>
            </w:pPr>
            <w:r>
              <w:rPr>
                <w:sz w:val="20"/>
                <w:lang w:val="en-US"/>
              </w:rPr>
              <w:t xml:space="preserve">Salmonella </w:t>
            </w:r>
            <w:proofErr w:type="spellStart"/>
            <w:r>
              <w:rPr>
                <w:sz w:val="20"/>
                <w:lang w:val="en-US"/>
              </w:rPr>
              <w:t>enteritidis</w:t>
            </w:r>
            <w:proofErr w:type="spellEnd"/>
          </w:p>
        </w:tc>
        <w:tc>
          <w:tcPr>
            <w:tcW w:w="1558" w:type="dxa"/>
            <w:tcBorders>
              <w:right w:val="single" w:sz="4" w:space="0" w:color="auto"/>
            </w:tcBorders>
          </w:tcPr>
          <w:p w:rsidR="00000000" w:rsidRDefault="00000000">
            <w:pPr>
              <w:spacing w:line="192" w:lineRule="auto"/>
              <w:rPr>
                <w:sz w:val="20"/>
                <w:lang w:val="en-US"/>
              </w:rPr>
            </w:pPr>
            <w:r>
              <w:rPr>
                <w:sz w:val="20"/>
              </w:rPr>
              <w:t>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11.</w:t>
            </w:r>
          </w:p>
        </w:tc>
        <w:tc>
          <w:tcPr>
            <w:tcW w:w="1666" w:type="dxa"/>
          </w:tcPr>
          <w:p w:rsidR="00000000" w:rsidRDefault="00000000">
            <w:pPr>
              <w:spacing w:line="192" w:lineRule="auto"/>
              <w:rPr>
                <w:sz w:val="20"/>
              </w:rPr>
            </w:pPr>
            <w:r>
              <w:rPr>
                <w:sz w:val="20"/>
              </w:rPr>
              <w:t xml:space="preserve">Гепатит </w:t>
            </w:r>
            <w:r>
              <w:rPr>
                <w:sz w:val="20"/>
                <w:lang w:val="en-US"/>
              </w:rPr>
              <w:t>C</w:t>
            </w:r>
          </w:p>
        </w:tc>
        <w:tc>
          <w:tcPr>
            <w:tcW w:w="1218" w:type="dxa"/>
          </w:tcPr>
          <w:p w:rsidR="00000000" w:rsidRDefault="00000000">
            <w:pPr>
              <w:spacing w:line="192" w:lineRule="auto"/>
              <w:rPr>
                <w:sz w:val="20"/>
              </w:rPr>
            </w:pPr>
            <w:r>
              <w:rPr>
                <w:sz w:val="20"/>
              </w:rPr>
              <w:t>Сентябрь-октябрь 2001 года</w:t>
            </w:r>
          </w:p>
        </w:tc>
        <w:tc>
          <w:tcPr>
            <w:tcW w:w="1764" w:type="dxa"/>
          </w:tcPr>
          <w:p w:rsidR="00000000" w:rsidRDefault="00000000">
            <w:pPr>
              <w:spacing w:line="192" w:lineRule="auto"/>
              <w:rPr>
                <w:sz w:val="20"/>
              </w:rPr>
            </w:pPr>
            <w:proofErr w:type="spellStart"/>
            <w:r>
              <w:rPr>
                <w:sz w:val="20"/>
              </w:rPr>
              <w:t>Никшич</w:t>
            </w:r>
            <w:proofErr w:type="spellEnd"/>
            <w:r>
              <w:rPr>
                <w:sz w:val="20"/>
              </w:rPr>
              <w:t xml:space="preserve"> - подростки </w:t>
            </w:r>
            <w:r>
              <w:rPr>
                <w:sz w:val="20"/>
                <w:lang w:val="en-US"/>
              </w:rPr>
              <w:t>I</w:t>
            </w:r>
            <w:r>
              <w:rPr>
                <w:sz w:val="20"/>
              </w:rPr>
              <w:t>.</w:t>
            </w:r>
            <w:r>
              <w:rPr>
                <w:sz w:val="20"/>
                <w:lang w:val="en-US"/>
              </w:rPr>
              <w:t>V</w:t>
            </w:r>
            <w:r>
              <w:rPr>
                <w:sz w:val="20"/>
              </w:rPr>
              <w:t>. лица, страдающие наркоманией</w:t>
            </w:r>
          </w:p>
        </w:tc>
        <w:tc>
          <w:tcPr>
            <w:tcW w:w="1245" w:type="dxa"/>
          </w:tcPr>
          <w:p w:rsidR="00000000" w:rsidRDefault="00000000">
            <w:pPr>
              <w:spacing w:line="192" w:lineRule="auto"/>
              <w:ind w:right="284"/>
              <w:jc w:val="right"/>
              <w:rPr>
                <w:sz w:val="20"/>
              </w:rPr>
            </w:pPr>
            <w:r>
              <w:rPr>
                <w:sz w:val="20"/>
              </w:rPr>
              <w:t>5</w:t>
            </w:r>
          </w:p>
        </w:tc>
        <w:tc>
          <w:tcPr>
            <w:tcW w:w="1344" w:type="dxa"/>
          </w:tcPr>
          <w:p w:rsidR="00000000" w:rsidRDefault="00000000">
            <w:pPr>
              <w:spacing w:line="192" w:lineRule="auto"/>
              <w:rPr>
                <w:sz w:val="20"/>
              </w:rPr>
            </w:pPr>
            <w:r>
              <w:rPr>
                <w:sz w:val="20"/>
              </w:rPr>
              <w:t xml:space="preserve">Вирус </w:t>
            </w:r>
            <w:proofErr w:type="spellStart"/>
            <w:r>
              <w:rPr>
                <w:sz w:val="20"/>
              </w:rPr>
              <w:t>инфекцион-ного</w:t>
            </w:r>
            <w:proofErr w:type="spellEnd"/>
            <w:r>
              <w:rPr>
                <w:sz w:val="20"/>
              </w:rPr>
              <w:t xml:space="preserve"> гепатита С</w:t>
            </w:r>
          </w:p>
        </w:tc>
        <w:tc>
          <w:tcPr>
            <w:tcW w:w="1558" w:type="dxa"/>
            <w:tcBorders>
              <w:right w:val="single" w:sz="4" w:space="0" w:color="auto"/>
            </w:tcBorders>
          </w:tcPr>
          <w:p w:rsidR="00000000" w:rsidRDefault="00000000">
            <w:pPr>
              <w:spacing w:line="192" w:lineRule="auto"/>
              <w:rPr>
                <w:sz w:val="20"/>
              </w:rPr>
            </w:pPr>
            <w:r>
              <w:rPr>
                <w:sz w:val="20"/>
              </w:rPr>
              <w:t>Внутривенный контакт</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12.</w:t>
            </w:r>
          </w:p>
        </w:tc>
        <w:tc>
          <w:tcPr>
            <w:tcW w:w="1666" w:type="dxa"/>
          </w:tcPr>
          <w:p w:rsidR="00000000" w:rsidRDefault="00000000">
            <w:pPr>
              <w:spacing w:line="192" w:lineRule="auto"/>
              <w:rPr>
                <w:sz w:val="20"/>
              </w:rPr>
            </w:pPr>
            <w:r>
              <w:rPr>
                <w:sz w:val="20"/>
              </w:rPr>
              <w:t>Ветряная оспа</w:t>
            </w:r>
          </w:p>
        </w:tc>
        <w:tc>
          <w:tcPr>
            <w:tcW w:w="1218" w:type="dxa"/>
          </w:tcPr>
          <w:p w:rsidR="00000000" w:rsidRDefault="00000000">
            <w:pPr>
              <w:spacing w:line="192" w:lineRule="auto"/>
              <w:rPr>
                <w:sz w:val="20"/>
              </w:rPr>
            </w:pPr>
            <w:r>
              <w:rPr>
                <w:sz w:val="20"/>
              </w:rPr>
              <w:t>Октябрь-декабрь 2001 года</w:t>
            </w:r>
          </w:p>
        </w:tc>
        <w:tc>
          <w:tcPr>
            <w:tcW w:w="1764" w:type="dxa"/>
          </w:tcPr>
          <w:p w:rsidR="00000000" w:rsidRDefault="00000000">
            <w:pPr>
              <w:spacing w:line="192" w:lineRule="auto"/>
              <w:rPr>
                <w:sz w:val="20"/>
              </w:rPr>
            </w:pPr>
            <w:proofErr w:type="spellStart"/>
            <w:r>
              <w:rPr>
                <w:sz w:val="20"/>
              </w:rPr>
              <w:t>Даниловград</w:t>
            </w:r>
            <w:proofErr w:type="spellEnd"/>
            <w:r>
              <w:rPr>
                <w:sz w:val="20"/>
              </w:rPr>
              <w:t xml:space="preserve"> - школьники</w:t>
            </w:r>
          </w:p>
        </w:tc>
        <w:tc>
          <w:tcPr>
            <w:tcW w:w="1245" w:type="dxa"/>
          </w:tcPr>
          <w:p w:rsidR="00000000" w:rsidRDefault="00000000">
            <w:pPr>
              <w:spacing w:line="192" w:lineRule="auto"/>
              <w:ind w:right="284"/>
              <w:jc w:val="right"/>
              <w:rPr>
                <w:sz w:val="20"/>
              </w:rPr>
            </w:pPr>
            <w:r>
              <w:rPr>
                <w:sz w:val="20"/>
              </w:rPr>
              <w:t>370</w:t>
            </w:r>
          </w:p>
        </w:tc>
        <w:tc>
          <w:tcPr>
            <w:tcW w:w="1344" w:type="dxa"/>
          </w:tcPr>
          <w:p w:rsidR="00000000" w:rsidRDefault="00000000">
            <w:pPr>
              <w:spacing w:line="192" w:lineRule="auto"/>
              <w:rPr>
                <w:sz w:val="20"/>
              </w:rPr>
            </w:pPr>
            <w:proofErr w:type="spellStart"/>
            <w:r>
              <w:rPr>
                <w:sz w:val="20"/>
                <w:lang w:val="en-US"/>
              </w:rPr>
              <w:t>Humani</w:t>
            </w:r>
            <w:proofErr w:type="spellEnd"/>
            <w:r>
              <w:rPr>
                <w:sz w:val="20"/>
              </w:rPr>
              <w:t xml:space="preserve"> </w:t>
            </w:r>
            <w:r>
              <w:rPr>
                <w:sz w:val="20"/>
                <w:lang w:val="en-US"/>
              </w:rPr>
              <w:t>herpes</w:t>
            </w:r>
            <w:r>
              <w:rPr>
                <w:sz w:val="20"/>
              </w:rPr>
              <w:t xml:space="preserve"> </w:t>
            </w:r>
            <w:r>
              <w:rPr>
                <w:sz w:val="20"/>
                <w:lang w:val="en-US"/>
              </w:rPr>
              <w:t>virus</w:t>
            </w:r>
            <w:r>
              <w:rPr>
                <w:sz w:val="20"/>
              </w:rPr>
              <w:t xml:space="preserve"> 3</w:t>
            </w:r>
          </w:p>
        </w:tc>
        <w:tc>
          <w:tcPr>
            <w:tcW w:w="1558" w:type="dxa"/>
            <w:tcBorders>
              <w:right w:val="single" w:sz="4" w:space="0" w:color="auto"/>
            </w:tcBorders>
          </w:tcPr>
          <w:p w:rsidR="00000000" w:rsidRDefault="00000000">
            <w:pPr>
              <w:spacing w:line="192" w:lineRule="auto"/>
              <w:rPr>
                <w:sz w:val="20"/>
              </w:rPr>
            </w:pPr>
            <w:r>
              <w:rPr>
                <w:sz w:val="20"/>
              </w:rPr>
              <w:t>Респираторный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13.</w:t>
            </w:r>
          </w:p>
        </w:tc>
        <w:tc>
          <w:tcPr>
            <w:tcW w:w="1666" w:type="dxa"/>
          </w:tcPr>
          <w:p w:rsidR="00000000" w:rsidRDefault="00000000">
            <w:pPr>
              <w:spacing w:line="192" w:lineRule="auto"/>
              <w:rPr>
                <w:sz w:val="20"/>
              </w:rPr>
            </w:pPr>
            <w:r>
              <w:rPr>
                <w:sz w:val="20"/>
              </w:rPr>
              <w:t>Острый энтероколит</w:t>
            </w:r>
          </w:p>
        </w:tc>
        <w:tc>
          <w:tcPr>
            <w:tcW w:w="1218" w:type="dxa"/>
          </w:tcPr>
          <w:p w:rsidR="00000000" w:rsidRDefault="00000000">
            <w:pPr>
              <w:spacing w:line="192" w:lineRule="auto"/>
              <w:rPr>
                <w:sz w:val="20"/>
              </w:rPr>
            </w:pPr>
            <w:r>
              <w:rPr>
                <w:sz w:val="20"/>
              </w:rPr>
              <w:t>Сентябрь 2001 года</w:t>
            </w:r>
          </w:p>
        </w:tc>
        <w:tc>
          <w:tcPr>
            <w:tcW w:w="1764" w:type="dxa"/>
          </w:tcPr>
          <w:p w:rsidR="00000000" w:rsidRDefault="00000000">
            <w:pPr>
              <w:spacing w:line="192" w:lineRule="auto"/>
              <w:rPr>
                <w:sz w:val="20"/>
              </w:rPr>
            </w:pPr>
            <w:proofErr w:type="spellStart"/>
            <w:r>
              <w:rPr>
                <w:sz w:val="20"/>
              </w:rPr>
              <w:t>Подгорица</w:t>
            </w:r>
            <w:proofErr w:type="spellEnd"/>
            <w:r>
              <w:rPr>
                <w:sz w:val="20"/>
              </w:rPr>
              <w:t xml:space="preserve"> - все возрастные группы</w:t>
            </w:r>
          </w:p>
        </w:tc>
        <w:tc>
          <w:tcPr>
            <w:tcW w:w="1245" w:type="dxa"/>
          </w:tcPr>
          <w:p w:rsidR="00000000" w:rsidRDefault="00000000">
            <w:pPr>
              <w:spacing w:line="192" w:lineRule="auto"/>
              <w:ind w:right="284"/>
              <w:jc w:val="right"/>
              <w:rPr>
                <w:sz w:val="20"/>
              </w:rPr>
            </w:pPr>
            <w:r>
              <w:rPr>
                <w:sz w:val="20"/>
              </w:rPr>
              <w:t>22</w:t>
            </w:r>
          </w:p>
        </w:tc>
        <w:tc>
          <w:tcPr>
            <w:tcW w:w="1344" w:type="dxa"/>
          </w:tcPr>
          <w:p w:rsidR="00000000" w:rsidRDefault="00000000">
            <w:pPr>
              <w:spacing w:line="192" w:lineRule="auto"/>
              <w:rPr>
                <w:sz w:val="20"/>
              </w:rPr>
            </w:pPr>
            <w:r>
              <w:rPr>
                <w:sz w:val="20"/>
                <w:lang w:val="en-US"/>
              </w:rPr>
              <w:t>E</w:t>
            </w:r>
            <w:r>
              <w:rPr>
                <w:sz w:val="20"/>
              </w:rPr>
              <w:t xml:space="preserve">. </w:t>
            </w:r>
            <w:proofErr w:type="spellStart"/>
            <w:r>
              <w:rPr>
                <w:sz w:val="20"/>
                <w:lang w:val="en-US"/>
              </w:rPr>
              <w:t>Colli</w:t>
            </w:r>
            <w:proofErr w:type="spellEnd"/>
          </w:p>
        </w:tc>
        <w:tc>
          <w:tcPr>
            <w:tcW w:w="1558" w:type="dxa"/>
            <w:tcBorders>
              <w:right w:val="single" w:sz="4" w:space="0" w:color="auto"/>
            </w:tcBorders>
          </w:tcPr>
          <w:p w:rsidR="00000000" w:rsidRDefault="00000000">
            <w:pPr>
              <w:spacing w:line="192" w:lineRule="auto"/>
              <w:rPr>
                <w:sz w:val="20"/>
              </w:rPr>
            </w:pPr>
            <w:r>
              <w:rPr>
                <w:sz w:val="20"/>
              </w:rPr>
              <w:t>Контактный и пищевой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14.</w:t>
            </w:r>
          </w:p>
        </w:tc>
        <w:tc>
          <w:tcPr>
            <w:tcW w:w="1666" w:type="dxa"/>
          </w:tcPr>
          <w:p w:rsidR="00000000" w:rsidRDefault="00000000">
            <w:pPr>
              <w:spacing w:line="192" w:lineRule="auto"/>
              <w:rPr>
                <w:sz w:val="20"/>
              </w:rPr>
            </w:pPr>
            <w:r>
              <w:rPr>
                <w:sz w:val="20"/>
              </w:rPr>
              <w:t>Стрептококковая ангина</w:t>
            </w:r>
          </w:p>
        </w:tc>
        <w:tc>
          <w:tcPr>
            <w:tcW w:w="1218" w:type="dxa"/>
          </w:tcPr>
          <w:p w:rsidR="00000000" w:rsidRDefault="00000000">
            <w:pPr>
              <w:spacing w:line="192" w:lineRule="auto"/>
              <w:rPr>
                <w:sz w:val="20"/>
              </w:rPr>
            </w:pPr>
            <w:r>
              <w:rPr>
                <w:sz w:val="20"/>
              </w:rPr>
              <w:t>Ноябрь-декабрь 2001 года</w:t>
            </w:r>
          </w:p>
        </w:tc>
        <w:tc>
          <w:tcPr>
            <w:tcW w:w="1764" w:type="dxa"/>
          </w:tcPr>
          <w:p w:rsidR="00000000" w:rsidRDefault="00000000">
            <w:pPr>
              <w:spacing w:line="192" w:lineRule="auto"/>
              <w:rPr>
                <w:sz w:val="20"/>
              </w:rPr>
            </w:pPr>
            <w:proofErr w:type="spellStart"/>
            <w:r>
              <w:rPr>
                <w:sz w:val="20"/>
              </w:rPr>
              <w:t>Плевля</w:t>
            </w:r>
            <w:proofErr w:type="spellEnd"/>
            <w:r>
              <w:rPr>
                <w:sz w:val="20"/>
              </w:rPr>
              <w:t xml:space="preserve"> - школьники</w:t>
            </w:r>
          </w:p>
        </w:tc>
        <w:tc>
          <w:tcPr>
            <w:tcW w:w="1245" w:type="dxa"/>
          </w:tcPr>
          <w:p w:rsidR="00000000" w:rsidRDefault="00000000">
            <w:pPr>
              <w:spacing w:line="192" w:lineRule="auto"/>
              <w:ind w:right="284"/>
              <w:jc w:val="right"/>
              <w:rPr>
                <w:sz w:val="20"/>
              </w:rPr>
            </w:pPr>
            <w:r>
              <w:rPr>
                <w:sz w:val="20"/>
              </w:rPr>
              <w:t>65</w:t>
            </w:r>
          </w:p>
        </w:tc>
        <w:tc>
          <w:tcPr>
            <w:tcW w:w="1344" w:type="dxa"/>
          </w:tcPr>
          <w:p w:rsidR="00000000" w:rsidRDefault="00000000">
            <w:pPr>
              <w:spacing w:line="192" w:lineRule="auto"/>
              <w:rPr>
                <w:sz w:val="20"/>
              </w:rPr>
            </w:pPr>
            <w:r>
              <w:rPr>
                <w:sz w:val="20"/>
              </w:rPr>
              <w:t>Стрептококк,</w:t>
            </w:r>
          </w:p>
          <w:p w:rsidR="00000000" w:rsidRDefault="00000000">
            <w:pPr>
              <w:spacing w:line="192" w:lineRule="auto"/>
              <w:rPr>
                <w:sz w:val="20"/>
                <w:lang w:val="en-US"/>
              </w:rPr>
            </w:pPr>
            <w:proofErr w:type="spellStart"/>
            <w:r>
              <w:rPr>
                <w:sz w:val="20"/>
              </w:rPr>
              <w:t>β</w:t>
            </w:r>
            <w:r>
              <w:rPr>
                <w:sz w:val="20"/>
                <w:lang w:val="en-US"/>
              </w:rPr>
              <w:t>haemol</w:t>
            </w:r>
            <w:proofErr w:type="spellEnd"/>
            <w:r>
              <w:rPr>
                <w:sz w:val="20"/>
                <w:lang w:val="en-US"/>
              </w:rPr>
              <w:t xml:space="preserve">., </w:t>
            </w:r>
            <w:proofErr w:type="spellStart"/>
            <w:r>
              <w:rPr>
                <w:sz w:val="20"/>
              </w:rPr>
              <w:t>гр</w:t>
            </w:r>
            <w:proofErr w:type="spellEnd"/>
            <w:r>
              <w:rPr>
                <w:sz w:val="20"/>
                <w:lang w:val="en-US"/>
              </w:rPr>
              <w:t>. A</w:t>
            </w:r>
          </w:p>
        </w:tc>
        <w:tc>
          <w:tcPr>
            <w:tcW w:w="1558" w:type="dxa"/>
            <w:tcBorders>
              <w:right w:val="single" w:sz="4" w:space="0" w:color="auto"/>
            </w:tcBorders>
          </w:tcPr>
          <w:p w:rsidR="00000000" w:rsidRDefault="00000000">
            <w:pPr>
              <w:spacing w:line="192" w:lineRule="auto"/>
              <w:rPr>
                <w:sz w:val="20"/>
              </w:rPr>
            </w:pPr>
            <w:r>
              <w:rPr>
                <w:sz w:val="20"/>
              </w:rPr>
              <w:t>Респираторный</w:t>
            </w:r>
          </w:p>
        </w:tc>
      </w:tr>
      <w:tr w:rsidR="00000000">
        <w:trPr>
          <w:cantSplit/>
        </w:trPr>
        <w:tc>
          <w:tcPr>
            <w:tcW w:w="616" w:type="dxa"/>
            <w:tcBorders>
              <w:left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15.</w:t>
            </w:r>
          </w:p>
        </w:tc>
        <w:tc>
          <w:tcPr>
            <w:tcW w:w="1666" w:type="dxa"/>
          </w:tcPr>
          <w:p w:rsidR="00000000" w:rsidRDefault="00000000">
            <w:pPr>
              <w:spacing w:line="192" w:lineRule="auto"/>
              <w:rPr>
                <w:sz w:val="20"/>
              </w:rPr>
            </w:pPr>
            <w:r>
              <w:rPr>
                <w:sz w:val="20"/>
              </w:rPr>
              <w:t>Ветряная оспа</w:t>
            </w:r>
          </w:p>
        </w:tc>
        <w:tc>
          <w:tcPr>
            <w:tcW w:w="1218" w:type="dxa"/>
          </w:tcPr>
          <w:p w:rsidR="00000000" w:rsidRDefault="00000000">
            <w:pPr>
              <w:spacing w:line="192" w:lineRule="auto"/>
              <w:rPr>
                <w:sz w:val="20"/>
              </w:rPr>
            </w:pPr>
            <w:r>
              <w:rPr>
                <w:sz w:val="20"/>
              </w:rPr>
              <w:t>Декабрь 2001 года</w:t>
            </w:r>
          </w:p>
        </w:tc>
        <w:tc>
          <w:tcPr>
            <w:tcW w:w="1764" w:type="dxa"/>
          </w:tcPr>
          <w:p w:rsidR="00000000" w:rsidRDefault="00000000">
            <w:pPr>
              <w:spacing w:line="192" w:lineRule="auto"/>
              <w:rPr>
                <w:sz w:val="20"/>
              </w:rPr>
            </w:pPr>
            <w:proofErr w:type="spellStart"/>
            <w:r>
              <w:rPr>
                <w:sz w:val="20"/>
              </w:rPr>
              <w:t>Жабляк</w:t>
            </w:r>
            <w:proofErr w:type="spellEnd"/>
            <w:r>
              <w:rPr>
                <w:sz w:val="20"/>
              </w:rPr>
              <w:t xml:space="preserve"> - школьники</w:t>
            </w:r>
          </w:p>
        </w:tc>
        <w:tc>
          <w:tcPr>
            <w:tcW w:w="1245" w:type="dxa"/>
          </w:tcPr>
          <w:p w:rsidR="00000000" w:rsidRDefault="00000000">
            <w:pPr>
              <w:spacing w:line="192" w:lineRule="auto"/>
              <w:ind w:right="284"/>
              <w:jc w:val="right"/>
              <w:rPr>
                <w:sz w:val="20"/>
                <w:lang w:val="en-US"/>
              </w:rPr>
            </w:pPr>
            <w:r>
              <w:rPr>
                <w:sz w:val="20"/>
                <w:lang w:val="en-US"/>
              </w:rPr>
              <w:t>136</w:t>
            </w:r>
          </w:p>
        </w:tc>
        <w:tc>
          <w:tcPr>
            <w:tcW w:w="1344" w:type="dxa"/>
          </w:tcPr>
          <w:p w:rsidR="00000000" w:rsidRDefault="00000000">
            <w:pPr>
              <w:spacing w:line="192" w:lineRule="auto"/>
              <w:rPr>
                <w:sz w:val="20"/>
                <w:lang w:val="en-US"/>
              </w:rPr>
            </w:pPr>
            <w:proofErr w:type="spellStart"/>
            <w:r>
              <w:rPr>
                <w:sz w:val="20"/>
                <w:lang w:val="en-US"/>
              </w:rPr>
              <w:t>Humani</w:t>
            </w:r>
            <w:proofErr w:type="spellEnd"/>
            <w:r>
              <w:rPr>
                <w:sz w:val="20"/>
                <w:lang w:val="en-US"/>
              </w:rPr>
              <w:t xml:space="preserve"> herpes virus 3</w:t>
            </w:r>
          </w:p>
        </w:tc>
        <w:tc>
          <w:tcPr>
            <w:tcW w:w="1558" w:type="dxa"/>
            <w:tcBorders>
              <w:right w:val="single" w:sz="4" w:space="0" w:color="auto"/>
            </w:tcBorders>
          </w:tcPr>
          <w:p w:rsidR="00000000" w:rsidRDefault="00000000">
            <w:pPr>
              <w:spacing w:line="192" w:lineRule="auto"/>
              <w:rPr>
                <w:sz w:val="20"/>
              </w:rPr>
            </w:pPr>
            <w:r>
              <w:rPr>
                <w:sz w:val="20"/>
              </w:rPr>
              <w:t>Респираторный</w:t>
            </w:r>
          </w:p>
        </w:tc>
      </w:tr>
      <w:tr w:rsidR="00000000">
        <w:trPr>
          <w:cantSplit/>
        </w:trPr>
        <w:tc>
          <w:tcPr>
            <w:tcW w:w="616" w:type="dxa"/>
            <w:tcBorders>
              <w:left w:val="single" w:sz="4" w:space="0" w:color="auto"/>
              <w:bottom w:val="single" w:sz="4" w:space="0" w:color="auto"/>
            </w:tcBorders>
          </w:tcPr>
          <w:p w:rsidR="00000000" w:rsidRDefault="00000000">
            <w:pPr>
              <w:tabs>
                <w:tab w:val="clear" w:pos="567"/>
                <w:tab w:val="clear" w:pos="1134"/>
                <w:tab w:val="clear" w:pos="1701"/>
                <w:tab w:val="clear" w:pos="2268"/>
                <w:tab w:val="clear" w:pos="6237"/>
              </w:tabs>
              <w:spacing w:line="192" w:lineRule="auto"/>
              <w:ind w:left="170"/>
              <w:rPr>
                <w:sz w:val="20"/>
              </w:rPr>
            </w:pPr>
            <w:r>
              <w:rPr>
                <w:sz w:val="20"/>
              </w:rPr>
              <w:t>16.</w:t>
            </w:r>
          </w:p>
        </w:tc>
        <w:tc>
          <w:tcPr>
            <w:tcW w:w="1666" w:type="dxa"/>
            <w:tcBorders>
              <w:bottom w:val="single" w:sz="4" w:space="0" w:color="auto"/>
            </w:tcBorders>
          </w:tcPr>
          <w:p w:rsidR="00000000" w:rsidRDefault="00000000">
            <w:pPr>
              <w:spacing w:line="192" w:lineRule="auto"/>
              <w:rPr>
                <w:sz w:val="20"/>
              </w:rPr>
            </w:pPr>
            <w:r>
              <w:rPr>
                <w:sz w:val="20"/>
              </w:rPr>
              <w:t>Ветряная оспа</w:t>
            </w:r>
          </w:p>
        </w:tc>
        <w:tc>
          <w:tcPr>
            <w:tcW w:w="1218" w:type="dxa"/>
            <w:tcBorders>
              <w:bottom w:val="single" w:sz="4" w:space="0" w:color="auto"/>
            </w:tcBorders>
          </w:tcPr>
          <w:p w:rsidR="00000000" w:rsidRDefault="00000000">
            <w:pPr>
              <w:spacing w:line="192" w:lineRule="auto"/>
              <w:rPr>
                <w:sz w:val="20"/>
              </w:rPr>
            </w:pPr>
            <w:r>
              <w:rPr>
                <w:sz w:val="20"/>
              </w:rPr>
              <w:t>Декабрь 2001 года</w:t>
            </w:r>
          </w:p>
        </w:tc>
        <w:tc>
          <w:tcPr>
            <w:tcW w:w="1764" w:type="dxa"/>
            <w:tcBorders>
              <w:bottom w:val="single" w:sz="4" w:space="0" w:color="auto"/>
            </w:tcBorders>
          </w:tcPr>
          <w:p w:rsidR="00000000" w:rsidRDefault="00000000">
            <w:pPr>
              <w:spacing w:line="192" w:lineRule="auto"/>
              <w:rPr>
                <w:sz w:val="20"/>
              </w:rPr>
            </w:pPr>
            <w:proofErr w:type="spellStart"/>
            <w:r>
              <w:rPr>
                <w:sz w:val="20"/>
              </w:rPr>
              <w:t>Херцег-Нови</w:t>
            </w:r>
            <w:proofErr w:type="spellEnd"/>
            <w:r>
              <w:rPr>
                <w:sz w:val="20"/>
              </w:rPr>
              <w:t xml:space="preserve"> - школьники</w:t>
            </w:r>
          </w:p>
        </w:tc>
        <w:tc>
          <w:tcPr>
            <w:tcW w:w="1245" w:type="dxa"/>
            <w:tcBorders>
              <w:bottom w:val="single" w:sz="4" w:space="0" w:color="auto"/>
            </w:tcBorders>
          </w:tcPr>
          <w:p w:rsidR="00000000" w:rsidRDefault="00000000">
            <w:pPr>
              <w:spacing w:line="192" w:lineRule="auto"/>
              <w:ind w:right="284"/>
              <w:jc w:val="right"/>
              <w:rPr>
                <w:sz w:val="20"/>
                <w:lang w:val="en-US"/>
              </w:rPr>
            </w:pPr>
            <w:r>
              <w:rPr>
                <w:sz w:val="20"/>
                <w:lang w:val="en-US"/>
              </w:rPr>
              <w:t>119</w:t>
            </w:r>
          </w:p>
        </w:tc>
        <w:tc>
          <w:tcPr>
            <w:tcW w:w="1344" w:type="dxa"/>
            <w:tcBorders>
              <w:bottom w:val="single" w:sz="4" w:space="0" w:color="auto"/>
            </w:tcBorders>
          </w:tcPr>
          <w:p w:rsidR="00000000" w:rsidRDefault="00000000">
            <w:pPr>
              <w:spacing w:line="192" w:lineRule="auto"/>
              <w:rPr>
                <w:sz w:val="20"/>
                <w:lang w:val="en-US"/>
              </w:rPr>
            </w:pPr>
            <w:proofErr w:type="spellStart"/>
            <w:r>
              <w:rPr>
                <w:sz w:val="20"/>
                <w:lang w:val="en-US"/>
              </w:rPr>
              <w:t>Humani</w:t>
            </w:r>
            <w:proofErr w:type="spellEnd"/>
            <w:r>
              <w:rPr>
                <w:sz w:val="20"/>
                <w:lang w:val="en-US"/>
              </w:rPr>
              <w:t xml:space="preserve"> herpes virus 3</w:t>
            </w:r>
          </w:p>
        </w:tc>
        <w:tc>
          <w:tcPr>
            <w:tcW w:w="1558" w:type="dxa"/>
            <w:tcBorders>
              <w:bottom w:val="single" w:sz="4" w:space="0" w:color="auto"/>
              <w:right w:val="single" w:sz="4" w:space="0" w:color="auto"/>
            </w:tcBorders>
          </w:tcPr>
          <w:p w:rsidR="00000000" w:rsidRDefault="00000000">
            <w:pPr>
              <w:spacing w:line="192" w:lineRule="auto"/>
              <w:rPr>
                <w:sz w:val="20"/>
              </w:rPr>
            </w:pPr>
            <w:r>
              <w:rPr>
                <w:sz w:val="20"/>
              </w:rPr>
              <w:t>Респираторный</w:t>
            </w:r>
          </w:p>
        </w:tc>
      </w:tr>
    </w:tbl>
    <w:p w:rsidR="00000000" w:rsidRDefault="00000000"/>
    <w:p w:rsidR="00000000" w:rsidRDefault="00000000">
      <w:r>
        <w:t>708.</w:t>
      </w:r>
      <w:r>
        <w:tab/>
        <w:t xml:space="preserve">Общее количество заболевших в результате этих эпидемий (2001 год) составило 1 546 человек.  По сравнению с предыдущим годом число заболеваний несколько снизилось, главным образом благодаря отсутствию эпидемий гриппа в течение указанного периода.  За текущий и прошлый годы не было зарегистрировано эпидемий инфекционных заболеваний, передаваемых через воду.  Наиболее частыми механизмами передачи были респираторный, смешанный и пищевой.  </w:t>
      </w:r>
    </w:p>
    <w:p w:rsidR="00000000" w:rsidRDefault="00000000"/>
    <w:p w:rsidR="00000000" w:rsidRDefault="00000000">
      <w:r>
        <w:t>709.</w:t>
      </w:r>
      <w:r>
        <w:tab/>
        <w:t xml:space="preserve">В 2000 году не было зарегистрировано смертельных случаев, связанных с инфекционными заболеваниями.  В течение 2001 года от инфекционных заболеваний скончалось два человека (без учета СПИДа, который не включен в настоящий доклад, и гриппа, данные по которому включены в отдельный доклад), при этом уровень смертности составил по острым инфекционным заболеваниям 0,28 на 100 000 населения.  Один человек умер от туберкулезного менингита и еще один - от стафилококковой инфекции.  В 2001 году было зарегистрировано 16 вспышек эпидемий острых инфекционных заболеваний, с общим числом заболевших 1 546 человек.  Большинство из них заболели энтероколитом (627 человек) и ветряной оспой (625 человек).  </w:t>
      </w:r>
    </w:p>
    <w:p w:rsidR="00000000" w:rsidRDefault="00000000"/>
    <w:p w:rsidR="00000000" w:rsidRDefault="00000000">
      <w:r>
        <w:t>710.</w:t>
      </w:r>
      <w:r>
        <w:tab/>
        <w:t>Анализ по группам инфекционных заболеваний показывает, что наибольшее количество случаев заболеваний в 2001 году было зарегистрировано в группе респираторных инфекционных заболеваний, которое составило 44,3% от общего количества случаев, зарегистрированных инфекционных болезней.  Таким образом, указанная группа как и в предыдущем году осталась на первом месте с практически неизменной процентной долей.</w:t>
      </w:r>
    </w:p>
    <w:p w:rsidR="00000000" w:rsidRDefault="00000000"/>
    <w:p w:rsidR="00000000" w:rsidRDefault="00000000">
      <w:r>
        <w:t>711.</w:t>
      </w:r>
      <w:r>
        <w:tab/>
        <w:t>Второе место занимают желудочно-кишечные инфекционные заболевания, доля которых составила 41,3% от общего числа инфекционных заболеваний, на третьем месте - паразитарные заболевания, доля которых составила 11,96%.  Доля других групп инфекционных заболеваний (антропозозные, передаваемые половым путем болезни, трансмиссивные, передаваемые патогенными микроорганизмами и другие заболевания) была весьма невысокой (в совокупности менее 3% от общего числа заболевших).</w:t>
      </w:r>
    </w:p>
    <w:p w:rsidR="00000000" w:rsidRDefault="00000000"/>
    <w:p w:rsidR="00000000" w:rsidRDefault="00000000">
      <w:r>
        <w:t>712.</w:t>
      </w:r>
      <w:r>
        <w:tab/>
        <w:t>Среди десяти наиболее распространенных инфекционных заболеваний в 2001 году по количеству заболеваний энтероколит сменил на первом месте ветряную оспу.  Возможно, это стало результатом улучшения системы отчетности в данных в летние месяцы и ряда эпидемических вспышек со значительным числом заболевших.  Рост числа заболевших опоясывающим герпесом можно отнести скорее к улучшению процедур регистрации, а не реальному увеличению случаев этого заболевания.  Острые случаи недифференцированного гепатита в сочетании с гепатитом А (девятая позиция) являются последствием эндемического проявления этого заболевания в Республике.  На десятом месте находится инфекционный мононуклеоз, который неизменно входит в первую десятку инфекционных заболеваний.</w:t>
      </w:r>
    </w:p>
    <w:p w:rsidR="00000000" w:rsidRDefault="00000000"/>
    <w:p w:rsidR="00000000" w:rsidRDefault="00000000">
      <w:r>
        <w:t>713.</w:t>
      </w:r>
      <w:r>
        <w:tab/>
        <w:t>На первые пять наиболее часто регистрируемых инфекционных заболеваний приходится 85,7% от общего числа регистрируемых инфекционных заболеваний, при этом доля заболевших острыми формами из первых десяти инфекционных заболеваний составила 92,2% от уровня предыдущего года.</w:t>
      </w:r>
    </w:p>
    <w:p w:rsidR="00000000" w:rsidRDefault="00000000"/>
    <w:p w:rsidR="00000000" w:rsidRDefault="00000000">
      <w:pPr>
        <w:jc w:val="center"/>
        <w:rPr>
          <w:b/>
          <w:bCs/>
        </w:rPr>
      </w:pPr>
      <w:r>
        <w:rPr>
          <w:b/>
          <w:bCs/>
        </w:rPr>
        <w:t>Таблица 8</w:t>
      </w:r>
    </w:p>
    <w:p w:rsidR="00000000" w:rsidRDefault="00000000">
      <w:pPr>
        <w:jc w:val="center"/>
        <w:rPr>
          <w:b/>
          <w:bCs/>
        </w:rPr>
      </w:pPr>
    </w:p>
    <w:p w:rsidR="00000000" w:rsidRDefault="00000000">
      <w:pPr>
        <w:jc w:val="center"/>
        <w:rPr>
          <w:b/>
          <w:bCs/>
        </w:rPr>
      </w:pPr>
      <w:r>
        <w:rPr>
          <w:b/>
          <w:bCs/>
        </w:rPr>
        <w:t>Доля некоторых групп инфекционных заболеваний в общей структуре заболеваемости за период 1997-2001 годы</w:t>
      </w:r>
    </w:p>
    <w:p w:rsidR="00000000" w:rsidRDefault="00000000"/>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left w:w="28" w:type="dxa"/>
          <w:bottom w:w="28" w:type="dxa"/>
          <w:right w:w="28" w:type="dxa"/>
        </w:tblCellMar>
        <w:tblLook w:val="0000" w:firstRow="0" w:lastRow="0" w:firstColumn="0" w:lastColumn="0" w:noHBand="0" w:noVBand="0"/>
      </w:tblPr>
      <w:tblGrid>
        <w:gridCol w:w="3220"/>
        <w:gridCol w:w="1222"/>
        <w:gridCol w:w="17"/>
        <w:gridCol w:w="1238"/>
        <w:gridCol w:w="28"/>
        <w:gridCol w:w="1210"/>
        <w:gridCol w:w="9"/>
        <w:gridCol w:w="1216"/>
        <w:gridCol w:w="11"/>
        <w:gridCol w:w="1240"/>
      </w:tblGrid>
      <w:tr w:rsidR="00000000">
        <w:trPr>
          <w:cantSplit/>
        </w:trPr>
        <w:tc>
          <w:tcPr>
            <w:tcW w:w="1710" w:type="pct"/>
            <w:vMerge w:val="restart"/>
            <w:tcBorders>
              <w:top w:val="single" w:sz="4" w:space="0" w:color="auto"/>
              <w:left w:val="single" w:sz="4" w:space="0" w:color="auto"/>
            </w:tcBorders>
          </w:tcPr>
          <w:p w:rsidR="00000000" w:rsidRDefault="00000000">
            <w:pPr>
              <w:spacing w:line="216" w:lineRule="auto"/>
              <w:jc w:val="center"/>
              <w:rPr>
                <w:sz w:val="22"/>
              </w:rPr>
            </w:pPr>
            <w:r>
              <w:rPr>
                <w:sz w:val="22"/>
              </w:rPr>
              <w:t>Группы инфекционных заболеваний</w:t>
            </w:r>
          </w:p>
        </w:tc>
        <w:tc>
          <w:tcPr>
            <w:tcW w:w="658" w:type="pct"/>
            <w:gridSpan w:val="2"/>
            <w:tcBorders>
              <w:top w:val="single" w:sz="4" w:space="0" w:color="auto"/>
              <w:bottom w:val="single" w:sz="6" w:space="0" w:color="auto"/>
            </w:tcBorders>
          </w:tcPr>
          <w:p w:rsidR="00000000" w:rsidRDefault="00000000">
            <w:pPr>
              <w:spacing w:line="216" w:lineRule="auto"/>
              <w:jc w:val="center"/>
              <w:rPr>
                <w:sz w:val="22"/>
              </w:rPr>
            </w:pPr>
            <w:r>
              <w:rPr>
                <w:sz w:val="22"/>
              </w:rPr>
              <w:t>1997</w:t>
            </w:r>
          </w:p>
        </w:tc>
        <w:tc>
          <w:tcPr>
            <w:tcW w:w="658" w:type="pct"/>
            <w:tcBorders>
              <w:top w:val="single" w:sz="4" w:space="0" w:color="auto"/>
              <w:bottom w:val="single" w:sz="6" w:space="0" w:color="auto"/>
            </w:tcBorders>
          </w:tcPr>
          <w:p w:rsidR="00000000" w:rsidRDefault="00000000">
            <w:pPr>
              <w:spacing w:line="216" w:lineRule="auto"/>
              <w:jc w:val="center"/>
              <w:rPr>
                <w:sz w:val="22"/>
              </w:rPr>
            </w:pPr>
            <w:r>
              <w:rPr>
                <w:sz w:val="22"/>
              </w:rPr>
              <w:t>1998</w:t>
            </w:r>
          </w:p>
        </w:tc>
        <w:tc>
          <w:tcPr>
            <w:tcW w:w="658" w:type="pct"/>
            <w:gridSpan w:val="2"/>
            <w:tcBorders>
              <w:top w:val="single" w:sz="4" w:space="0" w:color="auto"/>
              <w:bottom w:val="single" w:sz="6" w:space="0" w:color="auto"/>
            </w:tcBorders>
          </w:tcPr>
          <w:p w:rsidR="00000000" w:rsidRDefault="00000000">
            <w:pPr>
              <w:spacing w:line="216" w:lineRule="auto"/>
              <w:jc w:val="center"/>
              <w:rPr>
                <w:sz w:val="22"/>
              </w:rPr>
            </w:pPr>
            <w:r>
              <w:rPr>
                <w:sz w:val="22"/>
              </w:rPr>
              <w:t>1999</w:t>
            </w:r>
          </w:p>
        </w:tc>
        <w:tc>
          <w:tcPr>
            <w:tcW w:w="657" w:type="pct"/>
            <w:gridSpan w:val="3"/>
            <w:tcBorders>
              <w:top w:val="single" w:sz="4" w:space="0" w:color="auto"/>
              <w:bottom w:val="single" w:sz="6" w:space="0" w:color="auto"/>
            </w:tcBorders>
          </w:tcPr>
          <w:p w:rsidR="00000000" w:rsidRDefault="00000000">
            <w:pPr>
              <w:spacing w:line="216" w:lineRule="auto"/>
              <w:jc w:val="center"/>
              <w:rPr>
                <w:sz w:val="22"/>
              </w:rPr>
            </w:pPr>
            <w:r>
              <w:rPr>
                <w:sz w:val="22"/>
              </w:rPr>
              <w:t>2000</w:t>
            </w:r>
          </w:p>
        </w:tc>
        <w:tc>
          <w:tcPr>
            <w:tcW w:w="658" w:type="pct"/>
            <w:tcBorders>
              <w:top w:val="single" w:sz="4" w:space="0" w:color="auto"/>
              <w:bottom w:val="single" w:sz="6" w:space="0" w:color="auto"/>
              <w:right w:val="single" w:sz="4" w:space="0" w:color="auto"/>
            </w:tcBorders>
          </w:tcPr>
          <w:p w:rsidR="00000000" w:rsidRDefault="00000000">
            <w:pPr>
              <w:spacing w:line="216" w:lineRule="auto"/>
              <w:jc w:val="center"/>
              <w:rPr>
                <w:sz w:val="22"/>
              </w:rPr>
            </w:pPr>
            <w:r>
              <w:rPr>
                <w:sz w:val="22"/>
              </w:rPr>
              <w:t>2001</w:t>
            </w:r>
          </w:p>
        </w:tc>
      </w:tr>
      <w:tr w:rsidR="00000000">
        <w:trPr>
          <w:cantSplit/>
        </w:trPr>
        <w:tc>
          <w:tcPr>
            <w:tcW w:w="1710" w:type="pct"/>
            <w:vMerge/>
            <w:tcBorders>
              <w:left w:val="single" w:sz="4" w:space="0" w:color="auto"/>
              <w:bottom w:val="single" w:sz="4" w:space="0" w:color="auto"/>
            </w:tcBorders>
          </w:tcPr>
          <w:p w:rsidR="00000000" w:rsidRDefault="00000000">
            <w:pPr>
              <w:spacing w:line="216" w:lineRule="auto"/>
              <w:jc w:val="center"/>
              <w:rPr>
                <w:sz w:val="22"/>
              </w:rPr>
            </w:pPr>
          </w:p>
        </w:tc>
        <w:tc>
          <w:tcPr>
            <w:tcW w:w="658" w:type="pct"/>
            <w:gridSpan w:val="2"/>
            <w:tcBorders>
              <w:top w:val="single" w:sz="6" w:space="0" w:color="auto"/>
              <w:bottom w:val="single" w:sz="4" w:space="0" w:color="auto"/>
            </w:tcBorders>
          </w:tcPr>
          <w:p w:rsidR="00000000" w:rsidRDefault="00000000">
            <w:pPr>
              <w:spacing w:line="216" w:lineRule="auto"/>
              <w:jc w:val="center"/>
              <w:rPr>
                <w:sz w:val="22"/>
              </w:rPr>
            </w:pPr>
            <w:r>
              <w:rPr>
                <w:sz w:val="22"/>
              </w:rPr>
              <w:t>Количество заболевших и зарегист-рированная процентная доля</w:t>
            </w:r>
          </w:p>
        </w:tc>
        <w:tc>
          <w:tcPr>
            <w:tcW w:w="658" w:type="pct"/>
            <w:tcBorders>
              <w:top w:val="single" w:sz="6" w:space="0" w:color="auto"/>
              <w:bottom w:val="single" w:sz="4" w:space="0" w:color="auto"/>
            </w:tcBorders>
          </w:tcPr>
          <w:p w:rsidR="00000000" w:rsidRDefault="00000000">
            <w:pPr>
              <w:spacing w:line="216" w:lineRule="auto"/>
              <w:jc w:val="center"/>
              <w:rPr>
                <w:sz w:val="22"/>
              </w:rPr>
            </w:pPr>
            <w:r>
              <w:rPr>
                <w:sz w:val="22"/>
              </w:rPr>
              <w:t>Количество заболевших и зарегист-рированная процентная доля</w:t>
            </w:r>
          </w:p>
        </w:tc>
        <w:tc>
          <w:tcPr>
            <w:tcW w:w="658" w:type="pct"/>
            <w:gridSpan w:val="2"/>
            <w:tcBorders>
              <w:top w:val="single" w:sz="6" w:space="0" w:color="auto"/>
              <w:bottom w:val="single" w:sz="4" w:space="0" w:color="auto"/>
            </w:tcBorders>
          </w:tcPr>
          <w:p w:rsidR="00000000" w:rsidRDefault="00000000">
            <w:pPr>
              <w:spacing w:line="216" w:lineRule="auto"/>
              <w:jc w:val="center"/>
              <w:rPr>
                <w:sz w:val="22"/>
              </w:rPr>
            </w:pPr>
            <w:r>
              <w:rPr>
                <w:sz w:val="22"/>
              </w:rPr>
              <w:t>Количество заболевших и зарегист-рированная процентная доля</w:t>
            </w:r>
          </w:p>
        </w:tc>
        <w:tc>
          <w:tcPr>
            <w:tcW w:w="657" w:type="pct"/>
            <w:gridSpan w:val="3"/>
            <w:tcBorders>
              <w:top w:val="single" w:sz="6" w:space="0" w:color="auto"/>
              <w:bottom w:val="single" w:sz="4" w:space="0" w:color="auto"/>
            </w:tcBorders>
          </w:tcPr>
          <w:p w:rsidR="00000000" w:rsidRDefault="00000000">
            <w:pPr>
              <w:spacing w:line="216" w:lineRule="auto"/>
              <w:jc w:val="center"/>
              <w:rPr>
                <w:sz w:val="22"/>
              </w:rPr>
            </w:pPr>
            <w:r>
              <w:rPr>
                <w:sz w:val="22"/>
              </w:rPr>
              <w:t>Количество заболевших и зарегист-рированная процентная доля</w:t>
            </w:r>
          </w:p>
        </w:tc>
        <w:tc>
          <w:tcPr>
            <w:tcW w:w="658" w:type="pct"/>
            <w:tcBorders>
              <w:top w:val="single" w:sz="6" w:space="0" w:color="auto"/>
              <w:bottom w:val="single" w:sz="4" w:space="0" w:color="auto"/>
              <w:right w:val="single" w:sz="4" w:space="0" w:color="auto"/>
            </w:tcBorders>
          </w:tcPr>
          <w:p w:rsidR="00000000" w:rsidRDefault="00000000">
            <w:pPr>
              <w:spacing w:line="216" w:lineRule="auto"/>
              <w:jc w:val="center"/>
              <w:rPr>
                <w:sz w:val="22"/>
              </w:rPr>
            </w:pPr>
            <w:r>
              <w:rPr>
                <w:sz w:val="22"/>
              </w:rPr>
              <w:t>Количество заболевших и зарегист-рированная процентная доля</w:t>
            </w:r>
          </w:p>
        </w:tc>
      </w:tr>
      <w:tr w:rsidR="00000000">
        <w:tc>
          <w:tcPr>
            <w:tcW w:w="1710" w:type="pct"/>
            <w:tcBorders>
              <w:top w:val="single" w:sz="4" w:space="0" w:color="auto"/>
              <w:left w:val="single" w:sz="4" w:space="0" w:color="auto"/>
              <w:bottom w:val="nil"/>
            </w:tcBorders>
            <w:tcMar>
              <w:bottom w:w="113" w:type="dxa"/>
            </w:tcMar>
          </w:tcPr>
          <w:p w:rsidR="00000000" w:rsidRDefault="00000000">
            <w:pPr>
              <w:spacing w:line="216" w:lineRule="auto"/>
              <w:rPr>
                <w:sz w:val="22"/>
              </w:rPr>
            </w:pPr>
            <w:r>
              <w:rPr>
                <w:sz w:val="22"/>
              </w:rPr>
              <w:t>Респираторные</w:t>
            </w:r>
            <w:r>
              <w:rPr>
                <w:sz w:val="22"/>
                <w:lang w:val="en-US"/>
              </w:rPr>
              <w:t xml:space="preserve"> </w:t>
            </w:r>
          </w:p>
          <w:p w:rsidR="00000000" w:rsidRDefault="00000000">
            <w:pPr>
              <w:spacing w:line="216" w:lineRule="auto"/>
              <w:rPr>
                <w:sz w:val="22"/>
              </w:rPr>
            </w:pPr>
            <w:r>
              <w:rPr>
                <w:sz w:val="22"/>
              </w:rPr>
              <w:t>заболевания</w:t>
            </w:r>
          </w:p>
        </w:tc>
        <w:tc>
          <w:tcPr>
            <w:tcW w:w="649" w:type="pct"/>
            <w:tcBorders>
              <w:top w:val="single" w:sz="4" w:space="0" w:color="auto"/>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5 706</w:t>
            </w:r>
          </w:p>
          <w:p w:rsidR="00000000" w:rsidRDefault="00000000">
            <w:pPr>
              <w:tabs>
                <w:tab w:val="clear" w:pos="1134"/>
              </w:tabs>
              <w:spacing w:line="216" w:lineRule="auto"/>
              <w:jc w:val="right"/>
              <w:rPr>
                <w:sz w:val="22"/>
                <w:lang w:val="en-US"/>
              </w:rPr>
            </w:pPr>
            <w:r>
              <w:rPr>
                <w:sz w:val="22"/>
                <w:lang w:val="en-US"/>
              </w:rPr>
              <w:t>63,05</w:t>
            </w:r>
          </w:p>
        </w:tc>
        <w:tc>
          <w:tcPr>
            <w:tcW w:w="682" w:type="pct"/>
            <w:gridSpan w:val="3"/>
            <w:tcBorders>
              <w:top w:val="single" w:sz="4" w:space="0" w:color="auto"/>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4 173</w:t>
            </w:r>
          </w:p>
          <w:p w:rsidR="00000000" w:rsidRDefault="00000000">
            <w:pPr>
              <w:tabs>
                <w:tab w:val="clear" w:pos="1134"/>
              </w:tabs>
              <w:spacing w:line="216" w:lineRule="auto"/>
              <w:jc w:val="right"/>
              <w:rPr>
                <w:sz w:val="22"/>
                <w:lang w:val="en-US"/>
              </w:rPr>
            </w:pPr>
            <w:r>
              <w:rPr>
                <w:sz w:val="22"/>
                <w:lang w:val="en-US"/>
              </w:rPr>
              <w:t xml:space="preserve">     49,63</w:t>
            </w:r>
          </w:p>
        </w:tc>
        <w:tc>
          <w:tcPr>
            <w:tcW w:w="648" w:type="pct"/>
            <w:gridSpan w:val="2"/>
            <w:tcBorders>
              <w:top w:val="single" w:sz="4" w:space="0" w:color="auto"/>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4 204</w:t>
            </w:r>
          </w:p>
          <w:p w:rsidR="00000000" w:rsidRDefault="00000000">
            <w:pPr>
              <w:tabs>
                <w:tab w:val="clear" w:pos="1134"/>
              </w:tabs>
              <w:spacing w:line="216" w:lineRule="auto"/>
              <w:jc w:val="right"/>
              <w:rPr>
                <w:sz w:val="22"/>
                <w:lang w:val="en-US"/>
              </w:rPr>
            </w:pPr>
            <w:r>
              <w:rPr>
                <w:sz w:val="22"/>
                <w:lang w:val="en-US"/>
              </w:rPr>
              <w:t xml:space="preserve">     41,60</w:t>
            </w:r>
          </w:p>
        </w:tc>
        <w:tc>
          <w:tcPr>
            <w:tcW w:w="646" w:type="pct"/>
            <w:tcBorders>
              <w:top w:val="single" w:sz="4" w:space="0" w:color="auto"/>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4 309</w:t>
            </w:r>
          </w:p>
          <w:p w:rsidR="00000000" w:rsidRDefault="00000000">
            <w:pPr>
              <w:tabs>
                <w:tab w:val="clear" w:pos="1134"/>
              </w:tabs>
              <w:spacing w:line="216" w:lineRule="auto"/>
              <w:jc w:val="right"/>
              <w:rPr>
                <w:sz w:val="22"/>
                <w:lang w:val="en-US"/>
              </w:rPr>
            </w:pPr>
            <w:r>
              <w:rPr>
                <w:sz w:val="22"/>
                <w:lang w:val="en-US"/>
              </w:rPr>
              <w:t xml:space="preserve">     44,96</w:t>
            </w:r>
          </w:p>
        </w:tc>
        <w:tc>
          <w:tcPr>
            <w:tcW w:w="665" w:type="pct"/>
            <w:gridSpan w:val="2"/>
            <w:tcBorders>
              <w:top w:val="single" w:sz="4" w:space="0" w:color="auto"/>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lang w:val="en-US"/>
              </w:rPr>
              <w:t>3</w:t>
            </w:r>
            <w:r>
              <w:rPr>
                <w:sz w:val="22"/>
              </w:rPr>
              <w:t xml:space="preserve"> </w:t>
            </w:r>
            <w:r>
              <w:rPr>
                <w:sz w:val="22"/>
                <w:lang w:val="en-US"/>
              </w:rPr>
              <w:t>373</w:t>
            </w:r>
          </w:p>
          <w:p w:rsidR="00000000" w:rsidRDefault="00000000">
            <w:pPr>
              <w:tabs>
                <w:tab w:val="clear" w:pos="1134"/>
              </w:tabs>
              <w:spacing w:line="216" w:lineRule="auto"/>
              <w:jc w:val="right"/>
              <w:rPr>
                <w:sz w:val="22"/>
                <w:lang w:val="en-US"/>
              </w:rPr>
            </w:pPr>
            <w:r>
              <w:rPr>
                <w:sz w:val="22"/>
                <w:lang w:val="en-US"/>
              </w:rPr>
              <w:t>44,31</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lang w:val="en-US"/>
              </w:rPr>
            </w:pPr>
            <w:r>
              <w:rPr>
                <w:sz w:val="22"/>
              </w:rPr>
              <w:t>Кишечные</w:t>
            </w:r>
            <w:r>
              <w:rPr>
                <w:sz w:val="22"/>
                <w:lang w:val="en-US"/>
              </w:rPr>
              <w:t xml:space="preserve"> </w:t>
            </w:r>
            <w:r>
              <w:rPr>
                <w:sz w:val="22"/>
                <w:lang w:val="en-US"/>
              </w:rPr>
              <w:br/>
            </w:r>
            <w:r>
              <w:rPr>
                <w:sz w:val="22"/>
              </w:rPr>
              <w:t>заболевания</w:t>
            </w:r>
          </w:p>
        </w:tc>
        <w:tc>
          <w:tcPr>
            <w:tcW w:w="649" w:type="pct"/>
            <w:tcBorders>
              <w:top w:val="nil"/>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2 124</w:t>
            </w:r>
          </w:p>
          <w:p w:rsidR="00000000" w:rsidRDefault="00000000">
            <w:pPr>
              <w:tabs>
                <w:tab w:val="clear" w:pos="1134"/>
              </w:tabs>
              <w:spacing w:line="216" w:lineRule="auto"/>
              <w:jc w:val="right"/>
              <w:rPr>
                <w:sz w:val="22"/>
                <w:lang w:val="en-US"/>
              </w:rPr>
            </w:pPr>
            <w:r>
              <w:rPr>
                <w:sz w:val="22"/>
                <w:lang w:val="en-US"/>
              </w:rPr>
              <w:t xml:space="preserve">    23,47</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3 018</w:t>
            </w:r>
          </w:p>
          <w:p w:rsidR="00000000" w:rsidRDefault="00000000">
            <w:pPr>
              <w:tabs>
                <w:tab w:val="clear" w:pos="1134"/>
              </w:tabs>
              <w:spacing w:line="216" w:lineRule="auto"/>
              <w:jc w:val="right"/>
              <w:rPr>
                <w:sz w:val="22"/>
                <w:lang w:val="en-US"/>
              </w:rPr>
            </w:pPr>
            <w:r>
              <w:rPr>
                <w:sz w:val="22"/>
                <w:lang w:val="en-US"/>
              </w:rPr>
              <w:t xml:space="preserve">     35,89</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3 655</w:t>
            </w:r>
          </w:p>
          <w:p w:rsidR="00000000" w:rsidRDefault="00000000">
            <w:pPr>
              <w:tabs>
                <w:tab w:val="clear" w:pos="1134"/>
              </w:tabs>
              <w:spacing w:line="216" w:lineRule="auto"/>
              <w:jc w:val="right"/>
              <w:rPr>
                <w:sz w:val="22"/>
                <w:lang w:val="en-US"/>
              </w:rPr>
            </w:pPr>
            <w:r>
              <w:rPr>
                <w:sz w:val="22"/>
                <w:lang w:val="en-US"/>
              </w:rPr>
              <w:t xml:space="preserve">     36,17</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lang w:val="en-US"/>
              </w:rPr>
            </w:pPr>
            <w:r>
              <w:rPr>
                <w:sz w:val="22"/>
                <w:lang w:val="en-US"/>
              </w:rPr>
              <w:t>3 482</w:t>
            </w:r>
          </w:p>
          <w:p w:rsidR="00000000" w:rsidRDefault="00000000">
            <w:pPr>
              <w:tabs>
                <w:tab w:val="clear" w:pos="1134"/>
              </w:tabs>
              <w:spacing w:line="216" w:lineRule="auto"/>
              <w:jc w:val="right"/>
              <w:rPr>
                <w:sz w:val="22"/>
              </w:rPr>
            </w:pPr>
            <w:r>
              <w:rPr>
                <w:sz w:val="22"/>
              </w:rPr>
              <w:t xml:space="preserve">    36,36</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3 143</w:t>
            </w:r>
          </w:p>
          <w:p w:rsidR="00000000" w:rsidRDefault="00000000">
            <w:pPr>
              <w:tabs>
                <w:tab w:val="clear" w:pos="1134"/>
              </w:tabs>
              <w:spacing w:line="216" w:lineRule="auto"/>
              <w:jc w:val="right"/>
              <w:rPr>
                <w:sz w:val="22"/>
              </w:rPr>
            </w:pPr>
            <w:r>
              <w:rPr>
                <w:sz w:val="22"/>
              </w:rPr>
              <w:t>41,30</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rPr>
            </w:pPr>
            <w:r>
              <w:rPr>
                <w:sz w:val="22"/>
              </w:rPr>
              <w:t>Паразитарные</w:t>
            </w:r>
          </w:p>
          <w:p w:rsidR="00000000" w:rsidRDefault="00000000">
            <w:pPr>
              <w:spacing w:line="216" w:lineRule="auto"/>
              <w:rPr>
                <w:sz w:val="22"/>
              </w:rPr>
            </w:pPr>
            <w:r>
              <w:rPr>
                <w:sz w:val="22"/>
              </w:rPr>
              <w:t>заболевания</w:t>
            </w:r>
          </w:p>
        </w:tc>
        <w:tc>
          <w:tcPr>
            <w:tcW w:w="649"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1 079</w:t>
            </w:r>
          </w:p>
          <w:p w:rsidR="00000000" w:rsidRDefault="00000000">
            <w:pPr>
              <w:tabs>
                <w:tab w:val="clear" w:pos="1134"/>
              </w:tabs>
              <w:spacing w:line="216" w:lineRule="auto"/>
              <w:jc w:val="right"/>
              <w:rPr>
                <w:sz w:val="22"/>
              </w:rPr>
            </w:pPr>
            <w:r>
              <w:rPr>
                <w:sz w:val="22"/>
              </w:rPr>
              <w:t>11,92</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1 028</w:t>
            </w:r>
          </w:p>
          <w:p w:rsidR="00000000" w:rsidRDefault="00000000">
            <w:pPr>
              <w:tabs>
                <w:tab w:val="clear" w:pos="1134"/>
              </w:tabs>
              <w:spacing w:line="216" w:lineRule="auto"/>
              <w:jc w:val="right"/>
              <w:rPr>
                <w:sz w:val="22"/>
              </w:rPr>
            </w:pPr>
            <w:r>
              <w:rPr>
                <w:sz w:val="22"/>
              </w:rPr>
              <w:t>12,22</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1 968</w:t>
            </w:r>
          </w:p>
          <w:p w:rsidR="00000000" w:rsidRDefault="00000000">
            <w:pPr>
              <w:tabs>
                <w:tab w:val="clear" w:pos="1134"/>
              </w:tabs>
              <w:spacing w:line="216" w:lineRule="auto"/>
              <w:jc w:val="right"/>
              <w:rPr>
                <w:sz w:val="22"/>
              </w:rPr>
            </w:pPr>
            <w:r>
              <w:rPr>
                <w:sz w:val="22"/>
              </w:rPr>
              <w:t>19,48</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1 560</w:t>
            </w:r>
          </w:p>
          <w:p w:rsidR="00000000" w:rsidRDefault="00000000">
            <w:pPr>
              <w:tabs>
                <w:tab w:val="clear" w:pos="1134"/>
              </w:tabs>
              <w:spacing w:line="216" w:lineRule="auto"/>
              <w:jc w:val="right"/>
              <w:rPr>
                <w:sz w:val="22"/>
              </w:rPr>
            </w:pPr>
            <w:r>
              <w:rPr>
                <w:sz w:val="22"/>
              </w:rPr>
              <w:t>16,27</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907</w:t>
            </w:r>
          </w:p>
          <w:p w:rsidR="00000000" w:rsidRDefault="00000000">
            <w:pPr>
              <w:tabs>
                <w:tab w:val="clear" w:pos="1134"/>
              </w:tabs>
              <w:spacing w:line="216" w:lineRule="auto"/>
              <w:jc w:val="right"/>
              <w:rPr>
                <w:sz w:val="22"/>
              </w:rPr>
            </w:pPr>
            <w:r>
              <w:rPr>
                <w:sz w:val="22"/>
              </w:rPr>
              <w:t>11,96</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rPr>
            </w:pPr>
            <w:proofErr w:type="spellStart"/>
            <w:r>
              <w:rPr>
                <w:sz w:val="22"/>
              </w:rPr>
              <w:t>Антропозные</w:t>
            </w:r>
            <w:proofErr w:type="spellEnd"/>
          </w:p>
          <w:p w:rsidR="00000000" w:rsidRDefault="00000000">
            <w:pPr>
              <w:spacing w:line="216" w:lineRule="auto"/>
              <w:rPr>
                <w:sz w:val="22"/>
              </w:rPr>
            </w:pPr>
            <w:r>
              <w:rPr>
                <w:sz w:val="22"/>
              </w:rPr>
              <w:t>заболевания</w:t>
            </w:r>
          </w:p>
        </w:tc>
        <w:tc>
          <w:tcPr>
            <w:tcW w:w="649"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 xml:space="preserve">   </w:t>
            </w:r>
            <w:r>
              <w:rPr>
                <w:sz w:val="22"/>
                <w:lang w:val="en-US"/>
              </w:rPr>
              <w:t>33</w:t>
            </w:r>
          </w:p>
          <w:p w:rsidR="00000000" w:rsidRDefault="00000000">
            <w:pPr>
              <w:tabs>
                <w:tab w:val="clear" w:pos="1134"/>
              </w:tabs>
              <w:spacing w:line="216" w:lineRule="auto"/>
              <w:jc w:val="right"/>
              <w:rPr>
                <w:sz w:val="22"/>
                <w:lang w:val="en-US"/>
              </w:rPr>
            </w:pPr>
            <w:r>
              <w:rPr>
                <w:sz w:val="22"/>
                <w:lang w:val="en-US"/>
              </w:rPr>
              <w:t xml:space="preserve">      0,36</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71</w:t>
            </w:r>
          </w:p>
          <w:p w:rsidR="00000000" w:rsidRDefault="00000000">
            <w:pPr>
              <w:tabs>
                <w:tab w:val="clear" w:pos="1134"/>
              </w:tabs>
              <w:spacing w:line="216" w:lineRule="auto"/>
              <w:jc w:val="right"/>
              <w:rPr>
                <w:sz w:val="22"/>
                <w:lang w:val="en-US"/>
              </w:rPr>
            </w:pPr>
            <w:r>
              <w:rPr>
                <w:sz w:val="22"/>
                <w:lang w:val="en-US"/>
              </w:rPr>
              <w:t xml:space="preserve">      0,88</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120</w:t>
            </w:r>
          </w:p>
          <w:p w:rsidR="00000000" w:rsidRDefault="00000000">
            <w:pPr>
              <w:tabs>
                <w:tab w:val="clear" w:pos="1134"/>
              </w:tabs>
              <w:spacing w:line="216" w:lineRule="auto"/>
              <w:jc w:val="right"/>
              <w:rPr>
                <w:sz w:val="22"/>
              </w:rPr>
            </w:pPr>
            <w:r>
              <w:rPr>
                <w:sz w:val="22"/>
              </w:rPr>
              <w:t xml:space="preserve">      1,19</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 xml:space="preserve">   66</w:t>
            </w:r>
          </w:p>
          <w:p w:rsidR="00000000" w:rsidRDefault="00000000">
            <w:pPr>
              <w:tabs>
                <w:tab w:val="clear" w:pos="1134"/>
              </w:tabs>
              <w:spacing w:line="216" w:lineRule="auto"/>
              <w:jc w:val="right"/>
              <w:rPr>
                <w:sz w:val="22"/>
              </w:rPr>
            </w:pPr>
            <w:r>
              <w:rPr>
                <w:sz w:val="22"/>
              </w:rPr>
              <w:t>0,68</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5             0,06</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rPr>
            </w:pPr>
            <w:r>
              <w:rPr>
                <w:sz w:val="22"/>
              </w:rPr>
              <w:t>Болезни, передаваемые половым путем</w:t>
            </w:r>
          </w:p>
        </w:tc>
        <w:tc>
          <w:tcPr>
            <w:tcW w:w="649" w:type="pct"/>
            <w:tcBorders>
              <w:top w:val="nil"/>
              <w:bottom w:val="nil"/>
            </w:tcBorders>
            <w:tcMar>
              <w:bottom w:w="113" w:type="dxa"/>
              <w:right w:w="113" w:type="dxa"/>
            </w:tcMar>
          </w:tcPr>
          <w:p w:rsidR="00000000" w:rsidRDefault="00000000">
            <w:pPr>
              <w:pStyle w:val="CommentText"/>
              <w:spacing w:line="216" w:lineRule="auto"/>
              <w:jc w:val="right"/>
              <w:rPr>
                <w:sz w:val="22"/>
                <w:lang w:val="ru-RU"/>
              </w:rPr>
            </w:pPr>
            <w:r>
              <w:rPr>
                <w:sz w:val="22"/>
                <w:lang w:val="ru-RU"/>
              </w:rPr>
              <w:t xml:space="preserve">    </w:t>
            </w:r>
            <w:r>
              <w:rPr>
                <w:sz w:val="22"/>
                <w:lang w:val="en-US"/>
              </w:rPr>
              <w:t>8</w:t>
            </w:r>
          </w:p>
          <w:p w:rsidR="00000000" w:rsidRDefault="00000000">
            <w:pPr>
              <w:pStyle w:val="CommentText"/>
              <w:spacing w:line="216" w:lineRule="auto"/>
              <w:jc w:val="right"/>
              <w:rPr>
                <w:sz w:val="22"/>
                <w:lang w:val="en-US"/>
              </w:rPr>
            </w:pPr>
            <w:r>
              <w:rPr>
                <w:sz w:val="22"/>
                <w:lang w:val="en-US"/>
              </w:rPr>
              <w:t xml:space="preserve">      0,09</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10</w:t>
            </w:r>
          </w:p>
          <w:p w:rsidR="00000000" w:rsidRDefault="00000000">
            <w:pPr>
              <w:tabs>
                <w:tab w:val="clear" w:pos="1134"/>
              </w:tabs>
              <w:spacing w:line="216" w:lineRule="auto"/>
              <w:jc w:val="right"/>
              <w:rPr>
                <w:sz w:val="22"/>
                <w:lang w:val="en-US"/>
              </w:rPr>
            </w:pPr>
            <w:r>
              <w:rPr>
                <w:sz w:val="22"/>
                <w:lang w:val="en-US"/>
              </w:rPr>
              <w:t xml:space="preserve">     0,12</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14</w:t>
            </w:r>
          </w:p>
          <w:p w:rsidR="00000000" w:rsidRDefault="00000000">
            <w:pPr>
              <w:tabs>
                <w:tab w:val="clear" w:pos="1134"/>
              </w:tabs>
              <w:spacing w:line="216" w:lineRule="auto"/>
              <w:jc w:val="right"/>
              <w:rPr>
                <w:sz w:val="22"/>
                <w:lang w:val="en-US"/>
              </w:rPr>
            </w:pPr>
            <w:r>
              <w:rPr>
                <w:sz w:val="22"/>
                <w:lang w:val="en-US"/>
              </w:rPr>
              <w:t xml:space="preserve">       0,13</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14</w:t>
            </w:r>
          </w:p>
          <w:p w:rsidR="00000000" w:rsidRDefault="00000000">
            <w:pPr>
              <w:tabs>
                <w:tab w:val="clear" w:pos="1134"/>
              </w:tabs>
              <w:spacing w:line="216" w:lineRule="auto"/>
              <w:jc w:val="right"/>
              <w:rPr>
                <w:sz w:val="22"/>
                <w:lang w:val="en-US"/>
              </w:rPr>
            </w:pPr>
            <w:r>
              <w:rPr>
                <w:sz w:val="22"/>
                <w:lang w:val="en-US"/>
              </w:rPr>
              <w:t xml:space="preserve">0,14 </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lang w:val="en-US"/>
              </w:rPr>
              <w:t>11</w:t>
            </w:r>
          </w:p>
          <w:p w:rsidR="00000000" w:rsidRDefault="00000000">
            <w:pPr>
              <w:tabs>
                <w:tab w:val="clear" w:pos="1134"/>
              </w:tabs>
              <w:spacing w:line="216" w:lineRule="auto"/>
              <w:jc w:val="right"/>
              <w:rPr>
                <w:sz w:val="22"/>
                <w:lang w:val="en-US"/>
              </w:rPr>
            </w:pPr>
            <w:r>
              <w:rPr>
                <w:sz w:val="22"/>
                <w:lang w:val="en-US"/>
              </w:rPr>
              <w:t>0,14</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rPr>
            </w:pPr>
            <w:r>
              <w:rPr>
                <w:sz w:val="22"/>
              </w:rPr>
              <w:t>Трансмиссивные</w:t>
            </w:r>
          </w:p>
          <w:p w:rsidR="00000000" w:rsidRDefault="00000000">
            <w:pPr>
              <w:spacing w:line="216" w:lineRule="auto"/>
              <w:rPr>
                <w:sz w:val="22"/>
              </w:rPr>
            </w:pPr>
            <w:r>
              <w:rPr>
                <w:sz w:val="22"/>
              </w:rPr>
              <w:t>заболевания</w:t>
            </w:r>
          </w:p>
        </w:tc>
        <w:tc>
          <w:tcPr>
            <w:tcW w:w="649"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4</w:t>
            </w:r>
          </w:p>
          <w:p w:rsidR="00000000" w:rsidRDefault="00000000">
            <w:pPr>
              <w:tabs>
                <w:tab w:val="clear" w:pos="1134"/>
              </w:tabs>
              <w:spacing w:line="216" w:lineRule="auto"/>
              <w:jc w:val="right"/>
              <w:rPr>
                <w:sz w:val="22"/>
                <w:lang w:val="en-US"/>
              </w:rPr>
            </w:pPr>
            <w:r>
              <w:rPr>
                <w:sz w:val="22"/>
                <w:lang w:val="en-US"/>
              </w:rPr>
              <w:t xml:space="preserve">      0,04</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3</w:t>
            </w:r>
          </w:p>
          <w:p w:rsidR="00000000" w:rsidRDefault="00000000">
            <w:pPr>
              <w:tabs>
                <w:tab w:val="clear" w:pos="1134"/>
              </w:tabs>
              <w:spacing w:line="216" w:lineRule="auto"/>
              <w:jc w:val="right"/>
              <w:rPr>
                <w:sz w:val="22"/>
                <w:lang w:val="en-US"/>
              </w:rPr>
            </w:pPr>
            <w:r>
              <w:rPr>
                <w:sz w:val="22"/>
                <w:lang w:val="en-US"/>
              </w:rPr>
              <w:t xml:space="preserve">      0,03</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8</w:t>
            </w:r>
          </w:p>
          <w:p w:rsidR="00000000" w:rsidRDefault="00000000">
            <w:pPr>
              <w:tabs>
                <w:tab w:val="clear" w:pos="1134"/>
              </w:tabs>
              <w:spacing w:line="216" w:lineRule="auto"/>
              <w:jc w:val="right"/>
              <w:rPr>
                <w:sz w:val="22"/>
                <w:lang w:val="en-US"/>
              </w:rPr>
            </w:pPr>
            <w:r>
              <w:rPr>
                <w:sz w:val="22"/>
                <w:lang w:val="en-US"/>
              </w:rPr>
              <w:t xml:space="preserve">      0,07</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5</w:t>
            </w:r>
          </w:p>
          <w:p w:rsidR="00000000" w:rsidRDefault="00000000">
            <w:pPr>
              <w:tabs>
                <w:tab w:val="clear" w:pos="1134"/>
              </w:tabs>
              <w:spacing w:line="216" w:lineRule="auto"/>
              <w:jc w:val="right"/>
              <w:rPr>
                <w:sz w:val="22"/>
                <w:lang w:val="en-US"/>
              </w:rPr>
            </w:pPr>
            <w:r>
              <w:rPr>
                <w:sz w:val="22"/>
                <w:lang w:val="en-US"/>
              </w:rPr>
              <w:t>0,05</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lang w:val="en-US"/>
              </w:rPr>
              <w:t>15</w:t>
            </w:r>
          </w:p>
          <w:p w:rsidR="00000000" w:rsidRDefault="00000000">
            <w:pPr>
              <w:tabs>
                <w:tab w:val="clear" w:pos="1134"/>
              </w:tabs>
              <w:spacing w:line="216" w:lineRule="auto"/>
              <w:jc w:val="right"/>
              <w:rPr>
                <w:sz w:val="22"/>
                <w:lang w:val="en-US"/>
              </w:rPr>
            </w:pPr>
            <w:r>
              <w:rPr>
                <w:sz w:val="22"/>
                <w:lang w:val="en-US"/>
              </w:rPr>
              <w:t>0,19</w:t>
            </w:r>
          </w:p>
        </w:tc>
      </w:tr>
      <w:tr w:rsidR="00000000">
        <w:tc>
          <w:tcPr>
            <w:tcW w:w="1710" w:type="pct"/>
            <w:tcBorders>
              <w:top w:val="nil"/>
              <w:left w:val="single" w:sz="4" w:space="0" w:color="auto"/>
              <w:bottom w:val="nil"/>
            </w:tcBorders>
            <w:tcMar>
              <w:bottom w:w="113" w:type="dxa"/>
            </w:tcMar>
          </w:tcPr>
          <w:p w:rsidR="00000000" w:rsidRDefault="00000000">
            <w:pPr>
              <w:spacing w:line="216" w:lineRule="auto"/>
              <w:rPr>
                <w:sz w:val="22"/>
              </w:rPr>
            </w:pPr>
            <w:r>
              <w:rPr>
                <w:sz w:val="22"/>
              </w:rPr>
              <w:t>Другие</w:t>
            </w:r>
          </w:p>
          <w:p w:rsidR="00000000" w:rsidRDefault="00000000">
            <w:pPr>
              <w:spacing w:line="216" w:lineRule="auto"/>
              <w:rPr>
                <w:sz w:val="22"/>
              </w:rPr>
            </w:pPr>
            <w:r>
              <w:rPr>
                <w:sz w:val="22"/>
              </w:rPr>
              <w:t>заболевания</w:t>
            </w:r>
          </w:p>
        </w:tc>
        <w:tc>
          <w:tcPr>
            <w:tcW w:w="649"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80</w:t>
            </w:r>
          </w:p>
          <w:p w:rsidR="00000000" w:rsidRDefault="00000000">
            <w:pPr>
              <w:tabs>
                <w:tab w:val="clear" w:pos="1134"/>
              </w:tabs>
              <w:spacing w:line="216" w:lineRule="auto"/>
              <w:jc w:val="right"/>
              <w:rPr>
                <w:sz w:val="22"/>
                <w:lang w:val="en-US"/>
              </w:rPr>
            </w:pPr>
            <w:r>
              <w:rPr>
                <w:sz w:val="22"/>
                <w:lang w:val="en-US"/>
              </w:rPr>
              <w:t xml:space="preserve">     0,88</w:t>
            </w:r>
          </w:p>
        </w:tc>
        <w:tc>
          <w:tcPr>
            <w:tcW w:w="682" w:type="pct"/>
            <w:gridSpan w:val="3"/>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99</w:t>
            </w:r>
          </w:p>
          <w:p w:rsidR="00000000" w:rsidRDefault="00000000">
            <w:pPr>
              <w:tabs>
                <w:tab w:val="clear" w:pos="1134"/>
              </w:tabs>
              <w:spacing w:line="216" w:lineRule="auto"/>
              <w:jc w:val="right"/>
              <w:rPr>
                <w:sz w:val="22"/>
                <w:lang w:val="en-US"/>
              </w:rPr>
            </w:pPr>
            <w:r>
              <w:rPr>
                <w:sz w:val="22"/>
                <w:lang w:val="en-US"/>
              </w:rPr>
              <w:t xml:space="preserve">      1,17</w:t>
            </w:r>
          </w:p>
        </w:tc>
        <w:tc>
          <w:tcPr>
            <w:tcW w:w="648" w:type="pct"/>
            <w:gridSpan w:val="2"/>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134</w:t>
            </w:r>
          </w:p>
          <w:p w:rsidR="00000000" w:rsidRDefault="00000000">
            <w:pPr>
              <w:tabs>
                <w:tab w:val="clear" w:pos="1134"/>
              </w:tabs>
              <w:spacing w:line="216" w:lineRule="auto"/>
              <w:jc w:val="right"/>
              <w:rPr>
                <w:sz w:val="22"/>
              </w:rPr>
            </w:pPr>
            <w:r>
              <w:rPr>
                <w:sz w:val="22"/>
              </w:rPr>
              <w:t xml:space="preserve">     1,33</w:t>
            </w:r>
          </w:p>
        </w:tc>
        <w:tc>
          <w:tcPr>
            <w:tcW w:w="646" w:type="pct"/>
            <w:tcBorders>
              <w:top w:val="nil"/>
              <w:bottom w:val="nil"/>
            </w:tcBorders>
            <w:tcMar>
              <w:bottom w:w="113" w:type="dxa"/>
              <w:right w:w="113" w:type="dxa"/>
            </w:tcMar>
          </w:tcPr>
          <w:p w:rsidR="00000000" w:rsidRDefault="00000000">
            <w:pPr>
              <w:tabs>
                <w:tab w:val="clear" w:pos="1134"/>
              </w:tabs>
              <w:spacing w:line="216" w:lineRule="auto"/>
              <w:jc w:val="right"/>
              <w:rPr>
                <w:sz w:val="22"/>
              </w:rPr>
            </w:pPr>
            <w:r>
              <w:rPr>
                <w:sz w:val="22"/>
              </w:rPr>
              <w:t xml:space="preserve">  147</w:t>
            </w:r>
          </w:p>
          <w:p w:rsidR="00000000" w:rsidRDefault="00000000">
            <w:pPr>
              <w:tabs>
                <w:tab w:val="clear" w:pos="1134"/>
              </w:tabs>
              <w:spacing w:line="216" w:lineRule="auto"/>
              <w:jc w:val="right"/>
              <w:rPr>
                <w:sz w:val="22"/>
              </w:rPr>
            </w:pPr>
            <w:r>
              <w:rPr>
                <w:sz w:val="22"/>
              </w:rPr>
              <w:t>1,54</w:t>
            </w:r>
          </w:p>
        </w:tc>
        <w:tc>
          <w:tcPr>
            <w:tcW w:w="665" w:type="pct"/>
            <w:gridSpan w:val="2"/>
            <w:tcBorders>
              <w:top w:val="nil"/>
              <w:bottom w:val="nil"/>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155</w:t>
            </w:r>
          </w:p>
          <w:p w:rsidR="00000000" w:rsidRDefault="00000000">
            <w:pPr>
              <w:tabs>
                <w:tab w:val="clear" w:pos="1134"/>
              </w:tabs>
              <w:spacing w:line="216" w:lineRule="auto"/>
              <w:jc w:val="right"/>
              <w:rPr>
                <w:sz w:val="22"/>
              </w:rPr>
            </w:pPr>
            <w:r>
              <w:rPr>
                <w:sz w:val="22"/>
              </w:rPr>
              <w:t>2,03</w:t>
            </w:r>
          </w:p>
        </w:tc>
      </w:tr>
      <w:tr w:rsidR="00000000">
        <w:tc>
          <w:tcPr>
            <w:tcW w:w="1710" w:type="pct"/>
            <w:tcBorders>
              <w:top w:val="nil"/>
              <w:left w:val="single" w:sz="4" w:space="0" w:color="auto"/>
              <w:bottom w:val="single" w:sz="4" w:space="0" w:color="auto"/>
            </w:tcBorders>
            <w:tcMar>
              <w:bottom w:w="113" w:type="dxa"/>
            </w:tcMar>
          </w:tcPr>
          <w:p w:rsidR="00000000" w:rsidRDefault="00000000">
            <w:pPr>
              <w:spacing w:line="216" w:lineRule="auto"/>
              <w:rPr>
                <w:sz w:val="22"/>
              </w:rPr>
            </w:pPr>
            <w:r>
              <w:rPr>
                <w:sz w:val="22"/>
              </w:rPr>
              <w:t>Заболевания, передаваемые микроорганизмами</w:t>
            </w:r>
          </w:p>
        </w:tc>
        <w:tc>
          <w:tcPr>
            <w:tcW w:w="649" w:type="pct"/>
            <w:tcBorders>
              <w:top w:val="nil"/>
              <w:bottom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 xml:space="preserve">    </w:t>
            </w:r>
            <w:r>
              <w:rPr>
                <w:sz w:val="22"/>
                <w:lang w:val="en-US"/>
              </w:rPr>
              <w:t>14</w:t>
            </w:r>
          </w:p>
          <w:p w:rsidR="00000000" w:rsidRDefault="00000000">
            <w:pPr>
              <w:tabs>
                <w:tab w:val="clear" w:pos="1134"/>
              </w:tabs>
              <w:spacing w:line="216" w:lineRule="auto"/>
              <w:jc w:val="right"/>
              <w:rPr>
                <w:sz w:val="22"/>
                <w:lang w:val="en-US"/>
              </w:rPr>
            </w:pPr>
            <w:r>
              <w:rPr>
                <w:sz w:val="22"/>
                <w:lang w:val="en-US"/>
              </w:rPr>
              <w:t xml:space="preserve">     0,15</w:t>
            </w:r>
          </w:p>
        </w:tc>
        <w:tc>
          <w:tcPr>
            <w:tcW w:w="682" w:type="pct"/>
            <w:gridSpan w:val="3"/>
            <w:tcBorders>
              <w:top w:val="nil"/>
              <w:bottom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6</w:t>
            </w:r>
          </w:p>
          <w:p w:rsidR="00000000" w:rsidRDefault="00000000">
            <w:pPr>
              <w:tabs>
                <w:tab w:val="clear" w:pos="1134"/>
              </w:tabs>
              <w:spacing w:line="216" w:lineRule="auto"/>
              <w:jc w:val="right"/>
              <w:rPr>
                <w:sz w:val="22"/>
                <w:lang w:val="en-US"/>
              </w:rPr>
            </w:pPr>
            <w:r>
              <w:rPr>
                <w:sz w:val="22"/>
                <w:lang w:val="en-US"/>
              </w:rPr>
              <w:t xml:space="preserve">      0,07</w:t>
            </w:r>
          </w:p>
        </w:tc>
        <w:tc>
          <w:tcPr>
            <w:tcW w:w="648" w:type="pct"/>
            <w:gridSpan w:val="2"/>
            <w:tcBorders>
              <w:top w:val="nil"/>
              <w:bottom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lang w:val="en-US"/>
              </w:rPr>
              <w:t xml:space="preserve">    4</w:t>
            </w:r>
          </w:p>
          <w:p w:rsidR="00000000" w:rsidRDefault="00000000">
            <w:pPr>
              <w:tabs>
                <w:tab w:val="clear" w:pos="1134"/>
              </w:tabs>
              <w:spacing w:line="216" w:lineRule="auto"/>
              <w:jc w:val="right"/>
              <w:rPr>
                <w:sz w:val="22"/>
              </w:rPr>
            </w:pPr>
            <w:r>
              <w:rPr>
                <w:sz w:val="22"/>
              </w:rPr>
              <w:t xml:space="preserve">      0,03</w:t>
            </w:r>
          </w:p>
        </w:tc>
        <w:tc>
          <w:tcPr>
            <w:tcW w:w="646" w:type="pct"/>
            <w:tcBorders>
              <w:top w:val="nil"/>
              <w:bottom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 xml:space="preserve">       0</w:t>
            </w:r>
          </w:p>
          <w:p w:rsidR="00000000" w:rsidRDefault="00000000">
            <w:pPr>
              <w:tabs>
                <w:tab w:val="clear" w:pos="1134"/>
              </w:tabs>
              <w:spacing w:line="216" w:lineRule="auto"/>
              <w:jc w:val="right"/>
              <w:rPr>
                <w:sz w:val="22"/>
              </w:rPr>
            </w:pPr>
            <w:r>
              <w:rPr>
                <w:sz w:val="22"/>
              </w:rPr>
              <w:t xml:space="preserve">0,00 </w:t>
            </w:r>
          </w:p>
        </w:tc>
        <w:tc>
          <w:tcPr>
            <w:tcW w:w="665" w:type="pct"/>
            <w:gridSpan w:val="2"/>
            <w:tcBorders>
              <w:top w:val="nil"/>
              <w:bottom w:val="single" w:sz="4" w:space="0" w:color="auto"/>
              <w:right w:val="single" w:sz="4" w:space="0" w:color="auto"/>
            </w:tcBorders>
            <w:tcMar>
              <w:bottom w:w="113" w:type="dxa"/>
              <w:right w:w="113" w:type="dxa"/>
            </w:tcMar>
          </w:tcPr>
          <w:p w:rsidR="00000000" w:rsidRDefault="00000000">
            <w:pPr>
              <w:tabs>
                <w:tab w:val="clear" w:pos="1134"/>
              </w:tabs>
              <w:spacing w:line="216" w:lineRule="auto"/>
              <w:jc w:val="right"/>
              <w:rPr>
                <w:sz w:val="22"/>
              </w:rPr>
            </w:pPr>
            <w:r>
              <w:rPr>
                <w:sz w:val="22"/>
              </w:rPr>
              <w:t>1</w:t>
            </w:r>
          </w:p>
          <w:p w:rsidR="00000000" w:rsidRDefault="00000000">
            <w:pPr>
              <w:tabs>
                <w:tab w:val="clear" w:pos="1134"/>
              </w:tabs>
              <w:spacing w:line="216" w:lineRule="auto"/>
              <w:jc w:val="right"/>
              <w:rPr>
                <w:sz w:val="22"/>
              </w:rPr>
            </w:pPr>
            <w:r>
              <w:rPr>
                <w:sz w:val="22"/>
              </w:rPr>
              <w:t>0,01</w:t>
            </w:r>
          </w:p>
        </w:tc>
      </w:tr>
      <w:tr w:rsidR="00000000">
        <w:tc>
          <w:tcPr>
            <w:tcW w:w="1710" w:type="pct"/>
            <w:tcBorders>
              <w:top w:val="single" w:sz="4" w:space="0" w:color="auto"/>
              <w:left w:val="single" w:sz="4" w:space="0" w:color="auto"/>
              <w:bottom w:val="single" w:sz="4" w:space="0" w:color="auto"/>
            </w:tcBorders>
          </w:tcPr>
          <w:p w:rsidR="00000000" w:rsidRDefault="00000000">
            <w:pPr>
              <w:spacing w:line="216" w:lineRule="auto"/>
              <w:rPr>
                <w:sz w:val="22"/>
              </w:rPr>
            </w:pPr>
            <w:r>
              <w:rPr>
                <w:sz w:val="22"/>
              </w:rPr>
              <w:t>Всего</w:t>
            </w:r>
          </w:p>
        </w:tc>
        <w:tc>
          <w:tcPr>
            <w:tcW w:w="649" w:type="pct"/>
            <w:tcBorders>
              <w:top w:val="single" w:sz="4" w:space="0" w:color="auto"/>
              <w:bottom w:val="single" w:sz="4" w:space="0" w:color="auto"/>
            </w:tcBorders>
            <w:tcMar>
              <w:right w:w="113" w:type="dxa"/>
            </w:tcMar>
          </w:tcPr>
          <w:p w:rsidR="00000000" w:rsidRDefault="00000000">
            <w:pPr>
              <w:tabs>
                <w:tab w:val="clear" w:pos="1134"/>
              </w:tabs>
              <w:spacing w:line="216" w:lineRule="auto"/>
              <w:jc w:val="right"/>
              <w:rPr>
                <w:sz w:val="22"/>
              </w:rPr>
            </w:pPr>
            <w:r>
              <w:rPr>
                <w:sz w:val="22"/>
              </w:rPr>
              <w:t xml:space="preserve">  9 048</w:t>
            </w:r>
          </w:p>
          <w:p w:rsidR="00000000" w:rsidRDefault="00000000">
            <w:pPr>
              <w:tabs>
                <w:tab w:val="clear" w:pos="1134"/>
              </w:tabs>
              <w:spacing w:line="216" w:lineRule="auto"/>
              <w:jc w:val="right"/>
              <w:rPr>
                <w:sz w:val="22"/>
              </w:rPr>
            </w:pPr>
            <w:r>
              <w:rPr>
                <w:sz w:val="22"/>
              </w:rPr>
              <w:t>100,0</w:t>
            </w:r>
          </w:p>
        </w:tc>
        <w:tc>
          <w:tcPr>
            <w:tcW w:w="682" w:type="pct"/>
            <w:gridSpan w:val="3"/>
            <w:tcBorders>
              <w:top w:val="single" w:sz="4" w:space="0" w:color="auto"/>
              <w:bottom w:val="single" w:sz="4" w:space="0" w:color="auto"/>
            </w:tcBorders>
            <w:tcMar>
              <w:right w:w="113" w:type="dxa"/>
            </w:tcMar>
          </w:tcPr>
          <w:p w:rsidR="00000000" w:rsidRDefault="00000000">
            <w:pPr>
              <w:tabs>
                <w:tab w:val="clear" w:pos="1134"/>
              </w:tabs>
              <w:spacing w:line="216" w:lineRule="auto"/>
              <w:jc w:val="right"/>
              <w:rPr>
                <w:sz w:val="22"/>
              </w:rPr>
            </w:pPr>
            <w:r>
              <w:rPr>
                <w:sz w:val="22"/>
              </w:rPr>
              <w:t>8 408</w:t>
            </w:r>
          </w:p>
          <w:p w:rsidR="00000000" w:rsidRDefault="00000000">
            <w:pPr>
              <w:tabs>
                <w:tab w:val="clear" w:pos="1134"/>
              </w:tabs>
              <w:spacing w:line="216" w:lineRule="auto"/>
              <w:jc w:val="right"/>
              <w:rPr>
                <w:sz w:val="22"/>
              </w:rPr>
            </w:pPr>
            <w:r>
              <w:rPr>
                <w:sz w:val="22"/>
              </w:rPr>
              <w:t xml:space="preserve">    100,0</w:t>
            </w:r>
          </w:p>
        </w:tc>
        <w:tc>
          <w:tcPr>
            <w:tcW w:w="648" w:type="pct"/>
            <w:gridSpan w:val="2"/>
            <w:tcBorders>
              <w:top w:val="single" w:sz="4" w:space="0" w:color="auto"/>
              <w:bottom w:val="single" w:sz="4" w:space="0" w:color="auto"/>
            </w:tcBorders>
            <w:tcMar>
              <w:right w:w="113" w:type="dxa"/>
            </w:tcMar>
          </w:tcPr>
          <w:p w:rsidR="00000000" w:rsidRDefault="00000000">
            <w:pPr>
              <w:tabs>
                <w:tab w:val="clear" w:pos="1134"/>
              </w:tabs>
              <w:spacing w:line="216" w:lineRule="auto"/>
              <w:jc w:val="right"/>
              <w:rPr>
                <w:sz w:val="22"/>
              </w:rPr>
            </w:pPr>
            <w:r>
              <w:rPr>
                <w:sz w:val="22"/>
              </w:rPr>
              <w:t>10 107</w:t>
            </w:r>
          </w:p>
          <w:p w:rsidR="00000000" w:rsidRDefault="00000000">
            <w:pPr>
              <w:tabs>
                <w:tab w:val="clear" w:pos="1134"/>
              </w:tabs>
              <w:spacing w:line="216" w:lineRule="auto"/>
              <w:jc w:val="right"/>
              <w:rPr>
                <w:sz w:val="22"/>
              </w:rPr>
            </w:pPr>
            <w:r>
              <w:rPr>
                <w:sz w:val="22"/>
              </w:rPr>
              <w:t>100,0</w:t>
            </w:r>
          </w:p>
        </w:tc>
        <w:tc>
          <w:tcPr>
            <w:tcW w:w="646" w:type="pct"/>
            <w:tcBorders>
              <w:top w:val="single" w:sz="4" w:space="0" w:color="auto"/>
              <w:bottom w:val="single" w:sz="4" w:space="0" w:color="auto"/>
            </w:tcBorders>
            <w:tcMar>
              <w:right w:w="113" w:type="dxa"/>
            </w:tcMar>
          </w:tcPr>
          <w:p w:rsidR="00000000" w:rsidRDefault="00000000">
            <w:pPr>
              <w:tabs>
                <w:tab w:val="clear" w:pos="1134"/>
              </w:tabs>
              <w:spacing w:line="216" w:lineRule="auto"/>
              <w:jc w:val="right"/>
              <w:rPr>
                <w:sz w:val="22"/>
              </w:rPr>
            </w:pPr>
            <w:r>
              <w:rPr>
                <w:sz w:val="22"/>
              </w:rPr>
              <w:t>9 583</w:t>
            </w:r>
          </w:p>
          <w:p w:rsidR="00000000" w:rsidRDefault="00000000">
            <w:pPr>
              <w:tabs>
                <w:tab w:val="clear" w:pos="1134"/>
              </w:tabs>
              <w:spacing w:line="216" w:lineRule="auto"/>
              <w:jc w:val="right"/>
              <w:rPr>
                <w:sz w:val="22"/>
              </w:rPr>
            </w:pPr>
            <w:r>
              <w:rPr>
                <w:sz w:val="22"/>
              </w:rPr>
              <w:t>100,00</w:t>
            </w:r>
          </w:p>
        </w:tc>
        <w:tc>
          <w:tcPr>
            <w:tcW w:w="665" w:type="pct"/>
            <w:gridSpan w:val="2"/>
            <w:tcBorders>
              <w:top w:val="single" w:sz="4" w:space="0" w:color="auto"/>
              <w:bottom w:val="single" w:sz="4" w:space="0" w:color="auto"/>
              <w:right w:val="single" w:sz="4" w:space="0" w:color="auto"/>
            </w:tcBorders>
            <w:tcMar>
              <w:right w:w="113" w:type="dxa"/>
            </w:tcMar>
          </w:tcPr>
          <w:p w:rsidR="00000000" w:rsidRDefault="00000000">
            <w:pPr>
              <w:tabs>
                <w:tab w:val="clear" w:pos="1134"/>
              </w:tabs>
              <w:spacing w:line="216" w:lineRule="auto"/>
              <w:jc w:val="right"/>
              <w:rPr>
                <w:sz w:val="22"/>
              </w:rPr>
            </w:pPr>
            <w:r>
              <w:rPr>
                <w:sz w:val="22"/>
              </w:rPr>
              <w:t>7 610</w:t>
            </w:r>
          </w:p>
          <w:p w:rsidR="00000000" w:rsidRDefault="00000000">
            <w:pPr>
              <w:tabs>
                <w:tab w:val="clear" w:pos="1134"/>
              </w:tabs>
              <w:spacing w:line="216" w:lineRule="auto"/>
              <w:jc w:val="right"/>
              <w:rPr>
                <w:sz w:val="22"/>
              </w:rPr>
            </w:pPr>
            <w:r>
              <w:rPr>
                <w:sz w:val="22"/>
              </w:rPr>
              <w:t>100,00</w:t>
            </w:r>
          </w:p>
        </w:tc>
      </w:tr>
    </w:tbl>
    <w:p w:rsidR="00000000" w:rsidRDefault="00000000"/>
    <w:p w:rsidR="00000000" w:rsidRDefault="00000000">
      <w:pPr>
        <w:jc w:val="center"/>
        <w:rPr>
          <w:b/>
          <w:bCs/>
        </w:rPr>
      </w:pPr>
      <w:r>
        <w:rPr>
          <w:b/>
          <w:bCs/>
        </w:rPr>
        <w:br w:type="column"/>
        <w:t>Таблица 9</w:t>
      </w:r>
    </w:p>
    <w:p w:rsidR="00000000" w:rsidRDefault="00000000">
      <w:pPr>
        <w:jc w:val="center"/>
        <w:rPr>
          <w:b/>
          <w:bCs/>
        </w:rPr>
      </w:pPr>
    </w:p>
    <w:p w:rsidR="00000000" w:rsidRDefault="00000000">
      <w:pPr>
        <w:jc w:val="center"/>
        <w:rPr>
          <w:b/>
          <w:bCs/>
        </w:rPr>
      </w:pPr>
      <w:r>
        <w:rPr>
          <w:b/>
          <w:bCs/>
        </w:rPr>
        <w:t>Количество заболевших лиц и заболеваемость десятью наиболее частыми инфекционными заболеваниями в 2001 году</w:t>
      </w:r>
    </w:p>
    <w:p w:rsidR="00000000" w:rsidRDefault="00000000">
      <w:pPr>
        <w:jc w:val="center"/>
        <w:rPr>
          <w:b/>
          <w:bCs/>
        </w:rPr>
      </w:pPr>
    </w:p>
    <w:tbl>
      <w:tblPr>
        <w:tblW w:w="4686" w:type="pct"/>
        <w:tblInd w:w="4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932"/>
        <w:gridCol w:w="3592"/>
        <w:gridCol w:w="2146"/>
        <w:gridCol w:w="2300"/>
      </w:tblGrid>
      <w:tr w:rsidR="00000000">
        <w:tblPrEx>
          <w:tblCellMar>
            <w:top w:w="0" w:type="dxa"/>
            <w:bottom w:w="0" w:type="dxa"/>
          </w:tblCellMar>
        </w:tblPrEx>
        <w:tc>
          <w:tcPr>
            <w:tcW w:w="520" w:type="pct"/>
            <w:tcBorders>
              <w:top w:val="single" w:sz="4" w:space="0" w:color="auto"/>
              <w:left w:val="single" w:sz="4" w:space="0" w:color="auto"/>
              <w:bottom w:val="single" w:sz="4" w:space="0" w:color="auto"/>
            </w:tcBorders>
          </w:tcPr>
          <w:p w:rsidR="00000000" w:rsidRDefault="00000000">
            <w:pPr>
              <w:jc w:val="center"/>
              <w:rPr>
                <w:sz w:val="22"/>
              </w:rPr>
            </w:pPr>
            <w:r>
              <w:rPr>
                <w:sz w:val="22"/>
                <w:lang w:val="en-US"/>
              </w:rPr>
              <w:t>No</w:t>
            </w:r>
            <w:r>
              <w:rPr>
                <w:sz w:val="22"/>
              </w:rPr>
              <w:t>.</w:t>
            </w:r>
          </w:p>
        </w:tc>
        <w:tc>
          <w:tcPr>
            <w:tcW w:w="2002" w:type="pct"/>
            <w:tcBorders>
              <w:top w:val="single" w:sz="4" w:space="0" w:color="auto"/>
              <w:bottom w:val="single" w:sz="4" w:space="0" w:color="auto"/>
            </w:tcBorders>
          </w:tcPr>
          <w:p w:rsidR="00000000" w:rsidRDefault="00000000">
            <w:pPr>
              <w:jc w:val="center"/>
              <w:rPr>
                <w:sz w:val="22"/>
              </w:rPr>
            </w:pPr>
            <w:r>
              <w:rPr>
                <w:sz w:val="22"/>
              </w:rPr>
              <w:t>Заболевание</w:t>
            </w:r>
          </w:p>
        </w:tc>
        <w:tc>
          <w:tcPr>
            <w:tcW w:w="1196" w:type="pct"/>
            <w:tcBorders>
              <w:top w:val="single" w:sz="4" w:space="0" w:color="auto"/>
              <w:bottom w:val="single" w:sz="4" w:space="0" w:color="auto"/>
            </w:tcBorders>
          </w:tcPr>
          <w:p w:rsidR="00000000" w:rsidRDefault="00000000">
            <w:pPr>
              <w:jc w:val="center"/>
              <w:rPr>
                <w:sz w:val="22"/>
              </w:rPr>
            </w:pPr>
            <w:r>
              <w:rPr>
                <w:sz w:val="22"/>
              </w:rPr>
              <w:t>Количество случаев</w:t>
            </w:r>
          </w:p>
        </w:tc>
        <w:tc>
          <w:tcPr>
            <w:tcW w:w="1282" w:type="pct"/>
            <w:tcBorders>
              <w:top w:val="single" w:sz="4" w:space="0" w:color="auto"/>
              <w:bottom w:val="single" w:sz="4" w:space="0" w:color="auto"/>
              <w:right w:val="single" w:sz="4" w:space="0" w:color="auto"/>
            </w:tcBorders>
          </w:tcPr>
          <w:p w:rsidR="00000000" w:rsidRDefault="00000000">
            <w:pPr>
              <w:jc w:val="center"/>
              <w:rPr>
                <w:sz w:val="22"/>
              </w:rPr>
            </w:pPr>
            <w:r>
              <w:rPr>
                <w:sz w:val="22"/>
              </w:rPr>
              <w:t>Количество случаев на 100 000 населения</w:t>
            </w:r>
          </w:p>
        </w:tc>
      </w:tr>
      <w:tr w:rsidR="00000000">
        <w:tblPrEx>
          <w:tblCellMar>
            <w:top w:w="0" w:type="dxa"/>
            <w:bottom w:w="0" w:type="dxa"/>
          </w:tblCellMar>
        </w:tblPrEx>
        <w:tc>
          <w:tcPr>
            <w:tcW w:w="520" w:type="pct"/>
            <w:tcBorders>
              <w:top w:val="single" w:sz="4" w:space="0" w:color="auto"/>
              <w:left w:val="single" w:sz="4" w:space="0" w:color="auto"/>
              <w:bottom w:val="nil"/>
            </w:tcBorders>
          </w:tcPr>
          <w:p w:rsidR="00000000" w:rsidRDefault="00000000">
            <w:pPr>
              <w:jc w:val="center"/>
              <w:rPr>
                <w:sz w:val="22"/>
              </w:rPr>
            </w:pPr>
            <w:r>
              <w:rPr>
                <w:sz w:val="22"/>
              </w:rPr>
              <w:t>1.</w:t>
            </w:r>
          </w:p>
        </w:tc>
        <w:tc>
          <w:tcPr>
            <w:tcW w:w="2002" w:type="pct"/>
            <w:tcBorders>
              <w:top w:val="single" w:sz="4" w:space="0" w:color="auto"/>
              <w:bottom w:val="nil"/>
            </w:tcBorders>
          </w:tcPr>
          <w:p w:rsidR="00000000" w:rsidRDefault="00000000">
            <w:pPr>
              <w:rPr>
                <w:sz w:val="22"/>
              </w:rPr>
            </w:pPr>
            <w:r>
              <w:rPr>
                <w:sz w:val="22"/>
              </w:rPr>
              <w:t xml:space="preserve">Острый </w:t>
            </w:r>
            <w:proofErr w:type="spellStart"/>
            <w:r>
              <w:rPr>
                <w:sz w:val="22"/>
              </w:rPr>
              <w:t>энтороколит</w:t>
            </w:r>
            <w:proofErr w:type="spellEnd"/>
          </w:p>
        </w:tc>
        <w:tc>
          <w:tcPr>
            <w:tcW w:w="1196" w:type="pct"/>
            <w:tcBorders>
              <w:top w:val="single" w:sz="4" w:space="0" w:color="auto"/>
              <w:bottom w:val="nil"/>
            </w:tcBorders>
            <w:tcMar>
              <w:right w:w="227" w:type="dxa"/>
            </w:tcMar>
          </w:tcPr>
          <w:p w:rsidR="00000000" w:rsidRDefault="00000000">
            <w:pPr>
              <w:jc w:val="right"/>
              <w:rPr>
                <w:sz w:val="22"/>
              </w:rPr>
            </w:pPr>
            <w:r>
              <w:rPr>
                <w:sz w:val="22"/>
              </w:rPr>
              <w:t>2 323</w:t>
            </w:r>
          </w:p>
        </w:tc>
        <w:tc>
          <w:tcPr>
            <w:tcW w:w="1282" w:type="pct"/>
            <w:tcBorders>
              <w:top w:val="single" w:sz="4" w:space="0" w:color="auto"/>
              <w:bottom w:val="nil"/>
              <w:right w:val="single" w:sz="4" w:space="0" w:color="auto"/>
            </w:tcBorders>
            <w:tcMar>
              <w:right w:w="227" w:type="dxa"/>
            </w:tcMar>
          </w:tcPr>
          <w:p w:rsidR="00000000" w:rsidRDefault="00000000">
            <w:pPr>
              <w:jc w:val="right"/>
              <w:rPr>
                <w:sz w:val="22"/>
              </w:rPr>
            </w:pPr>
            <w:r>
              <w:rPr>
                <w:sz w:val="22"/>
              </w:rPr>
              <w:t>327,6</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rPr>
            </w:pPr>
            <w:r>
              <w:rPr>
                <w:sz w:val="22"/>
              </w:rPr>
              <w:t>2.</w:t>
            </w:r>
          </w:p>
        </w:tc>
        <w:tc>
          <w:tcPr>
            <w:tcW w:w="2002" w:type="pct"/>
            <w:tcBorders>
              <w:top w:val="nil"/>
              <w:bottom w:val="nil"/>
            </w:tcBorders>
          </w:tcPr>
          <w:p w:rsidR="00000000" w:rsidRDefault="00000000">
            <w:pPr>
              <w:pStyle w:val="CommentText"/>
              <w:spacing w:line="288" w:lineRule="auto"/>
              <w:rPr>
                <w:sz w:val="22"/>
                <w:lang w:val="ru-RU"/>
              </w:rPr>
            </w:pPr>
            <w:r>
              <w:rPr>
                <w:sz w:val="22"/>
                <w:lang w:val="ru-RU"/>
              </w:rPr>
              <w:t>Ветряная оспа</w:t>
            </w:r>
          </w:p>
        </w:tc>
        <w:tc>
          <w:tcPr>
            <w:tcW w:w="1196" w:type="pct"/>
            <w:tcBorders>
              <w:top w:val="nil"/>
              <w:bottom w:val="nil"/>
            </w:tcBorders>
            <w:tcMar>
              <w:right w:w="227" w:type="dxa"/>
            </w:tcMar>
          </w:tcPr>
          <w:p w:rsidR="00000000" w:rsidRDefault="00000000">
            <w:pPr>
              <w:jc w:val="right"/>
              <w:rPr>
                <w:sz w:val="22"/>
              </w:rPr>
            </w:pPr>
            <w:r>
              <w:rPr>
                <w:sz w:val="22"/>
              </w:rPr>
              <w:t>2 311</w:t>
            </w:r>
          </w:p>
        </w:tc>
        <w:tc>
          <w:tcPr>
            <w:tcW w:w="1282" w:type="pct"/>
            <w:tcBorders>
              <w:top w:val="nil"/>
              <w:bottom w:val="nil"/>
              <w:right w:val="single" w:sz="4" w:space="0" w:color="auto"/>
            </w:tcBorders>
            <w:tcMar>
              <w:right w:w="227" w:type="dxa"/>
            </w:tcMar>
          </w:tcPr>
          <w:p w:rsidR="00000000" w:rsidRDefault="00000000">
            <w:pPr>
              <w:jc w:val="right"/>
              <w:rPr>
                <w:sz w:val="22"/>
              </w:rPr>
            </w:pPr>
            <w:r>
              <w:rPr>
                <w:sz w:val="22"/>
              </w:rPr>
              <w:t>325,9</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3.</w:t>
            </w:r>
          </w:p>
        </w:tc>
        <w:tc>
          <w:tcPr>
            <w:tcW w:w="2002" w:type="pct"/>
            <w:tcBorders>
              <w:top w:val="nil"/>
              <w:bottom w:val="nil"/>
            </w:tcBorders>
          </w:tcPr>
          <w:p w:rsidR="00000000" w:rsidRDefault="00000000">
            <w:pPr>
              <w:rPr>
                <w:sz w:val="22"/>
              </w:rPr>
            </w:pPr>
            <w:r>
              <w:rPr>
                <w:sz w:val="22"/>
              </w:rPr>
              <w:t>Чесотка</w:t>
            </w:r>
          </w:p>
        </w:tc>
        <w:tc>
          <w:tcPr>
            <w:tcW w:w="1196" w:type="pct"/>
            <w:tcBorders>
              <w:top w:val="nil"/>
              <w:bottom w:val="nil"/>
            </w:tcBorders>
            <w:tcMar>
              <w:right w:w="227" w:type="dxa"/>
            </w:tcMar>
          </w:tcPr>
          <w:p w:rsidR="00000000" w:rsidRDefault="00000000">
            <w:pPr>
              <w:jc w:val="right"/>
              <w:rPr>
                <w:sz w:val="22"/>
                <w:lang w:val="en-US"/>
              </w:rPr>
            </w:pPr>
            <w:r>
              <w:rPr>
                <w:sz w:val="22"/>
                <w:lang w:val="en-US"/>
              </w:rPr>
              <w:t>765</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107,8</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4.</w:t>
            </w:r>
          </w:p>
        </w:tc>
        <w:tc>
          <w:tcPr>
            <w:tcW w:w="2002" w:type="pct"/>
            <w:tcBorders>
              <w:top w:val="nil"/>
              <w:bottom w:val="nil"/>
            </w:tcBorders>
          </w:tcPr>
          <w:p w:rsidR="00000000" w:rsidRDefault="00000000">
            <w:pPr>
              <w:rPr>
                <w:sz w:val="22"/>
              </w:rPr>
            </w:pPr>
            <w:r>
              <w:rPr>
                <w:sz w:val="22"/>
              </w:rPr>
              <w:t>Стрептококковая ангина</w:t>
            </w:r>
          </w:p>
        </w:tc>
        <w:tc>
          <w:tcPr>
            <w:tcW w:w="1196" w:type="pct"/>
            <w:tcBorders>
              <w:top w:val="nil"/>
              <w:bottom w:val="nil"/>
            </w:tcBorders>
            <w:tcMar>
              <w:right w:w="227" w:type="dxa"/>
            </w:tcMar>
          </w:tcPr>
          <w:p w:rsidR="00000000" w:rsidRDefault="00000000">
            <w:pPr>
              <w:jc w:val="right"/>
              <w:rPr>
                <w:sz w:val="22"/>
                <w:lang w:val="en-US"/>
              </w:rPr>
            </w:pPr>
            <w:r>
              <w:rPr>
                <w:sz w:val="22"/>
                <w:lang w:val="en-US"/>
              </w:rPr>
              <w:t>644</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90</w:t>
            </w:r>
            <w:r>
              <w:rPr>
                <w:sz w:val="22"/>
              </w:rPr>
              <w:t>,</w:t>
            </w:r>
            <w:r>
              <w:rPr>
                <w:sz w:val="22"/>
                <w:lang w:val="en-US"/>
              </w:rPr>
              <w:t>8</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5.</w:t>
            </w:r>
          </w:p>
        </w:tc>
        <w:tc>
          <w:tcPr>
            <w:tcW w:w="2002" w:type="pct"/>
            <w:tcBorders>
              <w:top w:val="nil"/>
              <w:bottom w:val="nil"/>
            </w:tcBorders>
          </w:tcPr>
          <w:p w:rsidR="00000000" w:rsidRDefault="00000000">
            <w:pPr>
              <w:pStyle w:val="CommentText"/>
              <w:spacing w:line="288" w:lineRule="auto"/>
              <w:rPr>
                <w:sz w:val="22"/>
                <w:lang w:val="ru-RU"/>
              </w:rPr>
            </w:pPr>
            <w:r>
              <w:rPr>
                <w:sz w:val="22"/>
                <w:lang w:val="ru-RU"/>
              </w:rPr>
              <w:t>Токсикопищевая инфекция</w:t>
            </w:r>
          </w:p>
        </w:tc>
        <w:tc>
          <w:tcPr>
            <w:tcW w:w="1196" w:type="pct"/>
            <w:tcBorders>
              <w:top w:val="nil"/>
              <w:bottom w:val="nil"/>
            </w:tcBorders>
            <w:tcMar>
              <w:right w:w="227" w:type="dxa"/>
            </w:tcMar>
          </w:tcPr>
          <w:p w:rsidR="00000000" w:rsidRDefault="00000000">
            <w:pPr>
              <w:jc w:val="right"/>
              <w:rPr>
                <w:sz w:val="22"/>
                <w:lang w:val="en-US"/>
              </w:rPr>
            </w:pPr>
            <w:r>
              <w:rPr>
                <w:sz w:val="22"/>
                <w:lang w:val="en-US"/>
              </w:rPr>
              <w:t>479</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67,5</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6.</w:t>
            </w:r>
          </w:p>
        </w:tc>
        <w:tc>
          <w:tcPr>
            <w:tcW w:w="2002" w:type="pct"/>
            <w:tcBorders>
              <w:top w:val="nil"/>
              <w:bottom w:val="nil"/>
            </w:tcBorders>
          </w:tcPr>
          <w:p w:rsidR="00000000" w:rsidRDefault="00000000">
            <w:pPr>
              <w:rPr>
                <w:sz w:val="22"/>
              </w:rPr>
            </w:pPr>
            <w:r>
              <w:rPr>
                <w:sz w:val="22"/>
              </w:rPr>
              <w:t>Сальмонеллёз</w:t>
            </w:r>
          </w:p>
        </w:tc>
        <w:tc>
          <w:tcPr>
            <w:tcW w:w="1196" w:type="pct"/>
            <w:tcBorders>
              <w:top w:val="nil"/>
              <w:bottom w:val="nil"/>
            </w:tcBorders>
            <w:tcMar>
              <w:right w:w="227" w:type="dxa"/>
            </w:tcMar>
          </w:tcPr>
          <w:p w:rsidR="00000000" w:rsidRDefault="00000000">
            <w:pPr>
              <w:jc w:val="right"/>
              <w:rPr>
                <w:sz w:val="22"/>
                <w:lang w:val="en-US"/>
              </w:rPr>
            </w:pPr>
            <w:r>
              <w:rPr>
                <w:sz w:val="22"/>
                <w:lang w:val="en-US"/>
              </w:rPr>
              <w:t>166</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23,4</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7.</w:t>
            </w:r>
          </w:p>
        </w:tc>
        <w:tc>
          <w:tcPr>
            <w:tcW w:w="2002" w:type="pct"/>
            <w:tcBorders>
              <w:top w:val="nil"/>
              <w:bottom w:val="nil"/>
            </w:tcBorders>
          </w:tcPr>
          <w:p w:rsidR="00000000" w:rsidRDefault="00000000">
            <w:pPr>
              <w:pStyle w:val="CommentText"/>
              <w:spacing w:line="288" w:lineRule="auto"/>
              <w:rPr>
                <w:sz w:val="22"/>
                <w:lang w:val="ru-RU"/>
              </w:rPr>
            </w:pPr>
            <w:r>
              <w:rPr>
                <w:sz w:val="22"/>
                <w:lang w:val="ru-RU"/>
              </w:rPr>
              <w:t>Эпидемический паротит</w:t>
            </w:r>
          </w:p>
        </w:tc>
        <w:tc>
          <w:tcPr>
            <w:tcW w:w="1196" w:type="pct"/>
            <w:tcBorders>
              <w:top w:val="nil"/>
              <w:bottom w:val="nil"/>
            </w:tcBorders>
            <w:tcMar>
              <w:right w:w="227" w:type="dxa"/>
            </w:tcMar>
          </w:tcPr>
          <w:p w:rsidR="00000000" w:rsidRDefault="00000000">
            <w:pPr>
              <w:jc w:val="right"/>
              <w:rPr>
                <w:sz w:val="22"/>
                <w:lang w:val="en-US"/>
              </w:rPr>
            </w:pPr>
            <w:r>
              <w:rPr>
                <w:sz w:val="22"/>
                <w:lang w:val="en-US"/>
              </w:rPr>
              <w:t>95</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13,4</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8.</w:t>
            </w:r>
          </w:p>
        </w:tc>
        <w:tc>
          <w:tcPr>
            <w:tcW w:w="2002" w:type="pct"/>
            <w:tcBorders>
              <w:top w:val="nil"/>
              <w:bottom w:val="nil"/>
            </w:tcBorders>
          </w:tcPr>
          <w:p w:rsidR="00000000" w:rsidRDefault="00000000">
            <w:pPr>
              <w:rPr>
                <w:sz w:val="22"/>
              </w:rPr>
            </w:pPr>
            <w:r>
              <w:rPr>
                <w:sz w:val="22"/>
              </w:rPr>
              <w:t>Опоясывающий герпес</w:t>
            </w:r>
          </w:p>
        </w:tc>
        <w:tc>
          <w:tcPr>
            <w:tcW w:w="1196" w:type="pct"/>
            <w:tcBorders>
              <w:top w:val="nil"/>
              <w:bottom w:val="nil"/>
            </w:tcBorders>
            <w:tcMar>
              <w:right w:w="227" w:type="dxa"/>
            </w:tcMar>
          </w:tcPr>
          <w:p w:rsidR="00000000" w:rsidRDefault="00000000">
            <w:pPr>
              <w:jc w:val="right"/>
              <w:rPr>
                <w:sz w:val="22"/>
                <w:lang w:val="en-US"/>
              </w:rPr>
            </w:pPr>
            <w:r>
              <w:rPr>
                <w:sz w:val="22"/>
                <w:lang w:val="en-US"/>
              </w:rPr>
              <w:t>86</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12,1</w:t>
            </w:r>
          </w:p>
        </w:tc>
      </w:tr>
      <w:tr w:rsidR="00000000">
        <w:tblPrEx>
          <w:tblCellMar>
            <w:top w:w="0" w:type="dxa"/>
            <w:bottom w:w="0" w:type="dxa"/>
          </w:tblCellMar>
        </w:tblPrEx>
        <w:tc>
          <w:tcPr>
            <w:tcW w:w="520" w:type="pct"/>
            <w:tcBorders>
              <w:top w:val="nil"/>
              <w:left w:val="single" w:sz="4" w:space="0" w:color="auto"/>
              <w:bottom w:val="nil"/>
            </w:tcBorders>
          </w:tcPr>
          <w:p w:rsidR="00000000" w:rsidRDefault="00000000">
            <w:pPr>
              <w:jc w:val="center"/>
              <w:rPr>
                <w:sz w:val="22"/>
                <w:lang w:val="en-US"/>
              </w:rPr>
            </w:pPr>
            <w:r>
              <w:rPr>
                <w:sz w:val="22"/>
                <w:lang w:val="en-US"/>
              </w:rPr>
              <w:t>9.</w:t>
            </w:r>
          </w:p>
        </w:tc>
        <w:tc>
          <w:tcPr>
            <w:tcW w:w="2002" w:type="pct"/>
            <w:tcBorders>
              <w:top w:val="nil"/>
              <w:bottom w:val="nil"/>
            </w:tcBorders>
          </w:tcPr>
          <w:p w:rsidR="00000000" w:rsidRDefault="00000000">
            <w:pPr>
              <w:rPr>
                <w:sz w:val="22"/>
              </w:rPr>
            </w:pPr>
            <w:r>
              <w:rPr>
                <w:sz w:val="22"/>
              </w:rPr>
              <w:t xml:space="preserve">Острый вирозный гепатит </w:t>
            </w:r>
            <w:r>
              <w:rPr>
                <w:sz w:val="22"/>
                <w:lang w:val="en-US"/>
              </w:rPr>
              <w:t>N</w:t>
            </w:r>
            <w:r>
              <w:rPr>
                <w:sz w:val="22"/>
              </w:rPr>
              <w:t>.</w:t>
            </w:r>
            <w:r>
              <w:rPr>
                <w:sz w:val="22"/>
                <w:lang w:val="en-US"/>
              </w:rPr>
              <w:t>I</w:t>
            </w:r>
            <w:r>
              <w:rPr>
                <w:sz w:val="22"/>
              </w:rPr>
              <w:t>+"</w:t>
            </w:r>
            <w:r>
              <w:rPr>
                <w:sz w:val="22"/>
                <w:lang w:val="en-US"/>
              </w:rPr>
              <w:t>A</w:t>
            </w:r>
            <w:r>
              <w:rPr>
                <w:sz w:val="22"/>
              </w:rPr>
              <w:t>"</w:t>
            </w:r>
          </w:p>
        </w:tc>
        <w:tc>
          <w:tcPr>
            <w:tcW w:w="1196" w:type="pct"/>
            <w:tcBorders>
              <w:top w:val="nil"/>
              <w:bottom w:val="nil"/>
            </w:tcBorders>
            <w:tcMar>
              <w:right w:w="227" w:type="dxa"/>
            </w:tcMar>
          </w:tcPr>
          <w:p w:rsidR="00000000" w:rsidRDefault="00000000">
            <w:pPr>
              <w:jc w:val="right"/>
              <w:rPr>
                <w:sz w:val="22"/>
                <w:lang w:val="en-US"/>
              </w:rPr>
            </w:pPr>
            <w:r>
              <w:rPr>
                <w:sz w:val="22"/>
                <w:lang w:val="en-US"/>
              </w:rPr>
              <w:t>78</w:t>
            </w:r>
          </w:p>
        </w:tc>
        <w:tc>
          <w:tcPr>
            <w:tcW w:w="1282" w:type="pct"/>
            <w:tcBorders>
              <w:top w:val="nil"/>
              <w:bottom w:val="nil"/>
              <w:right w:val="single" w:sz="4" w:space="0" w:color="auto"/>
            </w:tcBorders>
            <w:tcMar>
              <w:right w:w="227" w:type="dxa"/>
            </w:tcMar>
          </w:tcPr>
          <w:p w:rsidR="00000000" w:rsidRDefault="00000000">
            <w:pPr>
              <w:jc w:val="right"/>
              <w:rPr>
                <w:sz w:val="22"/>
                <w:lang w:val="en-US"/>
              </w:rPr>
            </w:pPr>
            <w:r>
              <w:rPr>
                <w:sz w:val="22"/>
                <w:lang w:val="en-US"/>
              </w:rPr>
              <w:t>11,0</w:t>
            </w:r>
          </w:p>
        </w:tc>
      </w:tr>
      <w:tr w:rsidR="00000000">
        <w:tblPrEx>
          <w:tblCellMar>
            <w:top w:w="0" w:type="dxa"/>
            <w:bottom w:w="0" w:type="dxa"/>
          </w:tblCellMar>
        </w:tblPrEx>
        <w:tc>
          <w:tcPr>
            <w:tcW w:w="520" w:type="pct"/>
            <w:tcBorders>
              <w:top w:val="nil"/>
              <w:left w:val="single" w:sz="4" w:space="0" w:color="auto"/>
              <w:bottom w:val="single" w:sz="4" w:space="0" w:color="auto"/>
            </w:tcBorders>
          </w:tcPr>
          <w:p w:rsidR="00000000" w:rsidRDefault="00000000">
            <w:pPr>
              <w:jc w:val="center"/>
              <w:rPr>
                <w:sz w:val="22"/>
                <w:lang w:val="en-US"/>
              </w:rPr>
            </w:pPr>
            <w:r>
              <w:rPr>
                <w:sz w:val="22"/>
                <w:lang w:val="en-US"/>
              </w:rPr>
              <w:t>10.</w:t>
            </w:r>
          </w:p>
        </w:tc>
        <w:tc>
          <w:tcPr>
            <w:tcW w:w="2002" w:type="pct"/>
            <w:tcBorders>
              <w:top w:val="nil"/>
              <w:bottom w:val="single" w:sz="4" w:space="0" w:color="auto"/>
            </w:tcBorders>
          </w:tcPr>
          <w:p w:rsidR="00000000" w:rsidRDefault="00000000">
            <w:pPr>
              <w:rPr>
                <w:sz w:val="22"/>
              </w:rPr>
            </w:pPr>
            <w:r>
              <w:rPr>
                <w:sz w:val="22"/>
              </w:rPr>
              <w:t>Инфективный мононуклеоз</w:t>
            </w:r>
          </w:p>
        </w:tc>
        <w:tc>
          <w:tcPr>
            <w:tcW w:w="1196" w:type="pct"/>
            <w:tcBorders>
              <w:top w:val="nil"/>
              <w:bottom w:val="single" w:sz="4" w:space="0" w:color="auto"/>
            </w:tcBorders>
            <w:tcMar>
              <w:right w:w="227" w:type="dxa"/>
            </w:tcMar>
          </w:tcPr>
          <w:p w:rsidR="00000000" w:rsidRDefault="00000000">
            <w:pPr>
              <w:jc w:val="right"/>
              <w:rPr>
                <w:sz w:val="22"/>
                <w:lang w:val="en-US"/>
              </w:rPr>
            </w:pPr>
            <w:r>
              <w:rPr>
                <w:sz w:val="22"/>
                <w:lang w:val="en-US"/>
              </w:rPr>
              <w:t>76</w:t>
            </w:r>
          </w:p>
        </w:tc>
        <w:tc>
          <w:tcPr>
            <w:tcW w:w="1282" w:type="pct"/>
            <w:tcBorders>
              <w:top w:val="nil"/>
              <w:bottom w:val="single" w:sz="4" w:space="0" w:color="auto"/>
              <w:right w:val="single" w:sz="4" w:space="0" w:color="auto"/>
            </w:tcBorders>
            <w:tcMar>
              <w:right w:w="227" w:type="dxa"/>
            </w:tcMar>
          </w:tcPr>
          <w:p w:rsidR="00000000" w:rsidRDefault="00000000">
            <w:pPr>
              <w:jc w:val="right"/>
              <w:rPr>
                <w:sz w:val="22"/>
                <w:lang w:val="en-US"/>
              </w:rPr>
            </w:pPr>
            <w:r>
              <w:rPr>
                <w:sz w:val="22"/>
                <w:lang w:val="en-US"/>
              </w:rPr>
              <w:t>10,7</w:t>
            </w:r>
          </w:p>
        </w:tc>
      </w:tr>
    </w:tbl>
    <w:p w:rsidR="00000000" w:rsidRDefault="00000000">
      <w:pPr>
        <w:pStyle w:val="Heading1"/>
        <w:rPr>
          <w:b w:val="0"/>
        </w:rPr>
      </w:pPr>
    </w:p>
    <w:p w:rsidR="00000000" w:rsidRDefault="00000000">
      <w:pPr>
        <w:rPr>
          <w:b/>
          <w:bCs/>
        </w:rPr>
      </w:pPr>
      <w:r>
        <w:rPr>
          <w:b/>
          <w:bCs/>
        </w:rPr>
        <w:t>Грипп</w:t>
      </w:r>
    </w:p>
    <w:p w:rsidR="00000000" w:rsidRDefault="00000000">
      <w:pPr>
        <w:rPr>
          <w:b/>
          <w:bCs/>
        </w:rPr>
      </w:pPr>
    </w:p>
    <w:p w:rsidR="00000000" w:rsidRDefault="00000000">
      <w:r>
        <w:t>714.</w:t>
      </w:r>
      <w:r>
        <w:tab/>
        <w:t>Поскольку количество случаев заболевания гриппом колеблется в зависимости от года и оказывает значительное влияние на общее количество заболевших (в некоторые годы 84,9% от общего количества зарегистрированных случаев инфекционных заболеваний, по которым должна представляться отчетность), это заболевание рассматривается отдельно от других.</w:t>
      </w:r>
    </w:p>
    <w:p w:rsidR="00000000" w:rsidRDefault="00000000"/>
    <w:p w:rsidR="00000000" w:rsidRDefault="00000000">
      <w:pPr>
        <w:jc w:val="center"/>
        <w:rPr>
          <w:b/>
          <w:bCs/>
        </w:rPr>
      </w:pPr>
      <w:r>
        <w:rPr>
          <w:b/>
          <w:bCs/>
        </w:rPr>
        <w:br w:type="column"/>
        <w:t>Таблица 10</w:t>
      </w:r>
    </w:p>
    <w:p w:rsidR="00000000" w:rsidRDefault="00000000">
      <w:pPr>
        <w:jc w:val="center"/>
        <w:rPr>
          <w:b/>
          <w:bCs/>
        </w:rPr>
      </w:pPr>
    </w:p>
    <w:p w:rsidR="00000000" w:rsidRDefault="00000000">
      <w:pPr>
        <w:jc w:val="center"/>
      </w:pPr>
      <w:r>
        <w:rPr>
          <w:b/>
          <w:bCs/>
        </w:rPr>
        <w:t>Тренды гриппа в Черногории, 1992-2001 годы</w:t>
      </w:r>
    </w:p>
    <w:p w:rsidR="00000000" w:rsidRDefault="00000000">
      <w:pPr>
        <w:jc w:val="cente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692"/>
        <w:gridCol w:w="2434"/>
        <w:gridCol w:w="1796"/>
        <w:gridCol w:w="3443"/>
      </w:tblGrid>
      <w:tr w:rsidR="00000000">
        <w:tblPrEx>
          <w:tblCellMar>
            <w:top w:w="0" w:type="dxa"/>
            <w:bottom w:w="0" w:type="dxa"/>
          </w:tblCellMar>
        </w:tblPrEx>
        <w:tc>
          <w:tcPr>
            <w:tcW w:w="903" w:type="pct"/>
            <w:tcBorders>
              <w:top w:val="single" w:sz="4" w:space="0" w:color="auto"/>
              <w:left w:val="single" w:sz="4" w:space="0" w:color="auto"/>
              <w:bottom w:val="single" w:sz="6" w:space="0" w:color="auto"/>
            </w:tcBorders>
            <w:tcMar>
              <w:left w:w="0" w:type="dxa"/>
              <w:right w:w="0" w:type="dxa"/>
            </w:tcMar>
          </w:tcPr>
          <w:p w:rsidR="00000000" w:rsidRDefault="00000000">
            <w:pPr>
              <w:jc w:val="center"/>
            </w:pPr>
            <w:r>
              <w:t>Год</w:t>
            </w:r>
          </w:p>
        </w:tc>
        <w:tc>
          <w:tcPr>
            <w:tcW w:w="1299" w:type="pct"/>
            <w:tcBorders>
              <w:top w:val="single" w:sz="4" w:space="0" w:color="auto"/>
              <w:bottom w:val="single" w:sz="6" w:space="0" w:color="auto"/>
            </w:tcBorders>
            <w:tcMar>
              <w:left w:w="0" w:type="dxa"/>
              <w:right w:w="0" w:type="dxa"/>
            </w:tcMar>
          </w:tcPr>
          <w:p w:rsidR="00000000" w:rsidRDefault="00000000">
            <w:pPr>
              <w:jc w:val="center"/>
            </w:pPr>
            <w:r>
              <w:t>Количество заболевших лиц</w:t>
            </w:r>
          </w:p>
        </w:tc>
        <w:tc>
          <w:tcPr>
            <w:tcW w:w="959" w:type="pct"/>
            <w:tcBorders>
              <w:top w:val="single" w:sz="4" w:space="0" w:color="auto"/>
              <w:bottom w:val="single" w:sz="6" w:space="0" w:color="auto"/>
            </w:tcBorders>
            <w:tcMar>
              <w:left w:w="0" w:type="dxa"/>
              <w:right w:w="0" w:type="dxa"/>
            </w:tcMar>
          </w:tcPr>
          <w:p w:rsidR="00000000" w:rsidRDefault="00000000">
            <w:pPr>
              <w:jc w:val="center"/>
            </w:pPr>
            <w:r>
              <w:t>Заболеваемость на 100 000 населения</w:t>
            </w:r>
          </w:p>
        </w:tc>
        <w:tc>
          <w:tcPr>
            <w:tcW w:w="1838" w:type="pct"/>
            <w:tcBorders>
              <w:top w:val="single" w:sz="4" w:space="0" w:color="auto"/>
              <w:bottom w:val="single" w:sz="6" w:space="0" w:color="auto"/>
              <w:right w:val="single" w:sz="4" w:space="0" w:color="auto"/>
            </w:tcBorders>
            <w:tcMar>
              <w:left w:w="0" w:type="dxa"/>
              <w:right w:w="0" w:type="dxa"/>
            </w:tcMar>
          </w:tcPr>
          <w:p w:rsidR="00000000" w:rsidRDefault="00000000">
            <w:pPr>
              <w:jc w:val="center"/>
            </w:pPr>
            <w:r>
              <w:t>Процентная доля от общего количества зарегистрированных инфекционных заболеваний</w:t>
            </w:r>
          </w:p>
        </w:tc>
      </w:tr>
      <w:tr w:rsidR="00000000">
        <w:tblPrEx>
          <w:tblCellMar>
            <w:top w:w="0" w:type="dxa"/>
            <w:bottom w:w="0" w:type="dxa"/>
          </w:tblCellMar>
        </w:tblPrEx>
        <w:tc>
          <w:tcPr>
            <w:tcW w:w="903" w:type="pct"/>
            <w:tcBorders>
              <w:top w:val="single" w:sz="6" w:space="0" w:color="auto"/>
              <w:left w:val="single" w:sz="4" w:space="0" w:color="auto"/>
              <w:bottom w:val="nil"/>
            </w:tcBorders>
          </w:tcPr>
          <w:p w:rsidR="00000000" w:rsidRDefault="00000000">
            <w:pPr>
              <w:jc w:val="center"/>
            </w:pPr>
            <w:r>
              <w:t>1992</w:t>
            </w:r>
          </w:p>
        </w:tc>
        <w:tc>
          <w:tcPr>
            <w:tcW w:w="1299" w:type="pct"/>
            <w:tcBorders>
              <w:top w:val="single" w:sz="6" w:space="0" w:color="auto"/>
              <w:bottom w:val="nil"/>
            </w:tcBorders>
          </w:tcPr>
          <w:p w:rsidR="00000000" w:rsidRDefault="00000000">
            <w:pPr>
              <w:tabs>
                <w:tab w:val="clear" w:pos="1701"/>
                <w:tab w:val="clear" w:pos="2268"/>
              </w:tabs>
              <w:ind w:right="943"/>
              <w:jc w:val="right"/>
            </w:pPr>
            <w:r>
              <w:t>17 021</w:t>
            </w:r>
          </w:p>
        </w:tc>
        <w:tc>
          <w:tcPr>
            <w:tcW w:w="959" w:type="pct"/>
            <w:tcBorders>
              <w:top w:val="single" w:sz="6" w:space="0" w:color="auto"/>
              <w:bottom w:val="nil"/>
            </w:tcBorders>
          </w:tcPr>
          <w:p w:rsidR="00000000" w:rsidRDefault="00000000">
            <w:pPr>
              <w:tabs>
                <w:tab w:val="clear" w:pos="567"/>
                <w:tab w:val="clear" w:pos="1701"/>
                <w:tab w:val="clear" w:pos="2268"/>
                <w:tab w:val="clear" w:pos="6237"/>
                <w:tab w:val="decimal" w:pos="1134"/>
              </w:tabs>
            </w:pPr>
            <w:r>
              <w:t>2 719,0</w:t>
            </w:r>
          </w:p>
        </w:tc>
        <w:tc>
          <w:tcPr>
            <w:tcW w:w="1838" w:type="pct"/>
            <w:tcBorders>
              <w:top w:val="single" w:sz="6" w:space="0" w:color="auto"/>
              <w:bottom w:val="nil"/>
              <w:right w:val="single" w:sz="4" w:space="0" w:color="auto"/>
            </w:tcBorders>
          </w:tcPr>
          <w:p w:rsidR="00000000" w:rsidRDefault="00000000">
            <w:pPr>
              <w:tabs>
                <w:tab w:val="clear" w:pos="567"/>
                <w:tab w:val="clear" w:pos="1134"/>
                <w:tab w:val="clear" w:pos="2268"/>
                <w:tab w:val="clear" w:pos="6237"/>
                <w:tab w:val="decimal" w:pos="1701"/>
              </w:tabs>
            </w:pPr>
            <w:r>
              <w:t>55,4</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1993</w:t>
            </w:r>
          </w:p>
        </w:tc>
        <w:tc>
          <w:tcPr>
            <w:tcW w:w="1299" w:type="pct"/>
            <w:tcBorders>
              <w:top w:val="nil"/>
              <w:bottom w:val="nil"/>
            </w:tcBorders>
          </w:tcPr>
          <w:p w:rsidR="00000000" w:rsidRDefault="00000000">
            <w:pPr>
              <w:tabs>
                <w:tab w:val="clear" w:pos="1701"/>
                <w:tab w:val="clear" w:pos="2268"/>
              </w:tabs>
              <w:ind w:right="943"/>
              <w:jc w:val="right"/>
            </w:pPr>
            <w:r>
              <w:t>6 415</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1 016,8</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39,9</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1994</w:t>
            </w:r>
          </w:p>
        </w:tc>
        <w:tc>
          <w:tcPr>
            <w:tcW w:w="1299" w:type="pct"/>
            <w:tcBorders>
              <w:top w:val="nil"/>
              <w:bottom w:val="nil"/>
            </w:tcBorders>
          </w:tcPr>
          <w:p w:rsidR="00000000" w:rsidRDefault="00000000">
            <w:pPr>
              <w:tabs>
                <w:tab w:val="clear" w:pos="1701"/>
                <w:tab w:val="clear" w:pos="2268"/>
              </w:tabs>
              <w:ind w:right="943"/>
              <w:jc w:val="right"/>
            </w:pPr>
            <w:r>
              <w:t>4 825</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759,8</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26,3</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1995</w:t>
            </w:r>
          </w:p>
        </w:tc>
        <w:tc>
          <w:tcPr>
            <w:tcW w:w="1299" w:type="pct"/>
            <w:tcBorders>
              <w:top w:val="nil"/>
              <w:bottom w:val="nil"/>
            </w:tcBorders>
          </w:tcPr>
          <w:p w:rsidR="00000000" w:rsidRDefault="00000000">
            <w:pPr>
              <w:tabs>
                <w:tab w:val="clear" w:pos="1701"/>
                <w:tab w:val="clear" w:pos="2268"/>
              </w:tabs>
              <w:ind w:right="943"/>
              <w:jc w:val="right"/>
            </w:pPr>
            <w:r>
              <w:t>3 661</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576,7</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21,9</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1996</w:t>
            </w:r>
          </w:p>
        </w:tc>
        <w:tc>
          <w:tcPr>
            <w:tcW w:w="1299" w:type="pct"/>
            <w:tcBorders>
              <w:top w:val="nil"/>
              <w:bottom w:val="nil"/>
            </w:tcBorders>
          </w:tcPr>
          <w:p w:rsidR="00000000" w:rsidRDefault="00000000">
            <w:pPr>
              <w:tabs>
                <w:tab w:val="clear" w:pos="1701"/>
                <w:tab w:val="clear" w:pos="2268"/>
              </w:tabs>
              <w:ind w:right="943"/>
              <w:jc w:val="right"/>
            </w:pPr>
            <w:r>
              <w:t>21 496</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3 397,1</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70,4</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1997</w:t>
            </w:r>
          </w:p>
        </w:tc>
        <w:tc>
          <w:tcPr>
            <w:tcW w:w="1299" w:type="pct"/>
            <w:tcBorders>
              <w:top w:val="nil"/>
              <w:bottom w:val="nil"/>
            </w:tcBorders>
          </w:tcPr>
          <w:p w:rsidR="00000000" w:rsidRDefault="00000000">
            <w:pPr>
              <w:tabs>
                <w:tab w:val="clear" w:pos="1701"/>
                <w:tab w:val="clear" w:pos="2268"/>
              </w:tabs>
              <w:ind w:right="943"/>
              <w:jc w:val="right"/>
            </w:pPr>
            <w:r>
              <w:t>39 817</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6 292,4</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81,5</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1998</w:t>
            </w:r>
          </w:p>
        </w:tc>
        <w:tc>
          <w:tcPr>
            <w:tcW w:w="1299" w:type="pct"/>
            <w:tcBorders>
              <w:top w:val="nil"/>
              <w:bottom w:val="nil"/>
            </w:tcBorders>
          </w:tcPr>
          <w:p w:rsidR="00000000" w:rsidRDefault="00000000">
            <w:pPr>
              <w:tabs>
                <w:tab w:val="clear" w:pos="1701"/>
                <w:tab w:val="clear" w:pos="2268"/>
              </w:tabs>
              <w:ind w:right="943"/>
              <w:jc w:val="right"/>
            </w:pPr>
            <w:r>
              <w:t>15 294</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2 415,6</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64,5</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1999</w:t>
            </w:r>
          </w:p>
        </w:tc>
        <w:tc>
          <w:tcPr>
            <w:tcW w:w="1299" w:type="pct"/>
            <w:tcBorders>
              <w:top w:val="nil"/>
              <w:bottom w:val="nil"/>
            </w:tcBorders>
          </w:tcPr>
          <w:p w:rsidR="00000000" w:rsidRDefault="00000000">
            <w:pPr>
              <w:tabs>
                <w:tab w:val="clear" w:pos="1701"/>
                <w:tab w:val="clear" w:pos="2268"/>
              </w:tabs>
              <w:ind w:right="943"/>
              <w:jc w:val="right"/>
            </w:pPr>
            <w:r>
              <w:t>10 191</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1 602,3</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50,2</w:t>
            </w:r>
          </w:p>
        </w:tc>
      </w:tr>
      <w:tr w:rsidR="00000000">
        <w:tblPrEx>
          <w:tblCellMar>
            <w:top w:w="0" w:type="dxa"/>
            <w:bottom w:w="0" w:type="dxa"/>
          </w:tblCellMar>
        </w:tblPrEx>
        <w:tc>
          <w:tcPr>
            <w:tcW w:w="903" w:type="pct"/>
            <w:tcBorders>
              <w:top w:val="nil"/>
              <w:left w:val="single" w:sz="4" w:space="0" w:color="auto"/>
              <w:bottom w:val="nil"/>
            </w:tcBorders>
          </w:tcPr>
          <w:p w:rsidR="00000000" w:rsidRDefault="00000000">
            <w:pPr>
              <w:jc w:val="center"/>
            </w:pPr>
            <w:r>
              <w:t>2000</w:t>
            </w:r>
          </w:p>
        </w:tc>
        <w:tc>
          <w:tcPr>
            <w:tcW w:w="1299" w:type="pct"/>
            <w:tcBorders>
              <w:top w:val="nil"/>
              <w:bottom w:val="nil"/>
            </w:tcBorders>
          </w:tcPr>
          <w:p w:rsidR="00000000" w:rsidRDefault="00000000">
            <w:pPr>
              <w:tabs>
                <w:tab w:val="clear" w:pos="1701"/>
                <w:tab w:val="clear" w:pos="2268"/>
              </w:tabs>
              <w:ind w:right="943"/>
              <w:jc w:val="right"/>
            </w:pPr>
            <w:r>
              <w:t>53 754</w:t>
            </w:r>
          </w:p>
        </w:tc>
        <w:tc>
          <w:tcPr>
            <w:tcW w:w="959" w:type="pct"/>
            <w:tcBorders>
              <w:top w:val="nil"/>
              <w:bottom w:val="nil"/>
            </w:tcBorders>
          </w:tcPr>
          <w:p w:rsidR="00000000" w:rsidRDefault="00000000">
            <w:pPr>
              <w:tabs>
                <w:tab w:val="clear" w:pos="567"/>
                <w:tab w:val="clear" w:pos="1701"/>
                <w:tab w:val="clear" w:pos="2268"/>
                <w:tab w:val="clear" w:pos="6237"/>
                <w:tab w:val="decimal" w:pos="1134"/>
              </w:tabs>
            </w:pPr>
            <w:r>
              <w:t>8 163,7</w:t>
            </w:r>
          </w:p>
        </w:tc>
        <w:tc>
          <w:tcPr>
            <w:tcW w:w="1838" w:type="pct"/>
            <w:tcBorders>
              <w:top w:val="nil"/>
              <w:bottom w:val="nil"/>
              <w:right w:val="single" w:sz="4" w:space="0" w:color="auto"/>
            </w:tcBorders>
          </w:tcPr>
          <w:p w:rsidR="00000000" w:rsidRDefault="00000000">
            <w:pPr>
              <w:tabs>
                <w:tab w:val="clear" w:pos="567"/>
                <w:tab w:val="clear" w:pos="1134"/>
                <w:tab w:val="clear" w:pos="2268"/>
                <w:tab w:val="clear" w:pos="6237"/>
                <w:tab w:val="decimal" w:pos="1701"/>
              </w:tabs>
            </w:pPr>
            <w:r>
              <w:t>84,9</w:t>
            </w:r>
          </w:p>
        </w:tc>
      </w:tr>
      <w:tr w:rsidR="00000000">
        <w:tblPrEx>
          <w:tblCellMar>
            <w:top w:w="0" w:type="dxa"/>
            <w:bottom w:w="0" w:type="dxa"/>
          </w:tblCellMar>
        </w:tblPrEx>
        <w:tc>
          <w:tcPr>
            <w:tcW w:w="903" w:type="pct"/>
            <w:tcBorders>
              <w:top w:val="nil"/>
              <w:left w:val="single" w:sz="4" w:space="0" w:color="auto"/>
              <w:bottom w:val="single" w:sz="4" w:space="0" w:color="auto"/>
            </w:tcBorders>
          </w:tcPr>
          <w:p w:rsidR="00000000" w:rsidRDefault="00000000">
            <w:pPr>
              <w:jc w:val="center"/>
            </w:pPr>
            <w:r>
              <w:t>2001</w:t>
            </w:r>
          </w:p>
        </w:tc>
        <w:tc>
          <w:tcPr>
            <w:tcW w:w="1299" w:type="pct"/>
            <w:tcBorders>
              <w:top w:val="nil"/>
              <w:bottom w:val="single" w:sz="4" w:space="0" w:color="auto"/>
            </w:tcBorders>
          </w:tcPr>
          <w:p w:rsidR="00000000" w:rsidRDefault="00000000">
            <w:pPr>
              <w:tabs>
                <w:tab w:val="clear" w:pos="1701"/>
                <w:tab w:val="clear" w:pos="2268"/>
              </w:tabs>
              <w:ind w:right="943"/>
              <w:jc w:val="right"/>
            </w:pPr>
            <w:r>
              <w:t>3 411</w:t>
            </w:r>
          </w:p>
        </w:tc>
        <w:tc>
          <w:tcPr>
            <w:tcW w:w="959" w:type="pct"/>
            <w:tcBorders>
              <w:top w:val="nil"/>
              <w:bottom w:val="single" w:sz="4" w:space="0" w:color="auto"/>
            </w:tcBorders>
          </w:tcPr>
          <w:p w:rsidR="00000000" w:rsidRDefault="00000000">
            <w:pPr>
              <w:tabs>
                <w:tab w:val="clear" w:pos="567"/>
                <w:tab w:val="clear" w:pos="1701"/>
                <w:tab w:val="clear" w:pos="2268"/>
                <w:tab w:val="clear" w:pos="6237"/>
                <w:tab w:val="decimal" w:pos="1134"/>
              </w:tabs>
            </w:pPr>
            <w:r>
              <w:t>481,1</w:t>
            </w:r>
          </w:p>
        </w:tc>
        <w:tc>
          <w:tcPr>
            <w:tcW w:w="1838" w:type="pct"/>
            <w:tcBorders>
              <w:top w:val="nil"/>
              <w:bottom w:val="single" w:sz="4" w:space="0" w:color="auto"/>
              <w:right w:val="single" w:sz="4" w:space="0" w:color="auto"/>
            </w:tcBorders>
          </w:tcPr>
          <w:p w:rsidR="00000000" w:rsidRDefault="00000000">
            <w:pPr>
              <w:tabs>
                <w:tab w:val="clear" w:pos="567"/>
                <w:tab w:val="clear" w:pos="1134"/>
                <w:tab w:val="clear" w:pos="2268"/>
                <w:tab w:val="clear" w:pos="6237"/>
                <w:tab w:val="decimal" w:pos="1701"/>
              </w:tabs>
            </w:pPr>
            <w:r>
              <w:t>31,0</w:t>
            </w:r>
          </w:p>
        </w:tc>
      </w:tr>
    </w:tbl>
    <w:p w:rsidR="00000000" w:rsidRDefault="00000000"/>
    <w:p w:rsidR="00000000" w:rsidRDefault="00000000">
      <w:r>
        <w:t>715.</w:t>
      </w:r>
      <w:r>
        <w:tab/>
        <w:t>В этом году количество заболеваний гриппом было в 15 раз меньше по сравнению с предыдущим годом главным образом благодаря четко организованной программе вакцинации и менее значительной мутации самого вируса гриппа по сравнению с прошлым годом.  Отсутствие данных о смертельных случаях от этого заболевания, возможно, объясняется недостаточно эффективными процедурами регистрации.  В этом году эпидемия гриппа характеризовалась меньшими масштабами и более благоприятными клиническими условиями.</w:t>
      </w:r>
    </w:p>
    <w:p w:rsidR="00000000" w:rsidRDefault="00000000"/>
    <w:p w:rsidR="00000000" w:rsidRDefault="00000000">
      <w:r>
        <w:rPr>
          <w:b/>
          <w:bCs/>
        </w:rPr>
        <w:t xml:space="preserve">Пункт 2 </w:t>
      </w:r>
      <w:proofErr w:type="spellStart"/>
      <w:r>
        <w:rPr>
          <w:b/>
          <w:bCs/>
        </w:rPr>
        <w:t>d</w:t>
      </w:r>
      <w:proofErr w:type="spellEnd"/>
      <w:r>
        <w:rPr>
          <w:b/>
          <w:bCs/>
        </w:rPr>
        <w:t>)</w:t>
      </w:r>
    </w:p>
    <w:p w:rsidR="00000000" w:rsidRDefault="00000000"/>
    <w:p w:rsidR="00000000" w:rsidRDefault="00000000">
      <w:r>
        <w:t>716.</w:t>
      </w:r>
      <w:r>
        <w:tab/>
        <w:t>Система медицинского страхования регулируется положениями Закона об охране здоровья и медицинском страховании и действует, опираясь на принципы солидарности, равенства и доступности.  Эта система гарантирует медицинское обслуживание и финансовые пособия в случае болезни и временной нетрудоспособности в связи с болезнью или травмой.</w:t>
      </w:r>
    </w:p>
    <w:p w:rsidR="00000000" w:rsidRDefault="00000000"/>
    <w:p w:rsidR="00000000" w:rsidRDefault="00000000">
      <w:r>
        <w:t>717.</w:t>
      </w:r>
      <w:r>
        <w:tab/>
        <w:t>Медицинское страхование является обязательным.  Вместе с тем в нашей стране и других странах мира наблюдается тенденция к развитию схемы добровольного страхования в ущерб обязательному медицинскому страхованию, т.е. к ограничению прав в рамках системы обязательного страхования и установлению широких прав в рамках добровольного страхования.  Государственные интересы требуют, чтобы система обязательного страхования гарантировала основные права до определенной степени и чтобы система добровольного, т.е. дополнительного страхования гарантировала дополнительные права на более высоком уровне (к примеру, медицинские услуги).</w:t>
      </w:r>
    </w:p>
    <w:p w:rsidR="00000000" w:rsidRDefault="00000000"/>
    <w:p w:rsidR="00000000" w:rsidRDefault="00000000">
      <w:r>
        <w:t>718.</w:t>
      </w:r>
      <w:r>
        <w:tab/>
        <w:t>Основные права, гарантируемые в рамках системы здравоохранения и медицинского страхования, включают:  медико-санитарное обслуживание;  оплачиваемый отпуск в период нетрудоспособности;  и оплату расходов на проезд (в связи с расходами на медицинское обслуживание).</w:t>
      </w:r>
    </w:p>
    <w:p w:rsidR="00000000" w:rsidRDefault="00000000"/>
    <w:p w:rsidR="00000000" w:rsidRDefault="00000000">
      <w:pPr>
        <w:pStyle w:val="Heading1"/>
        <w:rPr>
          <w:bCs/>
        </w:rPr>
      </w:pPr>
      <w:r>
        <w:rPr>
          <w:bCs/>
        </w:rPr>
        <w:t>Застрахованные лица</w:t>
      </w:r>
    </w:p>
    <w:p w:rsidR="00000000" w:rsidRDefault="00000000">
      <w:pPr>
        <w:pStyle w:val="Heading1"/>
        <w:rPr>
          <w:bCs/>
        </w:rPr>
      </w:pPr>
    </w:p>
    <w:p w:rsidR="00000000" w:rsidRDefault="00000000">
      <w:r>
        <w:t>719.</w:t>
      </w:r>
      <w:r>
        <w:tab/>
        <w:t>В положениях Закона об охране здоровья и медицинском страховании застрахованные лица определяются как категория населения, пользующаяся правом на страхование.  Застрахованным лицам предоставляются права в соответствии с условиями медицинского страхования в случае болезни, временной нетрудоспособности, увольнения и т.д.</w:t>
      </w:r>
    </w:p>
    <w:p w:rsidR="00000000" w:rsidRDefault="00000000"/>
    <w:p w:rsidR="00000000" w:rsidRDefault="00000000">
      <w:pPr>
        <w:pStyle w:val="Heading1"/>
        <w:rPr>
          <w:bCs/>
        </w:rPr>
      </w:pPr>
      <w:r>
        <w:rPr>
          <w:bCs/>
        </w:rPr>
        <w:t>Финансирование</w:t>
      </w:r>
    </w:p>
    <w:p w:rsidR="00000000" w:rsidRDefault="00000000">
      <w:pPr>
        <w:pStyle w:val="Heading1"/>
        <w:rPr>
          <w:bCs/>
        </w:rPr>
      </w:pPr>
    </w:p>
    <w:p w:rsidR="00000000" w:rsidRDefault="00000000">
      <w:r>
        <w:t>720.</w:t>
      </w:r>
      <w:r>
        <w:tab/>
        <w:t>Цель системы медицинского страхования состоит в устранении последствий, связанных с такими рисками, как болезнь, травма и невозможность заработка по причине временной нетрудоспособности.  Основным источником финансирования системы медицинского страхования являются взносы, выплачиваемые трудящимися, другими застрахованными лицами и работодателями.</w:t>
      </w:r>
    </w:p>
    <w:p w:rsidR="00000000" w:rsidRDefault="00000000"/>
    <w:p w:rsidR="00000000" w:rsidRDefault="00000000">
      <w:r>
        <w:t>721.</w:t>
      </w:r>
      <w:r>
        <w:tab/>
        <w:t>Все бенефициары выплачивают взносы по медицинскому страхованию.  Никто не может быть застрахован, если он/она или третья сторона от его/ее имени не выплачивают взносы.  Каждая категория застрахованных лиц представляет собой категорию плательщиков взносов, поскольку они являются активными пользователями системы медицинского страхования, имеющими доход и способными выплачивать взносы.  Речь идет, например, о работающих застрахованных лицах, застрахованных лицах пенсионного возраста, застрахованных лицах-фермерах и т.д.</w:t>
      </w:r>
    </w:p>
    <w:p w:rsidR="00000000" w:rsidRDefault="00000000"/>
    <w:p w:rsidR="00000000" w:rsidRDefault="00000000">
      <w:r>
        <w:t>722.</w:t>
      </w:r>
      <w:r>
        <w:tab/>
        <w:t>Все граждане выплачивают взносы по медицинскому страхованию.  Для работающих лиц 50% размера взноса выплачивается работодателем, а 50% - самими гражданами.  Взносы пенсионеров покрываются из пенсионного фонда, а безработных - из государственного бюджета.</w:t>
      </w:r>
    </w:p>
    <w:p w:rsidR="00000000" w:rsidRDefault="00000000"/>
    <w:p w:rsidR="00000000" w:rsidRDefault="00000000">
      <w:r>
        <w:t>723.</w:t>
      </w:r>
      <w:r>
        <w:tab/>
        <w:t>В соответствии с пакетом медицинского страхования, разработанным в Фонде медицинского страхования, граждане бесплатно пользуются медицинскими услугами, а соответствующие расходы учреждениям здравоохранения компенсируются из средств Фонда.</w:t>
      </w:r>
    </w:p>
    <w:p w:rsidR="00000000" w:rsidRDefault="00000000"/>
    <w:p w:rsidR="00000000" w:rsidRDefault="00000000">
      <w:r>
        <w:t>724.</w:t>
      </w:r>
      <w:r>
        <w:tab/>
        <w:t>Права на медицинское обслуживание и медицинское страхование предоставляются через Фонд в соответствии с указанным законом и правилами Фонда.  Совет Фонда:  утверждает устав Фонда;  утверждает программу работы Фонда;  и в соответствии с законодательством определяет порядок реализации прав граждан на медицинское обслуживание и страхование.</w:t>
      </w:r>
    </w:p>
    <w:p w:rsidR="00000000" w:rsidRDefault="00000000"/>
    <w:p w:rsidR="00000000" w:rsidRDefault="00000000">
      <w:r>
        <w:t>725.</w:t>
      </w:r>
      <w:r>
        <w:tab/>
        <w:t>Фонд также принимает годовую программу деятельности в области здравоохранения;  разрабатывает правила персонала, стандарты и нормативы предоставления медицинских услуг и другие критерии и меры для оценки эффективности деятельности учреждений здравоохранения, а также устанавливает цены на медицинские услуги;  и принимает решения о заключении договоров с медицинскими учреждениями, гуманитарными организациями и ассоциациями на предоставление медицинских услуг.</w:t>
      </w:r>
    </w:p>
    <w:p w:rsidR="00000000" w:rsidRDefault="00000000"/>
    <w:p w:rsidR="00000000" w:rsidRDefault="00000000">
      <w:r>
        <w:t>726.</w:t>
      </w:r>
      <w:r>
        <w:tab/>
        <w:t>Фонд определяет единую систему закупки для учреждений здравоохранения предметов медицинского назначения и оборудования, лекарственных препаратов и других материалов, а также осуществляет соответствующий надзор.  Он также определяет критерии и меры по мобилизации и выделению средств для обеспечения деятельности медицинских учреждений и утверждает годовой финансовый план и годовой баланс.  Фонд отчитывается перед парламентом о своей работе и деятельности и реализует свою деятельность в соответствии с положениями законодательства и устава Фонда.</w:t>
      </w:r>
    </w:p>
    <w:p w:rsidR="00000000" w:rsidRDefault="00000000"/>
    <w:p w:rsidR="00000000" w:rsidRDefault="00000000">
      <w:r>
        <w:t>727.</w:t>
      </w:r>
      <w:r>
        <w:tab/>
        <w:t>Финансовые ресурсы Фонда формируются за счет следующих источников:</w:t>
      </w:r>
    </w:p>
    <w:p w:rsidR="00000000" w:rsidRDefault="00000000"/>
    <w:p w:rsidR="00000000" w:rsidRDefault="00000000">
      <w:pPr>
        <w:ind w:left="1134" w:hanging="1134"/>
      </w:pPr>
      <w:r>
        <w:tab/>
        <w:t>-</w:t>
      </w:r>
      <w:r>
        <w:tab/>
        <w:t>взносы из заработной платы трудящихся;</w:t>
      </w:r>
    </w:p>
    <w:p w:rsidR="00000000" w:rsidRDefault="00000000">
      <w:pPr>
        <w:ind w:left="1134" w:hanging="1134"/>
      </w:pPr>
    </w:p>
    <w:p w:rsidR="00000000" w:rsidRDefault="00000000">
      <w:pPr>
        <w:ind w:left="1134" w:hanging="1134"/>
      </w:pPr>
      <w:r>
        <w:tab/>
        <w:t>-</w:t>
      </w:r>
      <w:r>
        <w:tab/>
        <w:t>взносы из заработной платы на малых частных предприятиях;</w:t>
      </w:r>
    </w:p>
    <w:p w:rsidR="00000000" w:rsidRDefault="00000000">
      <w:pPr>
        <w:ind w:left="1134" w:hanging="1134"/>
      </w:pPr>
    </w:p>
    <w:p w:rsidR="00000000" w:rsidRDefault="00000000">
      <w:pPr>
        <w:ind w:left="1134" w:hanging="1134"/>
      </w:pPr>
      <w:r>
        <w:tab/>
        <w:t>-</w:t>
      </w:r>
      <w:r>
        <w:tab/>
        <w:t>взносы из заработной платы в сельском хозяйстве;</w:t>
      </w:r>
    </w:p>
    <w:p w:rsidR="00000000" w:rsidRDefault="00000000">
      <w:pPr>
        <w:ind w:left="1134" w:hanging="1134"/>
      </w:pPr>
    </w:p>
    <w:p w:rsidR="00000000" w:rsidRDefault="00000000">
      <w:pPr>
        <w:ind w:left="1134" w:hanging="1134"/>
      </w:pPr>
      <w:r>
        <w:tab/>
        <w:t>-</w:t>
      </w:r>
      <w:r>
        <w:tab/>
        <w:t>кадастровые поступления и определенная сумма взноса для каждого фермера, отчисляющего средства на цели медицинского страхования;</w:t>
      </w:r>
    </w:p>
    <w:p w:rsidR="00000000" w:rsidRDefault="00000000">
      <w:pPr>
        <w:ind w:left="1134" w:hanging="1134"/>
      </w:pPr>
    </w:p>
    <w:p w:rsidR="00000000" w:rsidRDefault="00000000">
      <w:pPr>
        <w:ind w:left="1134" w:hanging="1134"/>
      </w:pPr>
      <w:r>
        <w:tab/>
        <w:t>-</w:t>
      </w:r>
      <w:r>
        <w:tab/>
        <w:t>взносы из пенсий;</w:t>
      </w:r>
    </w:p>
    <w:p w:rsidR="00000000" w:rsidRDefault="00000000">
      <w:pPr>
        <w:ind w:left="1134" w:hanging="1134"/>
      </w:pPr>
    </w:p>
    <w:p w:rsidR="00000000" w:rsidRDefault="00000000">
      <w:pPr>
        <w:ind w:left="1134" w:hanging="1134"/>
      </w:pPr>
      <w:r>
        <w:tab/>
        <w:t>-</w:t>
      </w:r>
      <w:r>
        <w:tab/>
        <w:t xml:space="preserve">взносы от арендной платы, патентов, технической рационализации и интеллектуальных услуг; </w:t>
      </w:r>
    </w:p>
    <w:p w:rsidR="00000000" w:rsidRDefault="00000000">
      <w:pPr>
        <w:ind w:left="1134" w:hanging="1134"/>
      </w:pPr>
    </w:p>
    <w:p w:rsidR="00000000" w:rsidRDefault="00000000">
      <w:pPr>
        <w:ind w:left="1134" w:hanging="1134"/>
      </w:pPr>
      <w:r>
        <w:tab/>
        <w:t>-</w:t>
      </w:r>
      <w:r>
        <w:tab/>
        <w:t>поступления в республиканский бюджет и других источников.</w:t>
      </w:r>
    </w:p>
    <w:p w:rsidR="00000000" w:rsidRDefault="00000000">
      <w:pPr>
        <w:ind w:left="1134" w:hanging="1134"/>
      </w:pPr>
    </w:p>
    <w:p w:rsidR="00000000" w:rsidRDefault="00000000">
      <w:r>
        <w:t>728.</w:t>
      </w:r>
      <w:r>
        <w:tab/>
        <w:t>Все формы медицинского обслуживания, которые не могут быть предоставлены в Республике, предоставляются за пределами Республики или за рубежом.  Черногория осуществляет положения Международного пакта о медицинском страховании, который был ратифицирован бывшей Союзной Социалистической Республикой Югославией.</w:t>
      </w:r>
    </w:p>
    <w:p w:rsidR="00000000" w:rsidRDefault="00000000"/>
    <w:p w:rsidR="00000000" w:rsidRDefault="00000000">
      <w:pPr>
        <w:pStyle w:val="10"/>
        <w:rPr>
          <w:bCs/>
        </w:rPr>
      </w:pPr>
      <w:r>
        <w:rPr>
          <w:bCs/>
        </w:rPr>
        <w:t>Статьи 13, 14 и 15</w:t>
      </w:r>
    </w:p>
    <w:p w:rsidR="00000000" w:rsidRDefault="00000000">
      <w:pPr>
        <w:pStyle w:val="10"/>
        <w:rPr>
          <w:bCs/>
        </w:rPr>
      </w:pPr>
    </w:p>
    <w:p w:rsidR="00000000" w:rsidRDefault="00000000">
      <w:pPr>
        <w:pStyle w:val="Heading1"/>
        <w:rPr>
          <w:bCs/>
        </w:rPr>
      </w:pPr>
      <w:r>
        <w:rPr>
          <w:bCs/>
        </w:rPr>
        <w:t>Дошкольное, элементарное и среднее образование</w:t>
      </w:r>
    </w:p>
    <w:p w:rsidR="00000000" w:rsidRDefault="00000000">
      <w:pPr>
        <w:pStyle w:val="Heading1"/>
        <w:rPr>
          <w:bCs/>
        </w:rPr>
      </w:pPr>
    </w:p>
    <w:p w:rsidR="00000000" w:rsidRDefault="00000000">
      <w:r>
        <w:t>729.</w:t>
      </w:r>
      <w:r>
        <w:tab/>
        <w:t>Конституция и другие соответствующие законодательные акты в Черногории предусматривают обязательное бесплатное начальное образование для детей в возрасте от 7 до 15 лет, независимо от пола, расы, религии и иных признаков.  В случае несоблюдения этого положения родители или опекуны привлекаются к ответственности в соответствии с законом.  Благодаря санкциям, которые министерство использует в отношении родителей в таких случаях, количество детей школьного возраста, не посещающих школу, снижается, о чем свидетельствуют следующие факты:  в 1997 году было зарегистрировано 89 случаев принятия санкций в отношении родителей, в 1998 году - 8 случаев;  в 1999 году - 111 (рост связан с изменениями правил, вследствие чего ряд дел проходит процедуру повторного рассмотрения), в 2000 году - 50 и в 2001 году - 11 случаев.  Родители, как правило, забирают детей из школы после четвертого класса.  В основном к категории таких детей относятся девочки, которые также нередко весьма рано вступают в брак.  Большинство из этих детей живут на севере Республики, главным образом в населенных пунктах с преимущественно мусульманским населением.</w:t>
      </w:r>
    </w:p>
    <w:p w:rsidR="00000000" w:rsidRDefault="00000000"/>
    <w:p w:rsidR="00000000" w:rsidRDefault="00000000">
      <w:r>
        <w:t>730.</w:t>
      </w:r>
      <w:r>
        <w:tab/>
        <w:t>Система элементарных школ (167 восьмилетних школ и 340 четырехлетних школ) обеспечивает для всех детей Черногории возможность обучения в школе, и таким образом 98% детей охвачены системой элементарного образования.  Продолжающаяся реформа системы образования предусматривает планы по рационализации сети школ, поскольку в ряде сельских районов Черногории детей слишком мало.  С другой стороны, из-за притока населения школы в столице и других крупных городах переполнены.  В некоторых начальных школах в населенных пунктах на севере страны количество учащихся даже снижается (например, в 1999/2000 году в элементарной школе "Бошко Буха" в Пливле насчитывалось менее 200 учеников).  Сложившуюся ситуацию иллюстрируют следующие данные:  18,4% школ расположены в городах, 81,6% - в деревнях, при том, что в городах проживает 73,5% учащихся, а в деревнях - 26,5%.</w:t>
      </w:r>
    </w:p>
    <w:p w:rsidR="00000000" w:rsidRDefault="00000000"/>
    <w:p w:rsidR="00000000" w:rsidRDefault="00000000">
      <w:r>
        <w:t>731.</w:t>
      </w:r>
      <w:r>
        <w:tab/>
        <w:t>Дети беженцев и/или внутренних перемещенных лиц пользуются теми же правами, что и дети коренного населения.  Дети из малообеспеченных семей, а также дети, которым приходится проходить большие расстояния пешком в школу и из школы, обеспечиваются жильем в школьных интернатах, бесплатными учебниками и иными предметами, а также одеждой и обувью.</w:t>
      </w:r>
    </w:p>
    <w:p w:rsidR="00000000" w:rsidRDefault="00000000"/>
    <w:p w:rsidR="00000000" w:rsidRDefault="00000000">
      <w:r>
        <w:t>732.</w:t>
      </w:r>
      <w:r>
        <w:tab/>
        <w:t>В Республике имеется 20 учреждений дошкольного воспитания во всех муниципалитетах (за исключением города Жабляк).  Эти учреждения обслуживают всех детей без каких-либо различий в отношении их пола, расы, религии или каких-либо иных признаков.  Родители покрывают часть расходов на питание.  Охват детей системой дошкольного воспитания является относительно низким и составляет около 20%.</w:t>
      </w:r>
    </w:p>
    <w:p w:rsidR="00000000" w:rsidRDefault="00000000"/>
    <w:p w:rsidR="00000000" w:rsidRDefault="00000000">
      <w:r>
        <w:t>733.</w:t>
      </w:r>
      <w:r>
        <w:tab/>
        <w:t>В Черногории действуют три учреждения для детей со специальными потребностями (для детей с нарушениями речи и слуха, детей со сниженным зрением, детей и подростков с физическими недостатками, умственно неполноценных детей и подростков).  Эти учреждения финансируются государством.  В двух из них учащимся также предоставляется жилье.  Наряду с указанными учреждениями в 15 начальных школах имеются классы для детей с особыми потребностями.  Осуществляется проект, который предусматривает строительство предприятия, на котором будут работать инвалиды.  Этот проект осуществляется совместно с Агентством по вопросам занятости Черногории, министерством образования и науки и НПО "Фалькон".</w:t>
      </w:r>
    </w:p>
    <w:p w:rsidR="00000000" w:rsidRDefault="00000000"/>
    <w:p w:rsidR="00000000" w:rsidRDefault="00000000">
      <w:r>
        <w:t>734.</w:t>
      </w:r>
      <w:r>
        <w:tab/>
        <w:t>В районах, где большинство населения составляют албанцы, в школах разрешается обучение на их родном языке.  В этих районах имеются начальные школы с преподаванием на албанском языке, семь школ с преподаванием на албанском и сербском языках и три послесредней школы с преподаванием на албанском и сербском языках.  Официальные документы, выдаваемые этими школами, а также вся школьная и учебная документация ведутся на двух языках.  Учебники издаются на албанском языке.  Они либо разрабатываются департаментом учебных материалов для школ в Подгорице, или закупаются департаментом учебных и иных материалов в Белграде.</w:t>
      </w:r>
    </w:p>
    <w:p w:rsidR="00000000" w:rsidRDefault="00000000"/>
    <w:p w:rsidR="00000000" w:rsidRDefault="00000000">
      <w:r>
        <w:t>735.</w:t>
      </w:r>
      <w:r>
        <w:tab/>
        <w:t>Для детей рома не имеется специальных классов, за исключением одной школы в Подгорице и специальных уроков на языке рома.  Дети рома зачисляются в классы обычных школ, поскольку они имеют доступ ко всем школам наряду со всеми остальными детьми.  Вместе с тем прослеживается тенденция снижения числа учащихся рома в старших классах.  К примеру, если имеется два первых класса, то второй класс - только один, а в седьмом и восьмом классах учатся лишь двое-трое детей, принадлежащих к общине рома.</w:t>
      </w:r>
    </w:p>
    <w:p w:rsidR="00000000" w:rsidRDefault="00000000"/>
    <w:p w:rsidR="00000000" w:rsidRDefault="00000000">
      <w:r>
        <w:t>736.</w:t>
      </w:r>
      <w:r>
        <w:tab/>
        <w:t>ЮНИСЕФ оказывает содействие в организации дошкольного воспитания детей рома с целью подготовки их к поступлению в обычные классы.  Министерство образования и науки оказало помощь в подготовке первого букваря на языке рома, который был издан одной из НПО рома.</w:t>
      </w:r>
    </w:p>
    <w:p w:rsidR="00000000" w:rsidRDefault="00000000"/>
    <w:p w:rsidR="00000000" w:rsidRDefault="00000000">
      <w:r>
        <w:t>737.</w:t>
      </w:r>
      <w:r>
        <w:tab/>
        <w:t>Правительство выступало учредителем всех образовательных учреждений, за исключением одной школы для музыкально одаренных детей, которая была основана совместно государством и физическим лицом.  Согласно ранее действовавшим правилам руководящие органы образовательных учреждений назначались министерством по предложению соответствующих учреждений.  В соответствии с новым законом руководящие органы состоят из представителей работников, учащихся, министерства, местных органов власти, социальных партнеров и родителей.  Новые законы также предусматривают возможность открытия частных образовательных учреждений на всех ступенях образования внутренними и зарубежными юридическими и физическими лицами, за исключением элементарных школ, учреждение которых иностранными юридическими и физическими лицами запрещено.</w:t>
      </w:r>
    </w:p>
    <w:p w:rsidR="00000000" w:rsidRDefault="00000000"/>
    <w:p w:rsidR="00000000" w:rsidRDefault="00000000">
      <w:r>
        <w:t>738.</w:t>
      </w:r>
      <w:r>
        <w:tab/>
        <w:t>В течение периода, охватываемого настоящим докладом, в государственной политике, законодательстве и практике в данной области не произошло никаких заметных изменений, негативно отражающихся на праве на образование, закрепленном в статье 13.  Новые законы укрепляют право на получение образования и обязательство государства и других субъектов в отношении создания более благоприятных условий для осуществления этого права.</w:t>
      </w:r>
    </w:p>
    <w:p w:rsidR="00000000" w:rsidRDefault="00000000"/>
    <w:p w:rsidR="00000000" w:rsidRDefault="00000000">
      <w:r>
        <w:t>739.</w:t>
      </w:r>
      <w:r>
        <w:tab/>
        <w:t>Международное сообщество оказывало и продолжает оказывать помощь по линии международных организаций в области улучшения условий труда в образовательных учреждениях (строительство, ремонт и закупка оборудования для образовательных учреждений).  Планируется также оказание содействия в области осуществления положений новых законов, направленных на реформирование системы образования на всех уровнях (например, повышение профессионального уровня преподавательских кадров, внесение изменений в учебные планы и программы и т.д.).</w:t>
      </w:r>
    </w:p>
    <w:p w:rsidR="00000000" w:rsidRDefault="00000000"/>
    <w:p w:rsidR="00000000" w:rsidRDefault="00000000">
      <w:r>
        <w:t>740.</w:t>
      </w:r>
      <w:r>
        <w:tab/>
        <w:t>Правительство Республики Черногории и министерство юстиции также принимают меры по улучшению условий труда и повышению заработной платы работников сферы образования, хотя серьезным препятствием в этом отношении являются ограниченные бюджетные средства.  Из</w:t>
      </w:r>
      <w:r>
        <w:noBreakHyphen/>
        <w:t>за дефицита бюджетных средств в 2002 году в 2001/2002 учебном году была организована забастовка учителей, которая продолжалась в общей сложности девять месяцев до начала 2002/2003 учебного года, включая период летних каникул.  К основным требованиям забастовочного комитета относились повышение на 30% коэффициента для расчета размера заработной платы и погашение задолженности по пособиям на питание и проезд.  Задолженность по пособиям была погашена, однако требование в отношении увеличения коэффициента не было удовлетворено.  Было достигнуто соглашение об увеличении на 18% заработной платы в следующем бюджетном году (8% за счет повышения минимальной оплаты труда и 10% </w:t>
      </w:r>
      <w:r>
        <w:noBreakHyphen/>
        <w:t> за счет коэффициентов).  В целях улучшения финансового положения работников сферы образования правительство Республики Черногории согласилось участвовать в финансировании жилищного фонда для работников сферы образования.  Жилищная проблема не решена почти у трети из них.</w:t>
      </w:r>
    </w:p>
    <w:p w:rsidR="00000000" w:rsidRDefault="00000000"/>
    <w:p w:rsidR="00000000" w:rsidRDefault="00000000">
      <w:r>
        <w:t>741.</w:t>
      </w:r>
      <w:r>
        <w:tab/>
        <w:t>Право на забастовку в секторе образования никогда не оспаривалось.  Вместе с тем продолжительная забастовка ущемляла право детей на регулярное и беспрепятственное образование, поскольку в течение забастовки была сокращена продолжительность уроков.  В этой связи учебная программа была сокращена, а учебный год продлен, с тем чтобы обеспечить возможность завершения учебного года в обычные сроки.</w:t>
      </w:r>
    </w:p>
    <w:p w:rsidR="00000000" w:rsidRDefault="00000000"/>
    <w:p w:rsidR="00000000" w:rsidRDefault="00000000">
      <w:r>
        <w:t>742.</w:t>
      </w:r>
      <w:r>
        <w:tab/>
        <w:t>В Черногории имеются две школы для начального образования взрослых, которые действуют в рамках системы рабочих университетов, </w:t>
      </w:r>
      <w:r>
        <w:noBreakHyphen/>
        <w:t xml:space="preserve"> в Подгорице и Никшиче.  Начальное образование для взрослых может организовываться во всех обычных школах в зависимости от потребностей конкретной общины.</w:t>
      </w:r>
    </w:p>
    <w:p w:rsidR="00000000" w:rsidRDefault="00000000"/>
    <w:p w:rsidR="00000000" w:rsidRDefault="00000000">
      <w:r>
        <w:t>743.</w:t>
      </w:r>
      <w:r>
        <w:tab/>
        <w:t>Среднее образование, включая среднее профессионально-техническое образование, является доступным для всех на равных условиях и бесплатным.  Учащиеся самостоятельно покупают учебники и другие учебные пособия.</w:t>
      </w:r>
    </w:p>
    <w:p w:rsidR="00000000" w:rsidRDefault="00000000"/>
    <w:p w:rsidR="00000000" w:rsidRDefault="00000000">
      <w:r>
        <w:t>744.</w:t>
      </w:r>
      <w:r>
        <w:tab/>
        <w:t>В Черногории имеются общеобразовательные средние школы, профессионально-технические училища и смешанные школы.  Для получения аттестата необходимо закончить четвертый уровень в общеобразовательных школах и третий и четвертый уровни в профессионально-технических училищах и смешанных школах.  Учащиеся, окончившие четвертый уровень образования, могут поступать на соответствующие отделения вузов, а учащиеся, окончившие курс общеобразовательной средней школы, могут поступать в любые вузы.</w:t>
      </w:r>
    </w:p>
    <w:p w:rsidR="00000000" w:rsidRDefault="00000000"/>
    <w:p w:rsidR="00000000" w:rsidRDefault="00000000">
      <w:pPr>
        <w:keepLines/>
      </w:pPr>
      <w:r>
        <w:t>745.</w:t>
      </w:r>
      <w:r>
        <w:tab/>
        <w:t>Все дети при выполнении соответствующих условий независимо от их религиозной или национальной принадлежности могут поступать в средние школы на равных условиях.  Они пользуются равными правами на образование без какой бы то ни было дискриминации.</w:t>
      </w:r>
    </w:p>
    <w:p w:rsidR="00000000" w:rsidRDefault="00000000"/>
    <w:p w:rsidR="00000000" w:rsidRDefault="00000000">
      <w:r>
        <w:t>746.</w:t>
      </w:r>
      <w:r>
        <w:tab/>
        <w:t xml:space="preserve">Около 97% учащихся, оканчивающих начальную школу, продолжают образование в средних школах, причем в городах этот показатель является еще более высоким.  Около 95% учащихся средних школ завершают среднее образование.  В средних школах не имеется системы вечерних классов образования для взрослых.  Тем не менее имеется возможность сдачи экзаменов за курс средней школы.  </w:t>
      </w:r>
    </w:p>
    <w:p w:rsidR="00000000" w:rsidRDefault="00000000"/>
    <w:p w:rsidR="00000000" w:rsidRDefault="00000000">
      <w:r>
        <w:t>747.</w:t>
      </w:r>
      <w:r>
        <w:tab/>
        <w:t>Албанские дети в средних школах в городах Тузи, Плав иУльцинь обучаются на албанском и сербском языках, а также обеспечиваются учебниками и другими материалами.</w:t>
      </w:r>
    </w:p>
    <w:p w:rsidR="00000000" w:rsidRDefault="00000000"/>
    <w:p w:rsidR="00000000" w:rsidRDefault="00000000">
      <w:r>
        <w:t>748.</w:t>
      </w:r>
      <w:r>
        <w:tab/>
        <w:t>Учредителем всех средних школ в Черногории является правительство, и лишь одна школа была организована совместно государством и физическим лицом (школа для музыкально одаренных детей);  руководящие органы состоят из представителей школьного персонала, местных органов власти учащихся, а также, в соответствии с последними правилами, социальных партнеров и родителей.</w:t>
      </w:r>
    </w:p>
    <w:p w:rsidR="00000000" w:rsidRDefault="00000000"/>
    <w:p w:rsidR="00000000" w:rsidRDefault="00000000">
      <w:r>
        <w:t>749.</w:t>
      </w:r>
      <w:r>
        <w:tab/>
        <w:t>Государство предоставляет стипендии и пособия для учащихся с высокими академическими результатами и для детей из социально уязвимых семей.  В Черногории имеется восемь общежитий, в которых учащиеся элементарной и начальной школы, отвечающие установленным требованиям, обеспечиваются жильем и питанием.  В данном случае учащиеся покрывают 20% от общих затрат.  Учащимся, которым предоставляется кредит, имеют возможность покрыть эти расходы, а также расходы на проезд, 40% которых компенсирует государство.</w:t>
      </w:r>
    </w:p>
    <w:p w:rsidR="00000000" w:rsidRDefault="00000000"/>
    <w:p w:rsidR="00000000" w:rsidRDefault="00000000">
      <w:r>
        <w:t>750.</w:t>
      </w:r>
      <w:r>
        <w:tab/>
        <w:t>В элементарных и средних школах ведется активная работа в целях предупреждения наркомании, распространения инфекционных заболеваний и борьбы с насилием, а также в области методов бесконфликтного решения проблем (государственная программа борьбы с инфекционными заболеваниями и наркоманией;  информационно-пропагандистские кампании по борьбе со СПИДом, торговлей людьми, проект "Образование для гражданского общества").</w:t>
      </w:r>
    </w:p>
    <w:p w:rsidR="00000000" w:rsidRDefault="00000000"/>
    <w:p w:rsidR="00000000" w:rsidRDefault="00000000">
      <w:pPr>
        <w:keepNext/>
        <w:rPr>
          <w:b/>
          <w:bCs/>
        </w:rPr>
      </w:pPr>
      <w:r>
        <w:rPr>
          <w:b/>
          <w:bCs/>
        </w:rPr>
        <w:t>Новое законодательство (с внесенными изменениями и поправками)</w:t>
      </w:r>
    </w:p>
    <w:p w:rsidR="00000000" w:rsidRDefault="00000000">
      <w:pPr>
        <w:keepNext/>
        <w:rPr>
          <w:b/>
          <w:bCs/>
        </w:rPr>
      </w:pPr>
    </w:p>
    <w:p w:rsidR="00000000" w:rsidRDefault="00000000">
      <w:pPr>
        <w:keepNext/>
      </w:pPr>
      <w:r>
        <w:t>751.</w:t>
      </w:r>
      <w:r>
        <w:tab/>
        <w:t>22 ноября 2002 года парламент Республики Черногории принял пакет новых законов в сфере образования:</w:t>
      </w:r>
    </w:p>
    <w:p w:rsidR="00000000" w:rsidRDefault="00000000"/>
    <w:p w:rsidR="00000000" w:rsidRDefault="00000000">
      <w:r>
        <w:tab/>
        <w:t>-</w:t>
      </w:r>
      <w:r>
        <w:tab/>
        <w:t>основной Закон об образовании;</w:t>
      </w:r>
    </w:p>
    <w:p w:rsidR="00000000" w:rsidRDefault="00000000"/>
    <w:p w:rsidR="00000000" w:rsidRDefault="00000000">
      <w:r>
        <w:tab/>
        <w:t>-</w:t>
      </w:r>
      <w:r>
        <w:tab/>
        <w:t>Закон о дошкольном воспитании;</w:t>
      </w:r>
    </w:p>
    <w:p w:rsidR="00000000" w:rsidRDefault="00000000"/>
    <w:p w:rsidR="00000000" w:rsidRDefault="00000000">
      <w:r>
        <w:tab/>
        <w:t>-</w:t>
      </w:r>
      <w:r>
        <w:tab/>
        <w:t>Закон об образовании в начальной школе;</w:t>
      </w:r>
    </w:p>
    <w:p w:rsidR="00000000" w:rsidRDefault="00000000"/>
    <w:p w:rsidR="00000000" w:rsidRDefault="00000000">
      <w:r>
        <w:tab/>
        <w:t>-</w:t>
      </w:r>
      <w:r>
        <w:tab/>
        <w:t>Закон об общеобразовательных средних школах;</w:t>
      </w:r>
    </w:p>
    <w:p w:rsidR="00000000" w:rsidRDefault="00000000"/>
    <w:p w:rsidR="00000000" w:rsidRDefault="00000000">
      <w:r>
        <w:tab/>
        <w:t>-</w:t>
      </w:r>
      <w:r>
        <w:tab/>
        <w:t>Закон о профессионально-техническом образовании;  и</w:t>
      </w:r>
    </w:p>
    <w:p w:rsidR="00000000" w:rsidRDefault="00000000"/>
    <w:p w:rsidR="00000000" w:rsidRDefault="00000000">
      <w:r>
        <w:tab/>
        <w:t>-</w:t>
      </w:r>
      <w:r>
        <w:tab/>
        <w:t>Закон об образовании взрослых.</w:t>
      </w:r>
    </w:p>
    <w:p w:rsidR="00000000" w:rsidRDefault="00000000"/>
    <w:p w:rsidR="00000000" w:rsidRDefault="00000000">
      <w:r>
        <w:t>752.</w:t>
      </w:r>
      <w:r>
        <w:tab/>
        <w:t xml:space="preserve">Эти законы были разработаны при содействии международных экспертов и включают европейские стандарты, адаптированные к особенностям Черногории, в соответствии с принципами демократии, автономии, децентрализации, дерегулирования, деполитизации, гибкости, равных возможностей и транспарентности качества в образовании.  На основе перечисленных принципов должны быть приняты около 50 подзаконных актов, созданы новые учреждения и проведена рационализация сети образовательных учреждений в Черногории.  </w:t>
      </w:r>
    </w:p>
    <w:p w:rsidR="00000000" w:rsidRDefault="00000000"/>
    <w:p w:rsidR="00000000" w:rsidRDefault="00000000">
      <w:r>
        <w:t>753.</w:t>
      </w:r>
      <w:r>
        <w:tab/>
        <w:t xml:space="preserve">Для всех областей знания, специальностей и профессий разрабатываются новые учебные программы, учитывающие европейские стандарты в этой области, с тем чтобы создать условия для совместимости учебных программ с соответствующими программами в европейских странах, а также обеспечить признание аттестатов и дипломов черногорских учебных заведений в других странах.  </w:t>
      </w:r>
    </w:p>
    <w:p w:rsidR="00000000" w:rsidRDefault="00000000"/>
    <w:p w:rsidR="00000000" w:rsidRDefault="00000000">
      <w:r>
        <w:t>754.</w:t>
      </w:r>
      <w:r>
        <w:tab/>
        <w:t>В течение следующего года планируется принять следующие законы:</w:t>
      </w:r>
    </w:p>
    <w:p w:rsidR="00000000" w:rsidRDefault="00000000">
      <w:pPr>
        <w:spacing w:line="264" w:lineRule="auto"/>
      </w:pPr>
    </w:p>
    <w:p w:rsidR="00000000" w:rsidRDefault="00000000">
      <w:pPr>
        <w:spacing w:line="264" w:lineRule="auto"/>
      </w:pPr>
      <w:r>
        <w:tab/>
        <w:t>-</w:t>
      </w:r>
      <w:r>
        <w:tab/>
        <w:t>Закон о высшем образовании;</w:t>
      </w:r>
    </w:p>
    <w:p w:rsidR="00000000" w:rsidRDefault="00000000">
      <w:pPr>
        <w:spacing w:line="264" w:lineRule="auto"/>
      </w:pPr>
    </w:p>
    <w:p w:rsidR="00000000" w:rsidRDefault="00000000">
      <w:pPr>
        <w:spacing w:line="264" w:lineRule="auto"/>
      </w:pPr>
      <w:r>
        <w:tab/>
        <w:t>-</w:t>
      </w:r>
      <w:r>
        <w:tab/>
        <w:t>Закон о научно-исследовательской деятельности;</w:t>
      </w:r>
    </w:p>
    <w:p w:rsidR="00000000" w:rsidRDefault="00000000">
      <w:pPr>
        <w:spacing w:line="264" w:lineRule="auto"/>
      </w:pPr>
    </w:p>
    <w:p w:rsidR="00000000" w:rsidRDefault="00000000">
      <w:pPr>
        <w:spacing w:line="264" w:lineRule="auto"/>
      </w:pPr>
      <w:r>
        <w:tab/>
        <w:t>-</w:t>
      </w:r>
      <w:r>
        <w:tab/>
        <w:t>Закон об образовании детей с особыми потребностями;  и</w:t>
      </w:r>
    </w:p>
    <w:p w:rsidR="00000000" w:rsidRDefault="00000000">
      <w:pPr>
        <w:spacing w:line="264" w:lineRule="auto"/>
      </w:pPr>
    </w:p>
    <w:p w:rsidR="00000000" w:rsidRDefault="00000000">
      <w:pPr>
        <w:spacing w:line="264" w:lineRule="auto"/>
      </w:pPr>
      <w:r>
        <w:tab/>
        <w:t>-</w:t>
      </w:r>
      <w:r>
        <w:tab/>
        <w:t>Закон об аттестационной системе.</w:t>
      </w:r>
    </w:p>
    <w:p w:rsidR="00000000" w:rsidRDefault="00000000"/>
    <w:p w:rsidR="00000000" w:rsidRDefault="00000000">
      <w:r>
        <w:t>755.</w:t>
      </w:r>
      <w:r>
        <w:tab/>
        <w:t>Также должны быть приняты 56 подзаконных актов, в которых будет определен порядок осуществления шести законов в секторе образования.</w:t>
      </w:r>
    </w:p>
    <w:p w:rsidR="00000000" w:rsidRDefault="00000000"/>
    <w:p w:rsidR="00000000" w:rsidRDefault="00000000">
      <w:r>
        <w:rPr>
          <w:b/>
          <w:bCs/>
        </w:rPr>
        <w:t>Высшее образование</w:t>
      </w:r>
    </w:p>
    <w:p w:rsidR="00000000" w:rsidRDefault="00000000"/>
    <w:p w:rsidR="00000000" w:rsidRDefault="00000000">
      <w:r>
        <w:t>756.</w:t>
      </w:r>
      <w:r>
        <w:tab/>
        <w:t>Права и обязанности в сфере высшего образования регулируются положениями Закона об университетах Черногории (принято в 1992 году с внесенными поправками и дополнениями в 1996 году), и их реализация финансируется из бюджета Республики Черногории (статья 8 Закона).</w:t>
      </w:r>
    </w:p>
    <w:p w:rsidR="00000000" w:rsidRDefault="00000000"/>
    <w:p w:rsidR="00000000" w:rsidRDefault="00000000">
      <w:r>
        <w:t>757.</w:t>
      </w:r>
      <w:r>
        <w:tab/>
        <w:t xml:space="preserve">В стране не имеется частных высших учебных заведений, хотя их учреждение разрешается в статье 13 Закона.  Высшее образование дает государственный университет.  </w:t>
      </w:r>
    </w:p>
    <w:p w:rsidR="00000000" w:rsidRDefault="00000000"/>
    <w:p w:rsidR="00000000" w:rsidRDefault="00000000">
      <w:r>
        <w:t>758.</w:t>
      </w:r>
      <w:r>
        <w:tab/>
        <w:t>Доступ к высшему образованию не является дискриминационным.  Высшее образование доступно для всех независимо от пола, национальности, религии и социально-экономического положения семьи.</w:t>
      </w:r>
    </w:p>
    <w:p w:rsidR="00000000" w:rsidRDefault="00000000"/>
    <w:p w:rsidR="00000000" w:rsidRDefault="00000000">
      <w:r>
        <w:t>759.</w:t>
      </w:r>
      <w:r>
        <w:tab/>
        <w:t>В соответствии с действующим законодательством правительство по представлению университета принимает решение о количестве учащихся, зачисляемых в университет.  Расходы на обучение всех студентов покрываются за счет средств из бюджета Республики.</w:t>
      </w:r>
    </w:p>
    <w:p w:rsidR="00000000" w:rsidRDefault="00000000"/>
    <w:p w:rsidR="00000000" w:rsidRDefault="00000000">
      <w:r>
        <w:t>760.</w:t>
      </w:r>
      <w:r>
        <w:tab/>
        <w:t>На различные факультеты университета разрешается принимать большее количество студентов, чем количество, указанное правительством.  Такое решение принимается университетом по предварительному согласованию с правительством.  Такие студенты самостоятельно покрывают расходы на обучение.  Устав университета (статья 51) гласит, что учащиеся, самостоятельно покрывающие расходы на обучение, освобождаются от обязанности уплаты университетских платежей, если они зачисляются на дневное отделение на следующий учебный год.</w:t>
      </w:r>
    </w:p>
    <w:p w:rsidR="00000000" w:rsidRDefault="00000000"/>
    <w:p w:rsidR="00000000" w:rsidRDefault="00000000">
      <w:r>
        <w:t>761.</w:t>
      </w:r>
      <w:r>
        <w:tab/>
        <w:t>Зачисление на первый год обучения производится после публикации университетом объявления о начале приеме документов.  Прием производится на основе списка абитуриентов с учетом оценок за курс средней школы и при условии успешной сдачи вступительных экзаменов в соответствии с правилами процедуры университета.</w:t>
      </w:r>
    </w:p>
    <w:p w:rsidR="00000000" w:rsidRDefault="00000000"/>
    <w:p w:rsidR="00000000" w:rsidRDefault="00000000">
      <w:r>
        <w:t>762.</w:t>
      </w:r>
      <w:r>
        <w:tab/>
        <w:t>Все студенты, являющиеся гражданами Черногории, которые успешно окончили курс обучения со средним баллом выше 8,5, имеют возможность получить послевысшее образование за счет Республики Черногории.</w:t>
      </w:r>
    </w:p>
    <w:p w:rsidR="00000000" w:rsidRDefault="00000000"/>
    <w:p w:rsidR="00000000" w:rsidRDefault="00000000">
      <w:r>
        <w:t>763.</w:t>
      </w:r>
      <w:r>
        <w:tab/>
        <w:t xml:space="preserve">В настоящее время осуществляется реформа сектора образования.  Реформа предусматривает кардинальные изменения учебных планов, схем управления и финансирования, введение системы оценки качества в образовании и принципов, закрепленных в Болонской декларации и других документах в целях гармонизации системы образования в Черногории с другими европейскими странами.  </w:t>
      </w:r>
    </w:p>
    <w:p w:rsidR="00000000" w:rsidRDefault="00000000"/>
    <w:p w:rsidR="00000000" w:rsidRDefault="00000000">
      <w:r>
        <w:t>764.</w:t>
      </w:r>
      <w:r>
        <w:tab/>
        <w:t xml:space="preserve">Разрабатывается новый закон о высшем образовании в соответствии с европейскими нормами.  Министерство образования и Черногорский университет получают экспертную помощь со стороны таких программ и учреждений международного сообщества, как ТЕМПУС (Трансъевропейская мобильная система университетского образования Европейской комиссии), </w:t>
      </w:r>
      <w:proofErr w:type="spellStart"/>
      <w:r>
        <w:t>АЕУ</w:t>
      </w:r>
      <w:proofErr w:type="spellEnd"/>
      <w:r>
        <w:t xml:space="preserve"> (Ассоциация европейских университетов), ЮНЕСКО</w:t>
      </w:r>
      <w:r>
        <w:noBreakHyphen/>
        <w:t>ЦПЭСИ, Пакс стабильности, ВУС - Австрия и университеты-партнеры из стран Европейского союза и США.  Черногорский университет подписал меморандумы о сотрудничестве с университетами Бари, Шкадара, Москвы (МГУ и Международный независимый университет экологии и политологии), Тура, Мостара, Осло и Варшавы).</w:t>
      </w:r>
    </w:p>
    <w:p w:rsidR="00000000" w:rsidRDefault="00000000"/>
    <w:p w:rsidR="00000000" w:rsidRDefault="00000000">
      <w:pPr>
        <w:rPr>
          <w:b/>
          <w:bCs/>
        </w:rPr>
      </w:pPr>
      <w:r>
        <w:rPr>
          <w:b/>
          <w:bCs/>
        </w:rPr>
        <w:t>Финансирование</w:t>
      </w:r>
    </w:p>
    <w:p w:rsidR="00000000" w:rsidRDefault="00000000">
      <w:pPr>
        <w:rPr>
          <w:b/>
          <w:bCs/>
        </w:rPr>
      </w:pPr>
    </w:p>
    <w:p w:rsidR="00000000" w:rsidRDefault="00000000">
      <w:r>
        <w:t>765.</w:t>
      </w:r>
      <w:r>
        <w:tab/>
        <w:t>На цели образования выделяется около 30% бюджета Республики.  Несмотря на трудные условия в течение последнего десятилетия, Черногория инвестирует значительные средства в сектор образования.  К примеру, в 1999 году объем инвестиций в сферу образования составил 5,21% об ВВП, а в 1998 году - 7,17% от ВВП, что значительно превышает аналогичный показатель в других странах региона.  Финансирование образования регулируется соответствующими нормами для каждой отдельной ступени образования (законы и коллективные соглашения).</w:t>
      </w:r>
    </w:p>
    <w:p w:rsidR="00000000" w:rsidRDefault="00000000"/>
    <w:p w:rsidR="00000000" w:rsidRDefault="00000000">
      <w:r>
        <w:t>766.</w:t>
      </w:r>
      <w:r>
        <w:tab/>
        <w:t>Государство финансирует 20 учреждений дошкольного воспитания и 168 начальных школ, при этом имеется 303 районных отдела, в ведение которых входит 483 школьных здания, 44 средние школы и восемь студенческих общежитий.  Сеть школ является весьма обширной с учетом демографических, климатических и географических особенностей Черногории.</w:t>
      </w:r>
    </w:p>
    <w:p w:rsidR="00000000" w:rsidRDefault="00000000"/>
    <w:p w:rsidR="00000000" w:rsidRDefault="00000000">
      <w:r>
        <w:t>767.</w:t>
      </w:r>
      <w:r>
        <w:tab/>
        <w:t>Среди обычных для школ проблем следует отметить нехватку помещений в городских школах в связи с увеличением количества учащихся, тогда как в сельской местности учащихся становится все меньше, что приводит к определенному нарушению пропорциональности школьной сети.  Вместе с тем закрытие некоторых школ или районных отделов образования ставит сложную социальную проблему, при решении которой необходимо учитывать финансовые, социальные, политические и культурные аспекты.</w:t>
      </w:r>
    </w:p>
    <w:p w:rsidR="00000000" w:rsidRDefault="00000000"/>
    <w:p w:rsidR="00000000" w:rsidRDefault="00000000">
      <w:r>
        <w:t>768.</w:t>
      </w:r>
      <w:r>
        <w:tab/>
        <w:t>Школы располагаются в старых зданиях, которые находятся в весьма ветхом состоянии;  они требуют значительных инвестиций, поскольку не соответствуют современным требованиям и нормам.  В зависимости от количества учащихся на цели технической эксплуатации школьных зданий ежегодно выделяются определенные средства, однако они в основном используются для неотложного ремонта кровли и системы отопления.</w:t>
      </w:r>
    </w:p>
    <w:p w:rsidR="00000000" w:rsidRDefault="00000000"/>
    <w:p w:rsidR="00000000" w:rsidRDefault="00000000">
      <w:r>
        <w:t>769.</w:t>
      </w:r>
      <w:r>
        <w:tab/>
        <w:t>Строительство новых школьных зданий осуществляется через департамент общественных работ.  Несмотря на значительные инвестиции, пока не удается удовлетворить непрерывно растущие потребности, особенно в городах.  Международные организации также оказывают помощь в строительстве новых школ, хотя эта помощь является недостаточной.  Европейское Агентство по реконструкции ведет строительство школы в Подгорице, а также осуществляет проект по ремонту школы в Бьело-Поле.</w:t>
      </w:r>
    </w:p>
    <w:p w:rsidR="00000000" w:rsidRDefault="00000000"/>
    <w:p w:rsidR="00000000" w:rsidRDefault="00000000">
      <w:r>
        <w:t>770.</w:t>
      </w:r>
      <w:r>
        <w:tab/>
        <w:t>Уровень оснащения школ варьируется и является недостаточным.  Если в некоторых новых школах, особенно в центральных и южных районах Черногории, имеется современное оборудование, то другие школы оснащены плохо и имеют очень старое оборудование.</w:t>
      </w:r>
    </w:p>
    <w:p w:rsidR="00000000" w:rsidRDefault="00000000"/>
    <w:p w:rsidR="00000000" w:rsidRDefault="00000000">
      <w:r>
        <w:t>771.</w:t>
      </w:r>
      <w:r>
        <w:tab/>
        <w:t>Заработная плата работников сферы образования рассчитывается на основе положений действующих коллективных соглашений (для всех ступеней образования имеются специальные коллективные соглашения).  При подписании коллективных соглашений после согласования и утверждения профессиональными союзами предпринимаются значительные усилия для повышения размера заработной платы до уровня других бюджетных гражданских служащих.  Ввиду значительной численности работников сферы образования львиная доля ассигнуемых на цели образования средств уходит на выплату заработной платы, что приводит к дефициту средств для капитальных инвестиций и закупку оборудования для столь широкой сети.  Такая значительная численность работников в сфере просвещения отчасти является результатом нерациональной организации системы просвещения, а отчасти - неэффективного распределения учебных часов между преподавателями и отсутствия четкой внутренней организации учебного процесса в школах.</w:t>
      </w:r>
    </w:p>
    <w:p w:rsidR="00000000" w:rsidRDefault="00000000"/>
    <w:p w:rsidR="00000000" w:rsidRDefault="00000000">
      <w:pPr>
        <w:jc w:val="center"/>
      </w:pPr>
      <w:r>
        <w:t>------</w:t>
      </w:r>
    </w:p>
    <w:sectPr w:rsidR="00000000">
      <w:headerReference w:type="even" r:id="rId14"/>
      <w:headerReference w:type="default" r:id="rId15"/>
      <w:headerReference w:type="first" r:id="rId16"/>
      <w:pgSz w:w="11906" w:h="16838"/>
      <w:pgMar w:top="850" w:right="850" w:bottom="1701" w:left="1701" w:header="850" w:footer="850" w:gutter="0"/>
      <w:cols w:space="720"/>
      <w:formProt w:val="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t>*</w:t>
      </w:r>
      <w:r>
        <w:t xml:space="preserve"> </w:t>
      </w:r>
      <w:r>
        <w:tab/>
        <w:t>Приложения содержали ряд разделов, включающих таблицы со статистическими данными.  С этими приложениями можно ознакомиться в архиве секретариата.</w:t>
      </w:r>
    </w:p>
    <w:p w:rsidR="00000000" w:rsidRDefault="00000000">
      <w:pPr>
        <w:pStyle w:val="FootnoteText"/>
        <w:rPr>
          <w:lang w:val="en-US"/>
        </w:rPr>
      </w:pPr>
    </w:p>
    <w:p w:rsidR="00000000" w:rsidRDefault="00000000">
      <w:pPr>
        <w:pStyle w:val="FootnoteText"/>
        <w:rPr>
          <w:lang w:val="en-US"/>
        </w:rPr>
      </w:pPr>
    </w:p>
    <w:p w:rsidR="00000000" w:rsidRDefault="00000000">
      <w:pPr>
        <w:pStyle w:val="FootnoteText"/>
        <w:rPr>
          <w:lang w:val="en-US"/>
        </w:rPr>
      </w:pPr>
    </w:p>
  </w:footnote>
  <w:footnote w:id="2">
    <w:p w:rsidR="00000000" w:rsidRDefault="00000000">
      <w:pPr>
        <w:pStyle w:val="FootnoteText"/>
      </w:pPr>
      <w:r>
        <w:rPr>
          <w:rStyle w:val="FootnoteReference"/>
        </w:rPr>
        <w:footnoteRef/>
      </w:r>
      <w:r>
        <w:t xml:space="preserve"> </w:t>
      </w:r>
      <w:r>
        <w:tab/>
        <w:t>Федеральный институт статистики, Белград, 2002 год.</w:t>
      </w:r>
    </w:p>
    <w:p w:rsidR="00000000" w:rsidRDefault="00000000">
      <w:pPr>
        <w:pStyle w:val="FootnoteText"/>
      </w:pPr>
    </w:p>
  </w:footnote>
  <w:footnote w:id="3">
    <w:p w:rsidR="00000000" w:rsidRDefault="00000000">
      <w:pPr>
        <w:pStyle w:val="FootnoteText"/>
        <w:rPr>
          <w:lang w:val="en-US"/>
        </w:rPr>
      </w:pPr>
      <w:r>
        <w:rPr>
          <w:rStyle w:val="FootnoteReference"/>
        </w:rPr>
        <w:footnoteRef/>
      </w:r>
      <w:r>
        <w:t xml:space="preserve"> </w:t>
      </w:r>
      <w:r>
        <w:tab/>
      </w:r>
      <w:r>
        <w:rPr>
          <w:lang w:val="en-US"/>
        </w:rPr>
        <w:t>Ibid.</w:t>
      </w:r>
    </w:p>
    <w:p w:rsidR="00000000" w:rsidRDefault="00000000">
      <w:pPr>
        <w:pStyle w:val="FootnoteText"/>
      </w:pPr>
    </w:p>
  </w:footnote>
  <w:footnote w:id="4">
    <w:p w:rsidR="00000000" w:rsidRDefault="00000000">
      <w:pPr>
        <w:pStyle w:val="FootnoteText"/>
        <w:rPr>
          <w:lang w:val="en-US"/>
        </w:rPr>
      </w:pPr>
      <w:r>
        <w:rPr>
          <w:rStyle w:val="FootnoteReference"/>
        </w:rPr>
        <w:footnoteRef/>
      </w:r>
      <w:r>
        <w:rPr>
          <w:lang w:val="en-US"/>
        </w:rPr>
        <w:t xml:space="preserve"> </w:t>
      </w:r>
      <w:r>
        <w:rPr>
          <w:lang w:val="en-US"/>
        </w:rPr>
        <w:tab/>
      </w:r>
      <w:r>
        <w:t>Монография</w:t>
      </w:r>
      <w:r>
        <w:rPr>
          <w:lang w:val="en-US"/>
        </w:rPr>
        <w:t xml:space="preserve"> "Persons with Disability and Their Environment, Center for Alternatives Study and Handicap International, Belgrade 2001".</w:t>
      </w:r>
    </w:p>
    <w:p w:rsidR="00000000" w:rsidRDefault="00000000">
      <w:pPr>
        <w:pStyle w:val="FootnoteText"/>
        <w:rPr>
          <w:lang w:val="en-US"/>
        </w:rPr>
      </w:pPr>
    </w:p>
  </w:footnote>
  <w:footnote w:id="5">
    <w:p w:rsidR="00000000" w:rsidRDefault="00000000">
      <w:pPr>
        <w:pStyle w:val="FootnoteText"/>
      </w:pPr>
      <w:r>
        <w:rPr>
          <w:rStyle w:val="FootnoteReference"/>
        </w:rPr>
        <w:footnoteRef/>
      </w:r>
      <w:r>
        <w:t xml:space="preserve"> </w:t>
      </w:r>
      <w:r>
        <w:tab/>
        <w:t>Конвенция № 105 была ратифицирована в декабре 2002 года, однако пока еще не вступила в силу.</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Под охраной труда подразумевается охрана и защита здоровья работника на рабочем месте, т.е. техника безопасности в промышленности </w:t>
      </w:r>
      <w:r>
        <w:noBreakHyphen/>
        <w:t xml:space="preserve"> термин, который используется в Конвенции, - это понятие также охватывает соответствующие нормы в области гигиены труда.</w:t>
      </w:r>
    </w:p>
  </w:footnote>
  <w:footnote w:id="7">
    <w:p w:rsidR="00000000" w:rsidRDefault="00000000">
      <w:r>
        <w:rPr>
          <w:rStyle w:val="FootnoteReference"/>
        </w:rPr>
        <w:sym w:font="Symbol" w:char="F02A"/>
      </w:r>
      <w:r>
        <w:t xml:space="preserve"> </w:t>
      </w:r>
      <w:r>
        <w:tab/>
        <w:t>С приложениями можно ознакомиться в архиве секретариата.</w:t>
      </w:r>
    </w:p>
  </w:footnote>
  <w:footnote w:id="8">
    <w:p w:rsidR="00000000" w:rsidRDefault="00000000">
      <w:pPr>
        <w:pStyle w:val="FootnoteText"/>
      </w:pPr>
      <w:r>
        <w:rPr>
          <w:rStyle w:val="FootnoteReference"/>
        </w:rPr>
        <w:footnoteRef/>
      </w:r>
      <w:r>
        <w:t xml:space="preserve"> </w:t>
      </w:r>
      <w:r>
        <w:tab/>
        <w:t>Графики и таблицы см. в приложении.</w:t>
      </w:r>
    </w:p>
  </w:footnote>
  <w:footnote w:id="9">
    <w:p w:rsidR="00000000" w:rsidRDefault="00000000">
      <w:pPr>
        <w:pStyle w:val="FootnoteText"/>
        <w:spacing w:line="720" w:lineRule="auto"/>
      </w:pPr>
      <w:r>
        <w:rPr>
          <w:rStyle w:val="FootnoteReference"/>
        </w:rPr>
        <w:footnoteRef/>
      </w:r>
      <w:r>
        <w:t xml:space="preserve"> </w:t>
      </w:r>
      <w:r>
        <w:tab/>
        <w:t>График 3, дополнение 1;  см. приложение.</w:t>
      </w:r>
    </w:p>
  </w:footnote>
  <w:footnote w:id="10">
    <w:p w:rsidR="00000000" w:rsidRDefault="00000000">
      <w:pPr>
        <w:pStyle w:val="FootnoteText"/>
        <w:spacing w:line="720" w:lineRule="auto"/>
      </w:pPr>
      <w:r>
        <w:rPr>
          <w:rStyle w:val="FootnoteReference"/>
        </w:rPr>
        <w:footnoteRef/>
      </w:r>
      <w:r>
        <w:t xml:space="preserve"> </w:t>
      </w:r>
      <w:r>
        <w:tab/>
        <w:t>Таблица 1.</w:t>
      </w:r>
    </w:p>
  </w:footnote>
  <w:footnote w:id="11">
    <w:p w:rsidR="00000000" w:rsidRDefault="00000000">
      <w:pPr>
        <w:pStyle w:val="FootnoteText"/>
      </w:pPr>
    </w:p>
    <w:p w:rsidR="00000000" w:rsidRDefault="00000000">
      <w:pPr>
        <w:pStyle w:val="FootnoteText"/>
        <w:spacing w:line="720" w:lineRule="auto"/>
      </w:pPr>
      <w:r>
        <w:rPr>
          <w:rStyle w:val="FootnoteReference"/>
        </w:rPr>
        <w:footnoteRef/>
      </w:r>
      <w:r>
        <w:t xml:space="preserve"> </w:t>
      </w:r>
      <w:r>
        <w:tab/>
        <w:t>Таблица 1, раздел 2.</w:t>
      </w:r>
    </w:p>
  </w:footnote>
  <w:footnote w:id="12">
    <w:p w:rsidR="00000000" w:rsidRDefault="00000000">
      <w:pPr>
        <w:pStyle w:val="FootnoteText"/>
      </w:pPr>
      <w:r>
        <w:rPr>
          <w:rStyle w:val="FootnoteReference"/>
        </w:rPr>
        <w:footnoteRef/>
      </w:r>
      <w:r>
        <w:t xml:space="preserve"> </w:t>
      </w:r>
      <w:r>
        <w:tab/>
        <w:t>Таблица 2, раздел 2;  см. приложение.</w:t>
      </w:r>
    </w:p>
  </w:footnote>
  <w:footnote w:id="13">
    <w:p w:rsidR="00000000" w:rsidRDefault="00000000">
      <w:pPr>
        <w:pStyle w:val="FootnoteText"/>
      </w:pPr>
      <w:r>
        <w:rPr>
          <w:rStyle w:val="FootnoteReference"/>
        </w:rPr>
        <w:footnoteRef/>
      </w:r>
      <w:r>
        <w:t xml:space="preserve"> </w:t>
      </w:r>
      <w:r>
        <w:tab/>
        <w:t>График 1, раздел 3;  см. приложение.</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График 9, раздел 6;  см. приложение.</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График 10, раздел 6;  см. приложение.</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График 11, раздел 6;  см. приложение.</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График 12, раздел 7;  см. приложение.</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График 13, раздел 7;  см. приложение.</w:t>
      </w:r>
    </w:p>
    <w:p w:rsidR="00000000" w:rsidRDefault="00000000">
      <w:pPr>
        <w:pStyle w:val="FootnoteText"/>
      </w:pPr>
    </w:p>
  </w:footnote>
  <w:footnote w:id="19">
    <w:p w:rsidR="00000000" w:rsidRDefault="00000000">
      <w:pPr>
        <w:pStyle w:val="FootnoteText"/>
      </w:pPr>
      <w:r>
        <w:rPr>
          <w:rStyle w:val="FootnoteReference"/>
        </w:rPr>
        <w:footnoteRef/>
      </w:r>
      <w:r>
        <w:t xml:space="preserve"> </w:t>
      </w:r>
      <w:r>
        <w:tab/>
        <w:t>График 14, раздел 7;  см. приложение.</w:t>
      </w:r>
    </w:p>
    <w:p w:rsidR="00000000" w:rsidRDefault="00000000">
      <w:pPr>
        <w:pStyle w:val="FootnoteText"/>
      </w:pPr>
    </w:p>
  </w:footnote>
  <w:footnote w:id="20">
    <w:p w:rsidR="00000000" w:rsidRDefault="00000000">
      <w:pPr>
        <w:pStyle w:val="FootnoteText"/>
      </w:pPr>
      <w:r>
        <w:rPr>
          <w:rStyle w:val="FootnoteReference"/>
        </w:rPr>
        <w:footnoteRef/>
      </w:r>
      <w:r>
        <w:t xml:space="preserve"> </w:t>
      </w:r>
      <w:r>
        <w:tab/>
        <w:t>Таблица 1, раздел 3;  см. приложение.</w:t>
      </w:r>
    </w:p>
    <w:p w:rsidR="00000000" w:rsidRDefault="00000000">
      <w:pPr>
        <w:pStyle w:val="FootnoteText"/>
      </w:pPr>
    </w:p>
  </w:footnote>
  <w:footnote w:id="21">
    <w:p w:rsidR="00000000" w:rsidRDefault="00000000">
      <w:pPr>
        <w:pStyle w:val="FootnoteText"/>
      </w:pPr>
      <w:r>
        <w:rPr>
          <w:rStyle w:val="FootnoteReference"/>
        </w:rPr>
        <w:footnoteRef/>
      </w:r>
      <w:r>
        <w:t xml:space="preserve"> </w:t>
      </w:r>
      <w:r>
        <w:tab/>
        <w:t>График 2, раздел 3;  см. приложение.</w:t>
      </w:r>
    </w:p>
  </w:footnote>
  <w:footnote w:id="22">
    <w:p w:rsidR="00000000" w:rsidRDefault="00000000">
      <w:pPr>
        <w:pStyle w:val="FootnoteText"/>
      </w:pPr>
      <w:r>
        <w:rPr>
          <w:rStyle w:val="FootnoteReference"/>
        </w:rPr>
        <w:footnoteRef/>
      </w:r>
      <w:r>
        <w:t xml:space="preserve"> </w:t>
      </w:r>
      <w:r>
        <w:tab/>
        <w:t>График 3, раздел 4;  см. приложение.</w:t>
      </w:r>
    </w:p>
    <w:p w:rsidR="00000000" w:rsidRDefault="00000000">
      <w:pPr>
        <w:pStyle w:val="FootnoteText"/>
      </w:pPr>
    </w:p>
  </w:footnote>
  <w:footnote w:id="23">
    <w:p w:rsidR="00000000" w:rsidRDefault="00000000">
      <w:pPr>
        <w:pStyle w:val="FootnoteText"/>
      </w:pPr>
      <w:r>
        <w:rPr>
          <w:rStyle w:val="FootnoteReference"/>
        </w:rPr>
        <w:footnoteRef/>
      </w:r>
      <w:r>
        <w:t xml:space="preserve"> </w:t>
      </w:r>
      <w:r>
        <w:tab/>
        <w:t>График 4, раздел 4;  см. приложение.</w:t>
      </w:r>
    </w:p>
  </w:footnote>
  <w:footnote w:id="24">
    <w:p w:rsidR="00000000" w:rsidRDefault="00000000">
      <w:pPr>
        <w:pStyle w:val="FootnoteText"/>
      </w:pPr>
      <w:r>
        <w:rPr>
          <w:rStyle w:val="FootnoteReference"/>
        </w:rPr>
        <w:footnoteRef/>
      </w:r>
      <w:r>
        <w:t xml:space="preserve"> </w:t>
      </w:r>
      <w:r>
        <w:tab/>
        <w:t>График 5, раздел 4;  см. приложение.</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График 6, раздел 5;  см. приложение.</w:t>
      </w:r>
    </w:p>
    <w:p w:rsidR="00000000" w:rsidRDefault="00000000">
      <w:pPr>
        <w:pStyle w:val="FootnoteText"/>
      </w:pPr>
    </w:p>
  </w:footnote>
  <w:footnote w:id="26">
    <w:p w:rsidR="00000000" w:rsidRDefault="00000000">
      <w:pPr>
        <w:pStyle w:val="FootnoteText"/>
      </w:pPr>
      <w:r>
        <w:rPr>
          <w:rStyle w:val="FootnoteReference"/>
        </w:rPr>
        <w:footnoteRef/>
      </w:r>
      <w:r>
        <w:t xml:space="preserve"> </w:t>
      </w:r>
      <w:r>
        <w:tab/>
        <w:t>График 7, раздел 5;  см. приложение.</w:t>
      </w:r>
    </w:p>
  </w:footnote>
  <w:footnote w:id="27">
    <w:p w:rsidR="00000000" w:rsidRDefault="00000000">
      <w:pPr>
        <w:pStyle w:val="FootnoteText"/>
      </w:pPr>
      <w:r>
        <w:rPr>
          <w:rStyle w:val="FootnoteReference"/>
        </w:rPr>
        <w:footnoteRef/>
      </w:r>
      <w:r>
        <w:t xml:space="preserve"> График 8, раздел 5;  см. приложение.</w:t>
      </w:r>
    </w:p>
  </w:footnote>
  <w:footnote w:id="28">
    <w:p w:rsidR="00000000" w:rsidRDefault="00000000">
      <w:pPr>
        <w:pStyle w:val="FootnoteText"/>
      </w:pPr>
      <w:r>
        <w:rPr>
          <w:rStyle w:val="FootnoteReference"/>
        </w:rPr>
        <w:footnoteRef/>
      </w:r>
      <w:r>
        <w:t xml:space="preserve"> </w:t>
      </w:r>
      <w:r>
        <w:tab/>
        <w:t>Согласно статье 40 Закона о начальном образовании компетентным муниципальным органам вменяется в обязанность принимать соответствующие меры в отношении родителей, которые своевременно не зачислили своего ребенка в школу, и родителей ребенка, который регулярно не посещает школу, не позднее чем через 15 дней после того, как им стало известно об указанных фактах.  В статье 44 Закона предусмотрено, что школа посредством решения ее директора может разрешить ученику, которому исполнилось 15 лет и который не закончил курс начальной подготовки и образования, посещать школу до 17</w:t>
      </w:r>
      <w:r>
        <w:noBreakHyphen/>
        <w:t>летнего возраста при наличии соответствующего ходатайства от ученика или его родителей.  В той же статье говорится о том, что умственно неполноценные учащиеся могут продолжать обучение для целей завершения программы начальной школы даже после того, как им исполняется 19 лет.</w:t>
      </w:r>
    </w:p>
    <w:p w:rsidR="00000000" w:rsidRDefault="00000000">
      <w:pPr>
        <w:pStyle w:val="FootnoteText"/>
      </w:pPr>
    </w:p>
  </w:footnote>
  <w:footnote w:id="29">
    <w:p w:rsidR="00000000" w:rsidRDefault="00000000">
      <w:pPr>
        <w:pStyle w:val="FootnoteText"/>
      </w:pPr>
      <w:r>
        <w:rPr>
          <w:rStyle w:val="FootnoteReference"/>
        </w:rPr>
        <w:footnoteRef/>
      </w:r>
      <w:r>
        <w:t xml:space="preserve"> </w:t>
      </w:r>
      <w:r>
        <w:tab/>
        <w:t>Используемые статистические данные были собраны Союзным статистическим управлением (ССУ).  С 1991/92 учебного года отсутствуют данные по охвату системой образования различных групп школьников в Косово и Метохиии, что снижает общий уровень процентного охвата детей системой образования в Республике.</w:t>
      </w:r>
    </w:p>
    <w:p w:rsidR="00000000" w:rsidRDefault="00000000">
      <w:pPr>
        <w:pStyle w:val="FootnoteText"/>
      </w:pPr>
    </w:p>
  </w:footnote>
  <w:footnote w:id="30">
    <w:p w:rsidR="00000000" w:rsidRDefault="00000000">
      <w:pPr>
        <w:pStyle w:val="FootnoteText"/>
        <w:rPr>
          <w:lang w:val="en-US"/>
        </w:rPr>
      </w:pPr>
      <w:r>
        <w:rPr>
          <w:rStyle w:val="FootnoteReference"/>
        </w:rPr>
        <w:footnoteRef/>
      </w:r>
      <w:r>
        <w:rPr>
          <w:lang w:val="en-US"/>
        </w:rPr>
        <w:t xml:space="preserve"> </w:t>
      </w:r>
      <w:r>
        <w:rPr>
          <w:lang w:val="en-US"/>
        </w:rPr>
        <w:tab/>
        <w:t>"In-depth analysis of primary education in the Federal Republic of Yugoslavia", UNICEF, Belgrade, 2001.</w:t>
      </w:r>
    </w:p>
    <w:p w:rsidR="00000000" w:rsidRDefault="00000000">
      <w:pPr>
        <w:pStyle w:val="FootnoteText"/>
        <w:rPr>
          <w:lang w:val="en-US"/>
        </w:rPr>
      </w:pPr>
    </w:p>
  </w:footnote>
  <w:footnote w:id="31">
    <w:p w:rsidR="00000000" w:rsidRDefault="00000000">
      <w:pPr>
        <w:pStyle w:val="FootnoteText"/>
      </w:pPr>
      <w:r>
        <w:rPr>
          <w:rStyle w:val="FootnoteReference"/>
        </w:rPr>
        <w:footnoteRef/>
      </w:r>
      <w:r>
        <w:t xml:space="preserve"> </w:t>
      </w:r>
      <w:r>
        <w:tab/>
        <w:t xml:space="preserve">Согласно данным переписи 1991 года, почти две трети рома не окончили начальную школу, при этом дети рома представляли собой наиболее многочисленную группу детей школьного возраста, которые не были зачислены в первый класс.  Кроме того, для детей рома характерен наиболее высокий уровень отсева (особенно в старших классах начальной школы).  На втором месте среди этнических групп, не реализующих свое право на образование, находились влахи.  (1% рома причисляют себя к влахам.  Точных данных не имеется.)  Результаты переписи 1991 года показывают, что около 70% влахов не окончили начальную школу, </w:t>
      </w:r>
      <w:r>
        <w:rPr>
          <w:lang w:val="en-US"/>
        </w:rPr>
        <w:t>In</w:t>
      </w:r>
      <w:r>
        <w:t>-</w:t>
      </w:r>
      <w:r>
        <w:rPr>
          <w:lang w:val="en-US"/>
        </w:rPr>
        <w:t>depth</w:t>
      </w:r>
      <w:r>
        <w:t xml:space="preserve"> </w:t>
      </w:r>
      <w:r>
        <w:rPr>
          <w:lang w:val="en-US"/>
        </w:rPr>
        <w:t>analysis</w:t>
      </w:r>
      <w:r>
        <w:t xml:space="preserve"> </w:t>
      </w:r>
      <w:r>
        <w:rPr>
          <w:lang w:val="en-US"/>
        </w:rPr>
        <w:t>of</w:t>
      </w:r>
      <w:r>
        <w:t xml:space="preserve"> </w:t>
      </w:r>
      <w:r>
        <w:rPr>
          <w:lang w:val="en-US"/>
        </w:rPr>
        <w:t>primary</w:t>
      </w:r>
      <w:r>
        <w:t xml:space="preserve"> </w:t>
      </w:r>
      <w:r>
        <w:rPr>
          <w:lang w:val="en-US"/>
        </w:rPr>
        <w:t>education</w:t>
      </w:r>
      <w:r>
        <w:t xml:space="preserve"> </w:t>
      </w:r>
      <w:r>
        <w:rPr>
          <w:lang w:val="en-US"/>
        </w:rPr>
        <w:t>in</w:t>
      </w:r>
      <w:r>
        <w:t xml:space="preserve"> </w:t>
      </w:r>
      <w:r>
        <w:rPr>
          <w:lang w:val="en-US"/>
        </w:rPr>
        <w:t>the</w:t>
      </w:r>
      <w:r>
        <w:t xml:space="preserve"> </w:t>
      </w:r>
      <w:r>
        <w:rPr>
          <w:lang w:val="en-US"/>
        </w:rPr>
        <w:t>Federal</w:t>
      </w:r>
      <w:r>
        <w:t xml:space="preserve"> </w:t>
      </w:r>
      <w:r>
        <w:rPr>
          <w:lang w:val="en-US"/>
        </w:rPr>
        <w:t>Republic</w:t>
      </w:r>
      <w:r>
        <w:t xml:space="preserve"> </w:t>
      </w:r>
      <w:r>
        <w:rPr>
          <w:lang w:val="en-US"/>
        </w:rPr>
        <w:t>of</w:t>
      </w:r>
      <w:r>
        <w:t xml:space="preserve"> </w:t>
      </w:r>
      <w:r>
        <w:rPr>
          <w:lang w:val="en-US"/>
        </w:rPr>
        <w:t>Yugoslavia</w:t>
      </w:r>
      <w:r>
        <w:t xml:space="preserve">, </w:t>
      </w:r>
      <w:r>
        <w:rPr>
          <w:lang w:val="en-US"/>
        </w:rPr>
        <w:t>UNICEF</w:t>
      </w:r>
      <w:r>
        <w:t xml:space="preserve">, </w:t>
      </w:r>
      <w:r>
        <w:rPr>
          <w:lang w:val="en-US"/>
        </w:rPr>
        <w:t>Belgrade</w:t>
      </w:r>
      <w:r>
        <w:t>, 2001, р. 131.</w:t>
      </w:r>
    </w:p>
    <w:p w:rsidR="00000000" w:rsidRDefault="00000000">
      <w:pPr>
        <w:pStyle w:val="FootnoteText"/>
        <w:spacing w:line="720" w:lineRule="auto"/>
      </w:pPr>
    </w:p>
  </w:footnote>
  <w:footnote w:id="32">
    <w:p w:rsidR="00000000" w:rsidRDefault="00000000">
      <w:pPr>
        <w:pStyle w:val="FootnoteText"/>
      </w:pPr>
      <w:r>
        <w:rPr>
          <w:rStyle w:val="FootnoteReference"/>
        </w:rPr>
        <w:footnoteRef/>
      </w:r>
      <w:r>
        <w:t xml:space="preserve"> </w:t>
      </w:r>
      <w:r>
        <w:tab/>
        <w:t>Закон о средней школе Республики Сербии, Официальный вестник Республики Сербии, № 50/1992.</w:t>
      </w:r>
    </w:p>
    <w:p w:rsidR="00000000" w:rsidRDefault="00000000">
      <w:pPr>
        <w:pStyle w:val="FootnoteText"/>
      </w:pPr>
    </w:p>
  </w:footnote>
  <w:footnote w:id="33">
    <w:p w:rsidR="00000000" w:rsidRDefault="00000000">
      <w:pPr>
        <w:pStyle w:val="FootnoteText"/>
        <w:rPr>
          <w:lang w:val="en-US"/>
        </w:rPr>
      </w:pPr>
      <w:r>
        <w:rPr>
          <w:rStyle w:val="FootnoteReference"/>
        </w:rPr>
        <w:footnoteRef/>
      </w:r>
      <w:r>
        <w:rPr>
          <w:lang w:val="en-US"/>
        </w:rPr>
        <w:t xml:space="preserve"> </w:t>
      </w:r>
      <w:r>
        <w:rPr>
          <w:lang w:val="en-US"/>
        </w:rPr>
        <w:tab/>
        <w:t>A Quality Education for All:  the Road to a Developed Society, Ministry of Education and Sport of the Republic of Serbia, Belgrade, 2002, p. 261.</w:t>
      </w:r>
    </w:p>
    <w:p w:rsidR="00000000" w:rsidRDefault="00000000">
      <w:pPr>
        <w:pStyle w:val="FootnoteText"/>
        <w:rPr>
          <w:lang w:val="en-US"/>
        </w:rPr>
      </w:pPr>
    </w:p>
  </w:footnote>
  <w:footnote w:id="34">
    <w:p w:rsidR="00000000" w:rsidRDefault="00000000">
      <w:pPr>
        <w:pStyle w:val="FootnoteText"/>
        <w:rPr>
          <w:lang w:val="en-US"/>
        </w:rPr>
      </w:pPr>
      <w:r>
        <w:rPr>
          <w:rStyle w:val="FootnoteReference"/>
        </w:rPr>
        <w:footnoteRef/>
      </w:r>
      <w:r>
        <w:rPr>
          <w:lang w:val="en-US"/>
        </w:rPr>
        <w:t xml:space="preserve"> </w:t>
      </w:r>
      <w:r>
        <w:rPr>
          <w:lang w:val="en-US"/>
        </w:rPr>
        <w:tab/>
        <w:t>The Economic Cost of Secondary Education in Serbia, School of Economics Research Centre, Belgrade, 2002, pp. 21-81.</w:t>
      </w:r>
    </w:p>
    <w:p w:rsidR="00000000" w:rsidRDefault="00000000">
      <w:pPr>
        <w:pStyle w:val="FootnoteText"/>
        <w:rPr>
          <w:lang w:val="en-US"/>
        </w:rPr>
      </w:pPr>
    </w:p>
  </w:footnote>
  <w:footnote w:id="35">
    <w:p w:rsidR="00000000" w:rsidRDefault="00000000">
      <w:pPr>
        <w:pStyle w:val="FootnoteText"/>
        <w:spacing w:line="216" w:lineRule="auto"/>
      </w:pPr>
      <w:r>
        <w:rPr>
          <w:rStyle w:val="FootnoteReference"/>
        </w:rPr>
        <w:footnoteRef/>
      </w:r>
      <w:r>
        <w:t xml:space="preserve"> </w:t>
      </w:r>
      <w:r>
        <w:tab/>
        <w:t>"Процедура приема абитуриентов не является централизованной:  каждое высшее учебное заведение имеет собственную экзаменационную комиссию, на которую возлагается задача проведения вступительных экзаменов.  Экзамены состоят из одного или двух письменных тестов или сочинений по темам, относящимся к соответствующей области обучения.  Экзамены носят конкурсный характер, при этом допущенные до экзаменов абитуриенты должны набрать более 30% необходимых баллов для зачисления с самостоятельной оплатой обучения, и более 50% - для зачисления в высшие учебные заведения с оплатой расходов на обучение из бюджета государства.  Необходимый для поступления проходной балл на 60% определяется результатами вступительных экзаменов и на 40% - средним баллом за все четыре года обучения в средней школе" (</w:t>
      </w:r>
      <w:r>
        <w:rPr>
          <w:lang w:val="en-US"/>
        </w:rPr>
        <w:t>Quality</w:t>
      </w:r>
      <w:r>
        <w:t xml:space="preserve"> </w:t>
      </w:r>
      <w:r>
        <w:rPr>
          <w:lang w:val="en-US"/>
        </w:rPr>
        <w:t>Education</w:t>
      </w:r>
      <w:r>
        <w:t xml:space="preserve"> </w:t>
      </w:r>
      <w:r>
        <w:rPr>
          <w:lang w:val="en-US"/>
        </w:rPr>
        <w:t>for</w:t>
      </w:r>
      <w:r>
        <w:t xml:space="preserve"> </w:t>
      </w:r>
      <w:r>
        <w:rPr>
          <w:lang w:val="en-US"/>
        </w:rPr>
        <w:t>All</w:t>
      </w:r>
      <w:r>
        <w:t xml:space="preserve">:  </w:t>
      </w:r>
      <w:r>
        <w:rPr>
          <w:lang w:val="en-US"/>
        </w:rPr>
        <w:t>the</w:t>
      </w:r>
      <w:r>
        <w:t xml:space="preserve"> </w:t>
      </w:r>
      <w:r>
        <w:rPr>
          <w:lang w:val="en-US"/>
        </w:rPr>
        <w:t>Road</w:t>
      </w:r>
      <w:r>
        <w:t xml:space="preserve"> </w:t>
      </w:r>
      <w:r>
        <w:rPr>
          <w:lang w:val="en-US"/>
        </w:rPr>
        <w:t>to</w:t>
      </w:r>
      <w:r>
        <w:t xml:space="preserve"> </w:t>
      </w:r>
      <w:r>
        <w:rPr>
          <w:lang w:val="en-US"/>
        </w:rPr>
        <w:t>a</w:t>
      </w:r>
      <w:r>
        <w:t xml:space="preserve"> </w:t>
      </w:r>
      <w:r>
        <w:rPr>
          <w:lang w:val="en-US"/>
        </w:rPr>
        <w:t>Developed</w:t>
      </w:r>
      <w:r>
        <w:t xml:space="preserve"> </w:t>
      </w:r>
      <w:r>
        <w:rPr>
          <w:lang w:val="en-US"/>
        </w:rPr>
        <w:t>Soc</w:t>
      </w:r>
      <w:r>
        <w:rPr>
          <w:lang w:val="fr-CH"/>
        </w:rPr>
        <w:t>i</w:t>
      </w:r>
      <w:r>
        <w:rPr>
          <w:lang w:val="en-US"/>
        </w:rPr>
        <w:t>ety</w:t>
      </w:r>
      <w:r>
        <w:t xml:space="preserve">, </w:t>
      </w:r>
      <w:r>
        <w:rPr>
          <w:lang w:val="en-US"/>
        </w:rPr>
        <w:t>Ministry</w:t>
      </w:r>
      <w:r>
        <w:t xml:space="preserve"> </w:t>
      </w:r>
      <w:r>
        <w:rPr>
          <w:lang w:val="en-US"/>
        </w:rPr>
        <w:t>of</w:t>
      </w:r>
      <w:r>
        <w:t xml:space="preserve"> </w:t>
      </w:r>
      <w:r>
        <w:rPr>
          <w:lang w:val="en-US"/>
        </w:rPr>
        <w:t>Education</w:t>
      </w:r>
      <w:r>
        <w:t xml:space="preserve"> </w:t>
      </w:r>
      <w:r>
        <w:rPr>
          <w:lang w:val="en-US"/>
        </w:rPr>
        <w:t>and</w:t>
      </w:r>
      <w:r>
        <w:t xml:space="preserve"> </w:t>
      </w:r>
      <w:r>
        <w:rPr>
          <w:lang w:val="en-US"/>
        </w:rPr>
        <w:t>Sport</w:t>
      </w:r>
      <w:r>
        <w:t xml:space="preserve"> </w:t>
      </w:r>
      <w:r>
        <w:rPr>
          <w:lang w:val="en-US"/>
        </w:rPr>
        <w:t>of</w:t>
      </w:r>
      <w:r>
        <w:t xml:space="preserve"> </w:t>
      </w:r>
      <w:r>
        <w:rPr>
          <w:lang w:val="en-US"/>
        </w:rPr>
        <w:t>the</w:t>
      </w:r>
      <w:r>
        <w:t xml:space="preserve"> </w:t>
      </w:r>
      <w:r>
        <w:rPr>
          <w:lang w:val="en-US"/>
        </w:rPr>
        <w:t>Republic</w:t>
      </w:r>
      <w:r>
        <w:t xml:space="preserve"> </w:t>
      </w:r>
      <w:r>
        <w:rPr>
          <w:lang w:val="en-US"/>
        </w:rPr>
        <w:t>of</w:t>
      </w:r>
      <w:r>
        <w:t xml:space="preserve"> </w:t>
      </w:r>
      <w:r>
        <w:rPr>
          <w:lang w:val="en-US"/>
        </w:rPr>
        <w:t>Serbia</w:t>
      </w:r>
      <w:r>
        <w:t xml:space="preserve">, </w:t>
      </w:r>
      <w:r>
        <w:rPr>
          <w:lang w:val="en-US"/>
        </w:rPr>
        <w:t>Belgrade</w:t>
      </w:r>
      <w:r>
        <w:t xml:space="preserve">, 2002, </w:t>
      </w:r>
      <w:r>
        <w:rPr>
          <w:lang w:val="en-US"/>
        </w:rPr>
        <w:t>p</w:t>
      </w:r>
      <w:r>
        <w:t>. 294).</w:t>
      </w:r>
    </w:p>
  </w:footnote>
  <w:footnote w:id="36">
    <w:p w:rsidR="00000000" w:rsidRDefault="00000000">
      <w:pPr>
        <w:pStyle w:val="FootnoteText"/>
        <w:rPr>
          <w:lang w:val="en-US"/>
        </w:rPr>
      </w:pPr>
      <w:r>
        <w:rPr>
          <w:rStyle w:val="FootnoteReference"/>
        </w:rPr>
        <w:footnoteRef/>
      </w:r>
      <w:r>
        <w:rPr>
          <w:lang w:val="en-US"/>
        </w:rPr>
        <w:t xml:space="preserve"> </w:t>
      </w:r>
      <w:r>
        <w:rPr>
          <w:lang w:val="en-US"/>
        </w:rPr>
        <w:tab/>
        <w:t>Ibid.</w:t>
      </w:r>
    </w:p>
  </w:footnote>
  <w:footnote w:id="37">
    <w:p w:rsidR="00000000" w:rsidRDefault="00000000">
      <w:pPr>
        <w:pStyle w:val="FootnoteText"/>
      </w:pPr>
      <w:r>
        <w:rPr>
          <w:rStyle w:val="FootnoteReference"/>
        </w:rPr>
        <w:footnoteRef/>
      </w:r>
      <w:r>
        <w:rPr>
          <w:lang w:val="en-US"/>
        </w:rPr>
        <w:t xml:space="preserve"> </w:t>
      </w:r>
      <w:r>
        <w:rPr>
          <w:lang w:val="en-US"/>
        </w:rPr>
        <w:tab/>
        <w:t>Ibid, рр. 300-301.</w:t>
      </w:r>
    </w:p>
    <w:p w:rsidR="00000000" w:rsidRDefault="00000000">
      <w:pPr>
        <w:pStyle w:val="FootnoteText"/>
      </w:pPr>
    </w:p>
  </w:footnote>
  <w:footnote w:id="38">
    <w:p w:rsidR="00000000" w:rsidRDefault="00000000">
      <w:pPr>
        <w:pStyle w:val="FootnoteText"/>
      </w:pPr>
      <w:r>
        <w:rPr>
          <w:rStyle w:val="FootnoteReference"/>
        </w:rPr>
        <w:footnoteRef/>
      </w:r>
      <w:r>
        <w:t xml:space="preserve"> </w:t>
      </w:r>
      <w:r>
        <w:tab/>
      </w:r>
      <w:r>
        <w:rPr>
          <w:lang w:val="en-US"/>
        </w:rPr>
        <w:t>Ibid, р. 297.</w:t>
      </w:r>
    </w:p>
  </w:footnote>
  <w:footnote w:id="39">
    <w:p w:rsidR="00000000" w:rsidRDefault="00000000">
      <w:pPr>
        <w:pStyle w:val="FootnoteText"/>
        <w:rPr>
          <w:lang w:val="fr-CH"/>
        </w:rPr>
      </w:pPr>
      <w:r>
        <w:rPr>
          <w:rStyle w:val="FootnoteReference"/>
        </w:rPr>
        <w:footnoteRef/>
      </w:r>
      <w:r>
        <w:rPr>
          <w:lang w:val="en-US"/>
        </w:rPr>
        <w:t xml:space="preserve"> </w:t>
      </w:r>
      <w:r>
        <w:rPr>
          <w:lang w:val="en-US"/>
        </w:rPr>
        <w:tab/>
      </w:r>
      <w:r>
        <w:rPr>
          <w:lang w:val="fr-CH"/>
        </w:rPr>
        <w:t>Ibid</w:t>
      </w:r>
      <w:r>
        <w:rPr>
          <w:lang w:val="en-US"/>
        </w:rPr>
        <w:t>.</w:t>
      </w:r>
      <w:r>
        <w:rPr>
          <w:lang w:val="fr-CH"/>
        </w:rPr>
        <w:t>, p</w:t>
      </w:r>
      <w:r>
        <w:rPr>
          <w:lang w:val="en-US"/>
        </w:rPr>
        <w:t>.</w:t>
      </w:r>
      <w:r>
        <w:rPr>
          <w:lang w:val="fr-CH"/>
        </w:rPr>
        <w:t xml:space="preserve"> 324.</w:t>
      </w:r>
    </w:p>
  </w:footnote>
  <w:footnote w:id="40">
    <w:p w:rsidR="00000000" w:rsidRDefault="00000000">
      <w:pPr>
        <w:pStyle w:val="FootnoteText"/>
        <w:rPr>
          <w:lang w:val="en-US"/>
        </w:rPr>
      </w:pPr>
      <w:r>
        <w:rPr>
          <w:rStyle w:val="FootnoteReference"/>
        </w:rPr>
        <w:footnoteRef/>
      </w:r>
      <w:r>
        <w:rPr>
          <w:lang w:val="en-US"/>
        </w:rPr>
        <w:t xml:space="preserve"> </w:t>
      </w:r>
      <w:r>
        <w:rPr>
          <w:lang w:val="en-US"/>
        </w:rPr>
        <w:tab/>
        <w:t>Ibid., p. 242.</w:t>
      </w:r>
    </w:p>
    <w:p w:rsidR="00000000" w:rsidRDefault="00000000">
      <w:pPr>
        <w:pStyle w:val="FootnoteText"/>
        <w:rPr>
          <w:lang w:val="en-US"/>
        </w:rPr>
      </w:pPr>
    </w:p>
  </w:footnote>
  <w:footnote w:id="41">
    <w:p w:rsidR="00000000" w:rsidRDefault="00000000">
      <w:pPr>
        <w:pStyle w:val="FootnoteText"/>
      </w:pPr>
      <w:r>
        <w:rPr>
          <w:rStyle w:val="FootnoteReference"/>
        </w:rPr>
        <w:footnoteRef/>
      </w:r>
      <w:r>
        <w:rPr>
          <w:lang w:val="en-US"/>
        </w:rPr>
        <w:t xml:space="preserve"> </w:t>
      </w:r>
      <w:r>
        <w:rPr>
          <w:lang w:val="en-US"/>
        </w:rPr>
        <w:tab/>
        <w:t>Ibid., p. 32.</w:t>
      </w:r>
    </w:p>
    <w:p w:rsidR="00000000" w:rsidRDefault="00000000">
      <w:pPr>
        <w:pStyle w:val="FootnoteText"/>
      </w:pPr>
    </w:p>
  </w:footnote>
  <w:footnote w:id="42">
    <w:p w:rsidR="00000000" w:rsidRDefault="00000000">
      <w:pPr>
        <w:pStyle w:val="FootnoteText"/>
      </w:pPr>
      <w:r>
        <w:rPr>
          <w:rStyle w:val="FootnoteReference"/>
        </w:rPr>
        <w:footnoteRef/>
      </w:r>
      <w:r>
        <w:t xml:space="preserve"> </w:t>
      </w:r>
      <w:r>
        <w:tab/>
        <w:t>Таблица 1, см. приложение.</w:t>
      </w:r>
    </w:p>
    <w:p w:rsidR="00000000" w:rsidRDefault="00000000">
      <w:pPr>
        <w:pStyle w:val="FootnoteText"/>
      </w:pPr>
    </w:p>
  </w:footnote>
  <w:footnote w:id="43">
    <w:p w:rsidR="00000000" w:rsidRDefault="00000000">
      <w:pPr>
        <w:pStyle w:val="FootnoteText"/>
      </w:pPr>
      <w:r>
        <w:rPr>
          <w:rStyle w:val="FootnoteReference"/>
        </w:rPr>
        <w:footnoteRef/>
      </w:r>
      <w:r>
        <w:t xml:space="preserve"> </w:t>
      </w:r>
      <w:r>
        <w:tab/>
        <w:t>In-depth Analysis of Primary Education in the FRY, UNICEF, Belgrade, 2001, p. 37.</w:t>
      </w:r>
    </w:p>
  </w:footnote>
  <w:footnote w:id="44">
    <w:p w:rsidR="00000000" w:rsidRDefault="00000000">
      <w:pPr>
        <w:pStyle w:val="FootnoteText"/>
      </w:pPr>
      <w:r>
        <w:rPr>
          <w:rStyle w:val="FootnoteReference"/>
        </w:rPr>
        <w:footnoteRef/>
      </w:r>
      <w:r>
        <w:t xml:space="preserve"> </w:t>
      </w:r>
      <w:r>
        <w:tab/>
        <w:t>Таблица 2, см. приложение.</w:t>
      </w:r>
    </w:p>
    <w:p w:rsidR="00000000" w:rsidRDefault="00000000">
      <w:pPr>
        <w:pStyle w:val="FootnoteText"/>
      </w:pPr>
    </w:p>
  </w:footnote>
  <w:footnote w:id="45">
    <w:p w:rsidR="00000000" w:rsidRDefault="00000000">
      <w:pPr>
        <w:pStyle w:val="FootnoteText"/>
      </w:pPr>
      <w:r>
        <w:rPr>
          <w:rStyle w:val="FootnoteReference"/>
        </w:rPr>
        <w:footnoteRef/>
      </w:r>
      <w:r>
        <w:t xml:space="preserve"> </w:t>
      </w:r>
      <w:r>
        <w:tab/>
        <w:t>Ibid., p. 67.</w:t>
      </w:r>
    </w:p>
    <w:p w:rsidR="00000000" w:rsidRDefault="00000000">
      <w:pPr>
        <w:pStyle w:val="FootnoteText"/>
      </w:pPr>
    </w:p>
  </w:footnote>
  <w:footnote w:id="46">
    <w:p w:rsidR="00000000" w:rsidRDefault="00000000">
      <w:pPr>
        <w:pStyle w:val="FootnoteText"/>
      </w:pPr>
      <w:r>
        <w:rPr>
          <w:rStyle w:val="FootnoteReference"/>
        </w:rPr>
        <w:footnoteRef/>
      </w:r>
      <w:r>
        <w:t xml:space="preserve"> </w:t>
      </w:r>
      <w:r>
        <w:tab/>
        <w:t>Согласно результатам проведенного ЮНИСЕФ анализа системы образования в Союзной Республике Югославии, в 1990/1991 году доля учащихся, окончивших пятый класс, составляла в среднем 95%, тогда как доля учащихся, окончивших другие классы, в среднем превышала 97%.  В 1995/1996 учебном году этот показатель превышал 96%, однако доля учащихся, успешно окончивших программу обучения в других классах, была более 98%.  Если в 1998/1999 учебном году этот показатель превышал 98%, то по другим классам он был выше 99% ("Analysis of primary education system", UNICEF, Belgrade, 2001, p. 102).</w:t>
      </w:r>
    </w:p>
  </w:footnote>
  <w:footnote w:id="47">
    <w:p w:rsidR="00000000" w:rsidRDefault="00000000">
      <w:pPr>
        <w:pStyle w:val="FootnoteText"/>
      </w:pPr>
    </w:p>
    <w:p w:rsidR="00000000" w:rsidRDefault="00000000">
      <w:pPr>
        <w:pStyle w:val="FootnoteText"/>
      </w:pPr>
      <w:r>
        <w:rPr>
          <w:rStyle w:val="FootnoteReference"/>
        </w:rPr>
        <w:footnoteRef/>
      </w:r>
      <w:r>
        <w:t xml:space="preserve"> </w:t>
      </w:r>
      <w:r>
        <w:tab/>
        <w:t>Ibid., p. 67.</w:t>
      </w:r>
    </w:p>
    <w:p w:rsidR="00000000" w:rsidRDefault="00000000">
      <w:pPr>
        <w:pStyle w:val="FootnoteText"/>
      </w:pPr>
    </w:p>
  </w:footnote>
  <w:footnote w:id="48">
    <w:p w:rsidR="00000000" w:rsidRDefault="00000000">
      <w:pPr>
        <w:pStyle w:val="FootnoteText"/>
        <w:spacing w:line="216" w:lineRule="auto"/>
      </w:pPr>
      <w:r>
        <w:rPr>
          <w:rStyle w:val="FootnoteReference"/>
        </w:rPr>
        <w:footnoteRef/>
      </w:r>
      <w:r>
        <w:t xml:space="preserve"> </w:t>
      </w:r>
      <w:r>
        <w:tab/>
        <w:t>Эти категории включают детей беженцев и внутренних перемещенных лиц, проживающих в специальных центрах размещения.  Обследование, проведенное по методологии многофакторной гнездовой выборки (МICS) в 2000 году, в частности, показало, что общий уровень посещаемости школы этими детьми составил 92,3% (по сравнению с 97,4% в среднем по стране).  До июня 2001 года в местах специального размещения проживало 28 900 беженцев и 16 900 внутренних перемещенных лиц.  С учетом того, что по своей возрастной структуре эта группа аналогична населению страны в целом, в специальных центрах размещения проживают около 5 000 детей школьного возраста;  из них около 400, возможно, не посещают школьные занятия.  (In depth analysis of рrimary education in the FRY, UNICEF, Belgrade, 2001, p. 103).</w:t>
      </w:r>
    </w:p>
    <w:p w:rsidR="00000000" w:rsidRDefault="00000000">
      <w:pPr>
        <w:pStyle w:val="FootnoteText"/>
        <w:spacing w:line="480" w:lineRule="auto"/>
      </w:pPr>
    </w:p>
  </w:footnote>
  <w:footnote w:id="49">
    <w:p w:rsidR="00000000" w:rsidRDefault="00000000">
      <w:pPr>
        <w:pStyle w:val="FootnoteText"/>
      </w:pPr>
      <w:r>
        <w:rPr>
          <w:rStyle w:val="FootnoteReference"/>
        </w:rPr>
        <w:footnoteRef/>
      </w:r>
      <w:r>
        <w:t xml:space="preserve"> </w:t>
      </w:r>
      <w:r>
        <w:tab/>
        <w:t xml:space="preserve">Таблица 17, приложение. </w:t>
      </w:r>
    </w:p>
    <w:p w:rsidR="00000000" w:rsidRDefault="00000000">
      <w:pPr>
        <w:pStyle w:val="FootnoteText"/>
      </w:pPr>
    </w:p>
  </w:footnote>
  <w:footnote w:id="50">
    <w:p w:rsidR="00000000" w:rsidRDefault="00000000">
      <w:pPr>
        <w:pStyle w:val="FootnoteText"/>
      </w:pPr>
      <w:r>
        <w:rPr>
          <w:rStyle w:val="FootnoteReference"/>
        </w:rPr>
        <w:footnoteRef/>
      </w:r>
      <w:r>
        <w:rPr>
          <w:lang w:val="en-US"/>
        </w:rPr>
        <w:t xml:space="preserve"> </w:t>
      </w:r>
      <w:r>
        <w:tab/>
      </w:r>
      <w:r>
        <w:rPr>
          <w:lang w:val="en-US"/>
        </w:rPr>
        <w:t>Economic cost of secondary education in Serbia, School of Economics, Research Centre, Belgrade, 2002.</w:t>
      </w:r>
    </w:p>
    <w:p w:rsidR="00000000" w:rsidRDefault="00000000">
      <w:pPr>
        <w:pStyle w:val="FootnoteText"/>
      </w:pPr>
    </w:p>
  </w:footnote>
  <w:footnote w:id="51">
    <w:p w:rsidR="00000000" w:rsidRDefault="00000000">
      <w:pPr>
        <w:pStyle w:val="FootnoteText"/>
      </w:pPr>
      <w:r>
        <w:rPr>
          <w:rStyle w:val="FootnoteReference"/>
        </w:rPr>
        <w:footnoteRef/>
      </w:r>
      <w:r>
        <w:t xml:space="preserve"> </w:t>
      </w:r>
      <w:r>
        <w:tab/>
        <w:t xml:space="preserve">Таблица 18, приложение.  </w:t>
      </w:r>
    </w:p>
  </w:footnote>
  <w:footnote w:id="52">
    <w:p w:rsidR="00000000" w:rsidRDefault="00000000">
      <w:pPr>
        <w:pStyle w:val="FootnoteText"/>
      </w:pPr>
      <w:r>
        <w:rPr>
          <w:rStyle w:val="FootnoteReference"/>
        </w:rPr>
        <w:footnoteRef/>
      </w:r>
      <w:r>
        <w:t xml:space="preserve"> </w:t>
      </w:r>
      <w:r>
        <w:tab/>
        <w:t>Таблица 19, приложение.</w:t>
      </w:r>
    </w:p>
    <w:p w:rsidR="00000000" w:rsidRDefault="00000000">
      <w:pPr>
        <w:pStyle w:val="FootnoteText"/>
      </w:pPr>
    </w:p>
  </w:footnote>
  <w:footnote w:id="53">
    <w:p w:rsidR="00000000" w:rsidRDefault="00000000">
      <w:pPr>
        <w:pStyle w:val="FootnoteText"/>
        <w:rPr>
          <w:lang w:val="en-US"/>
        </w:rPr>
      </w:pPr>
      <w:r>
        <w:rPr>
          <w:rStyle w:val="FootnoteReference"/>
        </w:rPr>
        <w:footnoteRef/>
      </w:r>
      <w:r>
        <w:rPr>
          <w:lang w:val="en-US"/>
        </w:rPr>
        <w:t xml:space="preserve"> </w:t>
      </w:r>
      <w:r>
        <w:tab/>
      </w:r>
      <w:r>
        <w:rPr>
          <w:lang w:val="en-US"/>
        </w:rPr>
        <w:t>A brave new generation; young people in the FRY, Facts and Recommendations, Belgrade UNICEF Office, Belgrade, 2002. p. 49.</w:t>
      </w:r>
    </w:p>
  </w:footnote>
  <w:footnote w:id="54">
    <w:p w:rsidR="00000000" w:rsidRDefault="00000000">
      <w:pPr>
        <w:pStyle w:val="FootnoteText"/>
        <w:rPr>
          <w:lang w:val="en-US"/>
        </w:rPr>
      </w:pPr>
      <w:r>
        <w:rPr>
          <w:rStyle w:val="FootnoteReference"/>
        </w:rPr>
        <w:footnoteRef/>
      </w:r>
      <w:r>
        <w:rPr>
          <w:lang w:val="en-US"/>
        </w:rPr>
        <w:t xml:space="preserve"> </w:t>
      </w:r>
      <w:r>
        <w:rPr>
          <w:lang w:val="en-US"/>
        </w:rPr>
        <w:tab/>
        <w:t>"In-depth analysis of primary education in the FRY", UNICEF, Belgrade, 2001.</w:t>
      </w:r>
    </w:p>
    <w:p w:rsidR="00000000" w:rsidRDefault="00000000">
      <w:pPr>
        <w:pStyle w:val="FootnoteText"/>
        <w:rPr>
          <w:lang w:val="en-US"/>
        </w:rPr>
      </w:pPr>
    </w:p>
  </w:footnote>
  <w:footnote w:id="55">
    <w:p w:rsidR="00000000" w:rsidRDefault="00000000">
      <w:pPr>
        <w:pStyle w:val="FootnoteText"/>
      </w:pPr>
      <w:r>
        <w:rPr>
          <w:rStyle w:val="FootnoteReference"/>
        </w:rPr>
        <w:footnoteRef/>
      </w:r>
      <w:r>
        <w:t xml:space="preserve"> </w:t>
      </w:r>
      <w:r>
        <w:tab/>
        <w:t xml:space="preserve">Результаты (проведенного ЮНИСЕФ) подробного исследования  системы начального образования в Союзной Республике Югославии показали, что "весьма значительное количество детей рома посещают специальные школы.  Официальных статистических данных по данному вопросу не имеется, однако некоторые данные указывают, что дети рома составляют 50-80% от учащихся специальных школ.  Даже если дети рома зачисляются в обычные школы, позднее их зачастую переводят в специальные школы на основании трудностей в ходе выполнения необходимых условий для обучения в обычной школе…", </w:t>
      </w:r>
      <w:r>
        <w:rPr>
          <w:lang w:val="en-US"/>
        </w:rPr>
        <w:t>Ibid</w:t>
      </w:r>
      <w:r>
        <w:t xml:space="preserve">. </w:t>
      </w:r>
      <w:r>
        <w:rPr>
          <w:lang w:val="en-US"/>
        </w:rPr>
        <w:t>p</w:t>
      </w:r>
      <w:r>
        <w:t>. 95.</w:t>
      </w:r>
    </w:p>
    <w:p w:rsidR="00000000" w:rsidRDefault="00000000">
      <w:pPr>
        <w:pStyle w:val="FootnoteText"/>
      </w:pPr>
    </w:p>
  </w:footnote>
  <w:footnote w:id="56">
    <w:p w:rsidR="00000000" w:rsidRDefault="00000000">
      <w:pPr>
        <w:pStyle w:val="FootnoteText"/>
      </w:pPr>
      <w:r>
        <w:rPr>
          <w:rStyle w:val="FootnoteReference"/>
        </w:rPr>
        <w:footnoteRef/>
      </w:r>
      <w:r>
        <w:rPr>
          <w:lang w:val="en-US"/>
        </w:rPr>
        <w:t xml:space="preserve"> </w:t>
      </w:r>
      <w:r>
        <w:rPr>
          <w:lang w:val="en-US"/>
        </w:rPr>
        <w:tab/>
        <w:t>Ibid. p. 95.</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tab/>
      </w:r>
      <w:r>
        <w:rPr>
          <w:lang w:val="en-US"/>
        </w:rPr>
        <w:t>Ibid</w:t>
      </w:r>
      <w:r>
        <w:t xml:space="preserve">. </w:t>
      </w:r>
      <w:r>
        <w:rPr>
          <w:lang w:val="en-US"/>
        </w:rPr>
        <w:t>p</w:t>
      </w:r>
      <w:r>
        <w:t>. 96.</w:t>
      </w:r>
    </w:p>
  </w:footnote>
  <w:footnote w:id="58">
    <w:p w:rsidR="00000000" w:rsidRDefault="00000000">
      <w:pPr>
        <w:pStyle w:val="FootnoteText"/>
      </w:pPr>
      <w:r>
        <w:rPr>
          <w:rStyle w:val="FootnoteReference"/>
        </w:rPr>
        <w:footnoteRef/>
      </w:r>
      <w:r>
        <w:t xml:space="preserve"> </w:t>
      </w:r>
      <w:r>
        <w:tab/>
        <w:t>Таблица 20, приложение.</w:t>
      </w:r>
    </w:p>
  </w:footnote>
  <w:footnote w:id="59">
    <w:p w:rsidR="00000000" w:rsidRDefault="00000000">
      <w:pPr>
        <w:pStyle w:val="FootnoteText"/>
      </w:pPr>
      <w:r>
        <w:rPr>
          <w:rStyle w:val="FootnoteReference"/>
        </w:rPr>
        <w:footnoteRef/>
      </w:r>
      <w:r>
        <w:t xml:space="preserve"> </w:t>
      </w:r>
      <w:r>
        <w:tab/>
        <w:t>Преподавание определенных предметов (например, касающихся национальной истории и культуры) ведутся на родном языке, а других - на сербском языке.</w:t>
      </w:r>
    </w:p>
    <w:p w:rsidR="00000000" w:rsidRDefault="00000000">
      <w:pPr>
        <w:pStyle w:val="FootnoteText"/>
      </w:pPr>
    </w:p>
  </w:footnote>
  <w:footnote w:id="60">
    <w:p w:rsidR="00000000" w:rsidRDefault="00000000">
      <w:pPr>
        <w:pStyle w:val="FootnoteText"/>
      </w:pPr>
      <w:r>
        <w:rPr>
          <w:rStyle w:val="FootnoteReference"/>
        </w:rPr>
        <w:footnoteRef/>
      </w:r>
      <w:r>
        <w:t xml:space="preserve"> </w:t>
      </w:r>
      <w:r>
        <w:tab/>
        <w:t>С 2002 года народы рома и влахи имеют статус этнического меньшинства.</w:t>
      </w:r>
    </w:p>
    <w:p w:rsidR="00000000" w:rsidRDefault="00000000">
      <w:pPr>
        <w:pStyle w:val="FootnoteText"/>
      </w:pPr>
    </w:p>
  </w:footnote>
  <w:footnote w:id="61">
    <w:p w:rsidR="00000000" w:rsidRDefault="00000000">
      <w:pPr>
        <w:pStyle w:val="FootnoteText"/>
      </w:pPr>
      <w:r>
        <w:rPr>
          <w:rStyle w:val="FootnoteReference"/>
        </w:rPr>
        <w:footnoteRef/>
      </w:r>
      <w:r>
        <w:t xml:space="preserve"> </w:t>
      </w:r>
      <w:r>
        <w:tab/>
        <w:t>В Воеводине гарантированные Конституцией права и положения действующих законов реализуются наиболее последовательно.  Помимо сербского языка в этой провинции, к примеру, официально используются венгерский, словацкий, румынский, русинский и чешский языки.  В 31 из 45 муниципальных образований Воеводины венгерский язык используется в официальной сфере параллельно с сербским языком;  в 12 муниципальных образованиях - словацкий язык;  в 10 - румынский;  в 6 - русинский;  и в 1 муниципалитете - чешский язык.  Лица, принадлежащие к венгерскому, словацкому, румынскому или русинскому этническому меньшинству, могут получать образование на их родном языке с начальной школы до университетского уровня, а также удовлетворять свои потребности в области информации и культуры (Minorities of Serbia, Helsinki Committee for Human Rights, Belgrade, 200, p. 17).</w:t>
      </w:r>
    </w:p>
    <w:p w:rsidR="00000000" w:rsidRDefault="00000000">
      <w:pPr>
        <w:pStyle w:val="FootnoteText"/>
      </w:pPr>
    </w:p>
  </w:footnote>
  <w:footnote w:id="62">
    <w:p w:rsidR="00000000" w:rsidRDefault="00000000">
      <w:pPr>
        <w:pStyle w:val="FootnoteText"/>
      </w:pPr>
      <w:r>
        <w:rPr>
          <w:rStyle w:val="FootnoteReference"/>
        </w:rPr>
        <w:footnoteRef/>
      </w:r>
      <w:r>
        <w:tab/>
        <w:t>Источник:  "Проект стратегии в области интеграции и улучшения положения рома".</w:t>
      </w:r>
    </w:p>
  </w:footnote>
  <w:footnote w:id="63">
    <w:p w:rsidR="00000000" w:rsidRDefault="00000000">
      <w:pPr>
        <w:pStyle w:val="FootnoteText"/>
        <w:rPr>
          <w:lang w:val="en-US"/>
        </w:rPr>
      </w:pPr>
      <w:r>
        <w:rPr>
          <w:rStyle w:val="FootnoteReference"/>
        </w:rPr>
        <w:footnoteRef/>
      </w:r>
      <w:r>
        <w:rPr>
          <w:lang w:val="en-US"/>
        </w:rPr>
        <w:tab/>
        <w:t>Quality Education for All: the Road to a Developed Society, Ministry of Education and Sport of the Republic of Serbia, Belgrade, 2002, p. 208.</w:t>
      </w:r>
    </w:p>
    <w:p w:rsidR="00000000" w:rsidRDefault="00000000">
      <w:pPr>
        <w:pStyle w:val="FootnoteText"/>
        <w:rPr>
          <w:lang w:val="en-US"/>
        </w:rPr>
      </w:pPr>
    </w:p>
  </w:footnote>
  <w:footnote w:id="64">
    <w:p w:rsidR="00000000" w:rsidRDefault="00000000">
      <w:pPr>
        <w:pStyle w:val="FootnoteText"/>
      </w:pPr>
      <w:r>
        <w:rPr>
          <w:rStyle w:val="FootnoteReference"/>
        </w:rPr>
        <w:footnoteRef/>
      </w:r>
      <w:r>
        <w:tab/>
        <w:t xml:space="preserve">Преподаватели по отдельным дисциплинам в системе начальной и средней школы получают образование на соответствующих отделениях факультетов филологии, философии или естественных наук, а также на факультетах физического воспитания, музыки, искусств и прикладного творчества.  Вышеуказанные отделения факультетов или кафедры обычно называют "педагогическими факультетами", что, судя по их учебным программам, соотношению объема теоретической и практической подготовки для работы в качестве воспитателей, лишь отчасти соответствует действительности. </w:t>
      </w:r>
      <w:r>
        <w:rPr>
          <w:lang w:val="en-US"/>
        </w:rPr>
        <w:t>(In-depth Analysis of Primary Education in the FRY, UNICEF, Belgrade, 2001, p. 71.)</w:t>
      </w:r>
    </w:p>
    <w:p w:rsidR="00000000" w:rsidRDefault="00000000">
      <w:pPr>
        <w:pStyle w:val="FootnoteText"/>
      </w:pPr>
    </w:p>
  </w:footnote>
  <w:footnote w:id="65">
    <w:p w:rsidR="00000000" w:rsidRDefault="00000000">
      <w:pPr>
        <w:pStyle w:val="FootnoteText"/>
      </w:pPr>
      <w:r>
        <w:rPr>
          <w:rStyle w:val="FootnoteReference"/>
        </w:rPr>
        <w:footnoteRef/>
      </w:r>
      <w:r>
        <w:rPr>
          <w:lang w:val="en-US"/>
        </w:rPr>
        <w:tab/>
        <w:t>In-depth Analysis of Primary Education in the FRY, UNICEF, Belgrade, 2001, p. 73.</w:t>
      </w:r>
    </w:p>
    <w:p w:rsidR="00000000" w:rsidRDefault="00000000">
      <w:pPr>
        <w:pStyle w:val="FootnoteText"/>
      </w:pPr>
    </w:p>
  </w:footnote>
  <w:footnote w:id="66">
    <w:p w:rsidR="00000000" w:rsidRDefault="00000000">
      <w:pPr>
        <w:pStyle w:val="FootnoteText"/>
        <w:rPr>
          <w:lang w:val="en-US"/>
        </w:rPr>
      </w:pPr>
      <w:r>
        <w:rPr>
          <w:rStyle w:val="FootnoteReference"/>
        </w:rPr>
        <w:footnoteRef/>
      </w:r>
      <w:r>
        <w:t xml:space="preserve"> </w:t>
      </w:r>
      <w:r>
        <w:tab/>
      </w:r>
      <w:r>
        <w:rPr>
          <w:lang w:val="en-US"/>
        </w:rPr>
        <w:t>Ibid., p.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E/1990/5/Add.61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spacing w:line="240" w:lineRule="auto"/>
      <w:rPr>
        <w:lang w:val="en-US"/>
      </w:rPr>
    </w:pPr>
    <w:r>
      <w:rPr>
        <w:lang w:val="en-US"/>
      </w:rPr>
      <w:tab/>
    </w:r>
    <w:r>
      <w:rPr>
        <w:lang w:val="en-US"/>
      </w:rPr>
      <w:tab/>
      <w:t>E/1990/5/Add.61</w:t>
    </w:r>
  </w:p>
  <w:p w:rsidR="00000000" w:rsidRDefault="00000000">
    <w:pPr>
      <w:pStyle w:val="Header"/>
      <w:tabs>
        <w:tab w:val="left" w:pos="7230"/>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1" type="#_x0000_t202" style="position:absolute;margin-left:688.35pt;margin-top:42.55pt;width:54.6pt;height:149.8pt;z-index:2" filled="f" stroked="f">
          <v:textbox style="layout-flow:vertical">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34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86.4pt;margin-top:368.55pt;width:50.7pt;height:128.4pt;z-index:3" filled="f" stroked="f">
          <v:textbox style="layout-flow:vertical">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35</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49" type="#_x0000_t202" style="position:absolute;margin-left:684.45pt;margin-top:368.55pt;width:58.5pt;height:112.65pt;z-index:1" filled="f" stroked="f">
          <v:textbox style="layout-flow:vertical;mso-next-textbox:#_x0000_s2049">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33</w:t>
                </w:r>
                <w:r>
                  <w:rPr>
                    <w:rStyle w:val="PageNumber"/>
                  </w:rPr>
                  <w:fldChar w:fldCharType="end"/>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eastAsia="ru-RU"/>
      </w:rPr>
      <w:pict>
        <v:shapetype id="_x0000_t202" coordsize="21600,21600" o:spt="202" path="m,l,21600r21600,l21600,xe">
          <v:stroke joinstyle="miter"/>
          <v:path gradientshapeok="t" o:connecttype="rect"/>
        </v:shapetype>
        <v:shape id="_x0000_s2055" type="#_x0000_t202" style="position:absolute;margin-left:688.35pt;margin-top:42.55pt;width:54.6pt;height:149.8pt;z-index:6" filled="f" stroked="f">
          <v:textbox style="layout-flow:vertical">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208</w:t>
                </w:r>
                <w:r>
                  <w:rPr>
                    <w:rStyle w:val="PageNumber"/>
                  </w:rPr>
                  <w:fldChar w:fldCharType="end"/>
                </w:r>
              </w:p>
            </w:txbxContent>
          </v:textbox>
        </v:shape>
      </w:pict>
    </w:r>
    <w:r>
      <w:rPr>
        <w:lang w:val="en-US"/>
      </w:rPr>
      <w:t>E/1990/5/Add.61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208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noProof/>
        <w:sz w:val="20"/>
        <w:lang w:eastAsia="ru-RU"/>
      </w:rPr>
      <w:pict>
        <v:shapetype id="_x0000_t202" coordsize="21600,21600" o:spt="202" path="m,l,21600r21600,l21600,xe">
          <v:stroke joinstyle="miter"/>
          <v:path gradientshapeok="t" o:connecttype="rect"/>
        </v:shapetype>
        <v:shape id="_x0000_s2054" type="#_x0000_t202" style="position:absolute;margin-left:686.4pt;margin-top:368.55pt;width:50.7pt;height:128.4pt;z-index:5" filled="f" stroked="f">
          <v:textbox style="layout-flow:vertical">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207</w:t>
                </w:r>
                <w:r>
                  <w:rPr>
                    <w:rStyle w:val="PageNumber"/>
                  </w:rPr>
                  <w:fldChar w:fldCharType="end"/>
                </w:r>
              </w:p>
            </w:txbxContent>
          </v:textbox>
        </v:shape>
      </w:pict>
    </w:r>
    <w:r>
      <w:rPr>
        <w:lang w:val="en-US"/>
      </w:rPr>
      <w:tab/>
    </w:r>
    <w:r>
      <w:rPr>
        <w:lang w:val="en-US"/>
      </w:rPr>
      <w:tab/>
      <w:t>E/1990/5/Add.61</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207</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eastAsia="ru-RU"/>
      </w:rPr>
      <w:pict>
        <v:shapetype id="_x0000_t202" coordsize="21600,21600" o:spt="202" path="m,l,21600r21600,l21600,xe">
          <v:stroke joinstyle="miter"/>
          <v:path gradientshapeok="t" o:connecttype="rect"/>
        </v:shapetype>
        <v:shape id="_x0000_s2053" type="#_x0000_t202" style="position:absolute;margin-left:684.45pt;margin-top:368.55pt;width:58.5pt;height:112.65pt;z-index:4" filled="f" stroked="f">
          <v:textbox style="layout-flow:vertical;mso-next-textbox:#_x0000_s2053">
            <w:txbxContent>
              <w:p w:rsidR="00000000" w:rsidRDefault="00000000">
                <w:pPr>
                  <w:spacing w:line="240" w:lineRule="auto"/>
                  <w:rPr>
                    <w:lang w:val="en-US"/>
                  </w:rPr>
                </w:pPr>
                <w:r>
                  <w:rPr>
                    <w:lang w:val="en-US"/>
                  </w:rPr>
                  <w:t>E/1990/5/Add.61</w:t>
                </w:r>
              </w:p>
              <w:p w:rsidR="00000000" w:rsidRDefault="00000000">
                <w:pPr>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36</w:t>
                </w:r>
                <w:r>
                  <w:rPr>
                    <w:rStyle w:val="PageNumber"/>
                  </w:rPr>
                  <w:fldChar w:fldCharType="end"/>
                </w:r>
              </w:p>
            </w:txbxContent>
          </v:textbox>
        </v:shape>
      </w:pict>
    </w:r>
    <w:r>
      <w:rPr>
        <w:lang w:val="en-US"/>
      </w:rPr>
      <w:t>E/1990/5/Add.61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36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F34CB12"/>
    <w:lvl w:ilvl="0">
      <w:start w:val="1"/>
      <w:numFmt w:val="decimal"/>
      <w:lvlText w:val="%1."/>
      <w:lvlJc w:val="left"/>
      <w:pPr>
        <w:tabs>
          <w:tab w:val="num" w:pos="1800"/>
        </w:tabs>
        <w:ind w:left="1800" w:hanging="360"/>
      </w:pPr>
    </w:lvl>
  </w:abstractNum>
  <w:abstractNum w:abstractNumId="1">
    <w:nsid w:val="FFFFFF7D"/>
    <w:multiLevelType w:val="singleLevel"/>
    <w:tmpl w:val="743A5968"/>
    <w:lvl w:ilvl="0">
      <w:start w:val="1"/>
      <w:numFmt w:val="decimal"/>
      <w:lvlText w:val="%1."/>
      <w:lvlJc w:val="left"/>
      <w:pPr>
        <w:tabs>
          <w:tab w:val="num" w:pos="1440"/>
        </w:tabs>
        <w:ind w:left="1440" w:hanging="360"/>
      </w:pPr>
    </w:lvl>
  </w:abstractNum>
  <w:abstractNum w:abstractNumId="2">
    <w:nsid w:val="FFFFFF7E"/>
    <w:multiLevelType w:val="singleLevel"/>
    <w:tmpl w:val="681C5FF0"/>
    <w:lvl w:ilvl="0">
      <w:start w:val="1"/>
      <w:numFmt w:val="decimal"/>
      <w:lvlText w:val="%1."/>
      <w:lvlJc w:val="left"/>
      <w:pPr>
        <w:tabs>
          <w:tab w:val="num" w:pos="1080"/>
        </w:tabs>
        <w:ind w:left="1080" w:hanging="360"/>
      </w:pPr>
    </w:lvl>
  </w:abstractNum>
  <w:abstractNum w:abstractNumId="3">
    <w:nsid w:val="FFFFFF7F"/>
    <w:multiLevelType w:val="singleLevel"/>
    <w:tmpl w:val="5FE2F194"/>
    <w:lvl w:ilvl="0">
      <w:start w:val="1"/>
      <w:numFmt w:val="decimal"/>
      <w:lvlText w:val="%1."/>
      <w:lvlJc w:val="left"/>
      <w:pPr>
        <w:tabs>
          <w:tab w:val="num" w:pos="720"/>
        </w:tabs>
        <w:ind w:left="720" w:hanging="360"/>
      </w:pPr>
    </w:lvl>
  </w:abstractNum>
  <w:abstractNum w:abstractNumId="4">
    <w:nsid w:val="FFFFFF80"/>
    <w:multiLevelType w:val="singleLevel"/>
    <w:tmpl w:val="FB86DB3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19E9684"/>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9FADC42"/>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E3C5CA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3D83D4C"/>
    <w:lvl w:ilvl="0">
      <w:start w:val="1"/>
      <w:numFmt w:val="decimal"/>
      <w:lvlText w:val="%1."/>
      <w:lvlJc w:val="left"/>
      <w:pPr>
        <w:tabs>
          <w:tab w:val="num" w:pos="360"/>
        </w:tabs>
        <w:ind w:left="360" w:hanging="360"/>
      </w:pPr>
    </w:lvl>
  </w:abstractNum>
  <w:abstractNum w:abstractNumId="9">
    <w:nsid w:val="FFFFFF89"/>
    <w:multiLevelType w:val="singleLevel"/>
    <w:tmpl w:val="9AFC1E8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D28B84E"/>
    <w:lvl w:ilvl="0">
      <w:numFmt w:val="decimal"/>
      <w:lvlText w:val="*"/>
      <w:lvlJc w:val="left"/>
    </w:lvl>
  </w:abstractNum>
  <w:abstractNum w:abstractNumId="11">
    <w:nsid w:val="00124E85"/>
    <w:multiLevelType w:val="hybridMultilevel"/>
    <w:tmpl w:val="2874429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0945B9F"/>
    <w:multiLevelType w:val="singleLevel"/>
    <w:tmpl w:val="4DB0E186"/>
    <w:lvl w:ilvl="0">
      <w:start w:val="13"/>
      <w:numFmt w:val="bullet"/>
      <w:lvlText w:val="-"/>
      <w:lvlJc w:val="left"/>
      <w:pPr>
        <w:tabs>
          <w:tab w:val="num" w:pos="1155"/>
        </w:tabs>
        <w:ind w:left="1155" w:hanging="360"/>
      </w:pPr>
      <w:rPr>
        <w:rFonts w:hint="default"/>
      </w:rPr>
    </w:lvl>
  </w:abstractNum>
  <w:abstractNum w:abstractNumId="13">
    <w:nsid w:val="0220235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26A5230"/>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5">
    <w:nsid w:val="02970B9C"/>
    <w:multiLevelType w:val="singleLevel"/>
    <w:tmpl w:val="80746B2C"/>
    <w:lvl w:ilvl="0">
      <w:start w:val="5"/>
      <w:numFmt w:val="bullet"/>
      <w:lvlText w:val="-"/>
      <w:lvlJc w:val="left"/>
      <w:pPr>
        <w:tabs>
          <w:tab w:val="num" w:pos="360"/>
        </w:tabs>
        <w:ind w:left="360" w:hanging="360"/>
      </w:pPr>
      <w:rPr>
        <w:rFonts w:hint="default"/>
      </w:rPr>
    </w:lvl>
  </w:abstractNum>
  <w:abstractNum w:abstractNumId="16">
    <w:nsid w:val="0348178F"/>
    <w:multiLevelType w:val="hybridMultilevel"/>
    <w:tmpl w:val="F84C06A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nsid w:val="03A56EEB"/>
    <w:multiLevelType w:val="hybridMultilevel"/>
    <w:tmpl w:val="3EFA5980"/>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04013D18"/>
    <w:multiLevelType w:val="singleLevel"/>
    <w:tmpl w:val="DED667F8"/>
    <w:lvl w:ilvl="0">
      <w:start w:val="1"/>
      <w:numFmt w:val="upperLetter"/>
      <w:lvlText w:val="%1)"/>
      <w:lvlJc w:val="left"/>
      <w:pPr>
        <w:tabs>
          <w:tab w:val="num" w:pos="720"/>
        </w:tabs>
        <w:ind w:left="720" w:hanging="720"/>
      </w:pPr>
      <w:rPr>
        <w:rFonts w:hint="default"/>
      </w:rPr>
    </w:lvl>
  </w:abstractNum>
  <w:abstractNum w:abstractNumId="19">
    <w:nsid w:val="04DC1B3B"/>
    <w:multiLevelType w:val="singleLevel"/>
    <w:tmpl w:val="AF8AF1DA"/>
    <w:lvl w:ilvl="0">
      <w:start w:val="1"/>
      <w:numFmt w:val="upperLetter"/>
      <w:lvlText w:val="%1)"/>
      <w:lvlJc w:val="left"/>
      <w:pPr>
        <w:tabs>
          <w:tab w:val="num" w:pos="720"/>
        </w:tabs>
        <w:ind w:left="720" w:hanging="360"/>
      </w:pPr>
      <w:rPr>
        <w:rFonts w:hint="default"/>
        <w:u w:val="none"/>
      </w:rPr>
    </w:lvl>
  </w:abstractNum>
  <w:abstractNum w:abstractNumId="20">
    <w:nsid w:val="04F435DF"/>
    <w:multiLevelType w:val="hybridMultilevel"/>
    <w:tmpl w:val="6422E29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56D488B"/>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5DE58B3"/>
    <w:multiLevelType w:val="hybridMultilevel"/>
    <w:tmpl w:val="7A882BC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06842D4F"/>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7353635"/>
    <w:multiLevelType w:val="hybridMultilevel"/>
    <w:tmpl w:val="3CD4DE80"/>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7806D0C"/>
    <w:multiLevelType w:val="hybridMultilevel"/>
    <w:tmpl w:val="7454410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6">
    <w:nsid w:val="094A0355"/>
    <w:multiLevelType w:val="multilevel"/>
    <w:tmpl w:val="1812A9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09BA543C"/>
    <w:multiLevelType w:val="multilevel"/>
    <w:tmpl w:val="A7C474D0"/>
    <w:lvl w:ilvl="0">
      <w:start w:val="142"/>
      <w:numFmt w:val="decimal"/>
      <w:lvlText w:val="%1."/>
      <w:lvlJc w:val="left"/>
      <w:pPr>
        <w:tabs>
          <w:tab w:val="num" w:pos="360"/>
        </w:tabs>
        <w:ind w:left="360" w:hanging="360"/>
      </w:pPr>
      <w:rPr>
        <w:rFonts w:hint="default"/>
      </w:rPr>
    </w:lvl>
    <w:lvl w:ilvl="1">
      <w:numFmt w:val="bullet"/>
      <w:lvlText w:val=""/>
      <w:lvlJc w:val="left"/>
      <w:pPr>
        <w:tabs>
          <w:tab w:val="num" w:pos="1440"/>
        </w:tabs>
        <w:ind w:left="1437" w:hanging="357"/>
      </w:pPr>
      <w:rPr>
        <w:rFonts w:ascii="Symbol" w:hAnsi="Symbo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nsid w:val="0A405AEF"/>
    <w:multiLevelType w:val="hybridMultilevel"/>
    <w:tmpl w:val="BEE014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0A4065DA"/>
    <w:multiLevelType w:val="hybridMultilevel"/>
    <w:tmpl w:val="3F005E8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ACA1494"/>
    <w:multiLevelType w:val="hybridMultilevel"/>
    <w:tmpl w:val="351262F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0AF05A50"/>
    <w:multiLevelType w:val="singleLevel"/>
    <w:tmpl w:val="63B2FC10"/>
    <w:lvl w:ilvl="0">
      <w:numFmt w:val="bullet"/>
      <w:lvlText w:val="-"/>
      <w:lvlJc w:val="left"/>
      <w:pPr>
        <w:tabs>
          <w:tab w:val="num" w:pos="360"/>
        </w:tabs>
        <w:ind w:left="360" w:hanging="360"/>
      </w:pPr>
      <w:rPr>
        <w:rFonts w:hint="default"/>
      </w:rPr>
    </w:lvl>
  </w:abstractNum>
  <w:abstractNum w:abstractNumId="32">
    <w:nsid w:val="0BB12AD1"/>
    <w:multiLevelType w:val="singleLevel"/>
    <w:tmpl w:val="BC4A196C"/>
    <w:lvl w:ilvl="0">
      <w:start w:val="1"/>
      <w:numFmt w:val="decimal"/>
      <w:lvlText w:val="%1."/>
      <w:lvlJc w:val="left"/>
      <w:pPr>
        <w:tabs>
          <w:tab w:val="num" w:pos="1226"/>
        </w:tabs>
        <w:ind w:left="1226" w:hanging="375"/>
      </w:pPr>
      <w:rPr>
        <w:rFonts w:hint="default"/>
      </w:rPr>
    </w:lvl>
  </w:abstractNum>
  <w:abstractNum w:abstractNumId="33">
    <w:nsid w:val="0BF73057"/>
    <w:multiLevelType w:val="hybridMultilevel"/>
    <w:tmpl w:val="C796543E"/>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0C0E3471"/>
    <w:multiLevelType w:val="hybridMultilevel"/>
    <w:tmpl w:val="212AB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0C7762BE"/>
    <w:multiLevelType w:val="singleLevel"/>
    <w:tmpl w:val="A73427AA"/>
    <w:lvl w:ilvl="0">
      <w:start w:val="1"/>
      <w:numFmt w:val="decimal"/>
      <w:lvlText w:val="%1."/>
      <w:lvlJc w:val="left"/>
      <w:pPr>
        <w:tabs>
          <w:tab w:val="num" w:pos="360"/>
        </w:tabs>
        <w:ind w:left="360" w:hanging="360"/>
      </w:pPr>
    </w:lvl>
  </w:abstractNum>
  <w:abstractNum w:abstractNumId="36">
    <w:nsid w:val="0D5B13E2"/>
    <w:multiLevelType w:val="hybridMultilevel"/>
    <w:tmpl w:val="E3CA54A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0ED1197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0F8C2205"/>
    <w:multiLevelType w:val="hybridMultilevel"/>
    <w:tmpl w:val="A482AC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9">
    <w:nsid w:val="104D11CD"/>
    <w:multiLevelType w:val="singleLevel"/>
    <w:tmpl w:val="22CA27AA"/>
    <w:lvl w:ilvl="0">
      <w:start w:val="1"/>
      <w:numFmt w:val="upperLetter"/>
      <w:lvlText w:val="%1)"/>
      <w:lvlJc w:val="left"/>
      <w:pPr>
        <w:tabs>
          <w:tab w:val="num" w:pos="720"/>
        </w:tabs>
        <w:ind w:left="720" w:hanging="720"/>
      </w:pPr>
      <w:rPr>
        <w:rFonts w:hint="default"/>
        <w:u w:val="none"/>
      </w:rPr>
    </w:lvl>
  </w:abstractNum>
  <w:abstractNum w:abstractNumId="40">
    <w:nsid w:val="108042B2"/>
    <w:multiLevelType w:val="hybridMultilevel"/>
    <w:tmpl w:val="BE543AEE"/>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10D20D1E"/>
    <w:multiLevelType w:val="hybridMultilevel"/>
    <w:tmpl w:val="F70642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11691099"/>
    <w:multiLevelType w:val="hybridMultilevel"/>
    <w:tmpl w:val="C08EBE68"/>
    <w:lvl w:ilvl="0" w:tplc="FFFFFFFF">
      <w:start w:val="1"/>
      <w:numFmt w:val="decimal"/>
      <w:lvlText w:val="%1)"/>
      <w:lvlJc w:val="left"/>
      <w:pPr>
        <w:tabs>
          <w:tab w:val="num" w:pos="1095"/>
        </w:tabs>
        <w:ind w:left="1095" w:hanging="375"/>
      </w:pPr>
      <w:rPr>
        <w:rFonts w:eastAsia="Times New Roman"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3">
    <w:nsid w:val="119F476B"/>
    <w:multiLevelType w:val="hybridMultilevel"/>
    <w:tmpl w:val="3CCE3C4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4">
    <w:nsid w:val="12AF044B"/>
    <w:multiLevelType w:val="singleLevel"/>
    <w:tmpl w:val="C0C6E9D6"/>
    <w:lvl w:ilvl="0">
      <w:start w:val="1"/>
      <w:numFmt w:val="lowerLetter"/>
      <w:lvlText w:val="%1)"/>
      <w:lvlJc w:val="left"/>
      <w:pPr>
        <w:tabs>
          <w:tab w:val="num" w:pos="1800"/>
        </w:tabs>
        <w:ind w:left="1800" w:hanging="360"/>
      </w:pPr>
      <w:rPr>
        <w:rFonts w:hint="default"/>
      </w:rPr>
    </w:lvl>
  </w:abstractNum>
  <w:abstractNum w:abstractNumId="45">
    <w:nsid w:val="12F5772C"/>
    <w:multiLevelType w:val="hybridMultilevel"/>
    <w:tmpl w:val="E26862CA"/>
    <w:lvl w:ilvl="0" w:tplc="FFFFFFFF">
      <w:start w:val="1999"/>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6">
    <w:nsid w:val="130306AD"/>
    <w:multiLevelType w:val="hybridMultilevel"/>
    <w:tmpl w:val="5914C660"/>
    <w:lvl w:ilvl="0" w:tplc="FFFFFFFF">
      <w:numFmt w:val="bullet"/>
      <w:lvlText w:val="-"/>
      <w:lvlJc w:val="left"/>
      <w:pPr>
        <w:tabs>
          <w:tab w:val="num" w:pos="720"/>
        </w:tabs>
        <w:ind w:left="720" w:hanging="360"/>
      </w:pPr>
      <w:rPr>
        <w:rFonts w:ascii="Times New Roman" w:eastAsia="Times New Roman" w:hAnsi="Times New Roman" w:cs="Times New Roman"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3085B49"/>
    <w:multiLevelType w:val="singleLevel"/>
    <w:tmpl w:val="7836469C"/>
    <w:lvl w:ilvl="0">
      <w:start w:val="1"/>
      <w:numFmt w:val="lowerLetter"/>
      <w:lvlText w:val="%1)"/>
      <w:lvlJc w:val="left"/>
      <w:pPr>
        <w:tabs>
          <w:tab w:val="num" w:pos="360"/>
        </w:tabs>
        <w:ind w:left="360" w:hanging="360"/>
      </w:pPr>
      <w:rPr>
        <w:rFonts w:hint="default"/>
      </w:rPr>
    </w:lvl>
  </w:abstractNum>
  <w:abstractNum w:abstractNumId="48">
    <w:nsid w:val="13637261"/>
    <w:multiLevelType w:val="multilevel"/>
    <w:tmpl w:val="E076BC2C"/>
    <w:lvl w:ilvl="0">
      <w:start w:val="309"/>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13BC4AD4"/>
    <w:multiLevelType w:val="hybridMultilevel"/>
    <w:tmpl w:val="DA76689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51">
    <w:nsid w:val="14471122"/>
    <w:multiLevelType w:val="hybridMultilevel"/>
    <w:tmpl w:val="61BCC0E6"/>
    <w:lvl w:ilvl="0" w:tplc="FFFFFFFF">
      <w:start w:val="7"/>
      <w:numFmt w:val="decimal"/>
      <w:lvlText w:val="%1."/>
      <w:lvlJc w:val="left"/>
      <w:pPr>
        <w:tabs>
          <w:tab w:val="num" w:pos="360"/>
        </w:tabs>
        <w:ind w:left="360" w:hanging="36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2">
    <w:nsid w:val="146F0EBC"/>
    <w:multiLevelType w:val="hybridMultilevel"/>
    <w:tmpl w:val="E820B7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16154A7C"/>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54">
    <w:nsid w:val="161F48C5"/>
    <w:multiLevelType w:val="hybridMultilevel"/>
    <w:tmpl w:val="FE8280A8"/>
    <w:lvl w:ilvl="0" w:tplc="FFFFFFFF">
      <w:start w:val="1"/>
      <w:numFmt w:val="bullet"/>
      <w:lvlText w:val=""/>
      <w:lvlJc w:val="left"/>
      <w:pPr>
        <w:tabs>
          <w:tab w:val="num" w:pos="1894"/>
        </w:tabs>
        <w:ind w:left="2064" w:hanging="227"/>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cs="Tahoma"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Tahoma"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Tahoma"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55">
    <w:nsid w:val="16421EC1"/>
    <w:multiLevelType w:val="hybridMultilevel"/>
    <w:tmpl w:val="2B22FA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165A366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57">
    <w:nsid w:val="168B02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6CA7D53"/>
    <w:multiLevelType w:val="singleLevel"/>
    <w:tmpl w:val="04090017"/>
    <w:lvl w:ilvl="0">
      <w:start w:val="1"/>
      <w:numFmt w:val="lowerLetter"/>
      <w:lvlText w:val="%1)"/>
      <w:lvlJc w:val="left"/>
      <w:pPr>
        <w:tabs>
          <w:tab w:val="num" w:pos="360"/>
        </w:tabs>
        <w:ind w:left="360" w:hanging="360"/>
      </w:pPr>
      <w:rPr>
        <w:rFonts w:hint="default"/>
      </w:rPr>
    </w:lvl>
  </w:abstractNum>
  <w:abstractNum w:abstractNumId="59">
    <w:nsid w:val="16DE07C6"/>
    <w:multiLevelType w:val="multilevel"/>
    <w:tmpl w:val="7F9856F8"/>
    <w:lvl w:ilvl="0">
      <w:start w:val="142"/>
      <w:numFmt w:val="decimal"/>
      <w:lvlText w:val="%1."/>
      <w:lvlJc w:val="left"/>
      <w:pPr>
        <w:tabs>
          <w:tab w:val="num" w:pos="360"/>
        </w:tabs>
        <w:ind w:left="360" w:hanging="360"/>
      </w:pPr>
      <w:rPr>
        <w:rFonts w:hint="default"/>
      </w:rPr>
    </w:lvl>
    <w:lvl w:ilvl="1">
      <w:start w:val="2"/>
      <w:numFmt w:val="lowerLetter"/>
      <w:lvlText w:val="%2."/>
      <w:lvlJc w:val="left"/>
      <w:pPr>
        <w:tabs>
          <w:tab w:val="num" w:pos="1620"/>
        </w:tabs>
        <w:ind w:left="162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0">
    <w:nsid w:val="179277C0"/>
    <w:multiLevelType w:val="hybridMultilevel"/>
    <w:tmpl w:val="8460F3B0"/>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17D33868"/>
    <w:multiLevelType w:val="singleLevel"/>
    <w:tmpl w:val="5298F1E4"/>
    <w:lvl w:ilvl="0">
      <w:start w:val="1"/>
      <w:numFmt w:val="decimal"/>
      <w:lvlText w:val="%1)"/>
      <w:lvlJc w:val="left"/>
      <w:pPr>
        <w:tabs>
          <w:tab w:val="num" w:pos="1440"/>
        </w:tabs>
        <w:ind w:left="1440" w:hanging="720"/>
      </w:pPr>
      <w:rPr>
        <w:rFonts w:hint="default"/>
      </w:rPr>
    </w:lvl>
  </w:abstractNum>
  <w:abstractNum w:abstractNumId="62">
    <w:nsid w:val="18360711"/>
    <w:multiLevelType w:val="singleLevel"/>
    <w:tmpl w:val="81425EF0"/>
    <w:lvl w:ilvl="0">
      <w:start w:val="1"/>
      <w:numFmt w:val="lowerLetter"/>
      <w:lvlText w:val="%1)"/>
      <w:lvlJc w:val="left"/>
      <w:pPr>
        <w:tabs>
          <w:tab w:val="num" w:pos="2160"/>
        </w:tabs>
        <w:ind w:left="2160" w:hanging="720"/>
      </w:pPr>
      <w:rPr>
        <w:rFonts w:hint="default"/>
      </w:rPr>
    </w:lvl>
  </w:abstractNum>
  <w:abstractNum w:abstractNumId="63">
    <w:nsid w:val="18C502D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4">
    <w:nsid w:val="18EE1631"/>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nsid w:val="19EA5C14"/>
    <w:multiLevelType w:val="singleLevel"/>
    <w:tmpl w:val="80746B2C"/>
    <w:lvl w:ilvl="0">
      <w:numFmt w:val="bullet"/>
      <w:lvlText w:val="-"/>
      <w:lvlJc w:val="left"/>
      <w:pPr>
        <w:tabs>
          <w:tab w:val="num" w:pos="360"/>
        </w:tabs>
        <w:ind w:left="360" w:hanging="360"/>
      </w:pPr>
      <w:rPr>
        <w:rFonts w:hint="default"/>
      </w:rPr>
    </w:lvl>
  </w:abstractNum>
  <w:abstractNum w:abstractNumId="66">
    <w:nsid w:val="1AAD1B2D"/>
    <w:multiLevelType w:val="multilevel"/>
    <w:tmpl w:val="722A538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7">
    <w:nsid w:val="1ABB352C"/>
    <w:multiLevelType w:val="hybridMultilevel"/>
    <w:tmpl w:val="5D6C5AAA"/>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1ADD4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nsid w:val="1AE3209C"/>
    <w:multiLevelType w:val="hybridMultilevel"/>
    <w:tmpl w:val="6BA061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1B62335E"/>
    <w:multiLevelType w:val="hybridMultilevel"/>
    <w:tmpl w:val="A4641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1B956AF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nsid w:val="1BD86E45"/>
    <w:multiLevelType w:val="hybridMultilevel"/>
    <w:tmpl w:val="2E5853D8"/>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3">
    <w:nsid w:val="1BF41CAF"/>
    <w:multiLevelType w:val="hybridMultilevel"/>
    <w:tmpl w:val="E2707B6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1C0B0358"/>
    <w:multiLevelType w:val="hybridMultilevel"/>
    <w:tmpl w:val="D16A455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5">
    <w:nsid w:val="1C564BB8"/>
    <w:multiLevelType w:val="hybridMultilevel"/>
    <w:tmpl w:val="1C86AFD4"/>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1DD949A9"/>
    <w:multiLevelType w:val="hybridMultilevel"/>
    <w:tmpl w:val="F072CD46"/>
    <w:lvl w:ilvl="0" w:tplc="FFFFFFFF">
      <w:start w:val="7"/>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nsid w:val="1DE815A2"/>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nsid w:val="1E0857AD"/>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79">
    <w:nsid w:val="1E51518A"/>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1F2865F1"/>
    <w:multiLevelType w:val="hybridMultilevel"/>
    <w:tmpl w:val="BB645EC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1F942A31"/>
    <w:multiLevelType w:val="singleLevel"/>
    <w:tmpl w:val="8CF63AA8"/>
    <w:lvl w:ilvl="0">
      <w:start w:val="3"/>
      <w:numFmt w:val="bullet"/>
      <w:lvlText w:val="-"/>
      <w:lvlJc w:val="left"/>
      <w:pPr>
        <w:tabs>
          <w:tab w:val="num" w:pos="1800"/>
        </w:tabs>
        <w:ind w:left="1800" w:hanging="360"/>
      </w:pPr>
      <w:rPr>
        <w:rFonts w:ascii="Times New Roman" w:hAnsi="Times New Roman" w:cs="Times New Roman" w:hint="default"/>
      </w:rPr>
    </w:lvl>
  </w:abstractNum>
  <w:abstractNum w:abstractNumId="82">
    <w:nsid w:val="1FDF5918"/>
    <w:multiLevelType w:val="hybridMultilevel"/>
    <w:tmpl w:val="646014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202845E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84">
    <w:nsid w:val="212F478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85">
    <w:nsid w:val="214761E5"/>
    <w:multiLevelType w:val="singleLevel"/>
    <w:tmpl w:val="8D9E8E96"/>
    <w:lvl w:ilvl="0">
      <w:start w:val="1"/>
      <w:numFmt w:val="decimal"/>
      <w:lvlText w:val="%1)"/>
      <w:lvlJc w:val="left"/>
      <w:pPr>
        <w:tabs>
          <w:tab w:val="num" w:pos="1080"/>
        </w:tabs>
        <w:ind w:left="1080" w:hanging="360"/>
      </w:pPr>
      <w:rPr>
        <w:rFonts w:hint="default"/>
      </w:rPr>
    </w:lvl>
  </w:abstractNum>
  <w:abstractNum w:abstractNumId="86">
    <w:nsid w:val="216378C2"/>
    <w:multiLevelType w:val="hybridMultilevel"/>
    <w:tmpl w:val="112E6CE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21C94D59"/>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88">
    <w:nsid w:val="220603C1"/>
    <w:multiLevelType w:val="hybridMultilevel"/>
    <w:tmpl w:val="7550D906"/>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9">
    <w:nsid w:val="233D05CE"/>
    <w:multiLevelType w:val="hybridMultilevel"/>
    <w:tmpl w:val="C92C18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2353711A"/>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nsid w:val="23BF1039"/>
    <w:multiLevelType w:val="hybridMultilevel"/>
    <w:tmpl w:val="07E2BE50"/>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23D96D76"/>
    <w:multiLevelType w:val="hybridMultilevel"/>
    <w:tmpl w:val="52CE308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3">
    <w:nsid w:val="24672D1A"/>
    <w:multiLevelType w:val="hybridMultilevel"/>
    <w:tmpl w:val="09F6680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248672D8"/>
    <w:multiLevelType w:val="hybridMultilevel"/>
    <w:tmpl w:val="239A18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24FF16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6">
    <w:nsid w:val="25747DA0"/>
    <w:multiLevelType w:val="hybridMultilevel"/>
    <w:tmpl w:val="7BD8B3C0"/>
    <w:lvl w:ilvl="0" w:tplc="BCD84894">
      <w:start w:val="1"/>
      <w:numFmt w:val="bullet"/>
      <w:lvlText w:val="-"/>
      <w:lvlJc w:val="left"/>
      <w:pPr>
        <w:tabs>
          <w:tab w:val="num" w:pos="1761"/>
        </w:tabs>
        <w:ind w:left="1761" w:hanging="567"/>
      </w:pPr>
      <w:rPr>
        <w:rFonts w:asci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7">
    <w:nsid w:val="25A85F66"/>
    <w:multiLevelType w:val="hybridMultilevel"/>
    <w:tmpl w:val="FCC0F05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26DB5D42"/>
    <w:multiLevelType w:val="hybridMultilevel"/>
    <w:tmpl w:val="FBACA054"/>
    <w:lvl w:ilvl="0" w:tplc="FFFFFFFF">
      <w:start w:val="1"/>
      <w:numFmt w:val="upperLetter"/>
      <w:lvlText w:val="%1)"/>
      <w:lvlJc w:val="left"/>
      <w:pPr>
        <w:tabs>
          <w:tab w:val="num" w:pos="1440"/>
        </w:tabs>
        <w:ind w:left="1440" w:hanging="720"/>
      </w:pPr>
      <w:rPr>
        <w:rFonts w:hint="default"/>
        <w:u w:val="none"/>
      </w:rPr>
    </w:lvl>
    <w:lvl w:ilvl="1" w:tplc="FFFFFFFF">
      <w:start w:val="13"/>
      <w:numFmt w:val="decimal"/>
      <w:lvlText w:val="%2."/>
      <w:lvlJc w:val="left"/>
      <w:pPr>
        <w:tabs>
          <w:tab w:val="num" w:pos="2160"/>
        </w:tabs>
        <w:ind w:left="2160" w:hanging="720"/>
      </w:pPr>
      <w:rPr>
        <w:rFonts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9">
    <w:nsid w:val="2717512A"/>
    <w:multiLevelType w:val="hybridMultilevel"/>
    <w:tmpl w:val="D7F686AC"/>
    <w:lvl w:ilvl="0" w:tplc="FFFFFFFF">
      <w:start w:val="1"/>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100">
    <w:nsid w:val="2733109D"/>
    <w:multiLevelType w:val="singleLevel"/>
    <w:tmpl w:val="3230A224"/>
    <w:lvl w:ilvl="0">
      <w:start w:val="1"/>
      <w:numFmt w:val="upperLetter"/>
      <w:lvlText w:val="%1)"/>
      <w:lvlJc w:val="left"/>
      <w:pPr>
        <w:tabs>
          <w:tab w:val="num" w:pos="720"/>
        </w:tabs>
        <w:ind w:left="720" w:hanging="720"/>
      </w:pPr>
      <w:rPr>
        <w:rFonts w:hint="default"/>
      </w:rPr>
    </w:lvl>
  </w:abstractNum>
  <w:abstractNum w:abstractNumId="101">
    <w:nsid w:val="28021FBA"/>
    <w:multiLevelType w:val="hybridMultilevel"/>
    <w:tmpl w:val="99189230"/>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289C1775"/>
    <w:multiLevelType w:val="singleLevel"/>
    <w:tmpl w:val="48043932"/>
    <w:lvl w:ilvl="0">
      <w:start w:val="1"/>
      <w:numFmt w:val="upperLetter"/>
      <w:lvlText w:val="%1)"/>
      <w:lvlJc w:val="left"/>
      <w:pPr>
        <w:tabs>
          <w:tab w:val="num" w:pos="360"/>
        </w:tabs>
        <w:ind w:left="360" w:hanging="360"/>
      </w:pPr>
      <w:rPr>
        <w:rFonts w:hint="default"/>
      </w:rPr>
    </w:lvl>
  </w:abstractNum>
  <w:abstractNum w:abstractNumId="103">
    <w:nsid w:val="29AC6849"/>
    <w:multiLevelType w:val="hybridMultilevel"/>
    <w:tmpl w:val="223CD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29E9142A"/>
    <w:multiLevelType w:val="hybridMultilevel"/>
    <w:tmpl w:val="BBC625BA"/>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05">
    <w:nsid w:val="2A5D730F"/>
    <w:multiLevelType w:val="hybridMultilevel"/>
    <w:tmpl w:val="9E76C31C"/>
    <w:lvl w:ilvl="0" w:tplc="FFFFFFFF">
      <w:start w:val="1"/>
      <w:numFmt w:val="bullet"/>
      <w:lvlText w:val=""/>
      <w:lvlJc w:val="left"/>
      <w:pPr>
        <w:tabs>
          <w:tab w:val="num" w:pos="644"/>
        </w:tabs>
        <w:ind w:left="624"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2AAB2188"/>
    <w:multiLevelType w:val="hybridMultilevel"/>
    <w:tmpl w:val="9990B19E"/>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2BA105E5"/>
    <w:multiLevelType w:val="singleLevel"/>
    <w:tmpl w:val="98E4F76C"/>
    <w:lvl w:ilvl="0">
      <w:start w:val="5"/>
      <w:numFmt w:val="upperLetter"/>
      <w:lvlText w:val="%1)"/>
      <w:lvlJc w:val="left"/>
      <w:pPr>
        <w:tabs>
          <w:tab w:val="num" w:pos="720"/>
        </w:tabs>
        <w:ind w:left="720" w:hanging="720"/>
      </w:pPr>
      <w:rPr>
        <w:rFonts w:hint="default"/>
      </w:rPr>
    </w:lvl>
  </w:abstractNum>
  <w:abstractNum w:abstractNumId="108">
    <w:nsid w:val="2BC71AEF"/>
    <w:multiLevelType w:val="multilevel"/>
    <w:tmpl w:val="C09CDBFE"/>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nsid w:val="2BE93B56"/>
    <w:multiLevelType w:val="hybridMultilevel"/>
    <w:tmpl w:val="9A9AB326"/>
    <w:lvl w:ilvl="0" w:tplc="FFFFFFFF">
      <w:start w:val="23"/>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0">
    <w:nsid w:val="2C4344C2"/>
    <w:multiLevelType w:val="singleLevel"/>
    <w:tmpl w:val="327067BE"/>
    <w:lvl w:ilvl="0">
      <w:start w:val="1"/>
      <w:numFmt w:val="upperLetter"/>
      <w:lvlText w:val="%1)"/>
      <w:lvlJc w:val="left"/>
      <w:pPr>
        <w:tabs>
          <w:tab w:val="num" w:pos="720"/>
        </w:tabs>
        <w:ind w:left="720" w:hanging="720"/>
      </w:pPr>
      <w:rPr>
        <w:rFonts w:hint="default"/>
      </w:rPr>
    </w:lvl>
  </w:abstractNum>
  <w:abstractNum w:abstractNumId="111">
    <w:nsid w:val="2C5868DB"/>
    <w:multiLevelType w:val="singleLevel"/>
    <w:tmpl w:val="B7DE30FC"/>
    <w:lvl w:ilvl="0">
      <w:start w:val="1"/>
      <w:numFmt w:val="decimal"/>
      <w:lvlText w:val="%1)"/>
      <w:lvlJc w:val="left"/>
      <w:pPr>
        <w:tabs>
          <w:tab w:val="num" w:pos="1440"/>
        </w:tabs>
        <w:ind w:left="1440" w:hanging="720"/>
      </w:pPr>
      <w:rPr>
        <w:rFonts w:hint="default"/>
      </w:rPr>
    </w:lvl>
  </w:abstractNum>
  <w:abstractNum w:abstractNumId="112">
    <w:nsid w:val="2C643735"/>
    <w:multiLevelType w:val="hybridMultilevel"/>
    <w:tmpl w:val="473ACFB6"/>
    <w:lvl w:ilvl="0" w:tplc="FFFFFFFF">
      <w:start w:val="1"/>
      <w:numFmt w:val="bullet"/>
      <w:lvlText w:val=""/>
      <w:lvlJc w:val="left"/>
      <w:pPr>
        <w:tabs>
          <w:tab w:val="num" w:pos="2880"/>
        </w:tabs>
        <w:ind w:left="2880" w:hanging="360"/>
      </w:pPr>
      <w:rPr>
        <w:rFonts w:ascii="Symbol" w:hAnsi="Symbol" w:hint="default"/>
      </w:rPr>
    </w:lvl>
    <w:lvl w:ilvl="1" w:tplc="FFFFFFFF" w:tentative="1">
      <w:start w:val="1"/>
      <w:numFmt w:val="bullet"/>
      <w:lvlText w:val="o"/>
      <w:lvlJc w:val="left"/>
      <w:pPr>
        <w:tabs>
          <w:tab w:val="num" w:pos="3600"/>
        </w:tabs>
        <w:ind w:left="3600" w:hanging="360"/>
      </w:pPr>
      <w:rPr>
        <w:rFonts w:ascii="Courier New" w:hAnsi="Courier New" w:cs="Tahoma"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cs="Tahoma"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cs="Tahoma"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113">
    <w:nsid w:val="2CA86CE0"/>
    <w:multiLevelType w:val="hybridMultilevel"/>
    <w:tmpl w:val="8F04280E"/>
    <w:lvl w:ilvl="0" w:tplc="FFFFFFFF">
      <w:start w:val="1"/>
      <w:numFmt w:val="lowerLetter"/>
      <w:lvlText w:val="%1)"/>
      <w:lvlJc w:val="left"/>
      <w:pPr>
        <w:tabs>
          <w:tab w:val="num" w:pos="1410"/>
        </w:tabs>
        <w:ind w:left="1410" w:hanging="87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14">
    <w:nsid w:val="2D252000"/>
    <w:multiLevelType w:val="hybridMultilevel"/>
    <w:tmpl w:val="C82CC33C"/>
    <w:lvl w:ilvl="0" w:tplc="FFFFFFFF">
      <w:start w:val="1"/>
      <w:numFmt w:val="decimal"/>
      <w:lvlText w:val="%1)"/>
      <w:lvlJc w:val="left"/>
      <w:pPr>
        <w:tabs>
          <w:tab w:val="num" w:pos="720"/>
        </w:tabs>
        <w:ind w:left="720" w:hanging="48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115">
    <w:nsid w:val="2D683AF9"/>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2D6C54DF"/>
    <w:multiLevelType w:val="hybridMultilevel"/>
    <w:tmpl w:val="66264AEA"/>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7">
    <w:nsid w:val="2E3F523C"/>
    <w:multiLevelType w:val="hybridMultilevel"/>
    <w:tmpl w:val="1CD80E6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8">
    <w:nsid w:val="2E5A6EE0"/>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2EAB1817"/>
    <w:multiLevelType w:val="hybridMultilevel"/>
    <w:tmpl w:val="C2A4909A"/>
    <w:lvl w:ilvl="0" w:tplc="FFFFFFFF">
      <w:start w:val="11"/>
      <w:numFmt w:val="bullet"/>
      <w:lvlText w:val="-"/>
      <w:lvlJc w:val="left"/>
      <w:pPr>
        <w:tabs>
          <w:tab w:val="num" w:pos="600"/>
        </w:tabs>
        <w:ind w:left="600" w:hanging="360"/>
      </w:pPr>
      <w:rPr>
        <w:rFonts w:ascii="Times New Roman" w:eastAsia="Arial Unicode MS"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120">
    <w:nsid w:val="2F0B6E3D"/>
    <w:multiLevelType w:val="singleLevel"/>
    <w:tmpl w:val="80746B2C"/>
    <w:lvl w:ilvl="0">
      <w:start w:val="5"/>
      <w:numFmt w:val="bullet"/>
      <w:lvlText w:val="-"/>
      <w:lvlJc w:val="left"/>
      <w:pPr>
        <w:tabs>
          <w:tab w:val="num" w:pos="360"/>
        </w:tabs>
        <w:ind w:left="360" w:hanging="360"/>
      </w:pPr>
      <w:rPr>
        <w:rFonts w:hint="default"/>
      </w:rPr>
    </w:lvl>
  </w:abstractNum>
  <w:abstractNum w:abstractNumId="121">
    <w:nsid w:val="2F3E1A53"/>
    <w:multiLevelType w:val="hybridMultilevel"/>
    <w:tmpl w:val="32229F8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2">
    <w:nsid w:val="2F917E79"/>
    <w:multiLevelType w:val="singleLevel"/>
    <w:tmpl w:val="89981B76"/>
    <w:lvl w:ilvl="0">
      <w:start w:val="1"/>
      <w:numFmt w:val="upperLetter"/>
      <w:lvlText w:val="%1)"/>
      <w:lvlJc w:val="left"/>
      <w:pPr>
        <w:tabs>
          <w:tab w:val="num" w:pos="720"/>
        </w:tabs>
        <w:ind w:left="720" w:hanging="720"/>
      </w:pPr>
      <w:rPr>
        <w:rFonts w:hint="default"/>
        <w:u w:val="none"/>
      </w:rPr>
    </w:lvl>
  </w:abstractNum>
  <w:abstractNum w:abstractNumId="123">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124">
    <w:nsid w:val="300C6B47"/>
    <w:multiLevelType w:val="hybridMultilevel"/>
    <w:tmpl w:val="A5146606"/>
    <w:lvl w:ilvl="0" w:tplc="FFFFFFFF">
      <w:start w:val="23"/>
      <w:numFmt w:val="bullet"/>
      <w:lvlText w:val="-"/>
      <w:lvlJc w:val="left"/>
      <w:pPr>
        <w:tabs>
          <w:tab w:val="num" w:pos="2520"/>
        </w:tabs>
        <w:ind w:left="2520" w:hanging="360"/>
      </w:pPr>
      <w:rPr>
        <w:rFonts w:ascii="Times New Roman" w:eastAsia="Times New Roman" w:hAnsi="Times New Roman" w:cs="Times New Roman"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125">
    <w:nsid w:val="3064217A"/>
    <w:multiLevelType w:val="hybridMultilevel"/>
    <w:tmpl w:val="0D28F8B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26">
    <w:nsid w:val="315B2B04"/>
    <w:multiLevelType w:val="singleLevel"/>
    <w:tmpl w:val="0409000F"/>
    <w:lvl w:ilvl="0">
      <w:start w:val="1"/>
      <w:numFmt w:val="decimal"/>
      <w:lvlText w:val="%1."/>
      <w:lvlJc w:val="left"/>
      <w:pPr>
        <w:tabs>
          <w:tab w:val="num" w:pos="360"/>
        </w:tabs>
        <w:ind w:left="360" w:hanging="360"/>
      </w:pPr>
    </w:lvl>
  </w:abstractNum>
  <w:abstractNum w:abstractNumId="127">
    <w:nsid w:val="31BE73B8"/>
    <w:multiLevelType w:val="hybridMultilevel"/>
    <w:tmpl w:val="3880EFBA"/>
    <w:lvl w:ilvl="0" w:tplc="FFFFFFFF">
      <w:start w:val="1"/>
      <w:numFmt w:val="bullet"/>
      <w:lvlText w:val=""/>
      <w:lvlJc w:val="left"/>
      <w:pPr>
        <w:tabs>
          <w:tab w:val="num" w:pos="1440"/>
        </w:tabs>
        <w:ind w:left="1440" w:hanging="360"/>
      </w:pPr>
      <w:rPr>
        <w:rFonts w:ascii="Wingdings" w:hAnsi="Wingdings" w:cs="Times New Roman"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31C50B1A"/>
    <w:multiLevelType w:val="singleLevel"/>
    <w:tmpl w:val="277C1404"/>
    <w:lvl w:ilvl="0">
      <w:start w:val="1"/>
      <w:numFmt w:val="decimal"/>
      <w:lvlText w:val="%1)"/>
      <w:lvlJc w:val="left"/>
      <w:pPr>
        <w:tabs>
          <w:tab w:val="num" w:pos="1440"/>
        </w:tabs>
        <w:ind w:left="1440" w:hanging="720"/>
      </w:pPr>
      <w:rPr>
        <w:rFonts w:hint="default"/>
      </w:rPr>
    </w:lvl>
  </w:abstractNum>
  <w:abstractNum w:abstractNumId="129">
    <w:nsid w:val="31D62DAF"/>
    <w:multiLevelType w:val="hybridMultilevel"/>
    <w:tmpl w:val="DB585D1C"/>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32C208DC"/>
    <w:multiLevelType w:val="singleLevel"/>
    <w:tmpl w:val="FCE460B4"/>
    <w:lvl w:ilvl="0">
      <w:numFmt w:val="bullet"/>
      <w:lvlText w:val="-"/>
      <w:lvlJc w:val="left"/>
      <w:pPr>
        <w:tabs>
          <w:tab w:val="num" w:pos="1080"/>
        </w:tabs>
        <w:ind w:left="1080" w:hanging="360"/>
      </w:pPr>
      <w:rPr>
        <w:rFonts w:hint="default"/>
      </w:rPr>
    </w:lvl>
  </w:abstractNum>
  <w:abstractNum w:abstractNumId="131">
    <w:nsid w:val="334A53F5"/>
    <w:multiLevelType w:val="multilevel"/>
    <w:tmpl w:val="3BD02164"/>
    <w:lvl w:ilvl="0">
      <w:start w:val="3"/>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2">
    <w:nsid w:val="33E80BEE"/>
    <w:multiLevelType w:val="singleLevel"/>
    <w:tmpl w:val="A97EEDD4"/>
    <w:lvl w:ilvl="0">
      <w:start w:val="4"/>
      <w:numFmt w:val="bullet"/>
      <w:lvlText w:val="-"/>
      <w:lvlJc w:val="left"/>
      <w:pPr>
        <w:tabs>
          <w:tab w:val="num" w:pos="1080"/>
        </w:tabs>
        <w:ind w:left="1080" w:hanging="360"/>
      </w:pPr>
      <w:rPr>
        <w:rFonts w:hint="default"/>
      </w:rPr>
    </w:lvl>
  </w:abstractNum>
  <w:abstractNum w:abstractNumId="133">
    <w:nsid w:val="341A7469"/>
    <w:multiLevelType w:val="hybridMultilevel"/>
    <w:tmpl w:val="553A1114"/>
    <w:lvl w:ilvl="0" w:tplc="FFFFFFFF">
      <w:start w:val="16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346F40AB"/>
    <w:multiLevelType w:val="hybridMultilevel"/>
    <w:tmpl w:val="FFFAE4D4"/>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34AD144B"/>
    <w:multiLevelType w:val="hybridMultilevel"/>
    <w:tmpl w:val="58F631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34F731CD"/>
    <w:multiLevelType w:val="singleLevel"/>
    <w:tmpl w:val="63B2FC10"/>
    <w:lvl w:ilvl="0">
      <w:start w:val="1"/>
      <w:numFmt w:val="bullet"/>
      <w:lvlText w:val="-"/>
      <w:lvlJc w:val="left"/>
      <w:pPr>
        <w:tabs>
          <w:tab w:val="num" w:pos="360"/>
        </w:tabs>
        <w:ind w:left="360" w:hanging="360"/>
      </w:pPr>
      <w:rPr>
        <w:rFonts w:hint="default"/>
      </w:rPr>
    </w:lvl>
  </w:abstractNum>
  <w:abstractNum w:abstractNumId="137">
    <w:nsid w:val="34FC741C"/>
    <w:multiLevelType w:val="hybridMultilevel"/>
    <w:tmpl w:val="45482F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352E5729"/>
    <w:multiLevelType w:val="hybridMultilevel"/>
    <w:tmpl w:val="07E0866E"/>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9">
    <w:nsid w:val="356C3F78"/>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0">
    <w:nsid w:val="365A4F20"/>
    <w:multiLevelType w:val="hybridMultilevel"/>
    <w:tmpl w:val="8B50FC62"/>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36BB5220"/>
    <w:multiLevelType w:val="hybridMultilevel"/>
    <w:tmpl w:val="7D4EA0CC"/>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36D41D1F"/>
    <w:multiLevelType w:val="singleLevel"/>
    <w:tmpl w:val="0409000F"/>
    <w:lvl w:ilvl="0">
      <w:start w:val="1"/>
      <w:numFmt w:val="decimal"/>
      <w:lvlText w:val="%1."/>
      <w:lvlJc w:val="left"/>
      <w:pPr>
        <w:tabs>
          <w:tab w:val="num" w:pos="360"/>
        </w:tabs>
        <w:ind w:left="360" w:hanging="360"/>
      </w:pPr>
    </w:lvl>
  </w:abstractNum>
  <w:abstractNum w:abstractNumId="143">
    <w:nsid w:val="36E95158"/>
    <w:multiLevelType w:val="hybridMultilevel"/>
    <w:tmpl w:val="A55E84B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37113B67"/>
    <w:multiLevelType w:val="hybridMultilevel"/>
    <w:tmpl w:val="4DB0DE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38181DEA"/>
    <w:multiLevelType w:val="multilevel"/>
    <w:tmpl w:val="9EEE8DA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6">
    <w:nsid w:val="38C3530B"/>
    <w:multiLevelType w:val="hybridMultilevel"/>
    <w:tmpl w:val="1A28C65E"/>
    <w:lvl w:ilvl="0" w:tplc="FFFFFFFF">
      <w:start w:val="1"/>
      <w:numFmt w:val="bullet"/>
      <w:lvlText w:val=""/>
      <w:lvlJc w:val="left"/>
      <w:pPr>
        <w:tabs>
          <w:tab w:val="num" w:pos="720"/>
        </w:tabs>
        <w:ind w:left="720" w:hanging="360"/>
      </w:pPr>
      <w:rPr>
        <w:rFonts w:ascii="Symbol" w:hAnsi="Symbol" w:hint="default"/>
      </w:rPr>
    </w:lvl>
    <w:lvl w:ilvl="1" w:tplc="FFFFFFFF">
      <w:start w:val="19"/>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39331242"/>
    <w:multiLevelType w:val="multilevel"/>
    <w:tmpl w:val="7E7605E2"/>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3"/>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99D6EBF"/>
    <w:multiLevelType w:val="hybridMultilevel"/>
    <w:tmpl w:val="DED63E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3A3134CD"/>
    <w:multiLevelType w:val="hybridMultilevel"/>
    <w:tmpl w:val="A468A86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3B270556"/>
    <w:multiLevelType w:val="multilevel"/>
    <w:tmpl w:val="9504260A"/>
    <w:lvl w:ilvl="0">
      <w:start w:val="310"/>
      <w:numFmt w:val="decimal"/>
      <w:lvlText w:val="%1."/>
      <w:lvlJc w:val="left"/>
      <w:pPr>
        <w:tabs>
          <w:tab w:val="num" w:pos="720"/>
        </w:tabs>
        <w:ind w:left="720" w:hanging="360"/>
      </w:pPr>
      <w:rPr>
        <w:rFonts w:hint="default"/>
      </w:rPr>
    </w:lvl>
    <w:lvl w:ilvl="1">
      <w:start w:val="8"/>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3B544AFB"/>
    <w:multiLevelType w:val="singleLevel"/>
    <w:tmpl w:val="657801A4"/>
    <w:lvl w:ilvl="0">
      <w:start w:val="4"/>
      <w:numFmt w:val="decimal"/>
      <w:lvlText w:val="%1."/>
      <w:lvlJc w:val="left"/>
      <w:pPr>
        <w:tabs>
          <w:tab w:val="num" w:pos="1080"/>
        </w:tabs>
        <w:ind w:left="1080" w:hanging="360"/>
      </w:pPr>
      <w:rPr>
        <w:rFonts w:hint="default"/>
      </w:rPr>
    </w:lvl>
  </w:abstractNum>
  <w:abstractNum w:abstractNumId="152">
    <w:nsid w:val="3B8A4E7A"/>
    <w:multiLevelType w:val="hybridMultilevel"/>
    <w:tmpl w:val="A5AE70E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3">
    <w:nsid w:val="3B9E67F9"/>
    <w:multiLevelType w:val="hybridMultilevel"/>
    <w:tmpl w:val="1A489828"/>
    <w:lvl w:ilvl="0" w:tplc="FFFFFFFF">
      <w:start w:val="333"/>
      <w:numFmt w:val="decimal"/>
      <w:lvlText w:val="%1."/>
      <w:lvlJc w:val="left"/>
      <w:pPr>
        <w:tabs>
          <w:tab w:val="num" w:pos="360"/>
        </w:tabs>
        <w:ind w:left="360" w:hanging="360"/>
      </w:pPr>
      <w:rPr>
        <w:rFonts w:hint="default"/>
      </w:rPr>
    </w:lvl>
    <w:lvl w:ilvl="1" w:tplc="FFFFFFFF">
      <w:start w:val="15"/>
      <w:numFmt w:val="bullet"/>
      <w:lvlText w:val=""/>
      <w:lvlJc w:val="left"/>
      <w:pPr>
        <w:tabs>
          <w:tab w:val="num" w:pos="1440"/>
        </w:tabs>
        <w:ind w:left="1440" w:hanging="720"/>
      </w:pPr>
      <w:rPr>
        <w:rFonts w:ascii="Symbol" w:eastAsia="Times New Roman" w:hAnsi="Symbol"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4">
    <w:nsid w:val="3C04278B"/>
    <w:multiLevelType w:val="multilevel"/>
    <w:tmpl w:val="9690C11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5">
    <w:nsid w:val="3C5126AA"/>
    <w:multiLevelType w:val="hybridMultilevel"/>
    <w:tmpl w:val="CDB8B924"/>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3C9E29E5"/>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3CCD4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58">
    <w:nsid w:val="3CE31D72"/>
    <w:multiLevelType w:val="singleLevel"/>
    <w:tmpl w:val="B6D48F20"/>
    <w:lvl w:ilvl="0">
      <w:start w:val="1"/>
      <w:numFmt w:val="upperLetter"/>
      <w:lvlText w:val="%1)"/>
      <w:lvlJc w:val="left"/>
      <w:pPr>
        <w:tabs>
          <w:tab w:val="num" w:pos="360"/>
        </w:tabs>
        <w:ind w:left="360" w:hanging="360"/>
      </w:pPr>
      <w:rPr>
        <w:rFonts w:hint="default"/>
      </w:rPr>
    </w:lvl>
  </w:abstractNum>
  <w:abstractNum w:abstractNumId="159">
    <w:nsid w:val="3D02433C"/>
    <w:multiLevelType w:val="singleLevel"/>
    <w:tmpl w:val="04090017"/>
    <w:lvl w:ilvl="0">
      <w:start w:val="1"/>
      <w:numFmt w:val="lowerLetter"/>
      <w:lvlText w:val="%1)"/>
      <w:lvlJc w:val="left"/>
      <w:pPr>
        <w:tabs>
          <w:tab w:val="num" w:pos="360"/>
        </w:tabs>
        <w:ind w:left="360" w:hanging="360"/>
      </w:pPr>
      <w:rPr>
        <w:rFonts w:hint="default"/>
      </w:rPr>
    </w:lvl>
  </w:abstractNum>
  <w:abstractNum w:abstractNumId="160">
    <w:nsid w:val="3D0C299F"/>
    <w:multiLevelType w:val="hybridMultilevel"/>
    <w:tmpl w:val="D7E624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1">
    <w:nsid w:val="3DAD67AF"/>
    <w:multiLevelType w:val="hybridMultilevel"/>
    <w:tmpl w:val="CD8AE4D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2">
    <w:nsid w:val="3DE54735"/>
    <w:multiLevelType w:val="hybridMultilevel"/>
    <w:tmpl w:val="152E0632"/>
    <w:lvl w:ilvl="0" w:tplc="FFFFFFFF">
      <w:start w:val="1"/>
      <w:numFmt w:val="upperLetter"/>
      <w:lvlText w:val="%1)"/>
      <w:lvlJc w:val="left"/>
      <w:pPr>
        <w:tabs>
          <w:tab w:val="num" w:pos="1080"/>
        </w:tabs>
        <w:ind w:left="1080" w:hanging="720"/>
      </w:pPr>
      <w:rPr>
        <w:rFonts w:hint="default"/>
        <w:u w:val="none"/>
      </w:rPr>
    </w:lvl>
    <w:lvl w:ilvl="1" w:tplc="FFFFFFFF">
      <w:start w:val="14"/>
      <w:numFmt w:val="decimal"/>
      <w:lvlText w:val="%2."/>
      <w:lvlJc w:val="left"/>
      <w:pPr>
        <w:tabs>
          <w:tab w:val="num" w:pos="1845"/>
        </w:tabs>
        <w:ind w:left="1845" w:hanging="76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3">
    <w:nsid w:val="3E127AB1"/>
    <w:multiLevelType w:val="hybridMultilevel"/>
    <w:tmpl w:val="49849A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3E3D72CB"/>
    <w:multiLevelType w:val="hybridMultilevel"/>
    <w:tmpl w:val="991406BC"/>
    <w:lvl w:ilvl="0" w:tplc="FFFFFFFF">
      <w:numFmt w:val="bullet"/>
      <w:lvlText w:val="-"/>
      <w:lvlJc w:val="left"/>
      <w:pPr>
        <w:tabs>
          <w:tab w:val="num" w:pos="420"/>
        </w:tabs>
        <w:ind w:left="4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5">
    <w:nsid w:val="3E5B687D"/>
    <w:multiLevelType w:val="hybridMultilevel"/>
    <w:tmpl w:val="6938057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6">
    <w:nsid w:val="3E614449"/>
    <w:multiLevelType w:val="singleLevel"/>
    <w:tmpl w:val="D18ED4F0"/>
    <w:lvl w:ilvl="0">
      <w:start w:val="1"/>
      <w:numFmt w:val="lowerLetter"/>
      <w:lvlText w:val="%1)"/>
      <w:lvlJc w:val="left"/>
      <w:pPr>
        <w:tabs>
          <w:tab w:val="num" w:pos="1080"/>
        </w:tabs>
        <w:ind w:left="1080" w:hanging="360"/>
      </w:pPr>
      <w:rPr>
        <w:rFonts w:hint="default"/>
      </w:rPr>
    </w:lvl>
  </w:abstractNum>
  <w:abstractNum w:abstractNumId="167">
    <w:nsid w:val="3EF04FAF"/>
    <w:multiLevelType w:val="singleLevel"/>
    <w:tmpl w:val="82F21C2C"/>
    <w:lvl w:ilvl="0">
      <w:numFmt w:val="bullet"/>
      <w:lvlText w:val="-"/>
      <w:lvlJc w:val="left"/>
      <w:pPr>
        <w:tabs>
          <w:tab w:val="num" w:pos="360"/>
        </w:tabs>
        <w:ind w:left="360" w:hanging="360"/>
      </w:pPr>
      <w:rPr>
        <w:rFonts w:hint="default"/>
      </w:rPr>
    </w:lvl>
  </w:abstractNum>
  <w:abstractNum w:abstractNumId="168">
    <w:nsid w:val="3F5F5F37"/>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69">
    <w:nsid w:val="3FE86B66"/>
    <w:multiLevelType w:val="multilevel"/>
    <w:tmpl w:val="E5F6B35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0">
    <w:nsid w:val="40610B92"/>
    <w:multiLevelType w:val="multilevel"/>
    <w:tmpl w:val="FA5E9DA0"/>
    <w:lvl w:ilvl="0">
      <w:start w:val="20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4078738C"/>
    <w:multiLevelType w:val="hybridMultilevel"/>
    <w:tmpl w:val="E46C90F4"/>
    <w:lvl w:ilvl="0" w:tplc="FFFFFFFF">
      <w:numFmt w:val="bullet"/>
      <w:lvlText w:val="-"/>
      <w:lvlJc w:val="left"/>
      <w:pPr>
        <w:tabs>
          <w:tab w:val="num" w:pos="1800"/>
        </w:tabs>
        <w:ind w:left="1800" w:hanging="360"/>
      </w:pPr>
      <w:rPr>
        <w:rFonts w:ascii="Times New Roman" w:eastAsia="Times New Roman" w:hAnsi="Times New Roman" w:cs="Times New Roman"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72">
    <w:nsid w:val="40C33007"/>
    <w:multiLevelType w:val="hybridMultilevel"/>
    <w:tmpl w:val="937A59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4124318E"/>
    <w:multiLevelType w:val="singleLevel"/>
    <w:tmpl w:val="BA7E1998"/>
    <w:lvl w:ilvl="0">
      <w:start w:val="1"/>
      <w:numFmt w:val="upperLetter"/>
      <w:lvlText w:val="%1)"/>
      <w:lvlJc w:val="left"/>
      <w:pPr>
        <w:tabs>
          <w:tab w:val="num" w:pos="720"/>
        </w:tabs>
        <w:ind w:left="720" w:hanging="720"/>
      </w:pPr>
      <w:rPr>
        <w:rFonts w:hint="default"/>
        <w:u w:val="none"/>
      </w:rPr>
    </w:lvl>
  </w:abstractNum>
  <w:abstractNum w:abstractNumId="174">
    <w:nsid w:val="41366B05"/>
    <w:multiLevelType w:val="hybridMultilevel"/>
    <w:tmpl w:val="BB00A8B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5">
    <w:nsid w:val="414D5881"/>
    <w:multiLevelType w:val="hybridMultilevel"/>
    <w:tmpl w:val="3A541750"/>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6">
    <w:nsid w:val="41743FBF"/>
    <w:multiLevelType w:val="hybridMultilevel"/>
    <w:tmpl w:val="6A40987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41D972E1"/>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8">
    <w:nsid w:val="42C95C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9">
    <w:nsid w:val="4395630A"/>
    <w:multiLevelType w:val="hybridMultilevel"/>
    <w:tmpl w:val="D22A53A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0">
    <w:nsid w:val="43AC5F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1">
    <w:nsid w:val="455F0FEB"/>
    <w:multiLevelType w:val="singleLevel"/>
    <w:tmpl w:val="A564A0BE"/>
    <w:lvl w:ilvl="0">
      <w:start w:val="1"/>
      <w:numFmt w:val="decimal"/>
      <w:lvlText w:val="%1."/>
      <w:lvlJc w:val="left"/>
      <w:pPr>
        <w:tabs>
          <w:tab w:val="num" w:pos="360"/>
        </w:tabs>
        <w:ind w:left="360" w:hanging="360"/>
      </w:pPr>
    </w:lvl>
  </w:abstractNum>
  <w:abstractNum w:abstractNumId="182">
    <w:nsid w:val="4566215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183">
    <w:nsid w:val="45C1482F"/>
    <w:multiLevelType w:val="hybridMultilevel"/>
    <w:tmpl w:val="FE0232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4">
    <w:nsid w:val="45EE79CE"/>
    <w:multiLevelType w:val="multilevel"/>
    <w:tmpl w:val="B1A46148"/>
    <w:lvl w:ilvl="0">
      <w:start w:val="5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nsid w:val="46283486"/>
    <w:multiLevelType w:val="singleLevel"/>
    <w:tmpl w:val="80746B2C"/>
    <w:lvl w:ilvl="0">
      <w:start w:val="5"/>
      <w:numFmt w:val="bullet"/>
      <w:lvlText w:val="-"/>
      <w:lvlJc w:val="left"/>
      <w:pPr>
        <w:tabs>
          <w:tab w:val="num" w:pos="360"/>
        </w:tabs>
        <w:ind w:left="360" w:hanging="360"/>
      </w:pPr>
      <w:rPr>
        <w:rFonts w:hint="default"/>
      </w:rPr>
    </w:lvl>
  </w:abstractNum>
  <w:abstractNum w:abstractNumId="186">
    <w:nsid w:val="46847178"/>
    <w:multiLevelType w:val="hybridMultilevel"/>
    <w:tmpl w:val="F23EE39A"/>
    <w:lvl w:ilvl="0" w:tplc="FFFFFFFF">
      <w:start w:val="14"/>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7">
    <w:nsid w:val="471E7F1C"/>
    <w:multiLevelType w:val="singleLevel"/>
    <w:tmpl w:val="41083214"/>
    <w:lvl w:ilvl="0">
      <w:start w:val="7"/>
      <w:numFmt w:val="upperLetter"/>
      <w:lvlText w:val="%1)"/>
      <w:lvlJc w:val="left"/>
      <w:pPr>
        <w:tabs>
          <w:tab w:val="num" w:pos="720"/>
        </w:tabs>
        <w:ind w:left="720" w:hanging="720"/>
      </w:pPr>
      <w:rPr>
        <w:rFonts w:hint="default"/>
      </w:rPr>
    </w:lvl>
  </w:abstractNum>
  <w:abstractNum w:abstractNumId="188">
    <w:nsid w:val="477E5FE6"/>
    <w:multiLevelType w:val="multilevel"/>
    <w:tmpl w:val="77AA2AD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9">
    <w:nsid w:val="48214B96"/>
    <w:multiLevelType w:val="multilevel"/>
    <w:tmpl w:val="BEBA63EE"/>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nsid w:val="48646F91"/>
    <w:multiLevelType w:val="hybridMultilevel"/>
    <w:tmpl w:val="CD6C4D40"/>
    <w:lvl w:ilvl="0" w:tplc="FFFFFFFF">
      <w:start w:val="310"/>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4A7F2346"/>
    <w:multiLevelType w:val="hybridMultilevel"/>
    <w:tmpl w:val="61602E74"/>
    <w:lvl w:ilvl="0" w:tplc="FFFFFFFF">
      <w:start w:val="1"/>
      <w:numFmt w:val="decimal"/>
      <w:lvlText w:val="%1."/>
      <w:lvlJc w:val="left"/>
      <w:pPr>
        <w:tabs>
          <w:tab w:val="num" w:pos="720"/>
        </w:tabs>
        <w:ind w:left="720" w:hanging="720"/>
      </w:pPr>
      <w:rPr>
        <w:rFonts w:hint="default"/>
        <w:b/>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2">
    <w:nsid w:val="4A86300A"/>
    <w:multiLevelType w:val="singleLevel"/>
    <w:tmpl w:val="80746B2C"/>
    <w:lvl w:ilvl="0">
      <w:start w:val="5"/>
      <w:numFmt w:val="bullet"/>
      <w:lvlText w:val="-"/>
      <w:lvlJc w:val="left"/>
      <w:pPr>
        <w:tabs>
          <w:tab w:val="num" w:pos="360"/>
        </w:tabs>
        <w:ind w:left="360" w:hanging="360"/>
      </w:pPr>
      <w:rPr>
        <w:rFonts w:hint="default"/>
      </w:rPr>
    </w:lvl>
  </w:abstractNum>
  <w:abstractNum w:abstractNumId="193">
    <w:nsid w:val="4B176C5D"/>
    <w:multiLevelType w:val="multilevel"/>
    <w:tmpl w:val="1CF42AB8"/>
    <w:lvl w:ilvl="0">
      <w:start w:val="61"/>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4B1D636D"/>
    <w:multiLevelType w:val="multilevel"/>
    <w:tmpl w:val="081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5">
    <w:nsid w:val="4B6D4F5D"/>
    <w:multiLevelType w:val="multilevel"/>
    <w:tmpl w:val="537E842C"/>
    <w:lvl w:ilvl="0">
      <w:start w:val="202"/>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Symbol" w:hAnsi="Symbol" w:hint="default"/>
        <w:b w:val="0"/>
      </w:rPr>
    </w:lvl>
    <w:lvl w:ilvl="2">
      <w:start w:val="4"/>
      <w:numFmt w:val="upperLetter"/>
      <w:lvlText w:val="%3)"/>
      <w:lvlJc w:val="left"/>
      <w:pPr>
        <w:tabs>
          <w:tab w:val="num" w:pos="2340"/>
        </w:tabs>
        <w:ind w:left="2340" w:hanging="36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nsid w:val="4BE31731"/>
    <w:multiLevelType w:val="hybridMultilevel"/>
    <w:tmpl w:val="C5B07876"/>
    <w:lvl w:ilvl="0" w:tplc="FFFFFFFF">
      <w:start w:val="2"/>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4C412035"/>
    <w:multiLevelType w:val="hybridMultilevel"/>
    <w:tmpl w:val="C9FEB28A"/>
    <w:lvl w:ilvl="0" w:tplc="FFFFFFFF">
      <w:start w:val="1"/>
      <w:numFmt w:val="decimal"/>
      <w:lvlText w:val="%1."/>
      <w:lvlJc w:val="left"/>
      <w:pPr>
        <w:tabs>
          <w:tab w:val="num" w:pos="360"/>
        </w:tabs>
        <w:ind w:left="360" w:hanging="360"/>
      </w:pPr>
    </w:lvl>
    <w:lvl w:ilvl="1" w:tplc="FFFFFFFF">
      <w:start w:val="1"/>
      <w:numFmt w:val="bullet"/>
      <w:lvlText w:val=""/>
      <w:lvlJc w:val="left"/>
      <w:pPr>
        <w:tabs>
          <w:tab w:val="num" w:pos="900"/>
        </w:tabs>
        <w:ind w:left="90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8">
    <w:nsid w:val="4CA642C4"/>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
    <w:nsid w:val="4D533E09"/>
    <w:multiLevelType w:val="hybridMultilevel"/>
    <w:tmpl w:val="2D6CCF9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0">
    <w:nsid w:val="4E125756"/>
    <w:multiLevelType w:val="hybridMultilevel"/>
    <w:tmpl w:val="B13001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1">
    <w:nsid w:val="4E97448D"/>
    <w:multiLevelType w:val="hybridMultilevel"/>
    <w:tmpl w:val="DACC6A6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2">
    <w:nsid w:val="4F6C1626"/>
    <w:multiLevelType w:val="hybridMultilevel"/>
    <w:tmpl w:val="E47E39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3">
    <w:nsid w:val="503B20D7"/>
    <w:multiLevelType w:val="singleLevel"/>
    <w:tmpl w:val="20583D84"/>
    <w:lvl w:ilvl="0">
      <w:start w:val="12"/>
      <w:numFmt w:val="upperLetter"/>
      <w:lvlText w:val="%1)"/>
      <w:lvlJc w:val="left"/>
      <w:pPr>
        <w:tabs>
          <w:tab w:val="num" w:pos="720"/>
        </w:tabs>
        <w:ind w:left="720" w:hanging="720"/>
      </w:pPr>
      <w:rPr>
        <w:rFonts w:hint="default"/>
      </w:rPr>
    </w:lvl>
  </w:abstractNum>
  <w:abstractNum w:abstractNumId="204">
    <w:nsid w:val="50447A02"/>
    <w:multiLevelType w:val="hybridMultilevel"/>
    <w:tmpl w:val="F078E592"/>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5">
    <w:nsid w:val="51370279"/>
    <w:multiLevelType w:val="singleLevel"/>
    <w:tmpl w:val="2C3A1DB2"/>
    <w:lvl w:ilvl="0">
      <w:start w:val="1"/>
      <w:numFmt w:val="decimal"/>
      <w:lvlText w:val="%1)"/>
      <w:lvlJc w:val="left"/>
      <w:pPr>
        <w:tabs>
          <w:tab w:val="num" w:pos="2160"/>
        </w:tabs>
        <w:ind w:left="2160" w:hanging="720"/>
      </w:pPr>
      <w:rPr>
        <w:rFonts w:hint="default"/>
      </w:rPr>
    </w:lvl>
  </w:abstractNum>
  <w:abstractNum w:abstractNumId="206">
    <w:nsid w:val="52C64FF8"/>
    <w:multiLevelType w:val="singleLevel"/>
    <w:tmpl w:val="3F726A8E"/>
    <w:lvl w:ilvl="0">
      <w:start w:val="1"/>
      <w:numFmt w:val="decimal"/>
      <w:lvlText w:val="%1)"/>
      <w:lvlJc w:val="left"/>
      <w:pPr>
        <w:tabs>
          <w:tab w:val="num" w:pos="1440"/>
        </w:tabs>
        <w:ind w:left="1440" w:hanging="720"/>
      </w:pPr>
      <w:rPr>
        <w:rFonts w:hint="default"/>
      </w:rPr>
    </w:lvl>
  </w:abstractNum>
  <w:abstractNum w:abstractNumId="207">
    <w:nsid w:val="52E42912"/>
    <w:multiLevelType w:val="hybridMultilevel"/>
    <w:tmpl w:val="8C6EC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8">
    <w:nsid w:val="53547AA8"/>
    <w:multiLevelType w:val="hybridMultilevel"/>
    <w:tmpl w:val="ADA89B8A"/>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9">
    <w:nsid w:val="535937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0">
    <w:nsid w:val="536B7606"/>
    <w:multiLevelType w:val="singleLevel"/>
    <w:tmpl w:val="2A32043A"/>
    <w:lvl w:ilvl="0">
      <w:start w:val="1"/>
      <w:numFmt w:val="lowerLetter"/>
      <w:lvlText w:val="%1."/>
      <w:lvlJc w:val="left"/>
      <w:pPr>
        <w:tabs>
          <w:tab w:val="num" w:pos="1211"/>
        </w:tabs>
        <w:ind w:left="1211" w:hanging="360"/>
      </w:pPr>
      <w:rPr>
        <w:rFonts w:hint="default"/>
      </w:rPr>
    </w:lvl>
  </w:abstractNum>
  <w:abstractNum w:abstractNumId="211">
    <w:nsid w:val="54766C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2">
    <w:nsid w:val="54B039EF"/>
    <w:multiLevelType w:val="multilevel"/>
    <w:tmpl w:val="FE6C1992"/>
    <w:lvl w:ilvl="0">
      <w:start w:val="50"/>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13">
    <w:nsid w:val="54CB3605"/>
    <w:multiLevelType w:val="hybridMultilevel"/>
    <w:tmpl w:val="5450DE10"/>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14">
    <w:nsid w:val="55420878"/>
    <w:multiLevelType w:val="hybridMultilevel"/>
    <w:tmpl w:val="2EDAD23C"/>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5">
    <w:nsid w:val="56F52BA9"/>
    <w:multiLevelType w:val="singleLevel"/>
    <w:tmpl w:val="63B2FC10"/>
    <w:lvl w:ilvl="0">
      <w:numFmt w:val="bullet"/>
      <w:lvlText w:val="-"/>
      <w:lvlJc w:val="left"/>
      <w:pPr>
        <w:tabs>
          <w:tab w:val="num" w:pos="360"/>
        </w:tabs>
        <w:ind w:left="360" w:hanging="360"/>
      </w:pPr>
      <w:rPr>
        <w:rFonts w:hint="default"/>
      </w:rPr>
    </w:lvl>
  </w:abstractNum>
  <w:abstractNum w:abstractNumId="216">
    <w:nsid w:val="57AF11B0"/>
    <w:multiLevelType w:val="hybridMultilevel"/>
    <w:tmpl w:val="6B00547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7">
    <w:nsid w:val="58050894"/>
    <w:multiLevelType w:val="hybridMultilevel"/>
    <w:tmpl w:val="8C3AF0BE"/>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58917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9">
    <w:nsid w:val="58917A63"/>
    <w:multiLevelType w:val="singleLevel"/>
    <w:tmpl w:val="D48C85FE"/>
    <w:lvl w:ilvl="0">
      <w:start w:val="1"/>
      <w:numFmt w:val="decimal"/>
      <w:lvlText w:val="%1."/>
      <w:lvlJc w:val="left"/>
      <w:pPr>
        <w:tabs>
          <w:tab w:val="num" w:pos="360"/>
        </w:tabs>
        <w:ind w:left="360" w:hanging="360"/>
      </w:pPr>
    </w:lvl>
  </w:abstractNum>
  <w:abstractNum w:abstractNumId="220">
    <w:nsid w:val="589462AA"/>
    <w:multiLevelType w:val="hybridMultilevel"/>
    <w:tmpl w:val="9F8EAA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1">
    <w:nsid w:val="58D64071"/>
    <w:multiLevelType w:val="multilevel"/>
    <w:tmpl w:val="BDB43546"/>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2">
    <w:nsid w:val="58FD1E9F"/>
    <w:multiLevelType w:val="singleLevel"/>
    <w:tmpl w:val="F4F86556"/>
    <w:lvl w:ilvl="0">
      <w:start w:val="1"/>
      <w:numFmt w:val="upperLetter"/>
      <w:lvlText w:val="%1)"/>
      <w:lvlJc w:val="left"/>
      <w:pPr>
        <w:tabs>
          <w:tab w:val="num" w:pos="720"/>
        </w:tabs>
        <w:ind w:left="720" w:hanging="720"/>
      </w:pPr>
      <w:rPr>
        <w:rFonts w:hint="default"/>
      </w:rPr>
    </w:lvl>
  </w:abstractNum>
  <w:abstractNum w:abstractNumId="223">
    <w:nsid w:val="59210A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4">
    <w:nsid w:val="5959781E"/>
    <w:multiLevelType w:val="hybridMultilevel"/>
    <w:tmpl w:val="E8CA2D0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5">
    <w:nsid w:val="5AF82994"/>
    <w:multiLevelType w:val="hybridMultilevel"/>
    <w:tmpl w:val="848EBD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6">
    <w:nsid w:val="5B192405"/>
    <w:multiLevelType w:val="singleLevel"/>
    <w:tmpl w:val="04090017"/>
    <w:lvl w:ilvl="0">
      <w:start w:val="1"/>
      <w:numFmt w:val="lowerLetter"/>
      <w:lvlText w:val="%1)"/>
      <w:lvlJc w:val="left"/>
      <w:pPr>
        <w:tabs>
          <w:tab w:val="num" w:pos="360"/>
        </w:tabs>
        <w:ind w:left="360" w:hanging="360"/>
      </w:pPr>
    </w:lvl>
  </w:abstractNum>
  <w:abstractNum w:abstractNumId="227">
    <w:nsid w:val="5B4A658E"/>
    <w:multiLevelType w:val="singleLevel"/>
    <w:tmpl w:val="8E82A41A"/>
    <w:lvl w:ilvl="0">
      <w:start w:val="2"/>
      <w:numFmt w:val="bullet"/>
      <w:lvlText w:val="-"/>
      <w:lvlJc w:val="left"/>
      <w:pPr>
        <w:tabs>
          <w:tab w:val="num" w:pos="1440"/>
        </w:tabs>
        <w:ind w:left="1440" w:hanging="720"/>
      </w:pPr>
      <w:rPr>
        <w:rFonts w:hint="default"/>
      </w:rPr>
    </w:lvl>
  </w:abstractNum>
  <w:abstractNum w:abstractNumId="228">
    <w:nsid w:val="5F08050E"/>
    <w:multiLevelType w:val="singleLevel"/>
    <w:tmpl w:val="40A2F000"/>
    <w:lvl w:ilvl="0">
      <w:start w:val="1"/>
      <w:numFmt w:val="upperLetter"/>
      <w:lvlText w:val="%1)"/>
      <w:lvlJc w:val="left"/>
      <w:pPr>
        <w:tabs>
          <w:tab w:val="num" w:pos="720"/>
        </w:tabs>
        <w:ind w:left="720" w:hanging="720"/>
      </w:pPr>
      <w:rPr>
        <w:rFonts w:hint="default"/>
      </w:rPr>
    </w:lvl>
  </w:abstractNum>
  <w:abstractNum w:abstractNumId="229">
    <w:nsid w:val="5F191076"/>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30">
    <w:nsid w:val="602C3C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1">
    <w:nsid w:val="607F2114"/>
    <w:multiLevelType w:val="singleLevel"/>
    <w:tmpl w:val="80746B2C"/>
    <w:lvl w:ilvl="0">
      <w:start w:val="5"/>
      <w:numFmt w:val="bullet"/>
      <w:lvlText w:val="-"/>
      <w:lvlJc w:val="left"/>
      <w:pPr>
        <w:tabs>
          <w:tab w:val="num" w:pos="360"/>
        </w:tabs>
        <w:ind w:left="360" w:hanging="360"/>
      </w:pPr>
      <w:rPr>
        <w:rFonts w:hint="default"/>
      </w:rPr>
    </w:lvl>
  </w:abstractNum>
  <w:abstractNum w:abstractNumId="232">
    <w:nsid w:val="61802DDA"/>
    <w:multiLevelType w:val="hybridMultilevel"/>
    <w:tmpl w:val="6F9088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3">
    <w:nsid w:val="61F1192F"/>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34">
    <w:nsid w:val="623B4C94"/>
    <w:multiLevelType w:val="hybridMultilevel"/>
    <w:tmpl w:val="C09CDBFE"/>
    <w:lvl w:ilvl="0" w:tplc="FFFFFFFF">
      <w:start w:val="310"/>
      <w:numFmt w:val="decimal"/>
      <w:lvlText w:val="%1."/>
      <w:lvlJc w:val="left"/>
      <w:pPr>
        <w:tabs>
          <w:tab w:val="num" w:pos="720"/>
        </w:tabs>
        <w:ind w:left="720" w:hanging="360"/>
      </w:pPr>
      <w:rPr>
        <w:rFonts w:hint="default"/>
      </w:rPr>
    </w:lvl>
    <w:lvl w:ilvl="1" w:tplc="FFFFFFFF">
      <w:start w:val="8"/>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5">
    <w:nsid w:val="62506FC0"/>
    <w:multiLevelType w:val="multilevel"/>
    <w:tmpl w:val="BF5A5B82"/>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6">
    <w:nsid w:val="63C41E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642F316E"/>
    <w:multiLevelType w:val="hybridMultilevel"/>
    <w:tmpl w:val="228A85F4"/>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8">
    <w:nsid w:val="65617AAA"/>
    <w:multiLevelType w:val="multilevel"/>
    <w:tmpl w:val="2E0E34C4"/>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9">
    <w:nsid w:val="661F7DD3"/>
    <w:multiLevelType w:val="singleLevel"/>
    <w:tmpl w:val="80746B2C"/>
    <w:lvl w:ilvl="0">
      <w:start w:val="5"/>
      <w:numFmt w:val="bullet"/>
      <w:lvlText w:val="-"/>
      <w:lvlJc w:val="left"/>
      <w:pPr>
        <w:tabs>
          <w:tab w:val="num" w:pos="360"/>
        </w:tabs>
        <w:ind w:left="360" w:hanging="360"/>
      </w:pPr>
      <w:rPr>
        <w:rFonts w:hint="default"/>
      </w:rPr>
    </w:lvl>
  </w:abstractNum>
  <w:abstractNum w:abstractNumId="240">
    <w:nsid w:val="664B27AB"/>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41">
    <w:nsid w:val="666A4503"/>
    <w:multiLevelType w:val="hybridMultilevel"/>
    <w:tmpl w:val="A802E0E4"/>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Tahoma"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Tahoma"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Tahoma"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42">
    <w:nsid w:val="66C615C6"/>
    <w:multiLevelType w:val="hybridMultilevel"/>
    <w:tmpl w:val="FDF06C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3">
    <w:nsid w:val="66FF1E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4">
    <w:nsid w:val="67562090"/>
    <w:multiLevelType w:val="hybridMultilevel"/>
    <w:tmpl w:val="DABAC6A8"/>
    <w:lvl w:ilvl="0" w:tplc="FFFFFFFF">
      <w:start w:val="1"/>
      <w:numFmt w:val="decimal"/>
      <w:lvlText w:val="%1."/>
      <w:lvlJc w:val="left"/>
      <w:pPr>
        <w:tabs>
          <w:tab w:val="num" w:pos="360"/>
        </w:tabs>
        <w:ind w:left="144" w:hanging="14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5">
    <w:nsid w:val="67796580"/>
    <w:multiLevelType w:val="multilevel"/>
    <w:tmpl w:val="69044BC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6">
    <w:nsid w:val="68E32151"/>
    <w:multiLevelType w:val="hybridMultilevel"/>
    <w:tmpl w:val="A3B0144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7">
    <w:nsid w:val="69EB2D79"/>
    <w:multiLevelType w:val="singleLevel"/>
    <w:tmpl w:val="806AF7E2"/>
    <w:lvl w:ilvl="0">
      <w:start w:val="10"/>
      <w:numFmt w:val="upperLetter"/>
      <w:lvlText w:val="%1)"/>
      <w:lvlJc w:val="left"/>
      <w:pPr>
        <w:tabs>
          <w:tab w:val="num" w:pos="720"/>
        </w:tabs>
        <w:ind w:left="720" w:hanging="720"/>
      </w:pPr>
      <w:rPr>
        <w:rFonts w:hint="default"/>
        <w:u w:val="none"/>
      </w:rPr>
    </w:lvl>
  </w:abstractNum>
  <w:abstractNum w:abstractNumId="248">
    <w:nsid w:val="6A5D3284"/>
    <w:multiLevelType w:val="multilevel"/>
    <w:tmpl w:val="3ADA1D5A"/>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9">
    <w:nsid w:val="6AB91B2F"/>
    <w:multiLevelType w:val="hybridMultilevel"/>
    <w:tmpl w:val="A468A860"/>
    <w:lvl w:ilvl="0" w:tplc="FFFFFFFF">
      <w:start w:val="1"/>
      <w:numFmt w:val="decimal"/>
      <w:lvlText w:val="%1."/>
      <w:lvlJc w:val="left"/>
      <w:pPr>
        <w:tabs>
          <w:tab w:val="num" w:pos="720"/>
        </w:tabs>
        <w:ind w:left="720"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0">
    <w:nsid w:val="6B5C6FDD"/>
    <w:multiLevelType w:val="multilevel"/>
    <w:tmpl w:val="311EC28E"/>
    <w:lvl w:ilvl="0">
      <w:start w:val="141"/>
      <w:numFmt w:val="decimal"/>
      <w:lvlText w:val="%1."/>
      <w:lvlJc w:val="left"/>
      <w:pPr>
        <w:tabs>
          <w:tab w:val="num" w:pos="360"/>
        </w:tabs>
        <w:ind w:left="360" w:hanging="360"/>
      </w:pPr>
      <w:rPr>
        <w:rFonts w:hint="default"/>
      </w:rPr>
    </w:lvl>
    <w:lvl w:ilvl="1">
      <w:start w:val="2"/>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1">
    <w:nsid w:val="6C721B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2">
    <w:nsid w:val="6C886214"/>
    <w:multiLevelType w:val="multilevel"/>
    <w:tmpl w:val="B3CE9DBC"/>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3">
    <w:nsid w:val="6D356A57"/>
    <w:multiLevelType w:val="hybridMultilevel"/>
    <w:tmpl w:val="7646CD7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4">
    <w:nsid w:val="6D581DA7"/>
    <w:multiLevelType w:val="hybridMultilevel"/>
    <w:tmpl w:val="A3B0144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5">
    <w:nsid w:val="6FB83B4E"/>
    <w:multiLevelType w:val="multilevel"/>
    <w:tmpl w:val="F35CAD20"/>
    <w:lvl w:ilvl="0">
      <w:start w:val="14"/>
      <w:numFmt w:val="decimal"/>
      <w:lvlText w:val="%1."/>
      <w:lvlJc w:val="left"/>
      <w:pPr>
        <w:tabs>
          <w:tab w:val="num" w:pos="720"/>
        </w:tabs>
        <w:ind w:left="720" w:hanging="360"/>
      </w:pPr>
      <w:rPr>
        <w:rFonts w:hint="default"/>
      </w:rPr>
    </w:lvl>
    <w:lvl w:ilvl="1">
      <w:start w:val="15"/>
      <w:numFmt w:val="bullet"/>
      <w:lvlText w:val=""/>
      <w:lvlJc w:val="left"/>
      <w:pPr>
        <w:tabs>
          <w:tab w:val="num" w:pos="1800"/>
        </w:tabs>
        <w:ind w:left="1800" w:hanging="720"/>
      </w:pPr>
      <w:rPr>
        <w:rFonts w:ascii="Symbol" w:eastAsia="Times New Roman" w:hAnsi="Symbol"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nsid w:val="6FC06272"/>
    <w:multiLevelType w:val="hybridMultilevel"/>
    <w:tmpl w:val="E076BC2C"/>
    <w:lvl w:ilvl="0" w:tplc="FFFFFFFF">
      <w:start w:val="309"/>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7">
    <w:nsid w:val="714B0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8">
    <w:nsid w:val="715469BB"/>
    <w:multiLevelType w:val="hybridMultilevel"/>
    <w:tmpl w:val="F33CDE0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9">
    <w:nsid w:val="716C7D6B"/>
    <w:multiLevelType w:val="hybridMultilevel"/>
    <w:tmpl w:val="09763ED6"/>
    <w:lvl w:ilvl="0" w:tplc="FFFFFFFF">
      <w:start w:val="22"/>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0">
    <w:nsid w:val="72B60A38"/>
    <w:multiLevelType w:val="singleLevel"/>
    <w:tmpl w:val="70E0B3C4"/>
    <w:lvl w:ilvl="0">
      <w:start w:val="1"/>
      <w:numFmt w:val="upperLetter"/>
      <w:lvlText w:val="%1)"/>
      <w:lvlJc w:val="left"/>
      <w:pPr>
        <w:tabs>
          <w:tab w:val="num" w:pos="720"/>
        </w:tabs>
        <w:ind w:left="720" w:hanging="720"/>
      </w:pPr>
      <w:rPr>
        <w:rFonts w:hint="default"/>
        <w:u w:val="none"/>
      </w:rPr>
    </w:lvl>
  </w:abstractNum>
  <w:abstractNum w:abstractNumId="261">
    <w:nsid w:val="73573438"/>
    <w:multiLevelType w:val="singleLevel"/>
    <w:tmpl w:val="99C6F07E"/>
    <w:lvl w:ilvl="0">
      <w:numFmt w:val="bullet"/>
      <w:lvlText w:val=""/>
      <w:lvlJc w:val="left"/>
      <w:pPr>
        <w:tabs>
          <w:tab w:val="num" w:pos="360"/>
        </w:tabs>
        <w:ind w:left="357" w:hanging="357"/>
      </w:pPr>
      <w:rPr>
        <w:rFonts w:ascii="Symbol" w:hAnsi="Symbol" w:hint="default"/>
        <w:sz w:val="20"/>
      </w:rPr>
    </w:lvl>
  </w:abstractNum>
  <w:abstractNum w:abstractNumId="262">
    <w:nsid w:val="73C52CE1"/>
    <w:multiLevelType w:val="hybridMultilevel"/>
    <w:tmpl w:val="FE6C1992"/>
    <w:lvl w:ilvl="0" w:tplc="FFFFFFFF">
      <w:start w:val="50"/>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63">
    <w:nsid w:val="73E5641C"/>
    <w:multiLevelType w:val="hybridMultilevel"/>
    <w:tmpl w:val="DF2EA17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4">
    <w:nsid w:val="74842CD0"/>
    <w:multiLevelType w:val="singleLevel"/>
    <w:tmpl w:val="B7745C10"/>
    <w:lvl w:ilvl="0">
      <w:start w:val="1"/>
      <w:numFmt w:val="upperLetter"/>
      <w:lvlText w:val="%1)"/>
      <w:lvlJc w:val="left"/>
      <w:pPr>
        <w:tabs>
          <w:tab w:val="num" w:pos="720"/>
        </w:tabs>
        <w:ind w:left="720" w:hanging="720"/>
      </w:pPr>
      <w:rPr>
        <w:rFonts w:hint="default"/>
      </w:rPr>
    </w:lvl>
  </w:abstractNum>
  <w:abstractNum w:abstractNumId="265">
    <w:nsid w:val="74F062E1"/>
    <w:multiLevelType w:val="singleLevel"/>
    <w:tmpl w:val="54BE9656"/>
    <w:lvl w:ilvl="0">
      <w:start w:val="1"/>
      <w:numFmt w:val="upperLetter"/>
      <w:lvlText w:val="%1)"/>
      <w:lvlJc w:val="left"/>
      <w:pPr>
        <w:tabs>
          <w:tab w:val="num" w:pos="360"/>
        </w:tabs>
        <w:ind w:left="360" w:hanging="360"/>
      </w:pPr>
      <w:rPr>
        <w:rFonts w:hint="default"/>
      </w:rPr>
    </w:lvl>
  </w:abstractNum>
  <w:abstractNum w:abstractNumId="266">
    <w:nsid w:val="75516DAC"/>
    <w:multiLevelType w:val="hybridMultilevel"/>
    <w:tmpl w:val="51DAB07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7">
    <w:nsid w:val="75D65DC0"/>
    <w:multiLevelType w:val="hybridMultilevel"/>
    <w:tmpl w:val="15AA7940"/>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8">
    <w:nsid w:val="768B1126"/>
    <w:multiLevelType w:val="hybridMultilevel"/>
    <w:tmpl w:val="432EBE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9">
    <w:nsid w:val="768B7FD1"/>
    <w:multiLevelType w:val="hybridMultilevel"/>
    <w:tmpl w:val="80E4125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0">
    <w:nsid w:val="76C53BCA"/>
    <w:multiLevelType w:val="hybridMultilevel"/>
    <w:tmpl w:val="C546C0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1">
    <w:nsid w:val="76FA193B"/>
    <w:multiLevelType w:val="hybridMultilevel"/>
    <w:tmpl w:val="537E842C"/>
    <w:lvl w:ilvl="0" w:tplc="FFFFFFFF">
      <w:start w:val="202"/>
      <w:numFmt w:val="decimal"/>
      <w:lvlText w:val="%1."/>
      <w:lvlJc w:val="left"/>
      <w:pPr>
        <w:tabs>
          <w:tab w:val="num" w:pos="720"/>
        </w:tabs>
        <w:ind w:left="720" w:hanging="360"/>
      </w:pPr>
      <w:rPr>
        <w:rFonts w:hint="default"/>
        <w:b w:val="0"/>
      </w:rPr>
    </w:lvl>
    <w:lvl w:ilvl="1" w:tplc="FFFFFFFF">
      <w:start w:val="1"/>
      <w:numFmt w:val="bullet"/>
      <w:lvlText w:val=""/>
      <w:lvlJc w:val="left"/>
      <w:pPr>
        <w:tabs>
          <w:tab w:val="num" w:pos="1440"/>
        </w:tabs>
        <w:ind w:left="1440" w:hanging="360"/>
      </w:pPr>
      <w:rPr>
        <w:rFonts w:ascii="Symbol" w:hAnsi="Symbol" w:hint="default"/>
        <w:b w:val="0"/>
      </w:rPr>
    </w:lvl>
    <w:lvl w:ilvl="2" w:tplc="FFFFFFFF">
      <w:start w:val="4"/>
      <w:numFmt w:val="upperLetter"/>
      <w:lvlText w:val="%3)"/>
      <w:lvlJc w:val="left"/>
      <w:pPr>
        <w:tabs>
          <w:tab w:val="num" w:pos="2340"/>
        </w:tabs>
        <w:ind w:left="2340" w:hanging="360"/>
      </w:pPr>
      <w:rPr>
        <w:rFonts w:hint="default"/>
        <w:b w: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2">
    <w:nsid w:val="770A1B26"/>
    <w:multiLevelType w:val="multilevel"/>
    <w:tmpl w:val="826A7D68"/>
    <w:lvl w:ilvl="0">
      <w:start w:val="142"/>
      <w:numFmt w:val="decimal"/>
      <w:lvlText w:val="%1."/>
      <w:lvlJc w:val="left"/>
      <w:pPr>
        <w:tabs>
          <w:tab w:val="num" w:pos="360"/>
        </w:tabs>
        <w:ind w:left="360" w:hanging="360"/>
      </w:pPr>
      <w:rPr>
        <w:rFonts w:hint="default"/>
      </w:rPr>
    </w:lvl>
    <w:lvl w:ilvl="1">
      <w:start w:val="1"/>
      <w:numFmt w:val="bullet"/>
      <w:lvlText w:val=""/>
      <w:lvlJc w:val="left"/>
      <w:pPr>
        <w:tabs>
          <w:tab w:val="num" w:pos="1620"/>
        </w:tabs>
        <w:ind w:left="162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3">
    <w:nsid w:val="77166B27"/>
    <w:multiLevelType w:val="hybridMultilevel"/>
    <w:tmpl w:val="1270CE9E"/>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cs="Tahoma"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4194305"/>
      <w:numFmt w:val="bullet"/>
      <w:lvlText w:val="o"/>
      <w:lvlJc w:val="left"/>
      <w:pPr>
        <w:tabs>
          <w:tab w:val="num" w:pos="3780"/>
        </w:tabs>
        <w:ind w:left="3780" w:hanging="360"/>
      </w:pPr>
      <w:rPr>
        <w:rFonts w:ascii="Courier New" w:hAnsi="Courier New" w:cs="Tahoma"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Tahoma"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274">
    <w:nsid w:val="77C80361"/>
    <w:multiLevelType w:val="multilevel"/>
    <w:tmpl w:val="87B6F0CA"/>
    <w:lvl w:ilvl="0">
      <w:start w:val="310"/>
      <w:numFmt w:val="decimal"/>
      <w:lvlText w:val="%1."/>
      <w:lvlJc w:val="left"/>
      <w:pPr>
        <w:tabs>
          <w:tab w:val="num" w:pos="720"/>
        </w:tabs>
        <w:ind w:left="720" w:hanging="360"/>
      </w:pPr>
      <w:rPr>
        <w:rFonts w:hint="default"/>
      </w:rPr>
    </w:lvl>
    <w:lvl w:ilvl="1">
      <w:start w:val="9"/>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5">
    <w:nsid w:val="78B5072B"/>
    <w:multiLevelType w:val="singleLevel"/>
    <w:tmpl w:val="0409000F"/>
    <w:lvl w:ilvl="0">
      <w:start w:val="1"/>
      <w:numFmt w:val="decimal"/>
      <w:lvlText w:val="%1."/>
      <w:lvlJc w:val="left"/>
      <w:pPr>
        <w:tabs>
          <w:tab w:val="num" w:pos="360"/>
        </w:tabs>
        <w:ind w:left="360" w:hanging="360"/>
      </w:pPr>
    </w:lvl>
  </w:abstractNum>
  <w:abstractNum w:abstractNumId="276">
    <w:nsid w:val="7BA54B9D"/>
    <w:multiLevelType w:val="singleLevel"/>
    <w:tmpl w:val="AA02A0A8"/>
    <w:lvl w:ilvl="0">
      <w:start w:val="1"/>
      <w:numFmt w:val="decimal"/>
      <w:lvlText w:val="%1."/>
      <w:legacy w:legacy="1" w:legacySpace="0" w:legacyIndent="283"/>
      <w:lvlJc w:val="left"/>
      <w:pPr>
        <w:ind w:left="283" w:hanging="283"/>
      </w:pPr>
    </w:lvl>
  </w:abstractNum>
  <w:abstractNum w:abstractNumId="277">
    <w:nsid w:val="7CD54A13"/>
    <w:multiLevelType w:val="hybridMultilevel"/>
    <w:tmpl w:val="FBB28852"/>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numFmt w:val="bullet"/>
      <w:lvlText w:val=""/>
      <w:lvlJc w:val="left"/>
      <w:pPr>
        <w:tabs>
          <w:tab w:val="num" w:pos="1494"/>
        </w:tabs>
        <w:ind w:left="1418" w:hanging="284"/>
      </w:pPr>
      <w:rPr>
        <w:rFonts w:ascii="Symbol" w:eastAsia="Times New Roman" w:hAnsi="Symbol" w:cs="Times New Roman"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8">
    <w:nsid w:val="7CE362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9">
    <w:nsid w:val="7D41691A"/>
    <w:multiLevelType w:val="hybridMultilevel"/>
    <w:tmpl w:val="9510F086"/>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0">
    <w:nsid w:val="7DEC1D3F"/>
    <w:multiLevelType w:val="multilevel"/>
    <w:tmpl w:val="655047F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281">
    <w:nsid w:val="7F203CEC"/>
    <w:multiLevelType w:val="singleLevel"/>
    <w:tmpl w:val="AA02A0A8"/>
    <w:lvl w:ilvl="0">
      <w:start w:val="1"/>
      <w:numFmt w:val="decimal"/>
      <w:lvlText w:val="%1."/>
      <w:legacy w:legacy="1" w:legacySpace="0" w:legacyIndent="283"/>
      <w:lvlJc w:val="left"/>
      <w:pPr>
        <w:ind w:left="283" w:hanging="283"/>
      </w:pPr>
    </w:lvl>
  </w:abstractNum>
  <w:abstractNum w:abstractNumId="282">
    <w:nsid w:val="7FA94C6C"/>
    <w:multiLevelType w:val="hybridMultilevel"/>
    <w:tmpl w:val="1DC224C0"/>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num w:numId="1">
    <w:abstractNumId w:val="123"/>
  </w:num>
  <w:num w:numId="2">
    <w:abstractNumId w:val="123"/>
  </w:num>
  <w:num w:numId="3">
    <w:abstractNumId w:val="96"/>
  </w:num>
  <w:num w:numId="4">
    <w:abstractNumId w:val="9"/>
  </w:num>
  <w:num w:numId="5">
    <w:abstractNumId w:val="50"/>
  </w:num>
  <w:num w:numId="6">
    <w:abstractNumId w:val="76"/>
  </w:num>
  <w:num w:numId="7">
    <w:abstractNumId w:val="155"/>
  </w:num>
  <w:num w:numId="8">
    <w:abstractNumId w:val="98"/>
  </w:num>
  <w:num w:numId="9">
    <w:abstractNumId w:val="162"/>
  </w:num>
  <w:num w:numId="10">
    <w:abstractNumId w:val="40"/>
  </w:num>
  <w:num w:numId="11">
    <w:abstractNumId w:val="186"/>
  </w:num>
  <w:num w:numId="12">
    <w:abstractNumId w:val="51"/>
  </w:num>
  <w:num w:numId="13">
    <w:abstractNumId w:val="24"/>
  </w:num>
  <w:num w:numId="14">
    <w:abstractNumId w:val="153"/>
  </w:num>
  <w:num w:numId="15">
    <w:abstractNumId w:val="122"/>
  </w:num>
  <w:num w:numId="16">
    <w:abstractNumId w:val="260"/>
  </w:num>
  <w:num w:numId="17">
    <w:abstractNumId w:val="173"/>
  </w:num>
  <w:num w:numId="18">
    <w:abstractNumId w:val="219"/>
  </w:num>
  <w:num w:numId="19">
    <w:abstractNumId w:val="107"/>
  </w:num>
  <w:num w:numId="20">
    <w:abstractNumId w:val="63"/>
  </w:num>
  <w:num w:numId="21">
    <w:abstractNumId w:val="178"/>
  </w:num>
  <w:num w:numId="22">
    <w:abstractNumId w:val="37"/>
  </w:num>
  <w:num w:numId="23">
    <w:abstractNumId w:val="278"/>
  </w:num>
  <w:num w:numId="24">
    <w:abstractNumId w:val="236"/>
  </w:num>
  <w:num w:numId="25">
    <w:abstractNumId w:val="257"/>
  </w:num>
  <w:num w:numId="26">
    <w:abstractNumId w:val="142"/>
  </w:num>
  <w:num w:numId="27">
    <w:abstractNumId w:val="35"/>
  </w:num>
  <w:num w:numId="28">
    <w:abstractNumId w:val="243"/>
  </w:num>
  <w:num w:numId="29">
    <w:abstractNumId w:val="218"/>
  </w:num>
  <w:num w:numId="30">
    <w:abstractNumId w:val="95"/>
  </w:num>
  <w:num w:numId="31">
    <w:abstractNumId w:val="68"/>
  </w:num>
  <w:num w:numId="32">
    <w:abstractNumId w:val="71"/>
  </w:num>
  <w:num w:numId="33">
    <w:abstractNumId w:val="209"/>
  </w:num>
  <w:num w:numId="34">
    <w:abstractNumId w:val="13"/>
  </w:num>
  <w:num w:numId="35">
    <w:abstractNumId w:val="251"/>
  </w:num>
  <w:num w:numId="36">
    <w:abstractNumId w:val="180"/>
  </w:num>
  <w:num w:numId="37">
    <w:abstractNumId w:val="187"/>
  </w:num>
  <w:num w:numId="38">
    <w:abstractNumId w:val="227"/>
  </w:num>
  <w:num w:numId="39">
    <w:abstractNumId w:val="39"/>
  </w:num>
  <w:num w:numId="40">
    <w:abstractNumId w:val="203"/>
  </w:num>
  <w:num w:numId="41">
    <w:abstractNumId w:val="166"/>
  </w:num>
  <w:num w:numId="42">
    <w:abstractNumId w:val="159"/>
  </w:num>
  <w:num w:numId="43">
    <w:abstractNumId w:val="62"/>
  </w:num>
  <w:num w:numId="44">
    <w:abstractNumId w:val="205"/>
  </w:num>
  <w:num w:numId="45">
    <w:abstractNumId w:val="19"/>
  </w:num>
  <w:num w:numId="46">
    <w:abstractNumId w:val="247"/>
  </w:num>
  <w:num w:numId="47">
    <w:abstractNumId w:val="111"/>
  </w:num>
  <w:num w:numId="48">
    <w:abstractNumId w:val="61"/>
  </w:num>
  <w:num w:numId="49">
    <w:abstractNumId w:val="128"/>
  </w:num>
  <w:num w:numId="50">
    <w:abstractNumId w:val="44"/>
  </w:num>
  <w:num w:numId="51">
    <w:abstractNumId w:val="265"/>
  </w:num>
  <w:num w:numId="52">
    <w:abstractNumId w:val="264"/>
  </w:num>
  <w:num w:numId="53">
    <w:abstractNumId w:val="110"/>
  </w:num>
  <w:num w:numId="54">
    <w:abstractNumId w:val="100"/>
  </w:num>
  <w:num w:numId="55">
    <w:abstractNumId w:val="228"/>
  </w:num>
  <w:num w:numId="56">
    <w:abstractNumId w:val="222"/>
  </w:num>
  <w:num w:numId="57">
    <w:abstractNumId w:val="18"/>
  </w:num>
  <w:num w:numId="58">
    <w:abstractNumId w:val="85"/>
  </w:num>
  <w:num w:numId="59">
    <w:abstractNumId w:val="206"/>
  </w:num>
  <w:num w:numId="60">
    <w:abstractNumId w:val="223"/>
  </w:num>
  <w:num w:numId="61">
    <w:abstractNumId w:val="230"/>
  </w:num>
  <w:num w:numId="62">
    <w:abstractNumId w:val="79"/>
  </w:num>
  <w:num w:numId="63">
    <w:abstractNumId w:val="193"/>
  </w:num>
  <w:num w:numId="64">
    <w:abstractNumId w:val="181"/>
  </w:num>
  <w:num w:numId="65">
    <w:abstractNumId w:val="158"/>
  </w:num>
  <w:num w:numId="66">
    <w:abstractNumId w:val="233"/>
  </w:num>
  <w:num w:numId="67">
    <w:abstractNumId w:val="240"/>
  </w:num>
  <w:num w:numId="68">
    <w:abstractNumId w:val="229"/>
  </w:num>
  <w:num w:numId="69">
    <w:abstractNumId w:val="78"/>
  </w:num>
  <w:num w:numId="70">
    <w:abstractNumId w:val="168"/>
  </w:num>
  <w:num w:numId="71">
    <w:abstractNumId w:val="47"/>
  </w:num>
  <w:num w:numId="72">
    <w:abstractNumId w:val="53"/>
  </w:num>
  <w:num w:numId="73">
    <w:abstractNumId w:val="157"/>
  </w:num>
  <w:num w:numId="74">
    <w:abstractNumId w:val="102"/>
  </w:num>
  <w:num w:numId="75">
    <w:abstractNumId w:val="14"/>
  </w:num>
  <w:num w:numId="76">
    <w:abstractNumId w:val="56"/>
  </w:num>
  <w:num w:numId="77">
    <w:abstractNumId w:val="182"/>
  </w:num>
  <w:num w:numId="78">
    <w:abstractNumId w:val="261"/>
  </w:num>
  <w:num w:numId="79">
    <w:abstractNumId w:val="87"/>
  </w:num>
  <w:num w:numId="80">
    <w:abstractNumId w:val="84"/>
  </w:num>
  <w:num w:numId="81">
    <w:abstractNumId w:val="231"/>
  </w:num>
  <w:num w:numId="82">
    <w:abstractNumId w:val="15"/>
  </w:num>
  <w:num w:numId="83">
    <w:abstractNumId w:val="65"/>
  </w:num>
  <w:num w:numId="84">
    <w:abstractNumId w:val="185"/>
  </w:num>
  <w:num w:numId="85">
    <w:abstractNumId w:val="120"/>
  </w:num>
  <w:num w:numId="86">
    <w:abstractNumId w:val="239"/>
  </w:num>
  <w:num w:numId="87">
    <w:abstractNumId w:val="192"/>
  </w:num>
  <w:num w:numId="88">
    <w:abstractNumId w:val="271"/>
  </w:num>
  <w:num w:numId="89">
    <w:abstractNumId w:val="170"/>
  </w:num>
  <w:num w:numId="90">
    <w:abstractNumId w:val="64"/>
  </w:num>
  <w:num w:numId="91">
    <w:abstractNumId w:val="184"/>
  </w:num>
  <w:num w:numId="92">
    <w:abstractNumId w:val="234"/>
  </w:num>
  <w:num w:numId="93">
    <w:abstractNumId w:val="90"/>
  </w:num>
  <w:num w:numId="94">
    <w:abstractNumId w:val="255"/>
  </w:num>
  <w:num w:numId="95">
    <w:abstractNumId w:val="112"/>
  </w:num>
  <w:num w:numId="96">
    <w:abstractNumId w:val="131"/>
  </w:num>
  <w:num w:numId="97">
    <w:abstractNumId w:val="194"/>
  </w:num>
  <w:num w:numId="98">
    <w:abstractNumId w:val="147"/>
  </w:num>
  <w:num w:numId="99">
    <w:abstractNumId w:val="115"/>
  </w:num>
  <w:num w:numId="100">
    <w:abstractNumId w:val="195"/>
  </w:num>
  <w:num w:numId="101">
    <w:abstractNumId w:val="118"/>
  </w:num>
  <w:num w:numId="102">
    <w:abstractNumId w:val="198"/>
  </w:num>
  <w:num w:numId="103">
    <w:abstractNumId w:val="274"/>
  </w:num>
  <w:num w:numId="104">
    <w:abstractNumId w:val="150"/>
  </w:num>
  <w:num w:numId="105">
    <w:abstractNumId w:val="189"/>
  </w:num>
  <w:num w:numId="106">
    <w:abstractNumId w:val="207"/>
  </w:num>
  <w:num w:numId="107">
    <w:abstractNumId w:val="262"/>
  </w:num>
  <w:num w:numId="108">
    <w:abstractNumId w:val="212"/>
  </w:num>
  <w:num w:numId="109">
    <w:abstractNumId w:val="21"/>
  </w:num>
  <w:num w:numId="110">
    <w:abstractNumId w:val="23"/>
  </w:num>
  <w:num w:numId="111">
    <w:abstractNumId w:val="156"/>
  </w:num>
  <w:num w:numId="112">
    <w:abstractNumId w:val="77"/>
  </w:num>
  <w:num w:numId="113">
    <w:abstractNumId w:val="59"/>
  </w:num>
  <w:num w:numId="114">
    <w:abstractNumId w:val="241"/>
  </w:num>
  <w:num w:numId="115">
    <w:abstractNumId w:val="108"/>
  </w:num>
  <w:num w:numId="116">
    <w:abstractNumId w:val="256"/>
  </w:num>
  <w:num w:numId="117">
    <w:abstractNumId w:val="250"/>
  </w:num>
  <w:num w:numId="118">
    <w:abstractNumId w:val="48"/>
  </w:num>
  <w:num w:numId="119">
    <w:abstractNumId w:val="190"/>
  </w:num>
  <w:num w:numId="120">
    <w:abstractNumId w:val="27"/>
  </w:num>
  <w:num w:numId="121">
    <w:abstractNumId w:val="245"/>
  </w:num>
  <w:num w:numId="122">
    <w:abstractNumId w:val="188"/>
  </w:num>
  <w:num w:numId="123">
    <w:abstractNumId w:val="238"/>
  </w:num>
  <w:num w:numId="124">
    <w:abstractNumId w:val="235"/>
  </w:num>
  <w:num w:numId="125">
    <w:abstractNumId w:val="272"/>
  </w:num>
  <w:num w:numId="126">
    <w:abstractNumId w:val="248"/>
  </w:num>
  <w:num w:numId="127">
    <w:abstractNumId w:val="145"/>
  </w:num>
  <w:num w:numId="128">
    <w:abstractNumId w:val="66"/>
  </w:num>
  <w:num w:numId="129">
    <w:abstractNumId w:val="154"/>
  </w:num>
  <w:num w:numId="130">
    <w:abstractNumId w:val="252"/>
  </w:num>
  <w:num w:numId="131">
    <w:abstractNumId w:val="221"/>
  </w:num>
  <w:num w:numId="132">
    <w:abstractNumId w:val="169"/>
  </w:num>
  <w:num w:numId="133">
    <w:abstractNumId w:val="26"/>
  </w:num>
  <w:num w:numId="134">
    <w:abstractNumId w:val="80"/>
  </w:num>
  <w:num w:numId="135">
    <w:abstractNumId w:val="201"/>
  </w:num>
  <w:num w:numId="136">
    <w:abstractNumId w:val="129"/>
  </w:num>
  <w:num w:numId="137">
    <w:abstractNumId w:val="101"/>
  </w:num>
  <w:num w:numId="138">
    <w:abstractNumId w:val="70"/>
  </w:num>
  <w:num w:numId="139">
    <w:abstractNumId w:val="7"/>
  </w:num>
  <w:num w:numId="140">
    <w:abstractNumId w:val="6"/>
  </w:num>
  <w:num w:numId="141">
    <w:abstractNumId w:val="5"/>
  </w:num>
  <w:num w:numId="142">
    <w:abstractNumId w:val="4"/>
  </w:num>
  <w:num w:numId="143">
    <w:abstractNumId w:val="8"/>
  </w:num>
  <w:num w:numId="144">
    <w:abstractNumId w:val="3"/>
  </w:num>
  <w:num w:numId="145">
    <w:abstractNumId w:val="2"/>
  </w:num>
  <w:num w:numId="146">
    <w:abstractNumId w:val="1"/>
  </w:num>
  <w:num w:numId="147">
    <w:abstractNumId w:val="0"/>
  </w:num>
  <w:num w:numId="148">
    <w:abstractNumId w:val="54"/>
  </w:num>
  <w:num w:numId="149">
    <w:abstractNumId w:val="276"/>
  </w:num>
  <w:num w:numId="150">
    <w:abstractNumId w:val="281"/>
  </w:num>
  <w:num w:numId="151">
    <w:abstractNumId w:val="197"/>
  </w:num>
  <w:num w:numId="152">
    <w:abstractNumId w:val="273"/>
  </w:num>
  <w:num w:numId="153">
    <w:abstractNumId w:val="55"/>
  </w:num>
  <w:num w:numId="154">
    <w:abstractNumId w:val="176"/>
  </w:num>
  <w:num w:numId="155">
    <w:abstractNumId w:val="202"/>
  </w:num>
  <w:num w:numId="156">
    <w:abstractNumId w:val="89"/>
  </w:num>
  <w:num w:numId="157">
    <w:abstractNumId w:val="146"/>
  </w:num>
  <w:num w:numId="158">
    <w:abstractNumId w:val="148"/>
  </w:num>
  <w:num w:numId="159">
    <w:abstractNumId w:val="266"/>
  </w:num>
  <w:num w:numId="160">
    <w:abstractNumId w:val="103"/>
  </w:num>
  <w:num w:numId="161">
    <w:abstractNumId w:val="232"/>
  </w:num>
  <w:num w:numId="162">
    <w:abstractNumId w:val="183"/>
  </w:num>
  <w:num w:numId="163">
    <w:abstractNumId w:val="42"/>
  </w:num>
  <w:num w:numId="164">
    <w:abstractNumId w:val="92"/>
  </w:num>
  <w:num w:numId="165">
    <w:abstractNumId w:val="199"/>
  </w:num>
  <w:num w:numId="166">
    <w:abstractNumId w:val="25"/>
  </w:num>
  <w:num w:numId="167">
    <w:abstractNumId w:val="268"/>
  </w:num>
  <w:num w:numId="168">
    <w:abstractNumId w:val="34"/>
  </w:num>
  <w:num w:numId="169">
    <w:abstractNumId w:val="144"/>
  </w:num>
  <w:num w:numId="170">
    <w:abstractNumId w:val="220"/>
  </w:num>
  <w:num w:numId="171">
    <w:abstractNumId w:val="216"/>
  </w:num>
  <w:num w:numId="172">
    <w:abstractNumId w:val="41"/>
  </w:num>
  <w:num w:numId="173">
    <w:abstractNumId w:val="57"/>
    <w:lvlOverride w:ilvl="0"/>
  </w:num>
  <w:num w:numId="174">
    <w:abstractNumId w:val="211"/>
    <w:lvlOverride w:ilvl="0"/>
  </w:num>
  <w:num w:numId="175">
    <w:abstractNumId w:val="69"/>
  </w:num>
  <w:num w:numId="176">
    <w:abstractNumId w:val="282"/>
  </w:num>
  <w:num w:numId="177">
    <w:abstractNumId w:val="83"/>
  </w:num>
  <w:num w:numId="178">
    <w:abstractNumId w:val="226"/>
    <w:lvlOverride w:ilvl="0">
      <w:startOverride w:val="1"/>
    </w:lvlOverride>
  </w:num>
  <w:num w:numId="179">
    <w:abstractNumId w:val="81"/>
    <w:lvlOverride w:ilvl="0"/>
  </w:num>
  <w:num w:numId="180">
    <w:abstractNumId w:val="97"/>
  </w:num>
  <w:num w:numId="181">
    <w:abstractNumId w:val="73"/>
  </w:num>
  <w:num w:numId="182">
    <w:abstractNumId w:val="149"/>
  </w:num>
  <w:num w:numId="183">
    <w:abstractNumId w:val="249"/>
  </w:num>
  <w:num w:numId="184">
    <w:abstractNumId w:val="161"/>
  </w:num>
  <w:num w:numId="185">
    <w:abstractNumId w:val="172"/>
  </w:num>
  <w:num w:numId="186">
    <w:abstractNumId w:val="30"/>
  </w:num>
  <w:num w:numId="187">
    <w:abstractNumId w:val="114"/>
  </w:num>
  <w:num w:numId="188">
    <w:abstractNumId w:val="99"/>
  </w:num>
  <w:num w:numId="189">
    <w:abstractNumId w:val="164"/>
  </w:num>
  <w:num w:numId="190">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267"/>
  </w:num>
  <w:num w:numId="192">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133"/>
  </w:num>
  <w:num w:numId="195">
    <w:abstractNumId w:val="214"/>
  </w:num>
  <w:num w:numId="196">
    <w:abstractNumId w:val="11"/>
  </w:num>
  <w:num w:numId="197">
    <w:abstractNumId w:val="242"/>
  </w:num>
  <w:num w:numId="198">
    <w:abstractNumId w:val="140"/>
  </w:num>
  <w:num w:numId="199">
    <w:abstractNumId w:val="244"/>
  </w:num>
  <w:num w:numId="200">
    <w:abstractNumId w:val="217"/>
  </w:num>
  <w:num w:numId="201">
    <w:abstractNumId w:val="52"/>
  </w:num>
  <w:num w:numId="202">
    <w:abstractNumId w:val="175"/>
  </w:num>
  <w:num w:numId="203">
    <w:abstractNumId w:val="208"/>
  </w:num>
  <w:num w:numId="204">
    <w:abstractNumId w:val="143"/>
  </w:num>
  <w:num w:numId="205">
    <w:abstractNumId w:val="237"/>
  </w:num>
  <w:num w:numId="206">
    <w:abstractNumId w:val="152"/>
  </w:num>
  <w:num w:numId="207">
    <w:abstractNumId w:val="109"/>
  </w:num>
  <w:num w:numId="208">
    <w:abstractNumId w:val="124"/>
  </w:num>
  <w:num w:numId="209">
    <w:abstractNumId w:val="171"/>
  </w:num>
  <w:num w:numId="210">
    <w:abstractNumId w:val="88"/>
  </w:num>
  <w:num w:numId="211">
    <w:abstractNumId w:val="91"/>
  </w:num>
  <w:num w:numId="212">
    <w:abstractNumId w:val="270"/>
  </w:num>
  <w:num w:numId="213">
    <w:abstractNumId w:val="196"/>
  </w:num>
  <w:num w:numId="214">
    <w:abstractNumId w:val="246"/>
  </w:num>
  <w:num w:numId="215">
    <w:abstractNumId w:val="254"/>
  </w:num>
  <w:num w:numId="216">
    <w:abstractNumId w:val="67"/>
  </w:num>
  <w:num w:numId="217">
    <w:abstractNumId w:val="135"/>
  </w:num>
  <w:num w:numId="218">
    <w:abstractNumId w:val="127"/>
  </w:num>
  <w:num w:numId="219">
    <w:abstractNumId w:val="137"/>
  </w:num>
  <w:num w:numId="220">
    <w:abstractNumId w:val="82"/>
  </w:num>
  <w:num w:numId="221">
    <w:abstractNumId w:val="38"/>
  </w:num>
  <w:num w:numId="222">
    <w:abstractNumId w:val="258"/>
  </w:num>
  <w:num w:numId="223">
    <w:abstractNumId w:val="43"/>
  </w:num>
  <w:num w:numId="224">
    <w:abstractNumId w:val="200"/>
  </w:num>
  <w:num w:numId="225">
    <w:abstractNumId w:val="269"/>
  </w:num>
  <w:num w:numId="226">
    <w:abstractNumId w:val="74"/>
  </w:num>
  <w:num w:numId="227">
    <w:abstractNumId w:val="94"/>
  </w:num>
  <w:num w:numId="228">
    <w:abstractNumId w:val="213"/>
  </w:num>
  <w:num w:numId="229">
    <w:abstractNumId w:val="116"/>
  </w:num>
  <w:num w:numId="230">
    <w:abstractNumId w:val="125"/>
  </w:num>
  <w:num w:numId="231">
    <w:abstractNumId w:val="16"/>
  </w:num>
  <w:num w:numId="232">
    <w:abstractNumId w:val="117"/>
  </w:num>
  <w:num w:numId="2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4">
    <w:abstractNumId w:val="72"/>
  </w:num>
  <w:num w:numId="235">
    <w:abstractNumId w:val="17"/>
  </w:num>
  <w:num w:numId="236">
    <w:abstractNumId w:val="121"/>
  </w:num>
  <w:num w:numId="237">
    <w:abstractNumId w:val="141"/>
  </w:num>
  <w:num w:numId="238">
    <w:abstractNumId w:val="46"/>
  </w:num>
  <w:num w:numId="239">
    <w:abstractNumId w:val="263"/>
  </w:num>
  <w:num w:numId="240">
    <w:abstractNumId w:val="2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13"/>
  </w:num>
  <w:num w:numId="242">
    <w:abstractNumId w:val="33"/>
  </w:num>
  <w:num w:numId="243">
    <w:abstractNumId w:val="119"/>
  </w:num>
  <w:num w:numId="244">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45">
    <w:abstractNumId w:val="277"/>
  </w:num>
  <w:num w:numId="246">
    <w:abstractNumId w:val="177"/>
  </w:num>
  <w:num w:numId="247">
    <w:abstractNumId w:val="139"/>
  </w:num>
  <w:num w:numId="248">
    <w:abstractNumId w:val="165"/>
  </w:num>
  <w:num w:numId="249">
    <w:abstractNumId w:val="130"/>
  </w:num>
  <w:num w:numId="250">
    <w:abstractNumId w:val="151"/>
  </w:num>
  <w:num w:numId="251">
    <w:abstractNumId w:val="132"/>
  </w:num>
  <w:num w:numId="252">
    <w:abstractNumId w:val="58"/>
  </w:num>
  <w:num w:numId="253">
    <w:abstractNumId w:val="12"/>
  </w:num>
  <w:num w:numId="254">
    <w:abstractNumId w:val="75"/>
  </w:num>
  <w:num w:numId="255">
    <w:abstractNumId w:val="167"/>
  </w:num>
  <w:num w:numId="256">
    <w:abstractNumId w:val="32"/>
  </w:num>
  <w:num w:numId="257">
    <w:abstractNumId w:val="210"/>
  </w:num>
  <w:num w:numId="258">
    <w:abstractNumId w:val="60"/>
  </w:num>
  <w:num w:numId="259">
    <w:abstractNumId w:val="105"/>
  </w:num>
  <w:num w:numId="260">
    <w:abstractNumId w:val="280"/>
  </w:num>
  <w:num w:numId="261">
    <w:abstractNumId w:val="163"/>
  </w:num>
  <w:num w:numId="262">
    <w:abstractNumId w:val="93"/>
  </w:num>
  <w:num w:numId="263">
    <w:abstractNumId w:val="225"/>
  </w:num>
  <w:num w:numId="264">
    <w:abstractNumId w:val="174"/>
  </w:num>
  <w:num w:numId="265">
    <w:abstractNumId w:val="259"/>
  </w:num>
  <w:num w:numId="266">
    <w:abstractNumId w:val="36"/>
  </w:num>
  <w:num w:numId="267">
    <w:abstractNumId w:val="45"/>
  </w:num>
  <w:num w:numId="268">
    <w:abstractNumId w:val="106"/>
  </w:num>
  <w:num w:numId="269">
    <w:abstractNumId w:val="104"/>
  </w:num>
  <w:num w:numId="270">
    <w:abstractNumId w:val="179"/>
  </w:num>
  <w:num w:numId="271">
    <w:abstractNumId w:val="224"/>
  </w:num>
  <w:num w:numId="272">
    <w:abstractNumId w:val="31"/>
  </w:num>
  <w:num w:numId="273">
    <w:abstractNumId w:val="275"/>
  </w:num>
  <w:num w:numId="274">
    <w:abstractNumId w:val="215"/>
  </w:num>
  <w:num w:numId="275">
    <w:abstractNumId w:val="136"/>
  </w:num>
  <w:num w:numId="276">
    <w:abstractNumId w:val="126"/>
  </w:num>
  <w:num w:numId="277">
    <w:abstractNumId w:val="22"/>
  </w:num>
  <w:num w:numId="278">
    <w:abstractNumId w:val="20"/>
  </w:num>
  <w:num w:numId="279">
    <w:abstractNumId w:val="138"/>
  </w:num>
  <w:num w:numId="280">
    <w:abstractNumId w:val="191"/>
  </w:num>
  <w:num w:numId="281">
    <w:abstractNumId w:val="134"/>
  </w:num>
  <w:num w:numId="282">
    <w:abstractNumId w:val="28"/>
  </w:num>
  <w:num w:numId="283">
    <w:abstractNumId w:val="279"/>
  </w:num>
  <w:num w:numId="284">
    <w:abstractNumId w:val="49"/>
  </w:num>
  <w:num w:numId="285">
    <w:abstractNumId w:val="86"/>
  </w:num>
  <w:num w:numId="286">
    <w:abstractNumId w:val="160"/>
  </w:num>
  <w:num w:numId="287">
    <w:abstractNumId w:val="204"/>
  </w:num>
  <w:num w:numId="2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attachedTemplate r:id="rId1"/>
  <w:doNotTrackMoves/>
  <w:defaultTabStop w:val="284"/>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before="20" w:line="216" w:lineRule="auto"/>
      <w:jc w:val="center"/>
      <w:outlineLvl w:val="6"/>
    </w:pPr>
    <w:rPr>
      <w:b/>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ListBullet">
    <w:name w:val="List Bullet"/>
    <w:basedOn w:val="Normal"/>
    <w:autoRedefine/>
    <w:semiHidden/>
    <w:pPr>
      <w:numPr>
        <w:numId w:val="5"/>
      </w:numPr>
      <w:tabs>
        <w:tab w:val="left" w:pos="1134"/>
        <w:tab w:val="left" w:pos="1701"/>
        <w:tab w:val="left" w:pos="2268"/>
        <w:tab w:val="left" w:pos="6237"/>
      </w:tabs>
    </w:pPr>
  </w:style>
  <w:style w:type="paragraph" w:styleId="BodyText">
    <w:name w:val="Body Text"/>
    <w:basedOn w:val="Normal"/>
    <w:semiHidden/>
    <w:pPr>
      <w:tabs>
        <w:tab w:val="clear" w:pos="567"/>
        <w:tab w:val="clear" w:pos="1134"/>
        <w:tab w:val="clear" w:pos="1701"/>
        <w:tab w:val="clear" w:pos="2268"/>
        <w:tab w:val="clear" w:pos="6237"/>
      </w:tabs>
      <w:spacing w:line="240" w:lineRule="auto"/>
      <w:jc w:val="both"/>
    </w:pPr>
    <w:rPr>
      <w:sz w:val="20"/>
      <w:szCs w:val="24"/>
      <w:lang w:val="en-US"/>
    </w:rPr>
  </w:style>
  <w:style w:type="paragraph" w:customStyle="1" w:styleId="1">
    <w:name w:val="текст 1"/>
    <w:basedOn w:val="Normal"/>
  </w:style>
  <w:style w:type="paragraph" w:customStyle="1" w:styleId="2">
    <w:name w:val="текст 2"/>
    <w:basedOn w:val="Normal"/>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Num-DocParagraph">
    <w:name w:val="Num-Doc Paragraph"/>
    <w:basedOn w:val="BodyText"/>
    <w:pPr>
      <w:tabs>
        <w:tab w:val="left" w:pos="850"/>
        <w:tab w:val="left" w:pos="1191"/>
        <w:tab w:val="left" w:pos="1531"/>
      </w:tabs>
      <w:spacing w:after="240"/>
    </w:pPr>
    <w:rPr>
      <w:sz w:val="24"/>
      <w:lang w:val="en-GB"/>
    </w:rPr>
  </w:style>
  <w:style w:type="paragraph" w:styleId="BodyText2">
    <w:name w:val="Body Text 2"/>
    <w:basedOn w:val="Normal"/>
    <w:semiHidden/>
    <w:pPr>
      <w:tabs>
        <w:tab w:val="left" w:pos="567"/>
        <w:tab w:val="left" w:pos="1134"/>
        <w:tab w:val="left" w:pos="1701"/>
        <w:tab w:val="left" w:pos="2268"/>
        <w:tab w:val="left" w:pos="6237"/>
      </w:tabs>
      <w:spacing w:line="240" w:lineRule="auto"/>
    </w:pPr>
    <w:rPr>
      <w:i/>
      <w:lang w:val="en-GB"/>
    </w:rPr>
  </w:style>
  <w:style w:type="paragraph" w:styleId="CommentText">
    <w:name w:val="annotation text"/>
    <w:basedOn w:val="Normal"/>
    <w:semiHidden/>
    <w:pPr>
      <w:tabs>
        <w:tab w:val="clear" w:pos="567"/>
        <w:tab w:val="clear" w:pos="1134"/>
        <w:tab w:val="clear" w:pos="1701"/>
        <w:tab w:val="clear" w:pos="2268"/>
        <w:tab w:val="clear" w:pos="6237"/>
      </w:tabs>
      <w:spacing w:line="240" w:lineRule="auto"/>
    </w:pPr>
    <w:rPr>
      <w:sz w:val="20"/>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63588</Words>
  <Characters>362455</Characters>
  <Application>Microsoft Office Word</Application>
  <DocSecurity>4</DocSecurity>
  <Lines>3020</Lines>
  <Paragraphs>724</Paragraphs>
  <ScaleCrop>false</ScaleCrop>
  <HeadingPairs>
    <vt:vector size="2" baseType="variant">
      <vt:variant>
        <vt:lpstr>Название</vt:lpstr>
      </vt:variant>
      <vt:variant>
        <vt:i4>1</vt:i4>
      </vt:variant>
    </vt:vector>
  </HeadingPairs>
  <TitlesOfParts>
    <vt:vector size="1" baseType="lpstr">
      <vt:lpstr>45466.01.doc</vt:lpstr>
    </vt:vector>
  </TitlesOfParts>
  <Company> </Company>
  <LinksUpToDate>false</LinksUpToDate>
  <CharactersWithSpaces>445120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45466.01.doc</dc:title>
  <dc:subject>Klokov</dc:subject>
  <dc:creator>Черняева</dc:creator>
  <cp:keywords/>
  <dc:description/>
  <cp:lastModifiedBy>Tcherniaeva</cp:lastModifiedBy>
  <cp:revision>3</cp:revision>
  <cp:lastPrinted>2004-03-12T06:46:00Z</cp:lastPrinted>
  <dcterms:created xsi:type="dcterms:W3CDTF">2004-03-12T06:46:00Z</dcterms:created>
  <dcterms:modified xsi:type="dcterms:W3CDTF">2004-03-12T06:47:00Z</dcterms:modified>
</cp:coreProperties>
</file>