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E3294AA" w14:textId="77777777" w:rsidTr="005E08DF">
        <w:trPr>
          <w:cantSplit/>
          <w:trHeight w:hRule="exact" w:val="851"/>
        </w:trPr>
        <w:tc>
          <w:tcPr>
            <w:tcW w:w="1276" w:type="dxa"/>
            <w:tcBorders>
              <w:bottom w:val="single" w:sz="4" w:space="0" w:color="auto"/>
            </w:tcBorders>
            <w:vAlign w:val="bottom"/>
          </w:tcPr>
          <w:p w14:paraId="4B8D5588" w14:textId="77777777" w:rsidR="00C9007B" w:rsidRDefault="00C9007B" w:rsidP="005E08DF">
            <w:pPr>
              <w:spacing w:after="80"/>
            </w:pPr>
          </w:p>
        </w:tc>
        <w:tc>
          <w:tcPr>
            <w:tcW w:w="2268" w:type="dxa"/>
            <w:tcBorders>
              <w:bottom w:val="single" w:sz="4" w:space="0" w:color="auto"/>
            </w:tcBorders>
            <w:vAlign w:val="bottom"/>
          </w:tcPr>
          <w:p w14:paraId="08170DA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72E7C6" w14:textId="60A8A356" w:rsidR="00C9007B" w:rsidRDefault="001D4F86" w:rsidP="001D4F86">
            <w:pPr>
              <w:suppressAutoHyphens w:val="0"/>
              <w:spacing w:after="20"/>
              <w:jc w:val="right"/>
            </w:pPr>
            <w:r w:rsidRPr="001D4F86">
              <w:rPr>
                <w:sz w:val="40"/>
              </w:rPr>
              <w:t>CRPD</w:t>
            </w:r>
            <w:r>
              <w:t>/C/31/2</w:t>
            </w:r>
            <w:r w:rsidR="007C7DC2" w:rsidRPr="0070610A">
              <w:rPr>
                <w:rStyle w:val="FootnoteReference"/>
                <w:vertAlign w:val="baseline"/>
              </w:rPr>
              <w:footnoteReference w:customMarkFollows="1" w:id="1"/>
              <w:t>*</w:t>
            </w:r>
          </w:p>
        </w:tc>
      </w:tr>
      <w:tr w:rsidR="00C9007B" w14:paraId="26583B67" w14:textId="77777777" w:rsidTr="005E08DF">
        <w:trPr>
          <w:cantSplit/>
          <w:trHeight w:hRule="exact" w:val="2835"/>
        </w:trPr>
        <w:tc>
          <w:tcPr>
            <w:tcW w:w="1276" w:type="dxa"/>
            <w:tcBorders>
              <w:top w:val="single" w:sz="4" w:space="0" w:color="auto"/>
              <w:bottom w:val="single" w:sz="12" w:space="0" w:color="auto"/>
            </w:tcBorders>
          </w:tcPr>
          <w:p w14:paraId="457DE971" w14:textId="77777777" w:rsidR="00C9007B" w:rsidRDefault="00C9007B" w:rsidP="005E08DF">
            <w:pPr>
              <w:spacing w:before="120"/>
              <w:jc w:val="center"/>
            </w:pPr>
            <w:r>
              <w:rPr>
                <w:noProof/>
                <w:lang w:val="fr-CH" w:eastAsia="fr-CH"/>
              </w:rPr>
              <w:drawing>
                <wp:inline distT="0" distB="0" distL="0" distR="0" wp14:anchorId="2BD965C4" wp14:editId="4E21DA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169E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BF93C5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38D3CAF" w14:textId="77777777" w:rsidR="00C9007B" w:rsidRDefault="001D4F86" w:rsidP="001D4F86">
            <w:pPr>
              <w:spacing w:before="240"/>
            </w:pPr>
            <w:r>
              <w:t>Distr.: General</w:t>
            </w:r>
          </w:p>
          <w:p w14:paraId="3C5DE64F" w14:textId="0FFA397B" w:rsidR="001D4F86" w:rsidRDefault="001D4F86" w:rsidP="001D4F86">
            <w:pPr>
              <w:suppressAutoHyphens w:val="0"/>
            </w:pPr>
            <w:r>
              <w:t>11 October 2024</w:t>
            </w:r>
          </w:p>
          <w:p w14:paraId="79592B47" w14:textId="77777777" w:rsidR="001D4F86" w:rsidRDefault="001D4F86" w:rsidP="001D4F86">
            <w:pPr>
              <w:suppressAutoHyphens w:val="0"/>
            </w:pPr>
          </w:p>
          <w:p w14:paraId="6CDE470A" w14:textId="77777777" w:rsidR="001D4F86" w:rsidRDefault="001D4F86" w:rsidP="001D4F86">
            <w:pPr>
              <w:suppressAutoHyphens w:val="0"/>
            </w:pPr>
            <w:r>
              <w:t>Original: English</w:t>
            </w:r>
          </w:p>
        </w:tc>
      </w:tr>
    </w:tbl>
    <w:p w14:paraId="2038933E" w14:textId="77777777" w:rsidR="00591901" w:rsidRPr="00C73CF1" w:rsidRDefault="00591901" w:rsidP="00591901">
      <w:pPr>
        <w:spacing w:before="120"/>
        <w:rPr>
          <w:b/>
          <w:sz w:val="24"/>
          <w:szCs w:val="24"/>
        </w:rPr>
      </w:pPr>
      <w:r w:rsidRPr="00C73CF1">
        <w:rPr>
          <w:b/>
          <w:sz w:val="24"/>
          <w:szCs w:val="24"/>
        </w:rPr>
        <w:t>Committee on the Rights of Persons with Disabilities</w:t>
      </w:r>
    </w:p>
    <w:p w14:paraId="3575726A" w14:textId="0A6A24DE" w:rsidR="00591901" w:rsidRPr="00C73CF1" w:rsidRDefault="00591901" w:rsidP="00591901">
      <w:pPr>
        <w:pStyle w:val="HChG"/>
      </w:pPr>
      <w:r w:rsidRPr="00C73CF1">
        <w:tab/>
      </w:r>
      <w:r w:rsidRPr="00C73CF1">
        <w:tab/>
        <w:t>Report of the Committee on the Rights of Persons with Disabilities on its thirty-first session</w:t>
      </w:r>
      <w:r>
        <w:t xml:space="preserve"> </w:t>
      </w:r>
      <w:r w:rsidR="00DB3A49">
        <w:br/>
      </w:r>
      <w:r w:rsidRPr="00C73CF1">
        <w:t>(12 August–5 September 2024)</w:t>
      </w:r>
    </w:p>
    <w:p w14:paraId="75B30B85" w14:textId="77777777" w:rsidR="00591901" w:rsidRPr="00C73CF1" w:rsidRDefault="00591901" w:rsidP="00591901">
      <w:pPr>
        <w:pStyle w:val="HChG"/>
      </w:pPr>
      <w:r w:rsidRPr="00C73CF1">
        <w:tab/>
        <w:t>I.</w:t>
      </w:r>
      <w:r w:rsidRPr="00C73CF1">
        <w:tab/>
        <w:t>States parties to the Convention and the Optional Protocol thereto</w:t>
      </w:r>
    </w:p>
    <w:p w14:paraId="70CDE44D" w14:textId="77777777" w:rsidR="00591901" w:rsidRPr="00C73CF1" w:rsidRDefault="00591901" w:rsidP="00591901">
      <w:pPr>
        <w:pStyle w:val="SingleTxtG"/>
      </w:pPr>
      <w:r w:rsidRPr="00C73CF1">
        <w:t>1.</w:t>
      </w:r>
      <w:r w:rsidRPr="00C73CF1">
        <w:tab/>
        <w:t xml:space="preserve">As </w:t>
      </w:r>
      <w:r>
        <w:t>at</w:t>
      </w:r>
      <w:r w:rsidRPr="00C73CF1">
        <w:t xml:space="preserve"> 5 September 2024, the date on which the thirty-first session closed, there were 191 States parties to the Convention on the Rights of Persons with Disabilities and 106 States parties to the Optional Protocol thereto. The lists of States parties to these instruments are available on the website of the Office of Legal Affairs of the Secretariat.</w:t>
      </w:r>
    </w:p>
    <w:p w14:paraId="25BC48E6" w14:textId="7BAED35E" w:rsidR="00591901" w:rsidRPr="00C73CF1" w:rsidRDefault="00591901" w:rsidP="00591901">
      <w:pPr>
        <w:pStyle w:val="HChG"/>
      </w:pPr>
      <w:r w:rsidRPr="00C73CF1">
        <w:tab/>
        <w:t>II.</w:t>
      </w:r>
      <w:r w:rsidRPr="00C73CF1">
        <w:tab/>
        <w:t>Opening of the thirt</w:t>
      </w:r>
      <w:r w:rsidR="0070610A">
        <w:t>y-first</w:t>
      </w:r>
      <w:r w:rsidRPr="00C73CF1">
        <w:t xml:space="preserve"> session of the Committee</w:t>
      </w:r>
    </w:p>
    <w:p w14:paraId="43455AD3" w14:textId="0FEED7F0" w:rsidR="00591901" w:rsidRPr="00C73CF1" w:rsidRDefault="00591901" w:rsidP="00591901">
      <w:pPr>
        <w:pStyle w:val="SingleTxtG"/>
        <w:rPr>
          <w:rFonts w:eastAsia="Times New Roman"/>
          <w:bCs/>
          <w:u w:color="000000"/>
          <w:bdr w:val="nil"/>
          <w:lang w:eastAsia="en-GB"/>
        </w:rPr>
      </w:pPr>
      <w:r w:rsidRPr="00C73CF1">
        <w:rPr>
          <w:rFonts w:eastAsia="Times New Roman"/>
          <w:color w:val="000000"/>
          <w:u w:color="000000"/>
          <w:bdr w:val="nil"/>
          <w:lang w:eastAsia="en-GB"/>
        </w:rPr>
        <w:t>2.</w:t>
      </w:r>
      <w:r w:rsidRPr="00C73CF1">
        <w:rPr>
          <w:rFonts w:eastAsia="Times New Roman"/>
          <w:color w:val="000000"/>
          <w:u w:color="000000"/>
          <w:bdr w:val="nil"/>
          <w:lang w:eastAsia="en-GB"/>
        </w:rPr>
        <w:tab/>
      </w:r>
      <w:r w:rsidRPr="00C73CF1">
        <w:t>The</w:t>
      </w:r>
      <w:r w:rsidRPr="00C73CF1">
        <w:rPr>
          <w:rFonts w:eastAsia="Times New Roman"/>
          <w:color w:val="000000"/>
          <w:u w:color="000000"/>
          <w:bdr w:val="nil"/>
          <w:lang w:eastAsia="en-GB"/>
        </w:rPr>
        <w:t xml:space="preserve"> thirty-first session opened in a public meeting with welcoming remarks by </w:t>
      </w:r>
      <w:r w:rsidRPr="00C73CF1">
        <w:rPr>
          <w:rFonts w:eastAsia="Times New Roman"/>
          <w:bCs/>
          <w:u w:color="000000"/>
          <w:bdr w:val="nil"/>
          <w:lang w:eastAsia="en-GB"/>
        </w:rPr>
        <w:t xml:space="preserve">the representative of the Secretary-General, </w:t>
      </w:r>
      <w:r>
        <w:rPr>
          <w:rFonts w:eastAsia="Times New Roman"/>
          <w:bCs/>
          <w:u w:color="000000"/>
          <w:bdr w:val="nil"/>
          <w:lang w:eastAsia="en-GB"/>
        </w:rPr>
        <w:t xml:space="preserve">the </w:t>
      </w:r>
      <w:r w:rsidRPr="00C73CF1">
        <w:rPr>
          <w:rFonts w:eastAsia="Times New Roman"/>
          <w:bCs/>
          <w:u w:color="000000"/>
          <w:bdr w:val="nil"/>
          <w:lang w:eastAsia="en-GB"/>
        </w:rPr>
        <w:t>Chief of the Groups in Focus Section, Human Rights Treaties Branch, Human Rights Council and Treaty Mechanisms Division</w:t>
      </w:r>
      <w:r>
        <w:rPr>
          <w:rFonts w:eastAsia="Times New Roman"/>
          <w:bCs/>
          <w:u w:color="000000"/>
          <w:bdr w:val="nil"/>
          <w:lang w:eastAsia="en-GB"/>
        </w:rPr>
        <w:t xml:space="preserve">, </w:t>
      </w:r>
      <w:r w:rsidRPr="00C94280">
        <w:rPr>
          <w:rFonts w:eastAsia="Times New Roman"/>
          <w:bCs/>
          <w:u w:color="000000"/>
          <w:bdr w:val="nil"/>
          <w:lang w:eastAsia="en-GB"/>
        </w:rPr>
        <w:t>Office of the United Nations High Commissioner for Human Rights</w:t>
      </w:r>
      <w:r w:rsidRPr="00C73CF1">
        <w:rPr>
          <w:rFonts w:eastAsia="Times New Roman"/>
          <w:bCs/>
          <w:u w:color="000000"/>
          <w:bdr w:val="nil"/>
          <w:lang w:eastAsia="en-GB"/>
        </w:rPr>
        <w:t>.</w:t>
      </w:r>
      <w:r w:rsidRPr="00C73CF1">
        <w:rPr>
          <w:rFonts w:eastAsia="Times New Roman"/>
          <w:color w:val="000000"/>
          <w:spacing w:val="-5"/>
          <w:u w:color="000000"/>
          <w:bdr w:val="nil"/>
          <w:lang w:eastAsia="en-GB"/>
        </w:rPr>
        <w:t xml:space="preserve"> </w:t>
      </w:r>
      <w:r w:rsidRPr="00C73CF1">
        <w:rPr>
          <w:rFonts w:eastAsia="Times New Roman"/>
          <w:color w:val="000000"/>
          <w:u w:color="000000"/>
          <w:bdr w:val="nil"/>
          <w:lang w:eastAsia="en-GB"/>
        </w:rPr>
        <w:t>The</w:t>
      </w:r>
      <w:r w:rsidRPr="00C73CF1">
        <w:rPr>
          <w:rFonts w:eastAsia="Times New Roman"/>
          <w:color w:val="000000"/>
          <w:spacing w:val="-1"/>
          <w:u w:color="000000"/>
          <w:bdr w:val="nil"/>
          <w:lang w:eastAsia="en-GB"/>
        </w:rPr>
        <w:t xml:space="preserve"> </w:t>
      </w:r>
      <w:r w:rsidRPr="00C73CF1">
        <w:rPr>
          <w:rFonts w:eastAsia="Times New Roman"/>
          <w:color w:val="000000"/>
          <w:u w:color="000000"/>
          <w:bdr w:val="nil"/>
          <w:lang w:eastAsia="en-GB"/>
        </w:rPr>
        <w:t>welcoming remarks are available on the</w:t>
      </w:r>
      <w:r w:rsidRPr="00C73CF1">
        <w:rPr>
          <w:rFonts w:eastAsia="Times New Roman"/>
          <w:color w:val="000000"/>
          <w:spacing w:val="-1"/>
          <w:u w:color="000000"/>
          <w:bdr w:val="nil"/>
          <w:lang w:eastAsia="en-GB"/>
        </w:rPr>
        <w:t xml:space="preserve"> </w:t>
      </w:r>
      <w:r w:rsidRPr="00C73CF1">
        <w:rPr>
          <w:rFonts w:eastAsia="Times New Roman"/>
          <w:color w:val="000000"/>
          <w:u w:color="000000"/>
          <w:bdr w:val="nil"/>
          <w:lang w:eastAsia="en-GB"/>
        </w:rPr>
        <w:t>Committee</w:t>
      </w:r>
      <w:r w:rsidR="000F0562">
        <w:rPr>
          <w:rFonts w:eastAsia="Times New Roman"/>
          <w:color w:val="000000"/>
          <w:u w:color="000000"/>
          <w:bdr w:val="nil"/>
          <w:lang w:eastAsia="en-GB"/>
        </w:rPr>
        <w:t>’</w:t>
      </w:r>
      <w:r w:rsidRPr="00C73CF1">
        <w:rPr>
          <w:rFonts w:eastAsia="Times New Roman"/>
          <w:color w:val="000000"/>
          <w:u w:color="000000"/>
          <w:bdr w:val="nil"/>
          <w:lang w:eastAsia="en-GB"/>
        </w:rPr>
        <w:t>s website.</w:t>
      </w:r>
    </w:p>
    <w:p w14:paraId="56BA1E21" w14:textId="77777777" w:rsidR="00591901" w:rsidRPr="00C73CF1" w:rsidRDefault="00591901" w:rsidP="00591901">
      <w:pPr>
        <w:pStyle w:val="SingleTxtG"/>
        <w:rPr>
          <w:rFonts w:eastAsia="Times New Roman"/>
          <w:color w:val="000000"/>
          <w:u w:color="000000"/>
          <w:bdr w:val="nil"/>
          <w:lang w:eastAsia="en-GB"/>
        </w:rPr>
      </w:pPr>
      <w:r w:rsidRPr="00C73CF1">
        <w:rPr>
          <w:rFonts w:eastAsia="Times New Roman"/>
          <w:color w:val="000000"/>
          <w:u w:color="000000"/>
          <w:bdr w:val="nil"/>
          <w:lang w:eastAsia="en-GB"/>
        </w:rPr>
        <w:t>3.</w:t>
      </w:r>
      <w:r w:rsidRPr="00C73CF1">
        <w:rPr>
          <w:rFonts w:eastAsia="Times New Roman"/>
          <w:color w:val="000000"/>
          <w:u w:color="000000"/>
          <w:bdr w:val="nil"/>
          <w:lang w:eastAsia="en-GB"/>
        </w:rPr>
        <w:tab/>
        <w:t>The Committee reviewed and adopted the provisional agenda</w:t>
      </w:r>
      <w:r w:rsidRPr="000F0562">
        <w:rPr>
          <w:rStyle w:val="FootnoteReference"/>
        </w:rPr>
        <w:footnoteReference w:id="2"/>
      </w:r>
      <w:r w:rsidRPr="000F0562">
        <w:rPr>
          <w:rStyle w:val="FootnoteReference"/>
        </w:rPr>
        <w:t xml:space="preserve"> </w:t>
      </w:r>
      <w:r w:rsidRPr="00C73CF1">
        <w:rPr>
          <w:rFonts w:eastAsia="Times New Roman"/>
          <w:color w:val="000000"/>
          <w:u w:color="000000"/>
          <w:bdr w:val="nil"/>
          <w:lang w:eastAsia="en-GB"/>
        </w:rPr>
        <w:t>and programme of work for the thirty-first session.</w:t>
      </w:r>
    </w:p>
    <w:p w14:paraId="3D22AAC9" w14:textId="77777777" w:rsidR="00591901" w:rsidRPr="00C73CF1" w:rsidRDefault="00591901" w:rsidP="00591901">
      <w:pPr>
        <w:pStyle w:val="HChG"/>
      </w:pPr>
      <w:r w:rsidRPr="00C73CF1">
        <w:tab/>
        <w:t>III.</w:t>
      </w:r>
      <w:r w:rsidRPr="00C73CF1">
        <w:tab/>
        <w:t>Membership of the Committee</w:t>
      </w:r>
    </w:p>
    <w:p w14:paraId="75FEAFD7" w14:textId="73DF0D1C" w:rsidR="00591901" w:rsidRPr="00C73CF1" w:rsidRDefault="00591901" w:rsidP="00591901">
      <w:pPr>
        <w:pStyle w:val="SingleTxtG"/>
        <w:rPr>
          <w:rFonts w:eastAsia="Times New Roman"/>
          <w:color w:val="000000"/>
          <w:bdr w:val="nil"/>
          <w:lang w:eastAsia="en-GB"/>
        </w:rPr>
      </w:pPr>
      <w:r w:rsidRPr="00C73CF1">
        <w:rPr>
          <w:rFonts w:eastAsia="Times New Roman"/>
          <w:color w:val="000000"/>
          <w:bdr w:val="nil"/>
          <w:lang w:eastAsia="en-GB"/>
        </w:rPr>
        <w:t>4.</w:t>
      </w:r>
      <w:r w:rsidRPr="00C73CF1">
        <w:rPr>
          <w:rFonts w:eastAsia="Times New Roman"/>
          <w:color w:val="000000"/>
          <w:u w:color="000000"/>
          <w:bdr w:val="nil"/>
          <w:lang w:eastAsia="en-GB"/>
        </w:rPr>
        <w:tab/>
      </w:r>
      <w:r w:rsidRPr="00C73CF1">
        <w:rPr>
          <w:rFonts w:eastAsia="Times New Roman"/>
          <w:color w:val="000000"/>
          <w:bdr w:val="nil"/>
          <w:lang w:eastAsia="en-GB"/>
        </w:rPr>
        <w:t xml:space="preserve">The list of members of the Committee as </w:t>
      </w:r>
      <w:r>
        <w:rPr>
          <w:rFonts w:eastAsia="Times New Roman"/>
          <w:color w:val="000000"/>
          <w:bdr w:val="nil"/>
          <w:lang w:eastAsia="en-GB"/>
        </w:rPr>
        <w:t>at</w:t>
      </w:r>
      <w:r w:rsidRPr="00C73CF1">
        <w:rPr>
          <w:rFonts w:eastAsia="Times New Roman"/>
          <w:color w:val="000000"/>
          <w:bdr w:val="nil"/>
          <w:lang w:eastAsia="en-GB"/>
        </w:rPr>
        <w:t xml:space="preserve"> 5 September 2024, indicating the duration of their terms of office, is available on the</w:t>
      </w:r>
      <w:r w:rsidRPr="00C73CF1">
        <w:rPr>
          <w:rFonts w:eastAsia="Times New Roman"/>
          <w:color w:val="000000"/>
          <w:spacing w:val="-1"/>
          <w:bdr w:val="nil"/>
          <w:lang w:eastAsia="en-GB"/>
        </w:rPr>
        <w:t xml:space="preserve"> </w:t>
      </w:r>
      <w:r w:rsidRPr="00C73CF1">
        <w:rPr>
          <w:rFonts w:eastAsia="Times New Roman"/>
          <w:color w:val="000000"/>
          <w:bdr w:val="nil"/>
          <w:lang w:eastAsia="en-GB"/>
        </w:rPr>
        <w:t>Committee</w:t>
      </w:r>
      <w:r w:rsidR="000F0562">
        <w:rPr>
          <w:rFonts w:eastAsia="Times New Roman"/>
          <w:color w:val="000000"/>
          <w:bdr w:val="nil"/>
          <w:lang w:eastAsia="en-GB"/>
        </w:rPr>
        <w:t>’</w:t>
      </w:r>
      <w:r w:rsidRPr="00C73CF1">
        <w:rPr>
          <w:rFonts w:eastAsia="Times New Roman"/>
          <w:color w:val="000000"/>
          <w:bdr w:val="nil"/>
          <w:lang w:eastAsia="en-GB"/>
        </w:rPr>
        <w:t>s website.</w:t>
      </w:r>
    </w:p>
    <w:p w14:paraId="46ACCE9B" w14:textId="77777777" w:rsidR="00591901" w:rsidRPr="00C73CF1" w:rsidRDefault="00591901" w:rsidP="00591901">
      <w:pPr>
        <w:pStyle w:val="HChG"/>
      </w:pPr>
      <w:r w:rsidRPr="00C73CF1">
        <w:tab/>
        <w:t>IV.</w:t>
      </w:r>
      <w:r w:rsidRPr="00C73CF1">
        <w:tab/>
      </w:r>
      <w:r w:rsidRPr="00C73CF1">
        <w:tab/>
        <w:t>Working methods</w:t>
      </w:r>
    </w:p>
    <w:p w14:paraId="6E7EE1C1" w14:textId="77777777" w:rsidR="00591901" w:rsidRPr="00C73CF1" w:rsidRDefault="00591901" w:rsidP="00591901">
      <w:pPr>
        <w:pStyle w:val="SingleTxtG"/>
      </w:pPr>
      <w:r w:rsidRPr="00C73CF1">
        <w:t>5.</w:t>
      </w:r>
      <w:r w:rsidRPr="00C73CF1">
        <w:tab/>
      </w:r>
      <w:r w:rsidRPr="00C73CF1">
        <w:rPr>
          <w:rFonts w:eastAsia="Times New Roman"/>
          <w:color w:val="000000"/>
          <w:u w:color="000000"/>
          <w:bdr w:val="nil"/>
          <w:lang w:eastAsia="en-GB"/>
        </w:rPr>
        <w:t>The</w:t>
      </w:r>
      <w:r w:rsidRPr="00C73CF1">
        <w:t xml:space="preserve"> Committee discussed various issues related to its working methods and decided to continue updating and streamlining its working methods during the intersessional period. It continued </w:t>
      </w:r>
      <w:r>
        <w:t>to</w:t>
      </w:r>
      <w:r w:rsidRPr="00C73CF1">
        <w:t xml:space="preserve"> use task forces for the dialogues with States parties. It also discussed matters related to the implementation of the </w:t>
      </w:r>
      <w:bookmarkStart w:id="0" w:name="_Hlk177744293"/>
      <w:r>
        <w:t>g</w:t>
      </w:r>
      <w:r w:rsidRPr="00C73CF1">
        <w:t>uidelines on the independence and impartiality of members of the human rights treaty bodies</w:t>
      </w:r>
      <w:r>
        <w:t xml:space="preserve"> (</w:t>
      </w:r>
      <w:r w:rsidRPr="00C73CF1">
        <w:t xml:space="preserve">the Addis Ababa </w:t>
      </w:r>
      <w:r>
        <w:t>g</w:t>
      </w:r>
      <w:r w:rsidRPr="00C73CF1">
        <w:t>uidelines</w:t>
      </w:r>
      <w:r>
        <w:t>)</w:t>
      </w:r>
      <w:r w:rsidRPr="00C73CF1">
        <w:t xml:space="preserve">. </w:t>
      </w:r>
      <w:bookmarkEnd w:id="0"/>
    </w:p>
    <w:p w14:paraId="14A793F7" w14:textId="77777777" w:rsidR="00591901" w:rsidRPr="00C73CF1" w:rsidRDefault="00591901" w:rsidP="00591901">
      <w:pPr>
        <w:pStyle w:val="HChG"/>
      </w:pPr>
      <w:r w:rsidRPr="00C73CF1">
        <w:lastRenderedPageBreak/>
        <w:tab/>
        <w:t>V.</w:t>
      </w:r>
      <w:r w:rsidRPr="00C73CF1">
        <w:tab/>
        <w:t>Activities related to general comments</w:t>
      </w:r>
    </w:p>
    <w:p w14:paraId="7BE41F1A" w14:textId="77777777" w:rsidR="00591901" w:rsidRPr="00C73CF1" w:rsidRDefault="00591901" w:rsidP="00591901">
      <w:pPr>
        <w:pStyle w:val="SingleTxtG"/>
        <w:rPr>
          <w:u w:color="000000"/>
          <w:bdr w:val="nil"/>
        </w:rPr>
      </w:pPr>
      <w:r w:rsidRPr="00C73CF1">
        <w:rPr>
          <w:u w:color="000000"/>
          <w:bdr w:val="nil"/>
        </w:rPr>
        <w:t>6.</w:t>
      </w:r>
      <w:r w:rsidRPr="00C73CF1">
        <w:rPr>
          <w:u w:color="000000"/>
          <w:bdr w:val="nil"/>
        </w:rPr>
        <w:tab/>
        <w:t>The Committee continued, in private</w:t>
      </w:r>
      <w:r>
        <w:rPr>
          <w:u w:color="000000"/>
          <w:bdr w:val="nil"/>
        </w:rPr>
        <w:t xml:space="preserve"> meetings</w:t>
      </w:r>
      <w:r w:rsidRPr="00C73CF1">
        <w:rPr>
          <w:u w:color="000000"/>
          <w:bdr w:val="nil"/>
        </w:rPr>
        <w:t xml:space="preserve">, its work </w:t>
      </w:r>
      <w:r>
        <w:rPr>
          <w:u w:color="000000"/>
          <w:bdr w:val="nil"/>
        </w:rPr>
        <w:t>on</w:t>
      </w:r>
      <w:r w:rsidRPr="00C73CF1">
        <w:rPr>
          <w:u w:color="000000"/>
          <w:bdr w:val="nil"/>
        </w:rPr>
        <w:t xml:space="preserve"> draft</w:t>
      </w:r>
      <w:r>
        <w:rPr>
          <w:u w:color="000000"/>
          <w:bdr w:val="nil"/>
        </w:rPr>
        <w:t>ing a</w:t>
      </w:r>
      <w:r w:rsidRPr="00C73CF1">
        <w:rPr>
          <w:u w:color="000000"/>
          <w:bdr w:val="nil"/>
        </w:rPr>
        <w:t xml:space="preserve"> general comment on article 11 of the Convention. It decided to establish a working group to draft a </w:t>
      </w:r>
      <w:r>
        <w:rPr>
          <w:u w:color="000000"/>
          <w:bdr w:val="nil"/>
        </w:rPr>
        <w:t>g</w:t>
      </w:r>
      <w:r w:rsidRPr="00C73CF1">
        <w:rPr>
          <w:u w:color="000000"/>
          <w:bdr w:val="nil"/>
        </w:rPr>
        <w:t xml:space="preserve">eneral </w:t>
      </w:r>
      <w:r>
        <w:rPr>
          <w:u w:color="000000"/>
          <w:bdr w:val="nil"/>
        </w:rPr>
        <w:t>c</w:t>
      </w:r>
      <w:r w:rsidRPr="00C73CF1">
        <w:rPr>
          <w:u w:color="000000"/>
          <w:bdr w:val="nil"/>
        </w:rPr>
        <w:t xml:space="preserve">omment on </w:t>
      </w:r>
      <w:r>
        <w:rPr>
          <w:u w:color="000000"/>
          <w:bdr w:val="nil"/>
        </w:rPr>
        <w:t>article 29 of the Convention</w:t>
      </w:r>
      <w:r w:rsidRPr="00C73CF1">
        <w:rPr>
          <w:u w:color="000000"/>
          <w:bdr w:val="nil"/>
        </w:rPr>
        <w:t>.</w:t>
      </w:r>
    </w:p>
    <w:p w14:paraId="798A275F" w14:textId="77777777" w:rsidR="00591901" w:rsidRPr="00C73CF1" w:rsidRDefault="00591901" w:rsidP="00591901">
      <w:pPr>
        <w:pStyle w:val="HChG"/>
      </w:pPr>
      <w:r w:rsidRPr="00C73CF1">
        <w:tab/>
        <w:t>VI.</w:t>
      </w:r>
      <w:r w:rsidRPr="00C73CF1">
        <w:tab/>
        <w:t>Activities related to the Optional Protocol</w:t>
      </w:r>
    </w:p>
    <w:p w14:paraId="44155C53" w14:textId="77777777" w:rsidR="00591901" w:rsidRPr="00C73CF1" w:rsidRDefault="00591901" w:rsidP="00591901">
      <w:pPr>
        <w:suppressAutoHyphens w:val="0"/>
        <w:spacing w:after="160" w:line="252" w:lineRule="auto"/>
        <w:ind w:left="1138" w:right="1138"/>
        <w:jc w:val="both"/>
        <w:rPr>
          <w:rFonts w:eastAsia="Calibri"/>
          <w:i/>
          <w:iCs/>
          <w:color w:val="000000"/>
        </w:rPr>
      </w:pPr>
      <w:r w:rsidRPr="00C73CF1">
        <w:rPr>
          <w:rFonts w:eastAsia="Calibri"/>
          <w:color w:val="000000"/>
        </w:rPr>
        <w:t>7.</w:t>
      </w:r>
      <w:r w:rsidRPr="00C73CF1">
        <w:rPr>
          <w:rFonts w:eastAsia="Calibri"/>
        </w:rPr>
        <w:tab/>
      </w:r>
      <w:r w:rsidRPr="00C73CF1">
        <w:rPr>
          <w:rFonts w:eastAsia="Calibri"/>
          <w:color w:val="000000"/>
        </w:rPr>
        <w:t>The Committee examined six communications submitted for its consideration under the Optional Protocol to the Convention.</w:t>
      </w:r>
      <w:r w:rsidRPr="00C73CF1">
        <w:rPr>
          <w:rFonts w:eastAsia="Calibri"/>
          <w:color w:val="FF0000"/>
        </w:rPr>
        <w:t xml:space="preserve"> </w:t>
      </w:r>
      <w:r w:rsidRPr="00C73CF1">
        <w:rPr>
          <w:rFonts w:eastAsia="Calibri"/>
          <w:color w:val="000000"/>
        </w:rPr>
        <w:t xml:space="preserve">It found violations </w:t>
      </w:r>
      <w:r>
        <w:rPr>
          <w:rFonts w:eastAsia="Calibri"/>
          <w:color w:val="000000"/>
        </w:rPr>
        <w:t xml:space="preserve">of the Convention </w:t>
      </w:r>
      <w:r w:rsidRPr="00C73CF1">
        <w:rPr>
          <w:rFonts w:eastAsia="Calibri"/>
          <w:color w:val="000000"/>
        </w:rPr>
        <w:t xml:space="preserve">in two of them: </w:t>
      </w:r>
      <w:r w:rsidRPr="00C73CF1">
        <w:rPr>
          <w:rFonts w:eastAsia="Calibri"/>
          <w:i/>
          <w:iCs/>
          <w:color w:val="000000"/>
        </w:rPr>
        <w:t>Ruiz Suárez v. Spain</w:t>
      </w:r>
      <w:r w:rsidRPr="00C73CF1">
        <w:rPr>
          <w:rFonts w:eastAsia="Calibri"/>
          <w:color w:val="000000"/>
        </w:rPr>
        <w:t>,</w:t>
      </w:r>
      <w:r w:rsidRPr="000F0562">
        <w:rPr>
          <w:rStyle w:val="FootnoteReference"/>
        </w:rPr>
        <w:footnoteReference w:id="3"/>
      </w:r>
      <w:r w:rsidRPr="000F0562">
        <w:rPr>
          <w:rStyle w:val="FootnoteReference"/>
        </w:rPr>
        <w:t xml:space="preserve"> </w:t>
      </w:r>
      <w:r w:rsidRPr="00C73CF1">
        <w:rPr>
          <w:rFonts w:eastAsia="Calibri"/>
          <w:color w:val="000000"/>
        </w:rPr>
        <w:t xml:space="preserve">concerning </w:t>
      </w:r>
      <w:r>
        <w:rPr>
          <w:rFonts w:eastAsia="Times New Roman"/>
          <w14:ligatures w14:val="standardContextual"/>
        </w:rPr>
        <w:t>failure to provide</w:t>
      </w:r>
      <w:r w:rsidRPr="00C73CF1">
        <w:rPr>
          <w:rFonts w:eastAsia="Times New Roman"/>
          <w14:ligatures w14:val="standardContextual"/>
        </w:rPr>
        <w:t xml:space="preserve"> procedural accommodation for a person with an intellectual disability in criminal proceedings against him, and </w:t>
      </w:r>
      <w:r w:rsidRPr="00C73CF1">
        <w:rPr>
          <w:rFonts w:eastAsia="Times New Roman"/>
          <w:i/>
          <w:iCs/>
          <w14:ligatures w14:val="standardContextual"/>
        </w:rPr>
        <w:t xml:space="preserve">E.O.J. </w:t>
      </w:r>
      <w:r>
        <w:rPr>
          <w:rFonts w:eastAsia="Times New Roman"/>
          <w:i/>
          <w:iCs/>
          <w14:ligatures w14:val="standardContextual"/>
        </w:rPr>
        <w:t>et al.</w:t>
      </w:r>
      <w:r w:rsidRPr="00C73CF1">
        <w:rPr>
          <w:rFonts w:eastAsia="Times New Roman"/>
          <w:i/>
          <w:iCs/>
          <w14:ligatures w14:val="standardContextual"/>
        </w:rPr>
        <w:t xml:space="preserve"> v. Sweden</w:t>
      </w:r>
      <w:r w:rsidRPr="00C73CF1">
        <w:rPr>
          <w:rFonts w:eastAsia="Times New Roman"/>
          <w14:ligatures w14:val="standardContextual"/>
        </w:rPr>
        <w:t>,</w:t>
      </w:r>
      <w:r w:rsidRPr="000F0562">
        <w:rPr>
          <w:rStyle w:val="FootnoteReference"/>
        </w:rPr>
        <w:footnoteReference w:id="4"/>
      </w:r>
      <w:r w:rsidRPr="000F0562">
        <w:rPr>
          <w:rStyle w:val="FootnoteReference"/>
        </w:rPr>
        <w:t xml:space="preserve"> </w:t>
      </w:r>
      <w:r w:rsidRPr="00C73CF1">
        <w:rPr>
          <w:rFonts w:eastAsia="Times New Roman"/>
          <w14:ligatures w14:val="standardContextual"/>
        </w:rPr>
        <w:t xml:space="preserve">regarding the removal of two children with </w:t>
      </w:r>
      <w:r>
        <w:rPr>
          <w:rFonts w:eastAsia="Times New Roman"/>
          <w14:ligatures w14:val="standardContextual"/>
        </w:rPr>
        <w:t xml:space="preserve">intellectual and psychosocial </w:t>
      </w:r>
      <w:r w:rsidRPr="00C73CF1">
        <w:rPr>
          <w:rFonts w:eastAsia="Times New Roman"/>
          <w14:ligatures w14:val="standardContextual"/>
        </w:rPr>
        <w:t>disabilities</w:t>
      </w:r>
      <w:r>
        <w:rPr>
          <w:rFonts w:eastAsia="Times New Roman"/>
          <w14:ligatures w14:val="standardContextual"/>
        </w:rPr>
        <w:t>,</w:t>
      </w:r>
      <w:r w:rsidRPr="00C73CF1">
        <w:rPr>
          <w:rFonts w:eastAsia="Times New Roman"/>
          <w14:ligatures w14:val="standardContextual"/>
        </w:rPr>
        <w:t xml:space="preserve"> their sibling and </w:t>
      </w:r>
      <w:r>
        <w:rPr>
          <w:rFonts w:eastAsia="Times New Roman"/>
          <w14:ligatures w14:val="standardContextual"/>
        </w:rPr>
        <w:t xml:space="preserve">their </w:t>
      </w:r>
      <w:r w:rsidRPr="00C73CF1">
        <w:rPr>
          <w:rFonts w:eastAsia="Times New Roman"/>
          <w14:ligatures w14:val="standardContextual"/>
        </w:rPr>
        <w:t xml:space="preserve">parents to Nigeria. The Committee found </w:t>
      </w:r>
      <w:r>
        <w:rPr>
          <w:rFonts w:eastAsia="Times New Roman"/>
          <w14:ligatures w14:val="standardContextual"/>
        </w:rPr>
        <w:t xml:space="preserve">that the facts before it did </w:t>
      </w:r>
      <w:r w:rsidRPr="00C73CF1">
        <w:rPr>
          <w:rFonts w:eastAsia="Times New Roman"/>
          <w14:ligatures w14:val="standardContextual"/>
        </w:rPr>
        <w:t>no</w:t>
      </w:r>
      <w:r>
        <w:rPr>
          <w:rFonts w:eastAsia="Times New Roman"/>
          <w14:ligatures w14:val="standardContextual"/>
        </w:rPr>
        <w:t>t disclose a</w:t>
      </w:r>
      <w:r w:rsidRPr="00C73CF1">
        <w:rPr>
          <w:rFonts w:eastAsia="Times New Roman"/>
          <w14:ligatures w14:val="standardContextual"/>
        </w:rPr>
        <w:t xml:space="preserve"> violation</w:t>
      </w:r>
      <w:r>
        <w:rPr>
          <w:rFonts w:eastAsia="Times New Roman"/>
          <w14:ligatures w14:val="standardContextual"/>
        </w:rPr>
        <w:t xml:space="preserve"> of the Convention</w:t>
      </w:r>
      <w:r w:rsidRPr="00C73CF1">
        <w:rPr>
          <w:rFonts w:eastAsia="Times New Roman"/>
          <w14:ligatures w14:val="standardContextual"/>
        </w:rPr>
        <w:t xml:space="preserve"> in </w:t>
      </w:r>
      <w:r w:rsidRPr="00C73CF1">
        <w:rPr>
          <w:rFonts w:eastAsia="Times New Roman"/>
          <w:i/>
          <w:iCs/>
          <w14:ligatures w14:val="standardContextual"/>
        </w:rPr>
        <w:t>Z.R. v. Sweden</w:t>
      </w:r>
      <w:r w:rsidRPr="00C73CF1">
        <w:rPr>
          <w:rFonts w:eastAsia="Times New Roman"/>
          <w14:ligatures w14:val="standardContextual"/>
        </w:rPr>
        <w:t>,</w:t>
      </w:r>
      <w:r w:rsidRPr="000F0562">
        <w:rPr>
          <w:rStyle w:val="FootnoteReference"/>
        </w:rPr>
        <w:footnoteReference w:id="5"/>
      </w:r>
      <w:r w:rsidRPr="000F0562">
        <w:rPr>
          <w:rStyle w:val="FootnoteReference"/>
        </w:rPr>
        <w:t xml:space="preserve"> </w:t>
      </w:r>
      <w:r w:rsidRPr="00C73CF1">
        <w:rPr>
          <w:rFonts w:eastAsia="Times New Roman"/>
          <w14:ligatures w14:val="standardContextual"/>
        </w:rPr>
        <w:t>concerning the removal of a person with disabilities and her mother to Kosovo.</w:t>
      </w:r>
      <w:r w:rsidRPr="000F0562">
        <w:rPr>
          <w:rStyle w:val="FootnoteReference"/>
        </w:rPr>
        <w:footnoteReference w:id="6"/>
      </w:r>
      <w:r w:rsidRPr="000F0562">
        <w:rPr>
          <w:rStyle w:val="FootnoteReference"/>
        </w:rPr>
        <w:t xml:space="preserve"> </w:t>
      </w:r>
      <w:r w:rsidRPr="00C73CF1">
        <w:rPr>
          <w:rFonts w:eastAsia="Times New Roman"/>
          <w14:ligatures w14:val="standardContextual"/>
        </w:rPr>
        <w:t xml:space="preserve">It </w:t>
      </w:r>
      <w:r>
        <w:rPr>
          <w:rFonts w:eastAsia="Times New Roman"/>
          <w14:ligatures w14:val="standardContextual"/>
        </w:rPr>
        <w:t xml:space="preserve">decided to </w:t>
      </w:r>
      <w:r w:rsidRPr="00C73CF1">
        <w:rPr>
          <w:rFonts w:eastAsia="Times New Roman"/>
          <w14:ligatures w14:val="standardContextual"/>
        </w:rPr>
        <w:t xml:space="preserve">discontinue its consideration of </w:t>
      </w:r>
      <w:r>
        <w:rPr>
          <w:rFonts w:eastAsia="Times New Roman"/>
          <w14:ligatures w14:val="standardContextual"/>
        </w:rPr>
        <w:t xml:space="preserve">the other </w:t>
      </w:r>
      <w:r w:rsidRPr="00C73CF1">
        <w:rPr>
          <w:rFonts w:eastAsia="Times New Roman"/>
          <w14:ligatures w14:val="standardContextual"/>
        </w:rPr>
        <w:t xml:space="preserve">three communications: </w:t>
      </w:r>
      <w:r w:rsidRPr="00C73CF1">
        <w:rPr>
          <w:rFonts w:eastAsia="Times New Roman"/>
          <w:i/>
          <w:iCs/>
          <w14:ligatures w14:val="standardContextual"/>
        </w:rPr>
        <w:t>S.Q. v. Sweden</w:t>
      </w:r>
      <w:r w:rsidRPr="00C73CF1">
        <w:rPr>
          <w:rFonts w:eastAsia="Times New Roman"/>
          <w14:ligatures w14:val="standardContextual"/>
        </w:rPr>
        <w:t>,</w:t>
      </w:r>
      <w:r w:rsidRPr="000F0562">
        <w:rPr>
          <w:rStyle w:val="FootnoteReference"/>
        </w:rPr>
        <w:footnoteReference w:id="7"/>
      </w:r>
      <w:r w:rsidRPr="000F0562">
        <w:rPr>
          <w:rStyle w:val="FootnoteReference"/>
        </w:rPr>
        <w:t xml:space="preserve"> </w:t>
      </w:r>
      <w:r w:rsidRPr="00C73CF1">
        <w:rPr>
          <w:rFonts w:eastAsia="Times New Roman"/>
          <w14:ligatures w14:val="standardContextual"/>
        </w:rPr>
        <w:t>concerning the removal of a person with disabilities to Iraq</w:t>
      </w:r>
      <w:r>
        <w:rPr>
          <w:rFonts w:eastAsia="Times New Roman"/>
          <w14:ligatures w14:val="standardContextual"/>
        </w:rPr>
        <w:t>;</w:t>
      </w:r>
      <w:r w:rsidRPr="00C73CF1">
        <w:rPr>
          <w:rFonts w:eastAsia="Times New Roman"/>
          <w14:ligatures w14:val="standardContextual"/>
        </w:rPr>
        <w:t xml:space="preserve"> </w:t>
      </w:r>
      <w:r w:rsidRPr="00C73CF1">
        <w:rPr>
          <w:rFonts w:eastAsia="Times New Roman"/>
          <w:i/>
          <w:iCs/>
          <w14:ligatures w14:val="standardContextual"/>
        </w:rPr>
        <w:t>M.A.R.G. v. Spain</w:t>
      </w:r>
      <w:r w:rsidRPr="00C73CF1">
        <w:rPr>
          <w:rFonts w:eastAsia="Times New Roman"/>
          <w14:ligatures w14:val="standardContextual"/>
        </w:rPr>
        <w:t>,</w:t>
      </w:r>
      <w:r w:rsidRPr="000F0562">
        <w:rPr>
          <w:rStyle w:val="FootnoteReference"/>
        </w:rPr>
        <w:footnoteReference w:id="8"/>
      </w:r>
      <w:r w:rsidRPr="000F0562">
        <w:rPr>
          <w:rStyle w:val="FootnoteReference"/>
        </w:rPr>
        <w:t xml:space="preserve"> </w:t>
      </w:r>
      <w:r>
        <w:rPr>
          <w:rFonts w:eastAsia="Times New Roman"/>
          <w14:ligatures w14:val="standardContextual"/>
        </w:rPr>
        <w:t>concerning</w:t>
      </w:r>
      <w:r w:rsidRPr="00C73CF1">
        <w:rPr>
          <w:rFonts w:eastAsia="Times New Roman"/>
          <w14:ligatures w14:val="standardContextual"/>
        </w:rPr>
        <w:t xml:space="preserve"> </w:t>
      </w:r>
      <w:r w:rsidRPr="00C73CF1">
        <w:rPr>
          <w:rFonts w:eastAsia="Calibri"/>
          <w14:ligatures w14:val="standardContextual"/>
        </w:rPr>
        <w:t xml:space="preserve">the right to work and </w:t>
      </w:r>
      <w:r>
        <w:rPr>
          <w:rFonts w:eastAsia="Calibri"/>
          <w14:ligatures w14:val="standardContextual"/>
        </w:rPr>
        <w:t xml:space="preserve">right of </w:t>
      </w:r>
      <w:r w:rsidRPr="00C73CF1">
        <w:rPr>
          <w:rFonts w:eastAsia="Calibri"/>
          <w14:ligatures w14:val="standardContextual"/>
        </w:rPr>
        <w:t>access to social security of a person who acquired a disability during employment</w:t>
      </w:r>
      <w:r>
        <w:rPr>
          <w:rFonts w:eastAsia="Calibri"/>
          <w14:ligatures w14:val="standardContextual"/>
        </w:rPr>
        <w:t>;</w:t>
      </w:r>
      <w:r w:rsidRPr="00C73CF1">
        <w:rPr>
          <w:rFonts w:eastAsia="Calibri"/>
          <w14:ligatures w14:val="standardContextual"/>
        </w:rPr>
        <w:t xml:space="preserve"> and </w:t>
      </w:r>
      <w:r w:rsidRPr="00C73CF1">
        <w:rPr>
          <w:rFonts w:eastAsia="Calibri"/>
          <w:i/>
          <w:iCs/>
          <w14:ligatures w14:val="standardContextual"/>
        </w:rPr>
        <w:t xml:space="preserve">González Otero </w:t>
      </w:r>
      <w:r>
        <w:rPr>
          <w:rFonts w:eastAsia="Calibri"/>
          <w:i/>
          <w:iCs/>
          <w14:ligatures w14:val="standardContextual"/>
        </w:rPr>
        <w:t>et al.</w:t>
      </w:r>
      <w:r w:rsidRPr="00C73CF1">
        <w:rPr>
          <w:rFonts w:eastAsia="Calibri"/>
          <w:i/>
          <w:iCs/>
          <w:shd w:val="clear" w:color="000000" w:fill="FFFFFF"/>
          <w14:ligatures w14:val="standardContextual"/>
        </w:rPr>
        <w:t xml:space="preserve"> v. Spain</w:t>
      </w:r>
      <w:r w:rsidRPr="00C73CF1">
        <w:rPr>
          <w:rFonts w:eastAsia="Calibri"/>
          <w:shd w:val="clear" w:color="000000" w:fill="FFFFFF"/>
          <w14:ligatures w14:val="standardContextual"/>
        </w:rPr>
        <w:t>,</w:t>
      </w:r>
      <w:r w:rsidRPr="000F0562">
        <w:rPr>
          <w:rStyle w:val="FootnoteReference"/>
        </w:rPr>
        <w:footnoteReference w:id="9"/>
      </w:r>
      <w:r w:rsidRPr="000F0562">
        <w:rPr>
          <w:rStyle w:val="FootnoteReference"/>
        </w:rPr>
        <w:t xml:space="preserve"> </w:t>
      </w:r>
      <w:r w:rsidRPr="00C73CF1">
        <w:rPr>
          <w:rFonts w:eastAsia="Calibri"/>
          <w:shd w:val="clear" w:color="000000" w:fill="FFFFFF"/>
          <w14:ligatures w14:val="standardContextual"/>
        </w:rPr>
        <w:t>on the right to non-discrimination in obtaining licences to operate lottery games.</w:t>
      </w:r>
    </w:p>
    <w:p w14:paraId="0283BCE4" w14:textId="77777777" w:rsidR="00591901" w:rsidRPr="000F0562" w:rsidRDefault="00591901" w:rsidP="00591901">
      <w:pPr>
        <w:suppressAutoHyphens w:val="0"/>
        <w:spacing w:after="160" w:line="252" w:lineRule="auto"/>
        <w:ind w:left="1138" w:right="1138"/>
        <w:jc w:val="both"/>
        <w:rPr>
          <w:rStyle w:val="FootnoteReference"/>
        </w:rPr>
      </w:pPr>
      <w:r w:rsidRPr="00C73CF1">
        <w:rPr>
          <w:rFonts w:eastAsia="Calibri"/>
          <w:color w:val="000000"/>
        </w:rPr>
        <w:t>8.</w:t>
      </w:r>
      <w:r w:rsidRPr="00C73CF1">
        <w:rPr>
          <w:rFonts w:eastAsia="Calibri"/>
        </w:rPr>
        <w:tab/>
      </w:r>
      <w:r w:rsidRPr="00C73CF1">
        <w:rPr>
          <w:rFonts w:eastAsia="Calibri"/>
          <w:color w:val="000000"/>
        </w:rPr>
        <w:t xml:space="preserve">The Committee </w:t>
      </w:r>
      <w:bookmarkStart w:id="2" w:name="_Hlk175908090"/>
      <w:r w:rsidRPr="00C73CF1">
        <w:rPr>
          <w:rFonts w:eastAsia="Calibri"/>
          <w:color w:val="000000"/>
        </w:rPr>
        <w:t xml:space="preserve">adopted </w:t>
      </w:r>
      <w:r>
        <w:rPr>
          <w:rFonts w:eastAsia="Calibri"/>
          <w:color w:val="000000"/>
        </w:rPr>
        <w:t xml:space="preserve">its </w:t>
      </w:r>
      <w:r>
        <w:rPr>
          <w:rFonts w:eastAsia="Calibri"/>
          <w:shd w:val="clear" w:color="000000" w:fill="FFFFFF"/>
          <w14:ligatures w14:val="standardContextual"/>
        </w:rPr>
        <w:t>g</w:t>
      </w:r>
      <w:r w:rsidRPr="00C73CF1">
        <w:rPr>
          <w:rFonts w:eastAsia="Calibri"/>
          <w:shd w:val="clear" w:color="000000" w:fill="FFFFFF"/>
          <w14:ligatures w14:val="standardContextual"/>
        </w:rPr>
        <w:t>uidelines on third-party interventions with regard to communications submitted under the Optional Protocol to the Convention</w:t>
      </w:r>
      <w:bookmarkEnd w:id="2"/>
      <w:r w:rsidRPr="00C73CF1">
        <w:rPr>
          <w:rFonts w:eastAsia="Calibri"/>
          <w:shd w:val="clear" w:color="000000" w:fill="FFFFFF"/>
          <w14:ligatures w14:val="standardContextual"/>
        </w:rPr>
        <w:t>.</w:t>
      </w:r>
      <w:r w:rsidRPr="000F0562">
        <w:rPr>
          <w:rStyle w:val="FootnoteReference"/>
        </w:rPr>
        <w:footnoteReference w:id="10"/>
      </w:r>
    </w:p>
    <w:p w14:paraId="12F2170D" w14:textId="29641721" w:rsidR="00591901" w:rsidRPr="00C73CF1" w:rsidRDefault="00591901" w:rsidP="00591901">
      <w:pPr>
        <w:suppressAutoHyphens w:val="0"/>
        <w:spacing w:after="160" w:line="252" w:lineRule="auto"/>
        <w:ind w:left="1138" w:right="1138"/>
        <w:jc w:val="both"/>
        <w:rPr>
          <w:rFonts w:eastAsia="Calibri"/>
        </w:rPr>
      </w:pPr>
      <w:r w:rsidRPr="00C73CF1">
        <w:rPr>
          <w:rFonts w:eastAsia="Calibri"/>
        </w:rPr>
        <w:t>9.</w:t>
      </w:r>
      <w:r>
        <w:rPr>
          <w:rFonts w:eastAsia="Calibri"/>
        </w:rPr>
        <w:tab/>
      </w:r>
      <w:r w:rsidRPr="00C73CF1">
        <w:rPr>
          <w:rFonts w:eastAsia="Calibri"/>
          <w:color w:val="000000"/>
        </w:rPr>
        <w:t>The Views and decisions adopted by the Committee regarding the communications were transmitted to the parties as soon as possible and subsequently made available on the Official Document System</w:t>
      </w:r>
      <w:r w:rsidRPr="000F0562">
        <w:rPr>
          <w:rStyle w:val="FootnoteReference"/>
        </w:rPr>
        <w:footnoteReference w:id="11"/>
      </w:r>
      <w:r w:rsidRPr="000F0562">
        <w:rPr>
          <w:rStyle w:val="FootnoteReference"/>
        </w:rPr>
        <w:t xml:space="preserve"> </w:t>
      </w:r>
      <w:r w:rsidRPr="00C73CF1">
        <w:rPr>
          <w:rFonts w:eastAsia="Calibri"/>
          <w:color w:val="000000"/>
        </w:rPr>
        <w:t>and the Committee</w:t>
      </w:r>
      <w:r w:rsidR="000F0562">
        <w:rPr>
          <w:rFonts w:eastAsia="Calibri"/>
          <w:color w:val="000000"/>
        </w:rPr>
        <w:t>’</w:t>
      </w:r>
      <w:r w:rsidRPr="00C73CF1">
        <w:rPr>
          <w:rFonts w:eastAsia="Calibri"/>
          <w:color w:val="000000"/>
        </w:rPr>
        <w:t>s website. A summary of the Views and decisions adopted at the thirty-first session may be found in annex III to the present report.</w:t>
      </w:r>
      <w:r w:rsidRPr="00C73CF1">
        <w:rPr>
          <w:rFonts w:eastAsia="Calibri"/>
          <w:color w:val="000000"/>
          <w:sz w:val="22"/>
          <w:szCs w:val="22"/>
        </w:rPr>
        <w:t xml:space="preserve"> </w:t>
      </w:r>
    </w:p>
    <w:p w14:paraId="6C6B053F" w14:textId="77777777" w:rsidR="00591901" w:rsidRPr="00C73CF1" w:rsidRDefault="00591901" w:rsidP="00591901">
      <w:pPr>
        <w:suppressAutoHyphens w:val="0"/>
        <w:spacing w:after="120"/>
        <w:ind w:left="1138" w:right="1138"/>
        <w:jc w:val="both"/>
        <w:rPr>
          <w:rFonts w:eastAsia="Calibri"/>
          <w14:ligatures w14:val="standardContextual"/>
        </w:rPr>
      </w:pPr>
      <w:r w:rsidRPr="00C73CF1">
        <w:rPr>
          <w:rFonts w:eastAsia="Calibri"/>
          <w14:ligatures w14:val="standardContextual"/>
        </w:rPr>
        <w:t>10.</w:t>
      </w:r>
      <w:r w:rsidRPr="00C73CF1">
        <w:rPr>
          <w:rFonts w:eastAsia="Calibri"/>
          <w14:ligatures w14:val="standardContextual"/>
        </w:rPr>
        <w:tab/>
        <w:t>The Committee considered matters related to inquiry proceedings pursuant to articles 6 and 7 of the Optional Protocol.</w:t>
      </w:r>
    </w:p>
    <w:p w14:paraId="60B52338" w14:textId="77777777" w:rsidR="00591901" w:rsidRPr="00C73CF1" w:rsidRDefault="00591901" w:rsidP="00591901">
      <w:pPr>
        <w:pStyle w:val="HChG"/>
      </w:pPr>
      <w:r w:rsidRPr="00C73CF1">
        <w:tab/>
        <w:t>VII.</w:t>
      </w:r>
      <w:r w:rsidRPr="00C73CF1">
        <w:tab/>
        <w:t>Future sessions</w:t>
      </w:r>
    </w:p>
    <w:p w14:paraId="2014F363" w14:textId="77777777" w:rsidR="00591901" w:rsidRPr="00C73CF1" w:rsidRDefault="00591901" w:rsidP="00591901">
      <w:pPr>
        <w:pStyle w:val="SingleTxtG"/>
      </w:pPr>
      <w:bookmarkStart w:id="3" w:name="_Hlk113219885"/>
      <w:r w:rsidRPr="00C73CF1">
        <w:t>11.</w:t>
      </w:r>
      <w:r w:rsidRPr="00C73CF1">
        <w:tab/>
        <w:t>Subject to the availability of funding, the</w:t>
      </w:r>
      <w:r w:rsidRPr="00C73CF1">
        <w:rPr>
          <w:rFonts w:eastAsia="Times New Roman"/>
          <w:color w:val="000000"/>
          <w:spacing w:val="13"/>
          <w:bdr w:val="nil"/>
          <w:lang w:eastAsia="en-GB"/>
        </w:rPr>
        <w:t xml:space="preserve"> </w:t>
      </w:r>
      <w:r w:rsidRPr="00C73CF1">
        <w:rPr>
          <w:rFonts w:eastAsia="Times New Roman"/>
          <w:color w:val="000000"/>
          <w:bdr w:val="nil"/>
          <w:lang w:eastAsia="en-GB"/>
        </w:rPr>
        <w:t>thirty</w:t>
      </w:r>
      <w:r>
        <w:rPr>
          <w:rFonts w:eastAsia="Times New Roman"/>
          <w:color w:val="000000"/>
          <w:bdr w:val="nil"/>
          <w:lang w:eastAsia="en-GB"/>
        </w:rPr>
        <w:t>-</w:t>
      </w:r>
      <w:r w:rsidRPr="00C73CF1">
        <w:rPr>
          <w:rFonts w:eastAsia="Times New Roman"/>
          <w:color w:val="000000"/>
          <w:bdr w:val="nil"/>
          <w:lang w:eastAsia="en-GB"/>
        </w:rPr>
        <w:t>second session</w:t>
      </w:r>
      <w:r w:rsidRPr="00C73CF1">
        <w:rPr>
          <w:rFonts w:eastAsia="Times New Roman"/>
          <w:color w:val="000000"/>
          <w:spacing w:val="13"/>
          <w:bdr w:val="nil"/>
          <w:lang w:eastAsia="en-GB"/>
        </w:rPr>
        <w:t xml:space="preserve"> </w:t>
      </w:r>
      <w:r w:rsidRPr="00C73CF1">
        <w:rPr>
          <w:rFonts w:eastAsia="Times New Roman"/>
          <w:color w:val="000000"/>
          <w:bdr w:val="nil"/>
          <w:lang w:eastAsia="en-GB"/>
        </w:rPr>
        <w:t>of</w:t>
      </w:r>
      <w:r w:rsidRPr="00C73CF1">
        <w:rPr>
          <w:rFonts w:eastAsia="Times New Roman"/>
          <w:color w:val="000000"/>
          <w:spacing w:val="13"/>
          <w:bdr w:val="nil"/>
          <w:lang w:eastAsia="en-GB"/>
        </w:rPr>
        <w:t xml:space="preserve"> </w:t>
      </w:r>
      <w:r w:rsidRPr="00C73CF1">
        <w:rPr>
          <w:rFonts w:eastAsia="Times New Roman"/>
          <w:color w:val="000000"/>
          <w:bdr w:val="nil"/>
          <w:lang w:eastAsia="en-GB"/>
        </w:rPr>
        <w:t>the</w:t>
      </w:r>
      <w:r w:rsidRPr="00C73CF1">
        <w:rPr>
          <w:rFonts w:eastAsia="Times New Roman"/>
          <w:color w:val="000000"/>
          <w:spacing w:val="14"/>
          <w:bdr w:val="nil"/>
          <w:lang w:eastAsia="en-GB"/>
        </w:rPr>
        <w:t xml:space="preserve"> </w:t>
      </w:r>
      <w:r w:rsidRPr="00C73CF1">
        <w:rPr>
          <w:rFonts w:eastAsia="Times New Roman"/>
          <w:color w:val="000000"/>
          <w:bdr w:val="nil"/>
          <w:lang w:eastAsia="en-GB"/>
        </w:rPr>
        <w:t>Committee</w:t>
      </w:r>
      <w:r w:rsidRPr="00C73CF1">
        <w:rPr>
          <w:rFonts w:eastAsia="Times New Roman"/>
          <w:color w:val="000000"/>
          <w:spacing w:val="13"/>
          <w:bdr w:val="nil"/>
          <w:lang w:eastAsia="en-GB"/>
        </w:rPr>
        <w:t xml:space="preserve"> </w:t>
      </w:r>
      <w:r w:rsidRPr="00C73CF1">
        <w:rPr>
          <w:rFonts w:eastAsia="Times New Roman"/>
          <w:color w:val="000000"/>
          <w:bdr w:val="nil"/>
          <w:lang w:eastAsia="en-GB"/>
        </w:rPr>
        <w:t>is</w:t>
      </w:r>
      <w:r w:rsidRPr="00C73CF1">
        <w:rPr>
          <w:rFonts w:eastAsia="Times New Roman"/>
          <w:color w:val="000000"/>
          <w:spacing w:val="13"/>
          <w:bdr w:val="nil"/>
          <w:lang w:eastAsia="en-GB"/>
        </w:rPr>
        <w:t xml:space="preserve"> </w:t>
      </w:r>
      <w:r w:rsidRPr="00C73CF1">
        <w:rPr>
          <w:rFonts w:eastAsia="Times New Roman"/>
          <w:color w:val="000000"/>
          <w:bdr w:val="nil"/>
          <w:lang w:eastAsia="en-GB"/>
        </w:rPr>
        <w:t>provisionally</w:t>
      </w:r>
      <w:r w:rsidRPr="00C73CF1">
        <w:rPr>
          <w:rFonts w:eastAsia="Times New Roman"/>
          <w:color w:val="000000"/>
          <w:spacing w:val="13"/>
          <w:bdr w:val="nil"/>
          <w:lang w:eastAsia="en-GB"/>
        </w:rPr>
        <w:t xml:space="preserve"> </w:t>
      </w:r>
      <w:r w:rsidRPr="00C73CF1">
        <w:rPr>
          <w:rFonts w:eastAsia="Times New Roman"/>
          <w:color w:val="000000"/>
          <w:bdr w:val="nil"/>
          <w:lang w:eastAsia="en-GB"/>
        </w:rPr>
        <w:t>scheduled</w:t>
      </w:r>
      <w:r w:rsidRPr="00C73CF1">
        <w:rPr>
          <w:rFonts w:eastAsia="Times New Roman"/>
          <w:color w:val="000000"/>
          <w:spacing w:val="13"/>
          <w:bdr w:val="nil"/>
          <w:lang w:eastAsia="en-GB"/>
        </w:rPr>
        <w:t xml:space="preserve"> </w:t>
      </w:r>
      <w:r w:rsidRPr="00C73CF1">
        <w:rPr>
          <w:rFonts w:eastAsia="Times New Roman"/>
          <w:color w:val="000000"/>
          <w:bdr w:val="nil"/>
          <w:lang w:eastAsia="en-GB"/>
        </w:rPr>
        <w:t>to</w:t>
      </w:r>
      <w:r w:rsidRPr="00C73CF1">
        <w:rPr>
          <w:rFonts w:eastAsia="Times New Roman"/>
          <w:color w:val="000000"/>
          <w:spacing w:val="14"/>
          <w:bdr w:val="nil"/>
          <w:lang w:eastAsia="en-GB"/>
        </w:rPr>
        <w:t xml:space="preserve"> </w:t>
      </w:r>
      <w:r w:rsidRPr="00C73CF1">
        <w:rPr>
          <w:rFonts w:eastAsia="Times New Roman"/>
          <w:color w:val="000000"/>
          <w:bdr w:val="nil"/>
          <w:lang w:eastAsia="en-GB"/>
        </w:rPr>
        <w:t>be</w:t>
      </w:r>
      <w:r w:rsidRPr="00C73CF1">
        <w:rPr>
          <w:rFonts w:eastAsia="Times New Roman"/>
          <w:color w:val="000000"/>
          <w:spacing w:val="13"/>
          <w:bdr w:val="nil"/>
          <w:lang w:eastAsia="en-GB"/>
        </w:rPr>
        <w:t xml:space="preserve"> </w:t>
      </w:r>
      <w:r w:rsidRPr="00C73CF1">
        <w:rPr>
          <w:rFonts w:eastAsia="Times New Roman"/>
          <w:color w:val="000000"/>
          <w:bdr w:val="nil"/>
          <w:lang w:eastAsia="en-GB"/>
        </w:rPr>
        <w:t xml:space="preserve">held in Geneva from </w:t>
      </w:r>
      <w:bookmarkStart w:id="4" w:name="_Hlk175907166"/>
      <w:r w:rsidRPr="00C73CF1">
        <w:rPr>
          <w:rFonts w:eastAsia="Times New Roman"/>
          <w:color w:val="000000"/>
          <w:bdr w:val="nil"/>
          <w:lang w:eastAsia="en-GB"/>
        </w:rPr>
        <w:t xml:space="preserve">3 to 21 March 2025, and will be followed by the twentieth meeting of the pre-sessional working group, from </w:t>
      </w:r>
      <w:bookmarkEnd w:id="3"/>
      <w:r w:rsidRPr="00C73CF1">
        <w:rPr>
          <w:rFonts w:eastAsia="Times New Roman"/>
          <w:color w:val="000000"/>
          <w:bdr w:val="nil"/>
          <w:lang w:eastAsia="en-GB"/>
        </w:rPr>
        <w:t>24 to 28 March 2025.</w:t>
      </w:r>
      <w:bookmarkEnd w:id="4"/>
    </w:p>
    <w:p w14:paraId="5EC9E0D9" w14:textId="1E8DB046" w:rsidR="00591901" w:rsidRPr="00C73CF1" w:rsidRDefault="00591901" w:rsidP="00591901">
      <w:pPr>
        <w:pStyle w:val="HChG"/>
      </w:pPr>
      <w:r w:rsidRPr="00C73CF1">
        <w:tab/>
        <w:t>VIII.</w:t>
      </w:r>
      <w:r w:rsidRPr="00C73CF1">
        <w:tab/>
        <w:t>Accessibility of the Committee</w:t>
      </w:r>
      <w:r w:rsidR="000F0562">
        <w:t>’</w:t>
      </w:r>
      <w:r w:rsidRPr="00C73CF1">
        <w:t>s meetings</w:t>
      </w:r>
    </w:p>
    <w:p w14:paraId="01C3D468" w14:textId="77777777" w:rsidR="00591901" w:rsidRPr="00C73CF1" w:rsidRDefault="00591901" w:rsidP="00591901">
      <w:pPr>
        <w:pStyle w:val="SingleTxtG"/>
        <w:rPr>
          <w:rFonts w:eastAsia="Times New Roman"/>
          <w:color w:val="000000"/>
          <w:bdr w:val="nil"/>
          <w:lang w:eastAsia="en-GB"/>
        </w:rPr>
      </w:pPr>
      <w:r w:rsidRPr="00C73CF1">
        <w:rPr>
          <w:rFonts w:eastAsia="Times New Roman"/>
          <w:color w:val="000000"/>
          <w:bdr w:val="nil"/>
          <w:lang w:eastAsia="en-GB"/>
        </w:rPr>
        <w:t>12.</w:t>
      </w:r>
      <w:r w:rsidRPr="00C73CF1">
        <w:rPr>
          <w:rFonts w:eastAsia="Times New Roman"/>
          <w:color w:val="000000"/>
          <w:u w:color="000000"/>
          <w:bdr w:val="nil"/>
          <w:lang w:eastAsia="en-GB"/>
        </w:rPr>
        <w:tab/>
      </w:r>
      <w:r w:rsidRPr="00C73CF1">
        <w:rPr>
          <w:rFonts w:eastAsia="Times New Roman"/>
          <w:color w:val="000000"/>
          <w:bdr w:val="nil"/>
          <w:lang w:eastAsia="en-GB"/>
        </w:rPr>
        <w:t xml:space="preserve">The thirty-first session of the Committee was held in Geneva, with Committee members and delegations of States parties participating in person. In the dialogues with Ghana and Mauritius, the State </w:t>
      </w:r>
      <w:r>
        <w:rPr>
          <w:rFonts w:eastAsia="Times New Roman"/>
          <w:color w:val="000000"/>
          <w:bdr w:val="nil"/>
          <w:lang w:eastAsia="en-GB"/>
        </w:rPr>
        <w:t>p</w:t>
      </w:r>
      <w:r w:rsidRPr="00C73CF1">
        <w:rPr>
          <w:rFonts w:eastAsia="Times New Roman"/>
          <w:color w:val="000000"/>
          <w:bdr w:val="nil"/>
          <w:lang w:eastAsia="en-GB"/>
        </w:rPr>
        <w:t xml:space="preserve">arties requested </w:t>
      </w:r>
      <w:r>
        <w:rPr>
          <w:rFonts w:eastAsia="Times New Roman"/>
          <w:color w:val="000000"/>
          <w:bdr w:val="nil"/>
          <w:lang w:eastAsia="en-GB"/>
        </w:rPr>
        <w:t>that</w:t>
      </w:r>
      <w:r w:rsidRPr="00C73CF1">
        <w:rPr>
          <w:rFonts w:eastAsia="Times New Roman"/>
          <w:color w:val="000000"/>
          <w:bdr w:val="nil"/>
          <w:lang w:eastAsia="en-GB"/>
        </w:rPr>
        <w:t xml:space="preserve"> some members of the</w:t>
      </w:r>
      <w:r>
        <w:rPr>
          <w:rFonts w:eastAsia="Times New Roman"/>
          <w:color w:val="000000"/>
          <w:bdr w:val="nil"/>
          <w:lang w:eastAsia="en-GB"/>
        </w:rPr>
        <w:t>ir</w:t>
      </w:r>
      <w:r w:rsidRPr="00C73CF1">
        <w:rPr>
          <w:rFonts w:eastAsia="Times New Roman"/>
          <w:color w:val="000000"/>
          <w:bdr w:val="nil"/>
          <w:lang w:eastAsia="en-GB"/>
        </w:rPr>
        <w:t xml:space="preserve"> delegation</w:t>
      </w:r>
      <w:r>
        <w:rPr>
          <w:rFonts w:eastAsia="Times New Roman"/>
          <w:color w:val="000000"/>
          <w:bdr w:val="nil"/>
          <w:lang w:eastAsia="en-GB"/>
        </w:rPr>
        <w:t>s participate online</w:t>
      </w:r>
      <w:r w:rsidRPr="00C73CF1">
        <w:rPr>
          <w:rFonts w:eastAsia="Times New Roman"/>
          <w:color w:val="000000"/>
          <w:bdr w:val="nil"/>
          <w:lang w:eastAsia="en-GB"/>
        </w:rPr>
        <w:t xml:space="preserve">, which was granted by </w:t>
      </w:r>
      <w:r>
        <w:rPr>
          <w:rFonts w:eastAsia="Times New Roman"/>
          <w:color w:val="000000"/>
          <w:bdr w:val="nil"/>
          <w:lang w:eastAsia="en-GB"/>
        </w:rPr>
        <w:t xml:space="preserve">the </w:t>
      </w:r>
      <w:r w:rsidRPr="00C73CF1">
        <w:rPr>
          <w:rFonts w:eastAsia="Times New Roman"/>
          <w:color w:val="000000"/>
          <w:bdr w:val="nil"/>
          <w:lang w:eastAsia="en-GB"/>
        </w:rPr>
        <w:t>conference services. Stakeholders including organizations of persons with disabilities, civil society organizations, national human</w:t>
      </w:r>
      <w:r w:rsidRPr="00C73CF1">
        <w:rPr>
          <w:rFonts w:eastAsia="Times New Roman"/>
          <w:color w:val="000000"/>
          <w:spacing w:val="51"/>
          <w:bdr w:val="nil"/>
          <w:lang w:eastAsia="en-GB"/>
        </w:rPr>
        <w:t xml:space="preserve"> </w:t>
      </w:r>
      <w:r w:rsidRPr="00C73CF1">
        <w:rPr>
          <w:rFonts w:eastAsia="Times New Roman"/>
          <w:color w:val="000000"/>
          <w:bdr w:val="nil"/>
          <w:lang w:eastAsia="en-GB"/>
        </w:rPr>
        <w:t xml:space="preserve">rights institutions, specialized agencies and other United Nations bodies participated in person. </w:t>
      </w:r>
      <w:r w:rsidRPr="00C73CF1">
        <w:rPr>
          <w:rFonts w:eastAsia="Times New Roman"/>
          <w:color w:val="000000"/>
          <w:bdr w:val="nil"/>
          <w:lang w:eastAsia="en-GB"/>
        </w:rPr>
        <w:lastRenderedPageBreak/>
        <w:t>International Sign interpretation, remote national sign language interpretation (during the dialogue</w:t>
      </w:r>
      <w:r>
        <w:rPr>
          <w:rFonts w:eastAsia="Times New Roman"/>
          <w:color w:val="000000"/>
          <w:bdr w:val="nil"/>
          <w:lang w:eastAsia="en-GB"/>
        </w:rPr>
        <w:t>s</w:t>
      </w:r>
      <w:r w:rsidRPr="00C73CF1">
        <w:rPr>
          <w:rFonts w:eastAsia="Times New Roman"/>
          <w:color w:val="000000"/>
          <w:bdr w:val="nil"/>
          <w:lang w:eastAsia="en-GB"/>
        </w:rPr>
        <w:t xml:space="preserve"> with Burkina Faso and Ghana) and remote captioning were available. Public meetings were webcast. </w:t>
      </w:r>
      <w:r w:rsidRPr="00C73CF1">
        <w:rPr>
          <w:rFonts w:eastAsia="Times New Roman"/>
          <w:bdr w:val="nil"/>
          <w:lang w:eastAsia="en-GB"/>
        </w:rPr>
        <w:t xml:space="preserve">No plain language or Easy Read versions of documents were available during the session. </w:t>
      </w:r>
      <w:r w:rsidRPr="00C73CF1">
        <w:rPr>
          <w:rFonts w:eastAsia="Times New Roman"/>
          <w:color w:val="000000"/>
          <w:bdr w:val="nil"/>
          <w:lang w:eastAsia="en-GB"/>
        </w:rPr>
        <w:t>The software used for the registration of participants for the meeting was not fully accessible for participants with visual impairments. Current protocols for vehicles entering the Palais des Nations continued to pose barriers for participants with disabilities who required accessible transportation. Reasonable accommodation, including in the organization of travel for Committee members with disabilities</w:t>
      </w:r>
      <w:r>
        <w:rPr>
          <w:rFonts w:eastAsia="Times New Roman"/>
          <w:color w:val="000000"/>
          <w:bdr w:val="nil"/>
          <w:lang w:eastAsia="en-GB"/>
        </w:rPr>
        <w:t>,</w:t>
      </w:r>
      <w:r w:rsidRPr="00C73CF1">
        <w:rPr>
          <w:rFonts w:eastAsia="Times New Roman"/>
          <w:color w:val="000000"/>
          <w:bdr w:val="nil"/>
          <w:lang w:eastAsia="en-GB"/>
        </w:rPr>
        <w:t xml:space="preserve"> continued to be developed. </w:t>
      </w:r>
    </w:p>
    <w:p w14:paraId="50B838A7" w14:textId="77777777" w:rsidR="00591901" w:rsidRPr="00C73CF1" w:rsidRDefault="00591901" w:rsidP="00591901">
      <w:pPr>
        <w:pStyle w:val="HChG"/>
      </w:pPr>
      <w:r w:rsidRPr="00C73CF1">
        <w:tab/>
        <w:t>IX.</w:t>
      </w:r>
      <w:r w:rsidRPr="00C73CF1">
        <w:tab/>
        <w:t>Cooperation with relevant bodies</w:t>
      </w:r>
    </w:p>
    <w:p w14:paraId="46623237" w14:textId="77777777" w:rsidR="00591901" w:rsidRPr="00C73CF1" w:rsidRDefault="00591901" w:rsidP="00591901">
      <w:pPr>
        <w:pStyle w:val="H1G"/>
      </w:pPr>
      <w:r w:rsidRPr="00C73CF1">
        <w:tab/>
        <w:t>A.</w:t>
      </w:r>
      <w:r w:rsidRPr="00C73CF1">
        <w:tab/>
        <w:t>Cooperation with United Nations organs and specialized agencies</w:t>
      </w:r>
    </w:p>
    <w:p w14:paraId="402D46C4" w14:textId="4D04E947" w:rsidR="00591901" w:rsidRPr="00C73CF1" w:rsidRDefault="00591901" w:rsidP="00591901">
      <w:pPr>
        <w:pStyle w:val="SingleTxtG"/>
        <w:rPr>
          <w:rFonts w:eastAsia="Times New Roman"/>
          <w:color w:val="000000"/>
          <w:bdr w:val="nil"/>
          <w:lang w:eastAsia="en-GB"/>
        </w:rPr>
      </w:pPr>
      <w:r w:rsidRPr="00C73CF1">
        <w:t>13.</w:t>
      </w:r>
      <w:r w:rsidRPr="00C73CF1">
        <w:tab/>
      </w:r>
      <w:r w:rsidRPr="00C73CF1">
        <w:rPr>
          <w:rFonts w:eastAsia="Times New Roman"/>
          <w:color w:val="000000"/>
          <w:bdr w:val="nil"/>
          <w:lang w:eastAsia="en-GB"/>
        </w:rPr>
        <w:t>At</w:t>
      </w:r>
      <w:r w:rsidRPr="00C73CF1">
        <w:rPr>
          <w:rFonts w:eastAsia="Times New Roman"/>
          <w:color w:val="000000"/>
          <w:spacing w:val="47"/>
          <w:bdr w:val="nil"/>
          <w:lang w:eastAsia="en-GB"/>
        </w:rPr>
        <w:t xml:space="preserve"> </w:t>
      </w:r>
      <w:r w:rsidRPr="00C73CF1">
        <w:rPr>
          <w:rFonts w:eastAsia="Times New Roman"/>
          <w:color w:val="000000"/>
          <w:bdr w:val="nil"/>
          <w:lang w:eastAsia="en-GB"/>
        </w:rPr>
        <w:t>the</w:t>
      </w:r>
      <w:r w:rsidRPr="00C73CF1">
        <w:rPr>
          <w:rFonts w:eastAsia="Times New Roman"/>
          <w:color w:val="000000"/>
          <w:spacing w:val="47"/>
          <w:bdr w:val="nil"/>
          <w:lang w:eastAsia="en-GB"/>
        </w:rPr>
        <w:t xml:space="preserve"> </w:t>
      </w:r>
      <w:r w:rsidRPr="00C73CF1">
        <w:rPr>
          <w:rFonts w:eastAsia="Times New Roman"/>
          <w:color w:val="000000"/>
          <w:bdr w:val="nil"/>
          <w:lang w:eastAsia="en-GB"/>
        </w:rPr>
        <w:t>opening</w:t>
      </w:r>
      <w:r w:rsidRPr="00C73CF1">
        <w:rPr>
          <w:rFonts w:eastAsia="Times New Roman"/>
          <w:color w:val="000000"/>
          <w:spacing w:val="47"/>
          <w:bdr w:val="nil"/>
          <w:lang w:eastAsia="en-GB"/>
        </w:rPr>
        <w:t xml:space="preserve"> </w:t>
      </w:r>
      <w:r w:rsidRPr="00C73CF1">
        <w:rPr>
          <w:rFonts w:eastAsia="Times New Roman"/>
          <w:color w:val="000000"/>
          <w:bdr w:val="nil"/>
          <w:lang w:eastAsia="en-GB"/>
        </w:rPr>
        <w:t>meeting</w:t>
      </w:r>
      <w:r w:rsidRPr="00C73CF1">
        <w:rPr>
          <w:rFonts w:eastAsia="Times New Roman"/>
          <w:color w:val="000000"/>
          <w:spacing w:val="49"/>
          <w:bdr w:val="nil"/>
          <w:lang w:eastAsia="en-GB"/>
        </w:rPr>
        <w:t xml:space="preserve"> </w:t>
      </w:r>
      <w:r w:rsidRPr="00C73CF1">
        <w:rPr>
          <w:rFonts w:eastAsia="Times New Roman"/>
          <w:color w:val="000000"/>
          <w:bdr w:val="nil"/>
          <w:lang w:eastAsia="en-GB"/>
        </w:rPr>
        <w:t>of</w:t>
      </w:r>
      <w:r w:rsidRPr="00C73CF1">
        <w:rPr>
          <w:rFonts w:eastAsia="Times New Roman"/>
          <w:color w:val="000000"/>
          <w:spacing w:val="47"/>
          <w:bdr w:val="nil"/>
          <w:lang w:eastAsia="en-GB"/>
        </w:rPr>
        <w:t xml:space="preserve"> </w:t>
      </w:r>
      <w:r w:rsidRPr="00C73CF1">
        <w:rPr>
          <w:rFonts w:eastAsia="Times New Roman"/>
          <w:color w:val="000000"/>
          <w:bdr w:val="nil"/>
          <w:lang w:eastAsia="en-GB"/>
        </w:rPr>
        <w:t>the</w:t>
      </w:r>
      <w:r w:rsidRPr="00C73CF1">
        <w:rPr>
          <w:rFonts w:eastAsia="Times New Roman"/>
          <w:color w:val="000000"/>
          <w:spacing w:val="47"/>
          <w:bdr w:val="nil"/>
          <w:lang w:eastAsia="en-GB"/>
        </w:rPr>
        <w:t xml:space="preserve"> </w:t>
      </w:r>
      <w:r w:rsidRPr="00C73CF1">
        <w:rPr>
          <w:rFonts w:eastAsia="Times New Roman"/>
          <w:color w:val="000000"/>
          <w:bdr w:val="nil"/>
          <w:lang w:eastAsia="en-GB"/>
        </w:rPr>
        <w:t>session, the Permanent Representative of New Zealand</w:t>
      </w:r>
      <w:r w:rsidRPr="00502609">
        <w:t xml:space="preserve"> </w:t>
      </w:r>
      <w:bookmarkStart w:id="5" w:name="_Hlk179294484"/>
      <w:r w:rsidRPr="00502609">
        <w:rPr>
          <w:rFonts w:eastAsia="Times New Roman"/>
          <w:color w:val="000000"/>
          <w:bdr w:val="nil"/>
          <w:lang w:eastAsia="en-GB"/>
        </w:rPr>
        <w:t>to the United Nations Office and other international organizations in Geneva</w:t>
      </w:r>
      <w:r w:rsidRPr="00C73CF1">
        <w:rPr>
          <w:rFonts w:eastAsia="Times New Roman"/>
          <w:color w:val="000000"/>
          <w:bdr w:val="nil"/>
          <w:lang w:eastAsia="en-GB"/>
        </w:rPr>
        <w:t xml:space="preserve"> </w:t>
      </w:r>
      <w:bookmarkEnd w:id="5"/>
      <w:r w:rsidRPr="00C73CF1">
        <w:rPr>
          <w:rFonts w:eastAsia="Times New Roman"/>
          <w:color w:val="000000"/>
          <w:bdr w:val="nil"/>
          <w:lang w:eastAsia="en-GB"/>
        </w:rPr>
        <w:t xml:space="preserve">and a member of the Committee delivered statements in remembrance of Sir Robert Martin, member of the Committee </w:t>
      </w:r>
      <w:r>
        <w:rPr>
          <w:rFonts w:eastAsia="Times New Roman"/>
          <w:color w:val="000000"/>
          <w:bdr w:val="nil"/>
          <w:lang w:eastAsia="en-GB"/>
        </w:rPr>
        <w:t>and</w:t>
      </w:r>
      <w:r w:rsidRPr="00C73CF1">
        <w:rPr>
          <w:rFonts w:eastAsia="Times New Roman"/>
          <w:color w:val="000000"/>
          <w:bdr w:val="nil"/>
          <w:lang w:eastAsia="en-GB"/>
        </w:rPr>
        <w:t xml:space="preserve"> the first person with an intellectual disability </w:t>
      </w:r>
      <w:r>
        <w:rPr>
          <w:rFonts w:eastAsia="Times New Roman"/>
          <w:color w:val="000000"/>
          <w:bdr w:val="nil"/>
          <w:lang w:eastAsia="en-GB"/>
        </w:rPr>
        <w:t xml:space="preserve">to have been </w:t>
      </w:r>
      <w:r w:rsidRPr="00C73CF1">
        <w:rPr>
          <w:rFonts w:eastAsia="Times New Roman"/>
          <w:color w:val="000000"/>
          <w:bdr w:val="nil"/>
          <w:lang w:eastAsia="en-GB"/>
        </w:rPr>
        <w:t>elected as a member of a treaty body</w:t>
      </w:r>
      <w:r>
        <w:rPr>
          <w:rFonts w:eastAsia="Times New Roman"/>
          <w:color w:val="000000"/>
          <w:bdr w:val="nil"/>
          <w:lang w:eastAsia="en-GB"/>
        </w:rPr>
        <w:t xml:space="preserve">, who had </w:t>
      </w:r>
      <w:r w:rsidRPr="00C73CF1">
        <w:rPr>
          <w:rFonts w:eastAsia="Times New Roman"/>
          <w:color w:val="000000"/>
          <w:bdr w:val="nil"/>
          <w:lang w:eastAsia="en-GB"/>
        </w:rPr>
        <w:t xml:space="preserve">passed away on 30 April 2024. </w:t>
      </w:r>
      <w:r>
        <w:rPr>
          <w:rFonts w:eastAsia="Times New Roman"/>
          <w:color w:val="000000"/>
          <w:bdr w:val="nil"/>
          <w:lang w:eastAsia="en-GB"/>
        </w:rPr>
        <w:t>T</w:t>
      </w:r>
      <w:r w:rsidRPr="00C73CF1">
        <w:rPr>
          <w:rFonts w:eastAsia="Times New Roman"/>
          <w:color w:val="000000"/>
          <w:bdr w:val="nil"/>
          <w:lang w:eastAsia="en-GB"/>
        </w:rPr>
        <w:t>he Committee heard statements by the Permanent Representative of Honduras</w:t>
      </w:r>
      <w:r w:rsidRPr="00F83599">
        <w:t xml:space="preserve"> </w:t>
      </w:r>
      <w:r w:rsidRPr="00F83599">
        <w:rPr>
          <w:rFonts w:eastAsia="Times New Roman"/>
          <w:color w:val="000000"/>
          <w:bdr w:val="nil"/>
          <w:lang w:eastAsia="en-GB"/>
        </w:rPr>
        <w:t>to the United Nations Office and other international organizations in Geneva</w:t>
      </w:r>
      <w:r w:rsidRPr="00C73CF1">
        <w:rPr>
          <w:rFonts w:eastAsia="Times New Roman"/>
          <w:color w:val="000000"/>
          <w:bdr w:val="nil"/>
          <w:lang w:eastAsia="en-GB"/>
        </w:rPr>
        <w:t xml:space="preserve"> and Chair of the task force on </w:t>
      </w:r>
      <w:r w:rsidRPr="00F83599">
        <w:rPr>
          <w:rFonts w:eastAsia="Times New Roman"/>
          <w:color w:val="000000"/>
          <w:bdr w:val="nil"/>
          <w:lang w:eastAsia="en-GB"/>
        </w:rPr>
        <w:t xml:space="preserve">secretariat services, </w:t>
      </w:r>
      <w:r w:rsidRPr="00C73CF1">
        <w:rPr>
          <w:rFonts w:eastAsia="Times New Roman"/>
          <w:color w:val="000000"/>
          <w:bdr w:val="nil"/>
          <w:lang w:eastAsia="en-GB"/>
        </w:rPr>
        <w:t>accessibility</w:t>
      </w:r>
      <w:r>
        <w:rPr>
          <w:rFonts w:eastAsia="Times New Roman"/>
          <w:color w:val="000000"/>
          <w:bdr w:val="nil"/>
          <w:lang w:eastAsia="en-GB"/>
        </w:rPr>
        <w:t xml:space="preserve"> </w:t>
      </w:r>
      <w:r w:rsidRPr="00F83599">
        <w:rPr>
          <w:rFonts w:eastAsia="Times New Roman"/>
          <w:color w:val="000000"/>
          <w:bdr w:val="nil"/>
          <w:lang w:eastAsia="en-GB"/>
        </w:rPr>
        <w:t xml:space="preserve">for persons with disabilities and use of information technology </w:t>
      </w:r>
      <w:r>
        <w:rPr>
          <w:rFonts w:eastAsia="Times New Roman"/>
          <w:color w:val="000000"/>
          <w:bdr w:val="nil"/>
          <w:lang w:eastAsia="en-GB"/>
        </w:rPr>
        <w:t xml:space="preserve">of the </w:t>
      </w:r>
      <w:r w:rsidRPr="00C73CF1">
        <w:rPr>
          <w:rFonts w:eastAsia="Times New Roman"/>
          <w:color w:val="000000"/>
          <w:bdr w:val="nil"/>
          <w:lang w:eastAsia="en-GB"/>
        </w:rPr>
        <w:t>Human Rights Council, the Chair of the Subcommittee on the Prevention of Torture</w:t>
      </w:r>
      <w:r w:rsidRPr="00F83599">
        <w:t xml:space="preserve"> </w:t>
      </w:r>
      <w:r w:rsidRPr="00F83599">
        <w:rPr>
          <w:rFonts w:eastAsia="Times New Roman"/>
          <w:color w:val="000000"/>
          <w:bdr w:val="nil"/>
          <w:lang w:eastAsia="en-GB"/>
        </w:rPr>
        <w:t>and Other Cruel, Inhuman or Degrading Treatment or Punishment</w:t>
      </w:r>
      <w:r w:rsidRPr="00C73CF1">
        <w:rPr>
          <w:rFonts w:eastAsia="Times New Roman"/>
          <w:color w:val="000000"/>
          <w:bdr w:val="nil"/>
          <w:lang w:eastAsia="en-GB"/>
        </w:rPr>
        <w:t xml:space="preserve"> and a representative of the United Nations High Commissioner for Refugees. The Committee</w:t>
      </w:r>
      <w:r w:rsidR="000F0562">
        <w:rPr>
          <w:rFonts w:eastAsia="Times New Roman"/>
          <w:color w:val="000000"/>
          <w:bdr w:val="nil"/>
          <w:lang w:eastAsia="en-GB"/>
        </w:rPr>
        <w:t>’</w:t>
      </w:r>
      <w:r w:rsidRPr="00C73CF1">
        <w:rPr>
          <w:rFonts w:eastAsia="Times New Roman"/>
          <w:color w:val="000000"/>
          <w:bdr w:val="nil"/>
          <w:lang w:eastAsia="en-GB"/>
        </w:rPr>
        <w:t xml:space="preserve">s </w:t>
      </w:r>
      <w:r>
        <w:rPr>
          <w:rFonts w:eastAsia="Times New Roman"/>
          <w:color w:val="000000"/>
          <w:bdr w:val="nil"/>
          <w:lang w:eastAsia="en-GB"/>
        </w:rPr>
        <w:t>w</w:t>
      </w:r>
      <w:r w:rsidRPr="00C73CF1">
        <w:rPr>
          <w:rFonts w:eastAsia="Times New Roman"/>
          <w:color w:val="000000"/>
          <w:bdr w:val="nil"/>
          <w:lang w:eastAsia="en-GB"/>
        </w:rPr>
        <w:t xml:space="preserve">orking </w:t>
      </w:r>
      <w:r>
        <w:rPr>
          <w:rFonts w:eastAsia="Times New Roman"/>
          <w:color w:val="000000"/>
          <w:bdr w:val="nil"/>
          <w:lang w:eastAsia="en-GB"/>
        </w:rPr>
        <w:t>g</w:t>
      </w:r>
      <w:r w:rsidRPr="00C73CF1">
        <w:rPr>
          <w:rFonts w:eastAsia="Times New Roman"/>
          <w:color w:val="000000"/>
          <w:bdr w:val="nil"/>
          <w:lang w:eastAsia="en-GB"/>
        </w:rPr>
        <w:t xml:space="preserve">roup on </w:t>
      </w:r>
      <w:r>
        <w:rPr>
          <w:rFonts w:eastAsia="Times New Roman"/>
          <w:color w:val="000000"/>
          <w:bdr w:val="nil"/>
          <w:lang w:eastAsia="en-GB"/>
        </w:rPr>
        <w:t>w</w:t>
      </w:r>
      <w:r w:rsidRPr="00C73CF1">
        <w:rPr>
          <w:rFonts w:eastAsia="Times New Roman"/>
          <w:color w:val="000000"/>
          <w:bdr w:val="nil"/>
          <w:lang w:eastAsia="en-GB"/>
        </w:rPr>
        <w:t xml:space="preserve">omen and </w:t>
      </w:r>
      <w:r>
        <w:rPr>
          <w:rFonts w:eastAsia="Times New Roman"/>
          <w:color w:val="000000"/>
          <w:bdr w:val="nil"/>
          <w:lang w:eastAsia="en-GB"/>
        </w:rPr>
        <w:t>g</w:t>
      </w:r>
      <w:r w:rsidRPr="00C73CF1">
        <w:rPr>
          <w:rFonts w:eastAsia="Times New Roman"/>
          <w:color w:val="000000"/>
          <w:bdr w:val="nil"/>
          <w:lang w:eastAsia="en-GB"/>
        </w:rPr>
        <w:t xml:space="preserve">irls with </w:t>
      </w:r>
      <w:r>
        <w:rPr>
          <w:rFonts w:eastAsia="Times New Roman"/>
          <w:color w:val="000000"/>
          <w:bdr w:val="nil"/>
          <w:lang w:eastAsia="en-GB"/>
        </w:rPr>
        <w:t>d</w:t>
      </w:r>
      <w:r w:rsidRPr="00C73CF1">
        <w:rPr>
          <w:rFonts w:eastAsia="Times New Roman"/>
          <w:color w:val="000000"/>
          <w:bdr w:val="nil"/>
          <w:lang w:eastAsia="en-GB"/>
        </w:rPr>
        <w:t xml:space="preserve">isabilities met in private with representatives of </w:t>
      </w:r>
      <w:r>
        <w:rPr>
          <w:rFonts w:eastAsia="Times New Roman"/>
          <w:color w:val="000000"/>
          <w:bdr w:val="nil"/>
          <w:lang w:eastAsia="en-GB"/>
        </w:rPr>
        <w:t xml:space="preserve">the </w:t>
      </w:r>
      <w:r w:rsidRPr="00F83599">
        <w:rPr>
          <w:rFonts w:eastAsia="Times New Roman"/>
          <w:color w:val="000000"/>
          <w:bdr w:val="nil"/>
          <w:lang w:eastAsia="en-GB"/>
        </w:rPr>
        <w:t xml:space="preserve">United Nations Entity for Gender Equality and the Empowerment of Women </w:t>
      </w:r>
      <w:r>
        <w:rPr>
          <w:rFonts w:eastAsia="Times New Roman"/>
          <w:color w:val="000000"/>
          <w:bdr w:val="nil"/>
          <w:lang w:eastAsia="en-GB"/>
        </w:rPr>
        <w:t>(</w:t>
      </w:r>
      <w:r w:rsidRPr="00C73CF1">
        <w:rPr>
          <w:rFonts w:eastAsia="Times New Roman"/>
          <w:color w:val="000000"/>
          <w:bdr w:val="nil"/>
          <w:lang w:eastAsia="en-GB"/>
        </w:rPr>
        <w:t>UN</w:t>
      </w:r>
      <w:r>
        <w:rPr>
          <w:rFonts w:eastAsia="Times New Roman"/>
          <w:color w:val="000000"/>
          <w:bdr w:val="nil"/>
          <w:lang w:eastAsia="en-GB"/>
        </w:rPr>
        <w:t>-</w:t>
      </w:r>
      <w:r w:rsidRPr="00C73CF1">
        <w:rPr>
          <w:rFonts w:eastAsia="Times New Roman"/>
          <w:color w:val="000000"/>
          <w:bdr w:val="nil"/>
          <w:lang w:eastAsia="en-GB"/>
        </w:rPr>
        <w:t>Women</w:t>
      </w:r>
      <w:r>
        <w:rPr>
          <w:rFonts w:eastAsia="Times New Roman"/>
          <w:color w:val="000000"/>
          <w:bdr w:val="nil"/>
          <w:lang w:eastAsia="en-GB"/>
        </w:rPr>
        <w:t>)</w:t>
      </w:r>
      <w:r w:rsidRPr="00C73CF1">
        <w:rPr>
          <w:rFonts w:eastAsia="Times New Roman"/>
          <w:color w:val="000000"/>
          <w:bdr w:val="nil"/>
          <w:lang w:eastAsia="en-GB"/>
        </w:rPr>
        <w:t xml:space="preserve">. At the closing meeting of the session, the Committee was addressed by the Chair of the Committee on the Protection of the Rights of All Migrant Workers and Members of Their Families. </w:t>
      </w:r>
    </w:p>
    <w:p w14:paraId="24009E6D" w14:textId="77777777" w:rsidR="00591901" w:rsidRPr="00C73CF1" w:rsidRDefault="00591901" w:rsidP="00591901">
      <w:pPr>
        <w:pStyle w:val="H1G"/>
      </w:pPr>
      <w:r w:rsidRPr="00C73CF1">
        <w:tab/>
        <w:t>B.</w:t>
      </w:r>
      <w:r w:rsidRPr="00C73CF1">
        <w:tab/>
        <w:t>Cooperation with non-governmental organizations and other bodies</w:t>
      </w:r>
    </w:p>
    <w:p w14:paraId="46CA918A" w14:textId="77777777" w:rsidR="00591901" w:rsidRPr="00C73CF1" w:rsidRDefault="00591901" w:rsidP="00591901">
      <w:pPr>
        <w:pStyle w:val="SingleTxtG"/>
      </w:pPr>
      <w:bookmarkStart w:id="6" w:name="_Hlk116468294"/>
      <w:r w:rsidRPr="00C73CF1">
        <w:t>14.</w:t>
      </w:r>
      <w:r w:rsidRPr="00C73CF1">
        <w:tab/>
        <w:t xml:space="preserve">At the opening meeting of the session, the Committee was addressed </w:t>
      </w:r>
      <w:bookmarkEnd w:id="6"/>
      <w:r w:rsidRPr="00C73CF1">
        <w:t>by representatives of the International Disability Alliance</w:t>
      </w:r>
      <w:r>
        <w:t>;</w:t>
      </w:r>
      <w:r w:rsidRPr="00C73CF1">
        <w:t xml:space="preserve"> the Cente</w:t>
      </w:r>
      <w:r>
        <w:t>r</w:t>
      </w:r>
      <w:r w:rsidRPr="00C73CF1">
        <w:t xml:space="preserve"> for the Human Rights of </w:t>
      </w:r>
      <w:r>
        <w:t>U</w:t>
      </w:r>
      <w:r w:rsidRPr="00C73CF1">
        <w:t xml:space="preserve">sers and </w:t>
      </w:r>
      <w:r>
        <w:t>S</w:t>
      </w:r>
      <w:r w:rsidRPr="00C73CF1">
        <w:t>urvivors of Psychiatry</w:t>
      </w:r>
      <w:r>
        <w:t>;</w:t>
      </w:r>
      <w:r w:rsidRPr="00C73CF1">
        <w:t xml:space="preserve"> the Comunidad Mexicana de Hipoacúsicos</w:t>
      </w:r>
      <w:r>
        <w:t>;</w:t>
      </w:r>
      <w:r w:rsidRPr="00C73CF1">
        <w:t xml:space="preserve"> the Centro Morpho</w:t>
      </w:r>
      <w:r>
        <w:t>,</w:t>
      </w:r>
      <w:r w:rsidRPr="00C73CF1">
        <w:t xml:space="preserve"> of Costa Rica</w:t>
      </w:r>
      <w:r>
        <w:t>;</w:t>
      </w:r>
      <w:r w:rsidRPr="00C73CF1">
        <w:t xml:space="preserve"> the </w:t>
      </w:r>
      <w:r>
        <w:t>j</w:t>
      </w:r>
      <w:r w:rsidRPr="00C73CF1">
        <w:t xml:space="preserve">udicial </w:t>
      </w:r>
      <w:r>
        <w:t>authorities</w:t>
      </w:r>
      <w:r w:rsidRPr="00C73CF1">
        <w:t xml:space="preserve"> of the Province of Buenos Aires</w:t>
      </w:r>
      <w:r>
        <w:t>;</w:t>
      </w:r>
      <w:r w:rsidRPr="00C73CF1">
        <w:t xml:space="preserve"> and Privacy International. </w:t>
      </w:r>
    </w:p>
    <w:p w14:paraId="643E4215" w14:textId="77777777" w:rsidR="00591901" w:rsidRPr="00C73CF1" w:rsidRDefault="00591901" w:rsidP="00591901">
      <w:pPr>
        <w:pStyle w:val="SingleTxtG"/>
      </w:pPr>
      <w:r w:rsidRPr="00C73CF1">
        <w:t>15.</w:t>
      </w:r>
      <w:r w:rsidRPr="00C73CF1">
        <w:tab/>
        <w:t xml:space="preserve">On 28 August 2024, the Committee held a public meeting to commemorate the second anniversary of </w:t>
      </w:r>
      <w:r>
        <w:t>its</w:t>
      </w:r>
      <w:r w:rsidRPr="00C73CF1">
        <w:t xml:space="preserve"> adoption</w:t>
      </w:r>
      <w:r>
        <w:t>, in 2022,</w:t>
      </w:r>
      <w:r w:rsidRPr="00C73CF1">
        <w:t xml:space="preserve"> of </w:t>
      </w:r>
      <w:r>
        <w:t>its</w:t>
      </w:r>
      <w:r w:rsidRPr="00C73CF1">
        <w:t xml:space="preserve"> </w:t>
      </w:r>
      <w:r>
        <w:t>g</w:t>
      </w:r>
      <w:r w:rsidRPr="00C73CF1">
        <w:t xml:space="preserve">uidelines on </w:t>
      </w:r>
      <w:r>
        <w:t>d</w:t>
      </w:r>
      <w:r w:rsidRPr="00C73CF1">
        <w:t>einstitutionalization, includ</w:t>
      </w:r>
      <w:r>
        <w:t>ing</w:t>
      </w:r>
      <w:r w:rsidRPr="00C73CF1">
        <w:t xml:space="preserve"> in emergencies. The Committee was addressed by representatives of the Global Coalition on Deinstitutionalization, Transforming Communities for Inclusion, the Korean Disability Forum, the Citizens Commission on Human Rights and the Cente</w:t>
      </w:r>
      <w:r>
        <w:t>r</w:t>
      </w:r>
      <w:r w:rsidRPr="00C73CF1">
        <w:t xml:space="preserve"> for </w:t>
      </w:r>
      <w:r>
        <w:t xml:space="preserve">the </w:t>
      </w:r>
      <w:r w:rsidRPr="00C73CF1">
        <w:t xml:space="preserve">Human Rights of </w:t>
      </w:r>
      <w:r>
        <w:t>U</w:t>
      </w:r>
      <w:r w:rsidRPr="00C73CF1">
        <w:t xml:space="preserve">sers and </w:t>
      </w:r>
      <w:r>
        <w:t>S</w:t>
      </w:r>
      <w:r w:rsidRPr="00C73CF1">
        <w:t xml:space="preserve">urvivors of </w:t>
      </w:r>
      <w:r>
        <w:t>P</w:t>
      </w:r>
      <w:r w:rsidRPr="00C73CF1">
        <w:t xml:space="preserve">sychiatry. </w:t>
      </w:r>
    </w:p>
    <w:p w14:paraId="437A0F7F" w14:textId="77777777" w:rsidR="00591901" w:rsidRPr="00C73CF1" w:rsidRDefault="00591901" w:rsidP="00591901">
      <w:pPr>
        <w:pStyle w:val="SingleTxtG"/>
      </w:pPr>
      <w:r w:rsidRPr="00C73CF1">
        <w:t>16.</w:t>
      </w:r>
      <w:r w:rsidRPr="00C73CF1">
        <w:tab/>
      </w:r>
      <w:bookmarkStart w:id="7" w:name="_Hlk177744116"/>
      <w:r w:rsidRPr="00C73CF1">
        <w:t>At the closing meeting of the session, the Committee was addressed by</w:t>
      </w:r>
      <w:bookmarkEnd w:id="7"/>
      <w:r w:rsidRPr="00C73CF1">
        <w:t xml:space="preserve"> a representative of the International Disability Alliance</w:t>
      </w:r>
    </w:p>
    <w:p w14:paraId="3CB15C3F" w14:textId="4F5E7017" w:rsidR="00591901" w:rsidRPr="00C73CF1" w:rsidRDefault="00591901" w:rsidP="00591901">
      <w:pPr>
        <w:pStyle w:val="HChG"/>
      </w:pPr>
      <w:r w:rsidRPr="00C73CF1">
        <w:tab/>
        <w:t>X.</w:t>
      </w:r>
      <w:r w:rsidRPr="00C73CF1">
        <w:tab/>
        <w:t>Consideration of reports submitted in accordance with article</w:t>
      </w:r>
      <w:r w:rsidR="006F33F1">
        <w:t> </w:t>
      </w:r>
      <w:r w:rsidRPr="00C73CF1">
        <w:t>35 of the Convention</w:t>
      </w:r>
    </w:p>
    <w:p w14:paraId="7B2C9FF2" w14:textId="77777777" w:rsidR="00591901" w:rsidRPr="00C73CF1" w:rsidRDefault="00591901" w:rsidP="00591901">
      <w:pPr>
        <w:pStyle w:val="SingleTxtG"/>
        <w:rPr>
          <w:b/>
          <w:bCs/>
        </w:rPr>
      </w:pPr>
      <w:r w:rsidRPr="00C73CF1">
        <w:t>17.</w:t>
      </w:r>
      <w:r w:rsidRPr="00C73CF1">
        <w:tab/>
        <w:t>The Committee held nine constructive dialogues, all in person. The Committee considered the initial reports of Belarus, Benin, Burkina Faso, Ghana and Netherlands</w:t>
      </w:r>
      <w:r>
        <w:t xml:space="preserve"> (Kingdom of the),</w:t>
      </w:r>
      <w:r w:rsidRPr="000F0562">
        <w:rPr>
          <w:rStyle w:val="FootnoteReference"/>
        </w:rPr>
        <w:footnoteReference w:id="12"/>
      </w:r>
      <w:r w:rsidRPr="000F0562">
        <w:rPr>
          <w:rStyle w:val="FootnoteReference"/>
        </w:rPr>
        <w:t xml:space="preserve"> </w:t>
      </w:r>
      <w:r w:rsidRPr="00C73CF1">
        <w:t>and the combined second and third periodic reports of Belgium, Denmark</w:t>
      </w:r>
      <w:r>
        <w:t>,</w:t>
      </w:r>
      <w:r w:rsidRPr="00C73CF1">
        <w:t xml:space="preserve"> </w:t>
      </w:r>
      <w:r w:rsidRPr="00C73CF1">
        <w:lastRenderedPageBreak/>
        <w:t>Mauritius and Ukraine.</w:t>
      </w:r>
      <w:r w:rsidRPr="000F0562">
        <w:rPr>
          <w:rStyle w:val="FootnoteReference"/>
        </w:rPr>
        <w:footnoteReference w:id="13"/>
      </w:r>
      <w:r w:rsidRPr="000F0562">
        <w:rPr>
          <w:rStyle w:val="FootnoteReference"/>
        </w:rPr>
        <w:t xml:space="preserve"> </w:t>
      </w:r>
      <w:bookmarkStart w:id="8" w:name="_Hlk116475971"/>
      <w:r w:rsidRPr="00C73CF1">
        <w:t>It adopted concluding observations in relation to those reports.</w:t>
      </w:r>
      <w:r w:rsidRPr="000F0562">
        <w:rPr>
          <w:rStyle w:val="FootnoteReference"/>
        </w:rPr>
        <w:footnoteReference w:id="14"/>
      </w:r>
      <w:r w:rsidRPr="000F0562">
        <w:rPr>
          <w:rStyle w:val="FootnoteReference"/>
        </w:rPr>
        <w:t xml:space="preserve"> </w:t>
      </w:r>
      <w:bookmarkStart w:id="9" w:name="_Hlk116475963"/>
      <w:r w:rsidRPr="00C73CF1">
        <w:t>A list of States parties whose initial reports are more than five years overdue may be found in annex II to the present report.</w:t>
      </w:r>
      <w:bookmarkEnd w:id="8"/>
      <w:bookmarkEnd w:id="9"/>
    </w:p>
    <w:p w14:paraId="7A00F68E" w14:textId="77777777" w:rsidR="00591901" w:rsidRPr="00C73CF1" w:rsidRDefault="00591901" w:rsidP="00591901">
      <w:pPr>
        <w:pStyle w:val="HChG"/>
      </w:pPr>
      <w:r w:rsidRPr="00C73CF1">
        <w:tab/>
        <w:t>XI.</w:t>
      </w:r>
      <w:r w:rsidRPr="00C73CF1">
        <w:tab/>
        <w:t>Other decisions</w:t>
      </w:r>
    </w:p>
    <w:p w14:paraId="11FF984E" w14:textId="77777777" w:rsidR="00591901" w:rsidRPr="00C73CF1" w:rsidRDefault="00591901" w:rsidP="00591901">
      <w:pPr>
        <w:pStyle w:val="SingleTxtG"/>
        <w:rPr>
          <w:rFonts w:eastAsia="Times New Roman"/>
          <w:color w:val="000000"/>
          <w:bdr w:val="nil"/>
          <w:lang w:eastAsia="en-GB"/>
        </w:rPr>
      </w:pPr>
      <w:r w:rsidRPr="00C73CF1">
        <w:rPr>
          <w:rFonts w:eastAsia="Times New Roman"/>
          <w:color w:val="000000"/>
          <w:bdr w:val="nil"/>
          <w:lang w:eastAsia="en-GB"/>
        </w:rPr>
        <w:t>18.</w:t>
      </w:r>
      <w:r w:rsidRPr="00C73CF1">
        <w:rPr>
          <w:rFonts w:eastAsia="Times New Roman"/>
          <w:color w:val="000000"/>
          <w:u w:color="000000"/>
          <w:bdr w:val="nil"/>
          <w:lang w:eastAsia="en-GB"/>
        </w:rPr>
        <w:tab/>
      </w:r>
      <w:r w:rsidRPr="00C73CF1">
        <w:rPr>
          <w:rFonts w:eastAsia="Times New Roman"/>
          <w:color w:val="000000"/>
          <w:bdr w:val="nil"/>
          <w:lang w:eastAsia="en-GB"/>
        </w:rPr>
        <w:t>The</w:t>
      </w:r>
      <w:r w:rsidRPr="00C73CF1">
        <w:rPr>
          <w:rFonts w:eastAsia="Times New Roman"/>
          <w:color w:val="000000"/>
          <w:spacing w:val="-1"/>
          <w:bdr w:val="nil"/>
          <w:lang w:eastAsia="en-GB"/>
        </w:rPr>
        <w:t xml:space="preserve"> </w:t>
      </w:r>
      <w:r w:rsidRPr="00C73CF1">
        <w:t>Committee</w:t>
      </w:r>
      <w:r w:rsidRPr="00C73CF1">
        <w:rPr>
          <w:rFonts w:eastAsia="Times New Roman"/>
          <w:color w:val="000000"/>
          <w:bdr w:val="nil"/>
          <w:lang w:eastAsia="en-GB"/>
        </w:rPr>
        <w:t xml:space="preserve"> adopted the</w:t>
      </w:r>
      <w:r w:rsidRPr="00C73CF1">
        <w:rPr>
          <w:rFonts w:eastAsia="Times New Roman"/>
          <w:color w:val="000000"/>
          <w:spacing w:val="-1"/>
          <w:bdr w:val="nil"/>
          <w:lang w:eastAsia="en-GB"/>
        </w:rPr>
        <w:t xml:space="preserve"> </w:t>
      </w:r>
      <w:r w:rsidRPr="00C73CF1">
        <w:rPr>
          <w:rFonts w:eastAsia="Times New Roman"/>
          <w:color w:val="000000"/>
          <w:bdr w:val="nil"/>
          <w:lang w:eastAsia="en-GB"/>
        </w:rPr>
        <w:t>present report</w:t>
      </w:r>
      <w:r w:rsidRPr="00C73CF1">
        <w:rPr>
          <w:rFonts w:eastAsia="Times New Roman"/>
          <w:color w:val="000000"/>
          <w:spacing w:val="-1"/>
          <w:bdr w:val="nil"/>
          <w:lang w:eastAsia="en-GB"/>
        </w:rPr>
        <w:t xml:space="preserve"> </w:t>
      </w:r>
      <w:r w:rsidRPr="00C73CF1">
        <w:rPr>
          <w:rFonts w:eastAsia="Times New Roman"/>
          <w:color w:val="000000"/>
          <w:bdr w:val="nil"/>
          <w:lang w:eastAsia="en-GB"/>
        </w:rPr>
        <w:t>on its thirty-first session.</w:t>
      </w:r>
    </w:p>
    <w:p w14:paraId="15829F69" w14:textId="77777777" w:rsidR="00591901" w:rsidRPr="00C73CF1" w:rsidRDefault="00591901" w:rsidP="00591901">
      <w:pPr>
        <w:pStyle w:val="SingleTxtG"/>
        <w:suppressAutoHyphens w:val="0"/>
        <w:spacing w:after="200" w:line="276" w:lineRule="auto"/>
        <w:rPr>
          <w:rFonts w:eastAsia="Times New Roman"/>
          <w:color w:val="000000"/>
          <w:bdr w:val="nil"/>
          <w:lang w:eastAsia="en-GB"/>
        </w:rPr>
      </w:pPr>
      <w:r w:rsidRPr="00C73CF1">
        <w:rPr>
          <w:rFonts w:eastAsia="Times New Roman"/>
          <w:color w:val="000000"/>
          <w:bdr w:val="nil"/>
          <w:lang w:eastAsia="en-GB"/>
        </w:rPr>
        <w:t>19.</w:t>
      </w:r>
      <w:r w:rsidRPr="00C73CF1">
        <w:rPr>
          <w:rFonts w:eastAsia="Times New Roman"/>
          <w:color w:val="000000"/>
          <w:u w:color="000000"/>
          <w:bdr w:val="nil"/>
          <w:lang w:eastAsia="en-GB"/>
        </w:rPr>
        <w:tab/>
      </w:r>
      <w:r w:rsidRPr="00C73CF1">
        <w:rPr>
          <w:rFonts w:eastAsia="Times New Roman"/>
          <w:color w:val="000000"/>
          <w:bdr w:val="nil"/>
          <w:lang w:eastAsia="en-GB"/>
        </w:rPr>
        <w:t>The full list of the decisions adopted by the Committee is available in annex I to the present</w:t>
      </w:r>
      <w:r w:rsidRPr="00C73CF1">
        <w:rPr>
          <w:rFonts w:eastAsia="Times New Roman"/>
          <w:color w:val="000000"/>
          <w:spacing w:val="-1"/>
          <w:bdr w:val="nil"/>
          <w:lang w:eastAsia="en-GB"/>
        </w:rPr>
        <w:t xml:space="preserve"> </w:t>
      </w:r>
      <w:r w:rsidRPr="00C73CF1">
        <w:rPr>
          <w:rFonts w:eastAsia="Times New Roman"/>
          <w:color w:val="000000"/>
          <w:bdr w:val="nil"/>
          <w:lang w:eastAsia="en-GB"/>
        </w:rPr>
        <w:t>report.</w:t>
      </w:r>
    </w:p>
    <w:p w14:paraId="4F2A4607" w14:textId="77777777" w:rsidR="00591901" w:rsidRPr="00C73CF1" w:rsidRDefault="00591901" w:rsidP="00591901">
      <w:pPr>
        <w:suppressAutoHyphens w:val="0"/>
        <w:spacing w:after="200" w:line="276" w:lineRule="auto"/>
        <w:rPr>
          <w:rFonts w:eastAsia="Times New Roman"/>
          <w:color w:val="000000"/>
          <w:bdr w:val="nil"/>
          <w:lang w:eastAsia="en-GB"/>
        </w:rPr>
      </w:pPr>
      <w:r w:rsidRPr="00C73CF1">
        <w:rPr>
          <w:rFonts w:eastAsia="Times New Roman"/>
          <w:color w:val="000000"/>
          <w:bdr w:val="nil"/>
          <w:lang w:eastAsia="en-GB"/>
        </w:rPr>
        <w:br w:type="page"/>
      </w:r>
    </w:p>
    <w:p w14:paraId="23CD4DF1" w14:textId="77777777" w:rsidR="00591901" w:rsidRDefault="00591901" w:rsidP="00591901">
      <w:pPr>
        <w:pStyle w:val="HChG"/>
      </w:pPr>
      <w:r w:rsidRPr="00C73CF1">
        <w:lastRenderedPageBreak/>
        <w:tab/>
      </w:r>
      <w:r w:rsidRPr="00D52C2A">
        <w:t>Annex I</w:t>
      </w:r>
    </w:p>
    <w:p w14:paraId="1633D066" w14:textId="3FFCAE03" w:rsidR="00591901" w:rsidRPr="00C73CF1" w:rsidRDefault="00591901" w:rsidP="00591901">
      <w:pPr>
        <w:pStyle w:val="HChG"/>
        <w:rPr>
          <w:rFonts w:eastAsia="Times New Roman"/>
          <w:b w:val="0"/>
          <w:bCs/>
          <w:szCs w:val="28"/>
          <w:lang w:eastAsia="en-GB"/>
        </w:rPr>
      </w:pPr>
      <w:r>
        <w:tab/>
      </w:r>
      <w:r>
        <w:tab/>
      </w:r>
      <w:r w:rsidRPr="00C73CF1">
        <w:rPr>
          <w:rFonts w:eastAsia="Times New Roman"/>
          <w:bCs/>
          <w:szCs w:val="28"/>
          <w:lang w:eastAsia="en-GB"/>
        </w:rPr>
        <w:t>Decisions adopted by the Committee at its thirty-first session</w:t>
      </w:r>
    </w:p>
    <w:p w14:paraId="5CCE9538" w14:textId="77777777" w:rsidR="00591901" w:rsidRPr="00C73CF1" w:rsidRDefault="00591901" w:rsidP="00591901">
      <w:pPr>
        <w:pStyle w:val="SingleTxtG"/>
      </w:pPr>
      <w:r w:rsidRPr="00C73CF1">
        <w:t>1.</w:t>
      </w:r>
      <w:r w:rsidRPr="00C73CF1">
        <w:rPr>
          <w:rFonts w:ascii="Calibri" w:hAnsi="Calibri" w:cs="Calibri"/>
        </w:rPr>
        <w:tab/>
      </w:r>
      <w:r w:rsidRPr="00C73CF1">
        <w:t>The Committee adopted concluding observations in relation to the initial reports of Belarus, Benin, Burkina Faso, Ghana and Netherlands</w:t>
      </w:r>
      <w:r>
        <w:t xml:space="preserve"> (Kingdom of the)</w:t>
      </w:r>
      <w:r w:rsidRPr="00C73CF1">
        <w:t xml:space="preserve"> </w:t>
      </w:r>
      <w:r>
        <w:t>and</w:t>
      </w:r>
      <w:r w:rsidRPr="00C73CF1">
        <w:t xml:space="preserve"> the combined second and third </w:t>
      </w:r>
      <w:r>
        <w:t xml:space="preserve">periodic </w:t>
      </w:r>
      <w:r w:rsidRPr="00C73CF1">
        <w:t>reports of Belgium, Denmark, Mauritius and Ukraine. </w:t>
      </w:r>
    </w:p>
    <w:p w14:paraId="7C3F8013" w14:textId="77777777" w:rsidR="00591901" w:rsidRPr="00C73CF1" w:rsidRDefault="00591901" w:rsidP="00591901">
      <w:pPr>
        <w:pStyle w:val="SingleTxtG"/>
        <w:rPr>
          <w:rFonts w:eastAsia="Times New Roman"/>
          <w:lang w:eastAsia="en-GB"/>
        </w:rPr>
      </w:pPr>
      <w:r w:rsidRPr="00C73CF1">
        <w:rPr>
          <w:rFonts w:eastAsia="Times New Roman"/>
          <w:lang w:eastAsia="en-GB"/>
        </w:rPr>
        <w:t>2.</w:t>
      </w:r>
      <w:r w:rsidRPr="00C73CF1">
        <w:rPr>
          <w:rFonts w:ascii="Calibri" w:eastAsia="Times New Roman" w:hAnsi="Calibri" w:cs="Calibri"/>
          <w:lang w:eastAsia="en-GB"/>
        </w:rPr>
        <w:tab/>
      </w:r>
      <w:r w:rsidRPr="00C73CF1">
        <w:rPr>
          <w:rFonts w:eastAsia="Times New Roman"/>
          <w:lang w:eastAsia="en-GB"/>
        </w:rPr>
        <w:t xml:space="preserve">The Committee </w:t>
      </w:r>
      <w:r>
        <w:rPr>
          <w:rFonts w:eastAsia="Times New Roman"/>
          <w:lang w:eastAsia="en-GB"/>
        </w:rPr>
        <w:t>examined</w:t>
      </w:r>
      <w:r w:rsidRPr="00C73CF1">
        <w:rPr>
          <w:rFonts w:eastAsia="Times New Roman"/>
          <w:lang w:eastAsia="en-GB"/>
        </w:rPr>
        <w:t xml:space="preserve"> six individual communications submitted for its consideration under the Optional Protocol to the Convention. It found violations</w:t>
      </w:r>
      <w:r>
        <w:rPr>
          <w:rFonts w:eastAsia="Times New Roman"/>
          <w:lang w:eastAsia="en-GB"/>
        </w:rPr>
        <w:t xml:space="preserve"> of the Convention</w:t>
      </w:r>
      <w:r w:rsidRPr="00C73CF1">
        <w:rPr>
          <w:rFonts w:eastAsia="Times New Roman"/>
          <w:lang w:eastAsia="en-GB"/>
        </w:rPr>
        <w:t xml:space="preserve"> in two of them, </w:t>
      </w:r>
      <w:r>
        <w:rPr>
          <w:rFonts w:eastAsia="Times New Roman"/>
          <w:lang w:eastAsia="en-GB"/>
        </w:rPr>
        <w:t xml:space="preserve">found that the facts before it did </w:t>
      </w:r>
      <w:r w:rsidRPr="00C73CF1">
        <w:rPr>
          <w:rFonts w:eastAsia="Times New Roman"/>
          <w:lang w:eastAsia="en-GB"/>
        </w:rPr>
        <w:t>no</w:t>
      </w:r>
      <w:r>
        <w:rPr>
          <w:rFonts w:eastAsia="Times New Roman"/>
          <w:lang w:eastAsia="en-GB"/>
        </w:rPr>
        <w:t>t disclose a</w:t>
      </w:r>
      <w:r w:rsidRPr="00C73CF1">
        <w:rPr>
          <w:rFonts w:eastAsia="Times New Roman"/>
          <w:lang w:eastAsia="en-GB"/>
        </w:rPr>
        <w:t xml:space="preserve"> violation in </w:t>
      </w:r>
      <w:r>
        <w:rPr>
          <w:rFonts w:eastAsia="Times New Roman"/>
          <w:lang w:eastAsia="en-GB"/>
        </w:rPr>
        <w:t>another</w:t>
      </w:r>
      <w:r w:rsidRPr="00C73CF1">
        <w:rPr>
          <w:rFonts w:eastAsia="Times New Roman"/>
          <w:lang w:eastAsia="en-GB"/>
        </w:rPr>
        <w:t xml:space="preserve"> and </w:t>
      </w:r>
      <w:r>
        <w:rPr>
          <w:rFonts w:eastAsia="Times New Roman"/>
          <w:lang w:eastAsia="en-GB"/>
        </w:rPr>
        <w:t xml:space="preserve">decided to </w:t>
      </w:r>
      <w:r w:rsidRPr="00C73CF1">
        <w:rPr>
          <w:rFonts w:eastAsia="Times New Roman"/>
          <w:lang w:eastAsia="en-GB"/>
        </w:rPr>
        <w:t xml:space="preserve">discontinue the other three. A summary of the Views and decisions </w:t>
      </w:r>
      <w:r w:rsidRPr="00C73CF1">
        <w:t>of</w:t>
      </w:r>
      <w:r w:rsidRPr="00C73CF1">
        <w:rPr>
          <w:rFonts w:eastAsia="Times New Roman"/>
          <w:lang w:eastAsia="en-GB"/>
        </w:rPr>
        <w:t xml:space="preserve"> the Committee may be found in annex III to the present report. The Views and decisions will be transmitted to the parties as soon as possible and will subsequently </w:t>
      </w:r>
      <w:r>
        <w:rPr>
          <w:rFonts w:eastAsia="Times New Roman"/>
          <w:lang w:eastAsia="en-GB"/>
        </w:rPr>
        <w:t xml:space="preserve">be </w:t>
      </w:r>
      <w:r w:rsidRPr="00C73CF1">
        <w:rPr>
          <w:rFonts w:eastAsia="Times New Roman"/>
          <w:lang w:eastAsia="en-GB"/>
        </w:rPr>
        <w:t>made public.</w:t>
      </w:r>
      <w:r>
        <w:rPr>
          <w:rFonts w:eastAsia="Times New Roman"/>
          <w:lang w:eastAsia="en-GB"/>
        </w:rPr>
        <w:t xml:space="preserve"> </w:t>
      </w:r>
      <w:r w:rsidRPr="006A4DE3">
        <w:rPr>
          <w:rFonts w:eastAsia="Times New Roman"/>
          <w:lang w:eastAsia="en-GB"/>
        </w:rPr>
        <w:t>The Committee adopted its guidelines on third-party interventions with regard to communications submitted under the Optional Protocol to the Convention</w:t>
      </w:r>
      <w:r w:rsidRPr="006A4DE3">
        <w:rPr>
          <w:rFonts w:eastAsia="Calibri"/>
          <w:shd w:val="clear" w:color="000000" w:fill="FFFFFF"/>
          <w14:ligatures w14:val="standardContextual"/>
        </w:rPr>
        <w:t>.</w:t>
      </w:r>
      <w:r>
        <w:rPr>
          <w:lang w:eastAsia="en-US"/>
        </w:rPr>
        <w:t xml:space="preserve"> </w:t>
      </w:r>
    </w:p>
    <w:p w14:paraId="2B2146F9" w14:textId="77777777" w:rsidR="00591901" w:rsidRPr="00C73CF1" w:rsidRDefault="00591901" w:rsidP="00591901">
      <w:pPr>
        <w:pStyle w:val="SingleTxtG"/>
        <w:rPr>
          <w:rFonts w:eastAsia="Times New Roman"/>
          <w:lang w:eastAsia="en-GB"/>
        </w:rPr>
      </w:pPr>
      <w:r w:rsidRPr="00C73CF1">
        <w:rPr>
          <w:rFonts w:eastAsia="Times New Roman"/>
          <w:lang w:eastAsia="en-GB"/>
        </w:rPr>
        <w:t>3.</w:t>
      </w:r>
      <w:r w:rsidRPr="00C73CF1">
        <w:rPr>
          <w:rFonts w:ascii="Calibri" w:eastAsia="Times New Roman" w:hAnsi="Calibri" w:cs="Calibri"/>
          <w:lang w:eastAsia="en-GB"/>
        </w:rPr>
        <w:tab/>
      </w:r>
      <w:r w:rsidRPr="00C73CF1">
        <w:rPr>
          <w:rFonts w:eastAsia="Times New Roman"/>
          <w:lang w:eastAsia="en-GB"/>
        </w:rPr>
        <w:t>The Committee considered matters related to inquiries pursuant to the Optional Protocol. </w:t>
      </w:r>
    </w:p>
    <w:p w14:paraId="36AC91DA" w14:textId="6355FFFA" w:rsidR="00591901" w:rsidRPr="00C73CF1" w:rsidRDefault="00591901" w:rsidP="00591901">
      <w:pPr>
        <w:pStyle w:val="SingleTxtG"/>
        <w:rPr>
          <w:rFonts w:eastAsia="Times New Roman"/>
          <w:lang w:eastAsia="en-GB"/>
        </w:rPr>
      </w:pPr>
      <w:r w:rsidRPr="00C73CF1">
        <w:rPr>
          <w:rFonts w:eastAsia="Times New Roman"/>
          <w:lang w:eastAsia="en-GB"/>
        </w:rPr>
        <w:t>4.</w:t>
      </w:r>
      <w:r w:rsidRPr="00C73CF1">
        <w:rPr>
          <w:rFonts w:eastAsia="Times New Roman"/>
          <w:lang w:eastAsia="en-GB"/>
        </w:rPr>
        <w:tab/>
        <w:t xml:space="preserve">The Committee continued the process of </w:t>
      </w:r>
      <w:r>
        <w:rPr>
          <w:rFonts w:eastAsia="Times New Roman"/>
          <w:lang w:eastAsia="en-GB"/>
        </w:rPr>
        <w:t>drafting its g</w:t>
      </w:r>
      <w:r w:rsidRPr="00C73CF1">
        <w:rPr>
          <w:rFonts w:eastAsia="Times New Roman"/>
          <w:lang w:eastAsia="en-GB"/>
        </w:rPr>
        <w:t xml:space="preserve">eneral </w:t>
      </w:r>
      <w:r>
        <w:rPr>
          <w:rFonts w:eastAsia="Times New Roman"/>
          <w:lang w:eastAsia="en-GB"/>
        </w:rPr>
        <w:t>c</w:t>
      </w:r>
      <w:r w:rsidRPr="00C73CF1">
        <w:rPr>
          <w:rFonts w:eastAsia="Times New Roman"/>
          <w:lang w:eastAsia="en-GB"/>
        </w:rPr>
        <w:t>omment No.</w:t>
      </w:r>
      <w:r>
        <w:rPr>
          <w:rFonts w:eastAsia="Times New Roman"/>
          <w:lang w:eastAsia="en-GB"/>
        </w:rPr>
        <w:t xml:space="preserve"> </w:t>
      </w:r>
      <w:r w:rsidRPr="00C73CF1">
        <w:rPr>
          <w:rFonts w:eastAsia="Times New Roman"/>
          <w:lang w:eastAsia="en-GB"/>
        </w:rPr>
        <w:t>9</w:t>
      </w:r>
      <w:r>
        <w:rPr>
          <w:rFonts w:eastAsia="Times New Roman"/>
          <w:lang w:eastAsia="en-GB"/>
        </w:rPr>
        <w:t>,</w:t>
      </w:r>
      <w:r w:rsidRPr="00C73CF1">
        <w:rPr>
          <w:rFonts w:eastAsia="Times New Roman"/>
          <w:lang w:eastAsia="en-GB"/>
        </w:rPr>
        <w:t xml:space="preserve"> on article</w:t>
      </w:r>
      <w:r w:rsidR="00AC535F">
        <w:rPr>
          <w:rFonts w:eastAsia="Times New Roman"/>
          <w:lang w:eastAsia="en-GB"/>
        </w:rPr>
        <w:t> </w:t>
      </w:r>
      <w:r w:rsidRPr="00C73CF1">
        <w:t>11</w:t>
      </w:r>
      <w:r w:rsidRPr="00C73CF1">
        <w:rPr>
          <w:rFonts w:eastAsia="Times New Roman"/>
          <w:lang w:eastAsia="en-GB"/>
        </w:rPr>
        <w:t xml:space="preserve"> of the Convention. It </w:t>
      </w:r>
      <w:r>
        <w:rPr>
          <w:rFonts w:eastAsia="Times New Roman"/>
          <w:lang w:eastAsia="en-GB"/>
        </w:rPr>
        <w:t xml:space="preserve">decided to </w:t>
      </w:r>
      <w:r w:rsidRPr="00C73CF1">
        <w:rPr>
          <w:rFonts w:eastAsia="Times New Roman"/>
          <w:lang w:eastAsia="en-GB"/>
        </w:rPr>
        <w:t xml:space="preserve">establish a </w:t>
      </w:r>
      <w:r>
        <w:rPr>
          <w:rFonts w:eastAsia="Times New Roman"/>
          <w:lang w:eastAsia="en-GB"/>
        </w:rPr>
        <w:t>w</w:t>
      </w:r>
      <w:r w:rsidRPr="00C73CF1">
        <w:rPr>
          <w:rFonts w:eastAsia="Times New Roman"/>
          <w:lang w:eastAsia="en-GB"/>
        </w:rPr>
        <w:t xml:space="preserve">orking </w:t>
      </w:r>
      <w:r>
        <w:rPr>
          <w:rFonts w:eastAsia="Times New Roman"/>
          <w:lang w:eastAsia="en-GB"/>
        </w:rPr>
        <w:t>g</w:t>
      </w:r>
      <w:r w:rsidRPr="00C73CF1">
        <w:rPr>
          <w:rFonts w:eastAsia="Times New Roman"/>
          <w:lang w:eastAsia="en-GB"/>
        </w:rPr>
        <w:t xml:space="preserve">roup to draft a </w:t>
      </w:r>
      <w:r>
        <w:rPr>
          <w:rFonts w:eastAsia="Times New Roman"/>
          <w:lang w:eastAsia="en-GB"/>
        </w:rPr>
        <w:t>g</w:t>
      </w:r>
      <w:r w:rsidRPr="00C73CF1">
        <w:rPr>
          <w:rFonts w:eastAsia="Times New Roman"/>
          <w:lang w:eastAsia="en-GB"/>
        </w:rPr>
        <w:t xml:space="preserve">eneral </w:t>
      </w:r>
      <w:r>
        <w:rPr>
          <w:rFonts w:eastAsia="Times New Roman"/>
          <w:lang w:eastAsia="en-GB"/>
        </w:rPr>
        <w:t>c</w:t>
      </w:r>
      <w:r w:rsidRPr="00C73CF1">
        <w:rPr>
          <w:rFonts w:eastAsia="Times New Roman"/>
          <w:lang w:eastAsia="en-GB"/>
        </w:rPr>
        <w:t xml:space="preserve">omment on article 29 of the Convention. </w:t>
      </w:r>
    </w:p>
    <w:p w14:paraId="15643868" w14:textId="77777777" w:rsidR="00591901" w:rsidRPr="00C73CF1" w:rsidRDefault="00591901" w:rsidP="00591901">
      <w:pPr>
        <w:pStyle w:val="SingleTxtG"/>
        <w:rPr>
          <w:rFonts w:eastAsia="Times New Roman"/>
          <w:lang w:eastAsia="en-GB"/>
        </w:rPr>
      </w:pPr>
      <w:r w:rsidRPr="00C73CF1">
        <w:rPr>
          <w:rFonts w:eastAsia="Times New Roman"/>
          <w:lang w:eastAsia="en-GB"/>
        </w:rPr>
        <w:t>5.</w:t>
      </w:r>
      <w:r w:rsidRPr="00C73CF1">
        <w:rPr>
          <w:rFonts w:ascii="Calibri" w:eastAsia="Times New Roman" w:hAnsi="Calibri" w:cs="Calibri"/>
          <w:lang w:eastAsia="en-GB"/>
        </w:rPr>
        <w:tab/>
      </w:r>
      <w:r w:rsidRPr="00C73CF1">
        <w:rPr>
          <w:rFonts w:eastAsia="Times New Roman"/>
          <w:lang w:eastAsia="en-GB"/>
        </w:rPr>
        <w:t xml:space="preserve">The Committee </w:t>
      </w:r>
      <w:r>
        <w:rPr>
          <w:rFonts w:eastAsia="Times New Roman"/>
          <w:lang w:eastAsia="en-GB"/>
        </w:rPr>
        <w:t xml:space="preserve">decided that, </w:t>
      </w:r>
      <w:r>
        <w:t>s</w:t>
      </w:r>
      <w:r w:rsidRPr="00C73CF1">
        <w:t>ubject</w:t>
      </w:r>
      <w:r w:rsidRPr="00C73CF1">
        <w:rPr>
          <w:rFonts w:eastAsia="Times New Roman"/>
          <w:lang w:eastAsia="en-GB"/>
        </w:rPr>
        <w:t xml:space="preserve"> to the availability of funding, its thirt</w:t>
      </w:r>
      <w:r>
        <w:rPr>
          <w:rFonts w:eastAsia="Times New Roman"/>
          <w:lang w:eastAsia="en-GB"/>
        </w:rPr>
        <w:t>y</w:t>
      </w:r>
      <w:r w:rsidRPr="00C73CF1">
        <w:rPr>
          <w:rFonts w:eastAsia="Times New Roman"/>
          <w:lang w:eastAsia="en-GB"/>
        </w:rPr>
        <w:t>-second session would be held in Geneva from 3 to 21 March 2025, and would be followed by the twentieth meeting of the pre</w:t>
      </w:r>
      <w:r w:rsidRPr="00C73CF1">
        <w:rPr>
          <w:rFonts w:eastAsia="Times New Roman"/>
          <w:lang w:eastAsia="en-GB"/>
        </w:rPr>
        <w:noBreakHyphen/>
        <w:t>sessional working group, from 24 to 28 March 2025.</w:t>
      </w:r>
    </w:p>
    <w:p w14:paraId="40D4A9F3" w14:textId="77777777" w:rsidR="00591901" w:rsidRPr="00C73CF1" w:rsidRDefault="00591901" w:rsidP="00591901">
      <w:pPr>
        <w:pStyle w:val="SingleTxtG"/>
        <w:rPr>
          <w:rFonts w:eastAsia="Times New Roman"/>
          <w:lang w:eastAsia="en-GB"/>
        </w:rPr>
      </w:pPr>
      <w:r w:rsidRPr="00C73CF1">
        <w:rPr>
          <w:rFonts w:eastAsia="Times New Roman"/>
          <w:lang w:eastAsia="en-GB"/>
        </w:rPr>
        <w:t>6.</w:t>
      </w:r>
      <w:r w:rsidRPr="00C73CF1">
        <w:rPr>
          <w:rFonts w:ascii="Calibri" w:eastAsia="Times New Roman" w:hAnsi="Calibri" w:cs="Calibri"/>
          <w:lang w:eastAsia="en-GB"/>
        </w:rPr>
        <w:tab/>
      </w:r>
      <w:r w:rsidRPr="00C73CF1">
        <w:rPr>
          <w:rFonts w:eastAsia="Times New Roman"/>
          <w:lang w:eastAsia="en-GB"/>
        </w:rPr>
        <w:t>The Committee decided to continue engaging with the United Nations Office at Geneva and the Office of the United Nations High Commissioner for Human Rights</w:t>
      </w:r>
      <w:r>
        <w:rPr>
          <w:rFonts w:eastAsia="Times New Roman"/>
          <w:lang w:eastAsia="en-GB"/>
        </w:rPr>
        <w:t xml:space="preserve"> (OHCHR)</w:t>
      </w:r>
      <w:r w:rsidRPr="00C73CF1">
        <w:rPr>
          <w:rFonts w:eastAsia="Times New Roman"/>
          <w:lang w:eastAsia="en-GB"/>
        </w:rPr>
        <w:t xml:space="preserve">, with a view to improving the provision of accessible conference services and reasonable accommodation to members of the Committee and participants with disabilities at </w:t>
      </w:r>
      <w:r>
        <w:rPr>
          <w:rFonts w:eastAsia="Times New Roman"/>
          <w:lang w:eastAsia="en-GB"/>
        </w:rPr>
        <w:t>its</w:t>
      </w:r>
      <w:r w:rsidRPr="00C73CF1">
        <w:rPr>
          <w:rFonts w:eastAsia="Times New Roman"/>
          <w:lang w:eastAsia="en-GB"/>
        </w:rPr>
        <w:t xml:space="preserve"> meetings.</w:t>
      </w:r>
    </w:p>
    <w:p w14:paraId="3988A3A6" w14:textId="77777777" w:rsidR="00591901" w:rsidRPr="00DD2265" w:rsidRDefault="00591901" w:rsidP="00591901">
      <w:pPr>
        <w:pStyle w:val="SingleTxtG"/>
      </w:pPr>
      <w:r w:rsidRPr="00C73CF1">
        <w:rPr>
          <w:rFonts w:eastAsia="Times New Roman"/>
          <w:lang w:eastAsia="en-GB"/>
        </w:rPr>
        <w:t>7.</w:t>
      </w:r>
      <w:r w:rsidRPr="00C73CF1">
        <w:rPr>
          <w:rFonts w:ascii="Calibri" w:eastAsia="Times New Roman" w:hAnsi="Calibri" w:cs="Calibri"/>
          <w:lang w:eastAsia="en-GB"/>
        </w:rPr>
        <w:tab/>
      </w:r>
      <w:r w:rsidRPr="00C73CF1">
        <w:rPr>
          <w:rFonts w:eastAsia="Times New Roman"/>
          <w:lang w:eastAsia="en-GB"/>
        </w:rPr>
        <w:t xml:space="preserve">The </w:t>
      </w:r>
      <w:r w:rsidRPr="00C73CF1">
        <w:t>Committee</w:t>
      </w:r>
      <w:r w:rsidRPr="00C73CF1">
        <w:rPr>
          <w:rFonts w:eastAsia="Times New Roman"/>
          <w:lang w:eastAsia="en-GB"/>
        </w:rPr>
        <w:t xml:space="preserve"> adopted statement</w:t>
      </w:r>
      <w:r>
        <w:rPr>
          <w:rFonts w:eastAsia="Times New Roman"/>
          <w:lang w:eastAsia="en-GB"/>
        </w:rPr>
        <w:t>s</w:t>
      </w:r>
      <w:r w:rsidRPr="00C73CF1">
        <w:rPr>
          <w:rFonts w:eastAsia="Times New Roman"/>
          <w:lang w:eastAsia="en-GB"/>
        </w:rPr>
        <w:t xml:space="preserve"> on persons with disabilities affected by disasters and on disability</w:t>
      </w:r>
      <w:r>
        <w:rPr>
          <w:rFonts w:eastAsia="Times New Roman"/>
          <w:lang w:eastAsia="en-GB"/>
        </w:rPr>
        <w:t xml:space="preserve"> </w:t>
      </w:r>
      <w:r w:rsidRPr="00C73CF1">
        <w:rPr>
          <w:rFonts w:eastAsia="Times New Roman"/>
          <w:lang w:eastAsia="en-GB"/>
        </w:rPr>
        <w:t xml:space="preserve">inclusion in </w:t>
      </w:r>
      <w:r>
        <w:rPr>
          <w:rFonts w:eastAsia="Times New Roman"/>
          <w:lang w:eastAsia="en-GB"/>
        </w:rPr>
        <w:t xml:space="preserve">the outcome documents of </w:t>
      </w:r>
      <w:r w:rsidRPr="00C73CF1">
        <w:rPr>
          <w:rFonts w:eastAsia="Times New Roman"/>
          <w:lang w:eastAsia="en-GB"/>
        </w:rPr>
        <w:t>the Summit of the Future.</w:t>
      </w:r>
    </w:p>
    <w:p w14:paraId="49FADF03" w14:textId="77777777" w:rsidR="00591901" w:rsidRPr="00C73CF1" w:rsidRDefault="00591901" w:rsidP="00591901">
      <w:pPr>
        <w:pStyle w:val="SingleTxtG"/>
        <w:rPr>
          <w:rFonts w:eastAsia="Times New Roman"/>
          <w:lang w:eastAsia="en-GB"/>
        </w:rPr>
      </w:pPr>
      <w:r w:rsidRPr="00C73CF1">
        <w:rPr>
          <w:rFonts w:eastAsia="Times New Roman"/>
          <w:lang w:eastAsia="en-GB"/>
        </w:rPr>
        <w:t>8.</w:t>
      </w:r>
      <w:r w:rsidRPr="00C73CF1">
        <w:rPr>
          <w:rFonts w:ascii="Calibri" w:eastAsia="Times New Roman" w:hAnsi="Calibri" w:cs="Calibri"/>
          <w:lang w:eastAsia="en-GB"/>
        </w:rPr>
        <w:tab/>
      </w:r>
      <w:r w:rsidRPr="00C73CF1">
        <w:rPr>
          <w:rFonts w:eastAsia="Times New Roman"/>
          <w:lang w:eastAsia="en-GB"/>
        </w:rPr>
        <w:t xml:space="preserve">The Committee examined matters and adopted a decision </w:t>
      </w:r>
      <w:r w:rsidRPr="00A340AD">
        <w:rPr>
          <w:rFonts w:eastAsia="Times New Roman"/>
          <w:lang w:eastAsia="en-GB"/>
        </w:rPr>
        <w:t>related to the implementation of the guidelines on the independence and impartiality of members of the human rights treaty bodies (</w:t>
      </w:r>
      <w:r w:rsidRPr="00A340AD">
        <w:t>the Addis Ababa guidelines)</w:t>
      </w:r>
      <w:r w:rsidRPr="00A340AD">
        <w:rPr>
          <w:rFonts w:eastAsia="Times New Roman"/>
          <w:lang w:eastAsia="en-GB"/>
        </w:rPr>
        <w:t>.</w:t>
      </w:r>
    </w:p>
    <w:p w14:paraId="384A4969" w14:textId="61C1D400" w:rsidR="00591901" w:rsidRPr="001A7D64" w:rsidRDefault="00591901" w:rsidP="001A7D64">
      <w:pPr>
        <w:pStyle w:val="SingleTxtG"/>
      </w:pPr>
      <w:r w:rsidRPr="001A7D64">
        <w:t xml:space="preserve">9. </w:t>
      </w:r>
      <w:r w:rsidRPr="001A7D64">
        <w:tab/>
        <w:t>The Committee noted that, with 191 States parties, the Convention is the second most ratified human rights treaty. However, it reiterated its concern that the high rate of ratification was not matched by meeting time and resources allocated to the Committee. The Committee therefore called upon Member States and all competent United Nations bodies to rectify the situation by increasing the meeting time and resources allocated to the Committee with a third session of at least three weeks</w:t>
      </w:r>
      <w:r w:rsidR="000F0562">
        <w:t>’</w:t>
      </w:r>
      <w:r w:rsidRPr="001A7D64">
        <w:t xml:space="preserve"> meeting time. </w:t>
      </w:r>
    </w:p>
    <w:p w14:paraId="14EF1A63" w14:textId="1C73C7A5" w:rsidR="00591901" w:rsidRPr="00C73CF1" w:rsidRDefault="001A7D64" w:rsidP="00591901">
      <w:pPr>
        <w:pStyle w:val="SingleTxtG"/>
        <w:rPr>
          <w:rFonts w:eastAsia="Times New Roman"/>
          <w:lang w:eastAsia="en-GB"/>
        </w:rPr>
      </w:pPr>
      <w:r>
        <w:rPr>
          <w:rFonts w:eastAsia="Times New Roman"/>
          <w:lang w:eastAsia="en-GB"/>
        </w:rPr>
        <w:t>10</w:t>
      </w:r>
      <w:r w:rsidR="00591901" w:rsidRPr="00C73CF1">
        <w:rPr>
          <w:rFonts w:eastAsia="Times New Roman"/>
          <w:lang w:eastAsia="en-GB"/>
        </w:rPr>
        <w:t>.</w:t>
      </w:r>
      <w:r w:rsidR="00591901" w:rsidRPr="00C73CF1">
        <w:rPr>
          <w:rFonts w:ascii="Calibri" w:eastAsia="Times New Roman" w:hAnsi="Calibri" w:cs="Calibri"/>
          <w:lang w:eastAsia="en-GB"/>
        </w:rPr>
        <w:tab/>
      </w:r>
      <w:r w:rsidR="00591901">
        <w:rPr>
          <w:rFonts w:eastAsia="Times New Roman"/>
          <w:lang w:eastAsia="en-GB"/>
        </w:rPr>
        <w:t>R</w:t>
      </w:r>
      <w:r w:rsidR="00591901" w:rsidRPr="00C73CF1">
        <w:rPr>
          <w:rFonts w:eastAsia="Times New Roman"/>
          <w:lang w:eastAsia="en-GB"/>
        </w:rPr>
        <w:t>emain</w:t>
      </w:r>
      <w:r w:rsidR="00591901">
        <w:rPr>
          <w:rFonts w:eastAsia="Times New Roman"/>
          <w:lang w:eastAsia="en-GB"/>
        </w:rPr>
        <w:t>ing</w:t>
      </w:r>
      <w:r w:rsidR="00591901" w:rsidRPr="00C73CF1">
        <w:rPr>
          <w:rFonts w:eastAsia="Times New Roman"/>
          <w:lang w:eastAsia="en-GB"/>
        </w:rPr>
        <w:t xml:space="preserve"> concerned </w:t>
      </w:r>
      <w:r w:rsidR="00591901">
        <w:rPr>
          <w:rFonts w:eastAsia="Times New Roman"/>
          <w:lang w:eastAsia="en-GB"/>
        </w:rPr>
        <w:t>about</w:t>
      </w:r>
      <w:r w:rsidR="00591901" w:rsidRPr="00C73CF1">
        <w:rPr>
          <w:rFonts w:eastAsia="Times New Roman"/>
          <w:lang w:eastAsia="en-GB"/>
        </w:rPr>
        <w:t xml:space="preserve"> the increasing number of initial and periodic reports pending </w:t>
      </w:r>
      <w:r w:rsidR="00591901">
        <w:rPr>
          <w:rFonts w:eastAsia="Times New Roman"/>
          <w:lang w:eastAsia="en-GB"/>
        </w:rPr>
        <w:t>its</w:t>
      </w:r>
      <w:r w:rsidR="00591901" w:rsidRPr="00C73CF1">
        <w:rPr>
          <w:rFonts w:eastAsia="Times New Roman"/>
          <w:lang w:eastAsia="en-GB"/>
        </w:rPr>
        <w:t xml:space="preserve"> consider</w:t>
      </w:r>
      <w:r w:rsidR="00591901">
        <w:rPr>
          <w:rFonts w:eastAsia="Times New Roman"/>
          <w:lang w:eastAsia="en-GB"/>
        </w:rPr>
        <w:t>ation</w:t>
      </w:r>
      <w:r w:rsidR="00591901" w:rsidRPr="00C73CF1">
        <w:rPr>
          <w:rFonts w:eastAsia="Times New Roman"/>
          <w:lang w:eastAsia="en-GB"/>
        </w:rPr>
        <w:t xml:space="preserve">, </w:t>
      </w:r>
      <w:r w:rsidR="00591901">
        <w:rPr>
          <w:rFonts w:eastAsia="Times New Roman"/>
          <w:lang w:eastAsia="en-GB"/>
        </w:rPr>
        <w:t>the Committee</w:t>
      </w:r>
      <w:r w:rsidR="00591901" w:rsidRPr="00C73CF1">
        <w:rPr>
          <w:rFonts w:eastAsia="Times New Roman"/>
          <w:lang w:eastAsia="en-GB"/>
        </w:rPr>
        <w:t xml:space="preserve"> call</w:t>
      </w:r>
      <w:r w:rsidR="00591901">
        <w:rPr>
          <w:rFonts w:eastAsia="Times New Roman"/>
          <w:lang w:eastAsia="en-GB"/>
        </w:rPr>
        <w:t>ed upon</w:t>
      </w:r>
      <w:r w:rsidR="00591901" w:rsidRPr="00C73CF1">
        <w:rPr>
          <w:rFonts w:eastAsia="Times New Roman"/>
          <w:lang w:eastAsia="en-GB"/>
        </w:rPr>
        <w:t xml:space="preserve"> Member States and </w:t>
      </w:r>
      <w:r w:rsidR="00591901">
        <w:rPr>
          <w:rFonts w:eastAsia="Times New Roman"/>
          <w:lang w:eastAsia="en-GB"/>
        </w:rPr>
        <w:t>the</w:t>
      </w:r>
      <w:r w:rsidR="00591901" w:rsidRPr="00C73CF1">
        <w:rPr>
          <w:rFonts w:eastAsia="Times New Roman"/>
          <w:lang w:eastAsia="en-GB"/>
        </w:rPr>
        <w:t xml:space="preserve"> bodies</w:t>
      </w:r>
      <w:r w:rsidR="00591901">
        <w:rPr>
          <w:rFonts w:eastAsia="Times New Roman"/>
          <w:lang w:eastAsia="en-GB"/>
        </w:rPr>
        <w:t xml:space="preserve"> concerned</w:t>
      </w:r>
      <w:r w:rsidR="00591901" w:rsidRPr="00C73CF1">
        <w:rPr>
          <w:rFonts w:eastAsia="Times New Roman"/>
          <w:lang w:eastAsia="en-GB"/>
        </w:rPr>
        <w:t xml:space="preserve"> to grant the Committee sufficient meeting time and resources to address th</w:t>
      </w:r>
      <w:r w:rsidR="00591901">
        <w:rPr>
          <w:rFonts w:eastAsia="Times New Roman"/>
          <w:lang w:eastAsia="en-GB"/>
        </w:rPr>
        <w:t>e</w:t>
      </w:r>
      <w:r w:rsidR="00591901" w:rsidRPr="00C73CF1">
        <w:rPr>
          <w:rFonts w:eastAsia="Times New Roman"/>
          <w:lang w:eastAsia="en-GB"/>
        </w:rPr>
        <w:t xml:space="preserve"> backlog. </w:t>
      </w:r>
    </w:p>
    <w:p w14:paraId="33D40841" w14:textId="4F3FEED9" w:rsidR="00591901" w:rsidRPr="00C73CF1" w:rsidRDefault="00591901" w:rsidP="00591901">
      <w:pPr>
        <w:pStyle w:val="SingleTxtG"/>
        <w:rPr>
          <w:rFonts w:eastAsia="Times New Roman"/>
          <w:lang w:eastAsia="en-GB"/>
        </w:rPr>
      </w:pPr>
      <w:r w:rsidRPr="00C73CF1">
        <w:rPr>
          <w:rFonts w:eastAsia="Times New Roman"/>
          <w:lang w:eastAsia="en-GB"/>
        </w:rPr>
        <w:t>1</w:t>
      </w:r>
      <w:r w:rsidR="001A7D64">
        <w:rPr>
          <w:rFonts w:eastAsia="Times New Roman"/>
          <w:lang w:eastAsia="en-GB"/>
        </w:rPr>
        <w:t>1</w:t>
      </w:r>
      <w:r w:rsidRPr="00C73CF1">
        <w:rPr>
          <w:rFonts w:eastAsia="Times New Roman"/>
          <w:lang w:eastAsia="en-GB"/>
        </w:rPr>
        <w:t>.</w:t>
      </w:r>
      <w:r w:rsidRPr="00C73CF1">
        <w:rPr>
          <w:rFonts w:ascii="Calibri" w:eastAsia="Times New Roman" w:hAnsi="Calibri" w:cs="Calibri"/>
          <w:lang w:eastAsia="en-GB"/>
        </w:rPr>
        <w:tab/>
      </w:r>
      <w:r w:rsidRPr="00C73CF1">
        <w:rPr>
          <w:rFonts w:eastAsia="Times New Roman"/>
          <w:lang w:eastAsia="en-GB"/>
        </w:rPr>
        <w:t>The Committee call</w:t>
      </w:r>
      <w:r>
        <w:rPr>
          <w:rFonts w:eastAsia="Times New Roman"/>
          <w:lang w:eastAsia="en-GB"/>
        </w:rPr>
        <w:t>ed</w:t>
      </w:r>
      <w:r w:rsidRPr="00C73CF1">
        <w:rPr>
          <w:rFonts w:eastAsia="Times New Roman"/>
          <w:lang w:eastAsia="en-GB"/>
        </w:rPr>
        <w:t xml:space="preserve"> upon States parties with long overdue </w:t>
      </w:r>
      <w:r>
        <w:rPr>
          <w:rFonts w:eastAsia="Times New Roman"/>
          <w:lang w:eastAsia="en-GB"/>
        </w:rPr>
        <w:t xml:space="preserve">initial </w:t>
      </w:r>
      <w:r w:rsidRPr="00C73CF1">
        <w:rPr>
          <w:rFonts w:eastAsia="Times New Roman"/>
          <w:lang w:eastAsia="en-GB"/>
        </w:rPr>
        <w:t xml:space="preserve">reports, </w:t>
      </w:r>
      <w:r>
        <w:rPr>
          <w:rFonts w:eastAsia="Times New Roman"/>
          <w:lang w:eastAsia="en-GB"/>
        </w:rPr>
        <w:t>as listed</w:t>
      </w:r>
      <w:r w:rsidRPr="00C73CF1">
        <w:rPr>
          <w:rFonts w:eastAsia="Times New Roman"/>
          <w:lang w:eastAsia="en-GB"/>
        </w:rPr>
        <w:t xml:space="preserve"> in annex II to th</w:t>
      </w:r>
      <w:r>
        <w:rPr>
          <w:rFonts w:eastAsia="Times New Roman"/>
          <w:lang w:eastAsia="en-GB"/>
        </w:rPr>
        <w:t>e present</w:t>
      </w:r>
      <w:r w:rsidRPr="00C73CF1">
        <w:rPr>
          <w:rFonts w:eastAsia="Times New Roman"/>
          <w:lang w:eastAsia="en-GB"/>
        </w:rPr>
        <w:t xml:space="preserve"> report, to submit their reports as expeditiously as possible. </w:t>
      </w:r>
      <w:r>
        <w:rPr>
          <w:rFonts w:eastAsia="Times New Roman"/>
          <w:lang w:eastAsia="en-GB"/>
        </w:rPr>
        <w:t>T</w:t>
      </w:r>
      <w:r w:rsidRPr="00C73CF1">
        <w:rPr>
          <w:rFonts w:eastAsia="Times New Roman"/>
          <w:lang w:eastAsia="en-GB"/>
        </w:rPr>
        <w:t>he Committee decided to engage actively</w:t>
      </w:r>
      <w:r>
        <w:rPr>
          <w:rFonts w:eastAsia="Times New Roman"/>
          <w:lang w:eastAsia="en-GB"/>
        </w:rPr>
        <w:t xml:space="preserve">, </w:t>
      </w:r>
      <w:r>
        <w:t>in coordination</w:t>
      </w:r>
      <w:r w:rsidRPr="009D0474">
        <w:t xml:space="preserve"> with the </w:t>
      </w:r>
      <w:r>
        <w:t>treaty body c</w:t>
      </w:r>
      <w:r w:rsidRPr="009D0474">
        <w:t>apacity</w:t>
      </w:r>
      <w:r>
        <w:t>-b</w:t>
      </w:r>
      <w:r w:rsidRPr="009D0474">
        <w:t xml:space="preserve">uilding </w:t>
      </w:r>
      <w:r>
        <w:t>programme</w:t>
      </w:r>
      <w:r w:rsidRPr="009D0474">
        <w:t xml:space="preserve"> of the </w:t>
      </w:r>
      <w:r>
        <w:t xml:space="preserve">OHCHR </w:t>
      </w:r>
      <w:r w:rsidRPr="0090215A">
        <w:t>Human Rights Treaties Branch</w:t>
      </w:r>
      <w:r>
        <w:t>,</w:t>
      </w:r>
      <w:r w:rsidRPr="00C73CF1">
        <w:rPr>
          <w:rFonts w:eastAsia="Times New Roman"/>
          <w:lang w:eastAsia="en-GB"/>
        </w:rPr>
        <w:t xml:space="preserve"> with States parties whose </w:t>
      </w:r>
      <w:r>
        <w:rPr>
          <w:rFonts w:eastAsia="Times New Roman"/>
          <w:lang w:eastAsia="en-GB"/>
        </w:rPr>
        <w:t xml:space="preserve">initial </w:t>
      </w:r>
      <w:r w:rsidRPr="00C73CF1">
        <w:rPr>
          <w:rFonts w:eastAsia="Times New Roman"/>
          <w:lang w:eastAsia="en-GB"/>
        </w:rPr>
        <w:t xml:space="preserve">reports </w:t>
      </w:r>
      <w:r>
        <w:rPr>
          <w:rFonts w:eastAsia="Times New Roman"/>
          <w:lang w:eastAsia="en-GB"/>
        </w:rPr>
        <w:t>were</w:t>
      </w:r>
      <w:r w:rsidRPr="00C73CF1">
        <w:rPr>
          <w:rFonts w:eastAsia="Times New Roman"/>
          <w:lang w:eastAsia="en-GB"/>
        </w:rPr>
        <w:t xml:space="preserve"> more than 10 years</w:t>
      </w:r>
      <w:r>
        <w:rPr>
          <w:rFonts w:eastAsia="Times New Roman"/>
          <w:lang w:eastAsia="en-GB"/>
        </w:rPr>
        <w:t xml:space="preserve"> overdue</w:t>
      </w:r>
      <w:r w:rsidRPr="00C73CF1">
        <w:rPr>
          <w:rFonts w:eastAsia="Times New Roman"/>
          <w:lang w:eastAsia="en-GB"/>
        </w:rPr>
        <w:t xml:space="preserve"> to build capacity for reporting. </w:t>
      </w:r>
    </w:p>
    <w:p w14:paraId="684D799B" w14:textId="356391D0" w:rsidR="00591901" w:rsidRPr="00C73CF1" w:rsidRDefault="00591901" w:rsidP="00591901">
      <w:pPr>
        <w:pStyle w:val="SingleTxtG"/>
      </w:pPr>
      <w:r w:rsidRPr="00C73CF1">
        <w:rPr>
          <w:rFonts w:eastAsia="Times New Roman"/>
          <w:lang w:eastAsia="en-GB"/>
        </w:rPr>
        <w:t>1</w:t>
      </w:r>
      <w:r w:rsidR="001A7D64">
        <w:rPr>
          <w:rFonts w:eastAsia="Times New Roman"/>
          <w:lang w:eastAsia="en-GB"/>
        </w:rPr>
        <w:t>2</w:t>
      </w:r>
      <w:r w:rsidRPr="00C73CF1">
        <w:rPr>
          <w:rFonts w:eastAsia="Times New Roman"/>
          <w:lang w:eastAsia="en-GB"/>
        </w:rPr>
        <w:t>.</w:t>
      </w:r>
      <w:r w:rsidRPr="00C73CF1">
        <w:rPr>
          <w:rFonts w:ascii="Calibri" w:eastAsia="Times New Roman" w:hAnsi="Calibri" w:cs="Calibri"/>
          <w:lang w:eastAsia="en-GB"/>
        </w:rPr>
        <w:tab/>
      </w:r>
      <w:r w:rsidRPr="00C73CF1">
        <w:rPr>
          <w:rFonts w:eastAsia="Times New Roman"/>
          <w:lang w:eastAsia="en-GB"/>
        </w:rPr>
        <w:t xml:space="preserve">The </w:t>
      </w:r>
      <w:r w:rsidRPr="00C73CF1">
        <w:t>Committee</w:t>
      </w:r>
      <w:r w:rsidRPr="00C73CF1">
        <w:rPr>
          <w:rFonts w:eastAsia="Times New Roman"/>
          <w:lang w:eastAsia="en-GB"/>
        </w:rPr>
        <w:t xml:space="preserve"> adopted the report on its thirty</w:t>
      </w:r>
      <w:r>
        <w:rPr>
          <w:rFonts w:eastAsia="Times New Roman"/>
          <w:lang w:eastAsia="en-GB"/>
        </w:rPr>
        <w:t>-</w:t>
      </w:r>
      <w:r w:rsidRPr="00C73CF1">
        <w:rPr>
          <w:rFonts w:eastAsia="Times New Roman"/>
          <w:lang w:eastAsia="en-GB"/>
        </w:rPr>
        <w:t>first session</w:t>
      </w:r>
      <w:r w:rsidRPr="00C73CF1">
        <w:t>.</w:t>
      </w:r>
    </w:p>
    <w:p w14:paraId="7F3F20E5" w14:textId="77777777" w:rsidR="00591901" w:rsidRPr="00C73CF1" w:rsidRDefault="00591901" w:rsidP="00591901">
      <w:pPr>
        <w:pStyle w:val="SingleTxtG"/>
      </w:pPr>
      <w:r w:rsidRPr="00C73CF1">
        <w:br w:type="page"/>
      </w:r>
    </w:p>
    <w:p w14:paraId="33DDFF7B" w14:textId="77777777" w:rsidR="00591901" w:rsidRPr="00C73CF1" w:rsidRDefault="00591901" w:rsidP="006B04A9">
      <w:pPr>
        <w:pStyle w:val="HChG"/>
        <w:rPr>
          <w:u w:val="single"/>
        </w:rPr>
      </w:pPr>
      <w:r w:rsidRPr="00C73CF1">
        <w:lastRenderedPageBreak/>
        <w:tab/>
        <w:t>Annex II</w:t>
      </w:r>
    </w:p>
    <w:p w14:paraId="669EE91F" w14:textId="77777777" w:rsidR="00591901" w:rsidRPr="00C73CF1" w:rsidRDefault="00591901" w:rsidP="006B04A9">
      <w:pPr>
        <w:pStyle w:val="HChG"/>
      </w:pPr>
      <w:r w:rsidRPr="00C73CF1">
        <w:tab/>
      </w:r>
      <w:r w:rsidRPr="00C73CF1">
        <w:tab/>
        <w:t>States parties whose initial reports are more than five years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591901" w:rsidRPr="00C73CF1" w14:paraId="7D307ECD" w14:textId="77777777" w:rsidTr="00AB23D1">
        <w:trPr>
          <w:tblHeader/>
        </w:trPr>
        <w:tc>
          <w:tcPr>
            <w:tcW w:w="3684" w:type="dxa"/>
            <w:tcBorders>
              <w:top w:val="single" w:sz="4" w:space="0" w:color="auto"/>
              <w:bottom w:val="single" w:sz="12" w:space="0" w:color="auto"/>
            </w:tcBorders>
            <w:shd w:val="clear" w:color="auto" w:fill="auto"/>
            <w:vAlign w:val="bottom"/>
          </w:tcPr>
          <w:p w14:paraId="7962497D" w14:textId="77777777" w:rsidR="00591901" w:rsidRPr="00C73CF1" w:rsidRDefault="00591901" w:rsidP="00AB23D1">
            <w:pPr>
              <w:suppressAutoHyphens w:val="0"/>
              <w:spacing w:before="80" w:after="80" w:line="200" w:lineRule="exact"/>
              <w:ind w:right="113"/>
              <w:rPr>
                <w:i/>
                <w:color w:val="000000" w:themeColor="text1"/>
                <w:sz w:val="16"/>
              </w:rPr>
            </w:pPr>
            <w:r w:rsidRPr="00C73CF1">
              <w:rPr>
                <w:i/>
                <w:color w:val="000000" w:themeColor="text1"/>
                <w:sz w:val="16"/>
              </w:rPr>
              <w:t>Party</w:t>
            </w:r>
          </w:p>
        </w:tc>
        <w:tc>
          <w:tcPr>
            <w:tcW w:w="3686" w:type="dxa"/>
            <w:tcBorders>
              <w:top w:val="single" w:sz="4" w:space="0" w:color="auto"/>
              <w:bottom w:val="single" w:sz="12" w:space="0" w:color="auto"/>
            </w:tcBorders>
            <w:shd w:val="clear" w:color="auto" w:fill="auto"/>
            <w:vAlign w:val="bottom"/>
          </w:tcPr>
          <w:p w14:paraId="4AAA2A95" w14:textId="77777777" w:rsidR="00591901" w:rsidRPr="00C73CF1" w:rsidRDefault="00591901" w:rsidP="00AB23D1">
            <w:pPr>
              <w:suppressAutoHyphens w:val="0"/>
              <w:spacing w:before="80" w:after="80" w:line="200" w:lineRule="exact"/>
              <w:ind w:right="113"/>
              <w:rPr>
                <w:i/>
                <w:color w:val="000000" w:themeColor="text1"/>
                <w:sz w:val="16"/>
              </w:rPr>
            </w:pPr>
            <w:r w:rsidRPr="00C73CF1">
              <w:rPr>
                <w:i/>
                <w:color w:val="000000" w:themeColor="text1"/>
                <w:sz w:val="16"/>
              </w:rPr>
              <w:t>Due date</w:t>
            </w:r>
          </w:p>
        </w:tc>
      </w:tr>
      <w:tr w:rsidR="00591901" w:rsidRPr="00C73CF1" w14:paraId="16073398" w14:textId="77777777" w:rsidTr="00AB23D1">
        <w:tc>
          <w:tcPr>
            <w:tcW w:w="3684" w:type="dxa"/>
            <w:tcBorders>
              <w:top w:val="single" w:sz="12" w:space="0" w:color="auto"/>
            </w:tcBorders>
            <w:shd w:val="clear" w:color="auto" w:fill="auto"/>
          </w:tcPr>
          <w:p w14:paraId="487D7529"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Guinea</w:t>
            </w:r>
          </w:p>
        </w:tc>
        <w:tc>
          <w:tcPr>
            <w:tcW w:w="3686" w:type="dxa"/>
            <w:tcBorders>
              <w:top w:val="single" w:sz="12" w:space="0" w:color="auto"/>
            </w:tcBorders>
            <w:shd w:val="clear" w:color="auto" w:fill="auto"/>
          </w:tcPr>
          <w:p w14:paraId="100474F2"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8 March 2010</w:t>
            </w:r>
          </w:p>
        </w:tc>
      </w:tr>
      <w:tr w:rsidR="00591901" w:rsidRPr="00C73CF1" w14:paraId="3E6C160C" w14:textId="77777777" w:rsidTr="00AB23D1">
        <w:tc>
          <w:tcPr>
            <w:tcW w:w="3684" w:type="dxa"/>
            <w:shd w:val="clear" w:color="auto" w:fill="auto"/>
          </w:tcPr>
          <w:p w14:paraId="2D53133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San Marino</w:t>
            </w:r>
          </w:p>
        </w:tc>
        <w:tc>
          <w:tcPr>
            <w:tcW w:w="3686" w:type="dxa"/>
            <w:shd w:val="clear" w:color="auto" w:fill="auto"/>
          </w:tcPr>
          <w:p w14:paraId="67157D12"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22 March 2010</w:t>
            </w:r>
          </w:p>
        </w:tc>
      </w:tr>
      <w:tr w:rsidR="00591901" w:rsidRPr="00C73CF1" w14:paraId="4EE866E6" w14:textId="77777777" w:rsidTr="00AB23D1">
        <w:tc>
          <w:tcPr>
            <w:tcW w:w="3684" w:type="dxa"/>
            <w:shd w:val="clear" w:color="auto" w:fill="auto"/>
          </w:tcPr>
          <w:p w14:paraId="5396A386"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Lesotho</w:t>
            </w:r>
          </w:p>
        </w:tc>
        <w:tc>
          <w:tcPr>
            <w:tcW w:w="3686" w:type="dxa"/>
            <w:shd w:val="clear" w:color="auto" w:fill="auto"/>
          </w:tcPr>
          <w:p w14:paraId="550C2B5D"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 January 2011</w:t>
            </w:r>
          </w:p>
        </w:tc>
      </w:tr>
      <w:tr w:rsidR="00591901" w:rsidRPr="00C73CF1" w14:paraId="6279120F" w14:textId="77777777" w:rsidTr="00AB23D1">
        <w:tc>
          <w:tcPr>
            <w:tcW w:w="3684" w:type="dxa"/>
            <w:shd w:val="clear" w:color="auto" w:fill="auto"/>
          </w:tcPr>
          <w:p w14:paraId="44C076C5"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Yemen</w:t>
            </w:r>
          </w:p>
        </w:tc>
        <w:tc>
          <w:tcPr>
            <w:tcW w:w="3686" w:type="dxa"/>
            <w:shd w:val="clear" w:color="auto" w:fill="auto"/>
          </w:tcPr>
          <w:p w14:paraId="26994F04"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26 April 2011</w:t>
            </w:r>
          </w:p>
        </w:tc>
      </w:tr>
      <w:tr w:rsidR="00591901" w:rsidRPr="00C73CF1" w14:paraId="01C9FC52" w14:textId="77777777" w:rsidTr="00AB23D1">
        <w:tc>
          <w:tcPr>
            <w:tcW w:w="3684" w:type="dxa"/>
            <w:shd w:val="clear" w:color="auto" w:fill="auto"/>
          </w:tcPr>
          <w:p w14:paraId="59B6BFD6"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Syrian Arab Republic</w:t>
            </w:r>
          </w:p>
        </w:tc>
        <w:tc>
          <w:tcPr>
            <w:tcW w:w="3686" w:type="dxa"/>
            <w:shd w:val="clear" w:color="auto" w:fill="auto"/>
          </w:tcPr>
          <w:p w14:paraId="52EA4E48"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10 August 2011</w:t>
            </w:r>
          </w:p>
        </w:tc>
      </w:tr>
      <w:tr w:rsidR="00591901" w:rsidRPr="00C73CF1" w14:paraId="11D922DF" w14:textId="77777777" w:rsidTr="00AB23D1">
        <w:tc>
          <w:tcPr>
            <w:tcW w:w="3684" w:type="dxa"/>
            <w:shd w:val="clear" w:color="auto" w:fill="auto"/>
          </w:tcPr>
          <w:p w14:paraId="3CE1994D"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United Republic of Tanzania</w:t>
            </w:r>
          </w:p>
        </w:tc>
        <w:tc>
          <w:tcPr>
            <w:tcW w:w="3686" w:type="dxa"/>
            <w:shd w:val="clear" w:color="auto" w:fill="auto"/>
          </w:tcPr>
          <w:p w14:paraId="35C2EBB4"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10 December 2011</w:t>
            </w:r>
          </w:p>
        </w:tc>
      </w:tr>
      <w:tr w:rsidR="00591901" w:rsidRPr="00C73CF1" w14:paraId="652E152F" w14:textId="77777777" w:rsidTr="00AB23D1">
        <w:tc>
          <w:tcPr>
            <w:tcW w:w="3684" w:type="dxa"/>
            <w:shd w:val="clear" w:color="auto" w:fill="auto"/>
          </w:tcPr>
          <w:p w14:paraId="521B8D9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Malaysia</w:t>
            </w:r>
          </w:p>
        </w:tc>
        <w:tc>
          <w:tcPr>
            <w:tcW w:w="3686" w:type="dxa"/>
            <w:shd w:val="clear" w:color="auto" w:fill="auto"/>
          </w:tcPr>
          <w:p w14:paraId="0614C09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19 August 2012</w:t>
            </w:r>
          </w:p>
        </w:tc>
      </w:tr>
      <w:tr w:rsidR="00591901" w:rsidRPr="00C73CF1" w14:paraId="6FE20057" w14:textId="77777777" w:rsidTr="00AB23D1">
        <w:tc>
          <w:tcPr>
            <w:tcW w:w="3684" w:type="dxa"/>
            <w:shd w:val="clear" w:color="auto" w:fill="auto"/>
          </w:tcPr>
          <w:p w14:paraId="33EF9739"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Saint Vincent and the Grenadines</w:t>
            </w:r>
          </w:p>
        </w:tc>
        <w:tc>
          <w:tcPr>
            <w:tcW w:w="3686" w:type="dxa"/>
            <w:shd w:val="clear" w:color="auto" w:fill="auto"/>
          </w:tcPr>
          <w:p w14:paraId="098935CF"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29 November 2012</w:t>
            </w:r>
          </w:p>
        </w:tc>
      </w:tr>
      <w:tr w:rsidR="00591901" w:rsidRPr="00C73CF1" w14:paraId="1BC805E6" w14:textId="77777777" w:rsidTr="00AB23D1">
        <w:tc>
          <w:tcPr>
            <w:tcW w:w="3684" w:type="dxa"/>
            <w:shd w:val="clear" w:color="auto" w:fill="auto"/>
          </w:tcPr>
          <w:p w14:paraId="4C340802"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Belize</w:t>
            </w:r>
          </w:p>
        </w:tc>
        <w:tc>
          <w:tcPr>
            <w:tcW w:w="3686" w:type="dxa"/>
            <w:shd w:val="clear" w:color="auto" w:fill="auto"/>
          </w:tcPr>
          <w:p w14:paraId="03241F0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 July 2013</w:t>
            </w:r>
          </w:p>
        </w:tc>
      </w:tr>
      <w:tr w:rsidR="00591901" w:rsidRPr="00C73CF1" w14:paraId="1AEC178E" w14:textId="77777777" w:rsidTr="00AB23D1">
        <w:tc>
          <w:tcPr>
            <w:tcW w:w="3684" w:type="dxa"/>
            <w:shd w:val="clear" w:color="auto" w:fill="auto"/>
          </w:tcPr>
          <w:p w14:paraId="639709A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Cabo Verde</w:t>
            </w:r>
          </w:p>
        </w:tc>
        <w:tc>
          <w:tcPr>
            <w:tcW w:w="3686" w:type="dxa"/>
            <w:shd w:val="clear" w:color="auto" w:fill="auto"/>
          </w:tcPr>
          <w:p w14:paraId="345AD00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10 November 2013</w:t>
            </w:r>
          </w:p>
        </w:tc>
      </w:tr>
      <w:tr w:rsidR="00591901" w:rsidRPr="00C73CF1" w14:paraId="323EFFAA" w14:textId="77777777" w:rsidTr="00AB23D1">
        <w:tc>
          <w:tcPr>
            <w:tcW w:w="3684" w:type="dxa"/>
            <w:shd w:val="clear" w:color="auto" w:fill="auto"/>
          </w:tcPr>
          <w:p w14:paraId="6E506917"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Nauru</w:t>
            </w:r>
          </w:p>
        </w:tc>
        <w:tc>
          <w:tcPr>
            <w:tcW w:w="3686" w:type="dxa"/>
            <w:shd w:val="clear" w:color="auto" w:fill="auto"/>
          </w:tcPr>
          <w:p w14:paraId="1DDC94A3"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27 July 2014</w:t>
            </w:r>
          </w:p>
        </w:tc>
      </w:tr>
      <w:tr w:rsidR="00591901" w:rsidRPr="00C73CF1" w14:paraId="6145C40D" w14:textId="77777777" w:rsidTr="00AB23D1">
        <w:tc>
          <w:tcPr>
            <w:tcW w:w="3684" w:type="dxa"/>
            <w:shd w:val="clear" w:color="auto" w:fill="auto"/>
          </w:tcPr>
          <w:p w14:paraId="35E2FD6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 xml:space="preserve">Eswatini </w:t>
            </w:r>
          </w:p>
        </w:tc>
        <w:tc>
          <w:tcPr>
            <w:tcW w:w="3686" w:type="dxa"/>
            <w:shd w:val="clear" w:color="auto" w:fill="auto"/>
          </w:tcPr>
          <w:p w14:paraId="6020B17C"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24 October 2014</w:t>
            </w:r>
          </w:p>
        </w:tc>
      </w:tr>
      <w:tr w:rsidR="00591901" w:rsidRPr="00C73CF1" w14:paraId="1EEA6523" w14:textId="77777777" w:rsidTr="00AB23D1">
        <w:tc>
          <w:tcPr>
            <w:tcW w:w="3684" w:type="dxa"/>
            <w:shd w:val="clear" w:color="auto" w:fill="auto"/>
          </w:tcPr>
          <w:p w14:paraId="4C7F170A"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Dominica</w:t>
            </w:r>
          </w:p>
        </w:tc>
        <w:tc>
          <w:tcPr>
            <w:tcW w:w="3686" w:type="dxa"/>
            <w:shd w:val="clear" w:color="auto" w:fill="auto"/>
          </w:tcPr>
          <w:p w14:paraId="42A3BF30"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 November 2014</w:t>
            </w:r>
          </w:p>
        </w:tc>
      </w:tr>
      <w:tr w:rsidR="00591901" w:rsidRPr="00C73CF1" w14:paraId="3D0FA240" w14:textId="77777777" w:rsidTr="00AB23D1">
        <w:tc>
          <w:tcPr>
            <w:tcW w:w="3684" w:type="dxa"/>
            <w:shd w:val="clear" w:color="auto" w:fill="auto"/>
          </w:tcPr>
          <w:p w14:paraId="2136BB3F"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Cambodia</w:t>
            </w:r>
          </w:p>
        </w:tc>
        <w:tc>
          <w:tcPr>
            <w:tcW w:w="3686" w:type="dxa"/>
            <w:shd w:val="clear" w:color="auto" w:fill="auto"/>
          </w:tcPr>
          <w:p w14:paraId="4BBA16F5"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20 January 2015</w:t>
            </w:r>
          </w:p>
        </w:tc>
      </w:tr>
      <w:tr w:rsidR="00591901" w:rsidRPr="00C73CF1" w14:paraId="6150EA55" w14:textId="77777777" w:rsidTr="00AB23D1">
        <w:tc>
          <w:tcPr>
            <w:tcW w:w="3684" w:type="dxa"/>
            <w:shd w:val="clear" w:color="auto" w:fill="auto"/>
          </w:tcPr>
          <w:p w14:paraId="1BD044A6"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Barbados</w:t>
            </w:r>
          </w:p>
        </w:tc>
        <w:tc>
          <w:tcPr>
            <w:tcW w:w="3686" w:type="dxa"/>
            <w:shd w:val="clear" w:color="auto" w:fill="auto"/>
          </w:tcPr>
          <w:p w14:paraId="1FE64E27"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27 March 2015</w:t>
            </w:r>
          </w:p>
        </w:tc>
      </w:tr>
      <w:tr w:rsidR="00591901" w:rsidRPr="00C73CF1" w14:paraId="229DE36C" w14:textId="77777777" w:rsidTr="00AB23D1">
        <w:tc>
          <w:tcPr>
            <w:tcW w:w="3684" w:type="dxa"/>
            <w:shd w:val="clear" w:color="auto" w:fill="auto"/>
          </w:tcPr>
          <w:p w14:paraId="783AB99C"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Papua New Guinea</w:t>
            </w:r>
          </w:p>
        </w:tc>
        <w:tc>
          <w:tcPr>
            <w:tcW w:w="3686" w:type="dxa"/>
            <w:shd w:val="clear" w:color="auto" w:fill="auto"/>
          </w:tcPr>
          <w:p w14:paraId="7FEF83BD"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26 October 2015</w:t>
            </w:r>
          </w:p>
        </w:tc>
      </w:tr>
      <w:tr w:rsidR="00591901" w:rsidRPr="00C73CF1" w14:paraId="51C1ED5E" w14:textId="77777777" w:rsidTr="00AB23D1">
        <w:tc>
          <w:tcPr>
            <w:tcW w:w="3684" w:type="dxa"/>
            <w:shd w:val="clear" w:color="auto" w:fill="auto"/>
          </w:tcPr>
          <w:p w14:paraId="1E2A6028" w14:textId="616A689E"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Côte d</w:t>
            </w:r>
            <w:r w:rsidR="000F0562">
              <w:rPr>
                <w:color w:val="000000" w:themeColor="text1"/>
              </w:rPr>
              <w:t>’</w:t>
            </w:r>
            <w:r w:rsidRPr="00C73CF1">
              <w:rPr>
                <w:color w:val="000000" w:themeColor="text1"/>
              </w:rPr>
              <w:t>Ivoire</w:t>
            </w:r>
          </w:p>
        </w:tc>
        <w:tc>
          <w:tcPr>
            <w:tcW w:w="3686" w:type="dxa"/>
            <w:shd w:val="clear" w:color="auto" w:fill="auto"/>
          </w:tcPr>
          <w:p w14:paraId="5AB7A1AA"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10 February 2016</w:t>
            </w:r>
          </w:p>
        </w:tc>
      </w:tr>
      <w:tr w:rsidR="00591901" w:rsidRPr="00C73CF1" w14:paraId="66812473" w14:textId="77777777" w:rsidTr="00AB23D1">
        <w:tc>
          <w:tcPr>
            <w:tcW w:w="3684" w:type="dxa"/>
            <w:shd w:val="clear" w:color="auto" w:fill="auto"/>
          </w:tcPr>
          <w:p w14:paraId="17BC1D98"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Grenada</w:t>
            </w:r>
          </w:p>
        </w:tc>
        <w:tc>
          <w:tcPr>
            <w:tcW w:w="3686" w:type="dxa"/>
            <w:shd w:val="clear" w:color="auto" w:fill="auto"/>
          </w:tcPr>
          <w:p w14:paraId="26C82005"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17 September 2016</w:t>
            </w:r>
          </w:p>
        </w:tc>
      </w:tr>
      <w:tr w:rsidR="00591901" w:rsidRPr="00C73CF1" w14:paraId="0BD9F281" w14:textId="77777777" w:rsidTr="00AB23D1">
        <w:tc>
          <w:tcPr>
            <w:tcW w:w="3684" w:type="dxa"/>
            <w:shd w:val="clear" w:color="auto" w:fill="auto"/>
          </w:tcPr>
          <w:p w14:paraId="0360384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Congo</w:t>
            </w:r>
          </w:p>
        </w:tc>
        <w:tc>
          <w:tcPr>
            <w:tcW w:w="3686" w:type="dxa"/>
            <w:shd w:val="clear" w:color="auto" w:fill="auto"/>
          </w:tcPr>
          <w:p w14:paraId="1D5CCABA"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 October 2016</w:t>
            </w:r>
          </w:p>
        </w:tc>
      </w:tr>
      <w:tr w:rsidR="00591901" w:rsidRPr="00C73CF1" w14:paraId="71A1BDF0" w14:textId="77777777" w:rsidTr="00AB23D1">
        <w:tc>
          <w:tcPr>
            <w:tcW w:w="3684" w:type="dxa"/>
            <w:shd w:val="clear" w:color="auto" w:fill="auto"/>
          </w:tcPr>
          <w:p w14:paraId="4338E36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Guyana</w:t>
            </w:r>
          </w:p>
        </w:tc>
        <w:tc>
          <w:tcPr>
            <w:tcW w:w="3686" w:type="dxa"/>
            <w:shd w:val="clear" w:color="auto" w:fill="auto"/>
          </w:tcPr>
          <w:p w14:paraId="7879BF03"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10 October 2016</w:t>
            </w:r>
          </w:p>
        </w:tc>
      </w:tr>
      <w:tr w:rsidR="00591901" w:rsidRPr="00C73CF1" w14:paraId="4E3FE4D1" w14:textId="77777777" w:rsidTr="00AB23D1">
        <w:tc>
          <w:tcPr>
            <w:tcW w:w="3684" w:type="dxa"/>
            <w:shd w:val="clear" w:color="auto" w:fill="auto"/>
          </w:tcPr>
          <w:p w14:paraId="65009719"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Guinea-Bissau</w:t>
            </w:r>
          </w:p>
        </w:tc>
        <w:tc>
          <w:tcPr>
            <w:tcW w:w="3686" w:type="dxa"/>
            <w:shd w:val="clear" w:color="auto" w:fill="auto"/>
          </w:tcPr>
          <w:p w14:paraId="62B17E1C"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24 October 2016</w:t>
            </w:r>
          </w:p>
        </w:tc>
      </w:tr>
      <w:tr w:rsidR="00591901" w:rsidRPr="00C73CF1" w14:paraId="31CA508E" w14:textId="77777777" w:rsidTr="00AB23D1">
        <w:trPr>
          <w:trHeight w:val="461"/>
        </w:trPr>
        <w:tc>
          <w:tcPr>
            <w:tcW w:w="3684" w:type="dxa"/>
            <w:shd w:val="clear" w:color="auto" w:fill="auto"/>
          </w:tcPr>
          <w:p w14:paraId="043A0E4E"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Madagascar</w:t>
            </w:r>
          </w:p>
        </w:tc>
        <w:tc>
          <w:tcPr>
            <w:tcW w:w="3686" w:type="dxa"/>
            <w:shd w:val="clear" w:color="auto" w:fill="auto"/>
          </w:tcPr>
          <w:p w14:paraId="42437AC9"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 xml:space="preserve">12 July 2017 </w:t>
            </w:r>
          </w:p>
        </w:tc>
      </w:tr>
      <w:tr w:rsidR="00591901" w:rsidRPr="00C73CF1" w14:paraId="5798614E" w14:textId="77777777" w:rsidTr="00AB23D1">
        <w:tc>
          <w:tcPr>
            <w:tcW w:w="3684" w:type="dxa"/>
            <w:shd w:val="clear" w:color="auto" w:fill="auto"/>
          </w:tcPr>
          <w:p w14:paraId="398121C4"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Gambia</w:t>
            </w:r>
          </w:p>
        </w:tc>
        <w:tc>
          <w:tcPr>
            <w:tcW w:w="3686" w:type="dxa"/>
            <w:shd w:val="clear" w:color="auto" w:fill="auto"/>
          </w:tcPr>
          <w:p w14:paraId="29F92F4D"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6 August 2017</w:t>
            </w:r>
          </w:p>
        </w:tc>
      </w:tr>
      <w:tr w:rsidR="00591901" w:rsidRPr="00C73CF1" w14:paraId="23DC2379" w14:textId="77777777" w:rsidTr="00AB23D1">
        <w:tc>
          <w:tcPr>
            <w:tcW w:w="3684" w:type="dxa"/>
            <w:shd w:val="clear" w:color="auto" w:fill="auto"/>
          </w:tcPr>
          <w:p w14:paraId="0BD9E05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Bahamas</w:t>
            </w:r>
          </w:p>
        </w:tc>
        <w:tc>
          <w:tcPr>
            <w:tcW w:w="3686" w:type="dxa"/>
            <w:shd w:val="clear" w:color="auto" w:fill="auto"/>
          </w:tcPr>
          <w:p w14:paraId="4080AF91"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28 October 2017</w:t>
            </w:r>
          </w:p>
        </w:tc>
      </w:tr>
      <w:tr w:rsidR="00591901" w:rsidRPr="00C73CF1" w14:paraId="180C363B" w14:textId="77777777" w:rsidTr="00AB23D1">
        <w:tc>
          <w:tcPr>
            <w:tcW w:w="3684" w:type="dxa"/>
            <w:shd w:val="clear" w:color="auto" w:fill="auto"/>
          </w:tcPr>
          <w:p w14:paraId="4F498B9C"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 xml:space="preserve">Sao Tome and Principe </w:t>
            </w:r>
          </w:p>
        </w:tc>
        <w:tc>
          <w:tcPr>
            <w:tcW w:w="3686" w:type="dxa"/>
            <w:shd w:val="clear" w:color="auto" w:fill="auto"/>
          </w:tcPr>
          <w:p w14:paraId="537DB16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5 December 2017</w:t>
            </w:r>
          </w:p>
        </w:tc>
      </w:tr>
      <w:tr w:rsidR="00591901" w:rsidRPr="00C73CF1" w14:paraId="4DA19BCC" w14:textId="77777777" w:rsidTr="00AB23D1">
        <w:tc>
          <w:tcPr>
            <w:tcW w:w="3684" w:type="dxa"/>
            <w:shd w:val="clear" w:color="auto" w:fill="auto"/>
          </w:tcPr>
          <w:p w14:paraId="27893F8A"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Antigua and Barbuda</w:t>
            </w:r>
          </w:p>
        </w:tc>
        <w:tc>
          <w:tcPr>
            <w:tcW w:w="3686" w:type="dxa"/>
            <w:shd w:val="clear" w:color="auto" w:fill="auto"/>
          </w:tcPr>
          <w:p w14:paraId="57575D42"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7 February 2018</w:t>
            </w:r>
          </w:p>
        </w:tc>
      </w:tr>
      <w:tr w:rsidR="00591901" w:rsidRPr="00C73CF1" w14:paraId="1162DE76" w14:textId="77777777" w:rsidTr="00AB23D1">
        <w:tc>
          <w:tcPr>
            <w:tcW w:w="3684" w:type="dxa"/>
            <w:shd w:val="clear" w:color="auto" w:fill="auto"/>
          </w:tcPr>
          <w:p w14:paraId="4BE2AD63"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Brunei Darussalam</w:t>
            </w:r>
          </w:p>
        </w:tc>
        <w:tc>
          <w:tcPr>
            <w:tcW w:w="3686" w:type="dxa"/>
            <w:shd w:val="clear" w:color="auto" w:fill="auto"/>
          </w:tcPr>
          <w:p w14:paraId="5222855B"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11 May 2018</w:t>
            </w:r>
          </w:p>
        </w:tc>
      </w:tr>
      <w:tr w:rsidR="00591901" w:rsidRPr="00C73CF1" w14:paraId="336A2DE8" w14:textId="77777777" w:rsidTr="00AB23D1">
        <w:tc>
          <w:tcPr>
            <w:tcW w:w="3684" w:type="dxa"/>
            <w:shd w:val="clear" w:color="auto" w:fill="auto"/>
          </w:tcPr>
          <w:p w14:paraId="18FD05A6"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Comoros</w:t>
            </w:r>
          </w:p>
        </w:tc>
        <w:tc>
          <w:tcPr>
            <w:tcW w:w="3686" w:type="dxa"/>
            <w:shd w:val="clear" w:color="auto" w:fill="auto"/>
          </w:tcPr>
          <w:p w14:paraId="3DCE6E4C" w14:textId="77777777" w:rsidR="00591901" w:rsidRPr="00C73CF1" w:rsidRDefault="00591901" w:rsidP="00AB23D1">
            <w:pPr>
              <w:suppressAutoHyphens w:val="0"/>
              <w:spacing w:before="40" w:after="120" w:line="220" w:lineRule="exact"/>
              <w:ind w:right="113"/>
              <w:rPr>
                <w:color w:val="000000" w:themeColor="text1"/>
              </w:rPr>
            </w:pPr>
            <w:r w:rsidRPr="00C73CF1">
              <w:rPr>
                <w:color w:val="000000" w:themeColor="text1"/>
              </w:rPr>
              <w:t>16 July 2018</w:t>
            </w:r>
          </w:p>
        </w:tc>
      </w:tr>
      <w:tr w:rsidR="00591901" w:rsidRPr="00C73CF1" w14:paraId="272BE5D8" w14:textId="77777777" w:rsidTr="00AB23D1">
        <w:tc>
          <w:tcPr>
            <w:tcW w:w="3684" w:type="dxa"/>
          </w:tcPr>
          <w:p w14:paraId="0B6FDE06" w14:textId="77777777" w:rsidR="00591901" w:rsidRPr="00C73CF1" w:rsidRDefault="00591901" w:rsidP="00AB23D1">
            <w:pPr>
              <w:suppressAutoHyphens w:val="0"/>
              <w:spacing w:before="40" w:after="120" w:line="220" w:lineRule="exact"/>
              <w:ind w:right="113"/>
              <w:rPr>
                <w:color w:val="000000" w:themeColor="text1"/>
              </w:rPr>
            </w:pPr>
            <w:r w:rsidRPr="00C73CF1">
              <w:t>Central African Rep</w:t>
            </w:r>
            <w:r>
              <w:t>ublic</w:t>
            </w:r>
          </w:p>
        </w:tc>
        <w:tc>
          <w:tcPr>
            <w:tcW w:w="3686" w:type="dxa"/>
          </w:tcPr>
          <w:p w14:paraId="5DA53D42" w14:textId="77777777" w:rsidR="00591901" w:rsidRPr="00C73CF1" w:rsidRDefault="00591901" w:rsidP="00AB23D1">
            <w:pPr>
              <w:suppressAutoHyphens w:val="0"/>
              <w:spacing w:before="40" w:after="120" w:line="220" w:lineRule="exact"/>
              <w:ind w:right="113"/>
              <w:rPr>
                <w:color w:val="000000" w:themeColor="text1"/>
              </w:rPr>
            </w:pPr>
            <w:r w:rsidRPr="00C73CF1">
              <w:t>11 November 2018</w:t>
            </w:r>
          </w:p>
        </w:tc>
      </w:tr>
      <w:tr w:rsidR="00591901" w:rsidRPr="00C73CF1" w14:paraId="45BEF30C" w14:textId="77777777" w:rsidTr="00AB23D1">
        <w:tc>
          <w:tcPr>
            <w:tcW w:w="3684" w:type="dxa"/>
          </w:tcPr>
          <w:p w14:paraId="5A1D5347" w14:textId="77777777" w:rsidR="00591901" w:rsidRPr="00C73CF1" w:rsidRDefault="00591901" w:rsidP="00AB23D1">
            <w:pPr>
              <w:suppressAutoHyphens w:val="0"/>
              <w:spacing w:before="40" w:after="120" w:line="220" w:lineRule="exact"/>
              <w:ind w:right="113"/>
              <w:rPr>
                <w:color w:val="000000" w:themeColor="text1"/>
              </w:rPr>
            </w:pPr>
            <w:r w:rsidRPr="00C73CF1">
              <w:t>Samoa</w:t>
            </w:r>
          </w:p>
        </w:tc>
        <w:tc>
          <w:tcPr>
            <w:tcW w:w="3686" w:type="dxa"/>
          </w:tcPr>
          <w:p w14:paraId="3210B365" w14:textId="77777777" w:rsidR="00591901" w:rsidRPr="00C73CF1" w:rsidRDefault="00591901" w:rsidP="00AB23D1">
            <w:pPr>
              <w:suppressAutoHyphens w:val="0"/>
              <w:spacing w:before="40" w:after="120" w:line="220" w:lineRule="exact"/>
              <w:ind w:right="113"/>
              <w:rPr>
                <w:color w:val="000000" w:themeColor="text1"/>
              </w:rPr>
            </w:pPr>
            <w:r w:rsidRPr="00C73CF1">
              <w:t>2 January 2019</w:t>
            </w:r>
          </w:p>
        </w:tc>
      </w:tr>
      <w:tr w:rsidR="00591901" w:rsidRPr="00C73CF1" w14:paraId="612DA0A5" w14:textId="77777777" w:rsidTr="00AB23D1">
        <w:tc>
          <w:tcPr>
            <w:tcW w:w="3684" w:type="dxa"/>
          </w:tcPr>
          <w:p w14:paraId="497EE688" w14:textId="77777777" w:rsidR="00591901" w:rsidRPr="00C73CF1" w:rsidRDefault="00591901" w:rsidP="00AB23D1">
            <w:pPr>
              <w:suppressAutoHyphens w:val="0"/>
              <w:spacing w:before="40" w:after="120" w:line="220" w:lineRule="exact"/>
              <w:ind w:right="113"/>
              <w:rPr>
                <w:color w:val="000000" w:themeColor="text1"/>
              </w:rPr>
            </w:pPr>
            <w:r w:rsidRPr="00C73CF1">
              <w:t>Suriname</w:t>
            </w:r>
          </w:p>
        </w:tc>
        <w:tc>
          <w:tcPr>
            <w:tcW w:w="3686" w:type="dxa"/>
          </w:tcPr>
          <w:p w14:paraId="245EBAB6" w14:textId="77777777" w:rsidR="00591901" w:rsidRPr="00C73CF1" w:rsidRDefault="00591901" w:rsidP="00AB23D1">
            <w:pPr>
              <w:suppressAutoHyphens w:val="0"/>
              <w:spacing w:before="40" w:after="120" w:line="220" w:lineRule="exact"/>
              <w:ind w:right="113"/>
              <w:rPr>
                <w:color w:val="000000" w:themeColor="text1"/>
              </w:rPr>
            </w:pPr>
            <w:r w:rsidRPr="00C73CF1">
              <w:t>29 April 2019</w:t>
            </w:r>
          </w:p>
        </w:tc>
      </w:tr>
      <w:tr w:rsidR="00591901" w:rsidRPr="00C73CF1" w14:paraId="1E2BBE8C" w14:textId="77777777" w:rsidTr="00AB23D1">
        <w:tc>
          <w:tcPr>
            <w:tcW w:w="3684" w:type="dxa"/>
          </w:tcPr>
          <w:p w14:paraId="2E78D38D" w14:textId="77777777" w:rsidR="00591901" w:rsidRPr="00C73CF1" w:rsidRDefault="00591901" w:rsidP="00AB23D1">
            <w:pPr>
              <w:suppressAutoHyphens w:val="0"/>
              <w:spacing w:before="40" w:after="120" w:line="220" w:lineRule="exact"/>
              <w:ind w:right="113"/>
              <w:rPr>
                <w:color w:val="000000" w:themeColor="text1"/>
              </w:rPr>
            </w:pPr>
            <w:r w:rsidRPr="00C73CF1">
              <w:t>Fiji</w:t>
            </w:r>
          </w:p>
        </w:tc>
        <w:tc>
          <w:tcPr>
            <w:tcW w:w="3686" w:type="dxa"/>
          </w:tcPr>
          <w:p w14:paraId="6C589A7E" w14:textId="77777777" w:rsidR="00591901" w:rsidRPr="00C73CF1" w:rsidRDefault="00591901" w:rsidP="00AB23D1">
            <w:pPr>
              <w:suppressAutoHyphens w:val="0"/>
              <w:spacing w:before="40" w:after="120" w:line="220" w:lineRule="exact"/>
              <w:ind w:right="113"/>
              <w:rPr>
                <w:color w:val="000000" w:themeColor="text1"/>
              </w:rPr>
            </w:pPr>
            <w:r w:rsidRPr="00C73CF1">
              <w:t>7 July 2019</w:t>
            </w:r>
          </w:p>
        </w:tc>
      </w:tr>
    </w:tbl>
    <w:p w14:paraId="16D63A13" w14:textId="77777777" w:rsidR="006B04A9" w:rsidRDefault="006B04A9">
      <w:pPr>
        <w:sectPr w:rsidR="006B04A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04836B41" w14:textId="77777777" w:rsidR="00591901" w:rsidRPr="00C73CF1" w:rsidRDefault="00591901" w:rsidP="003F40A9">
      <w:pPr>
        <w:keepNext/>
        <w:keepLines/>
        <w:tabs>
          <w:tab w:val="right" w:pos="851"/>
        </w:tabs>
        <w:spacing w:before="360" w:after="240" w:line="300" w:lineRule="exact"/>
        <w:ind w:right="1134"/>
        <w:outlineLvl w:val="1"/>
        <w:rPr>
          <w:b/>
          <w:sz w:val="28"/>
          <w:u w:val="single"/>
        </w:rPr>
      </w:pPr>
      <w:r w:rsidRPr="00C73CF1">
        <w:rPr>
          <w:b/>
          <w:sz w:val="28"/>
        </w:rPr>
        <w:lastRenderedPageBreak/>
        <w:t>Annex III</w:t>
      </w:r>
    </w:p>
    <w:p w14:paraId="40B65E1A" w14:textId="77777777" w:rsidR="00591901" w:rsidRPr="00C73CF1" w:rsidRDefault="00591901" w:rsidP="00591901">
      <w:pPr>
        <w:pStyle w:val="HChG"/>
      </w:pPr>
      <w:r w:rsidRPr="00C73CF1">
        <w:tab/>
      </w:r>
      <w:r w:rsidRPr="00C73CF1">
        <w:tab/>
        <w:t>Summary of Views and decisions adopted by the Committee regarding individual communications</w:t>
      </w:r>
    </w:p>
    <w:p w14:paraId="2F44DBD8" w14:textId="77777777" w:rsidR="00591901" w:rsidRPr="00C73CF1" w:rsidRDefault="00591901" w:rsidP="00591901">
      <w:pPr>
        <w:pStyle w:val="H23G"/>
        <w:rPr>
          <w:i/>
          <w:iCs/>
        </w:rPr>
      </w:pPr>
      <w:r w:rsidRPr="00C73CF1">
        <w:tab/>
      </w:r>
      <w:r w:rsidRPr="00C73CF1">
        <w:tab/>
      </w:r>
      <w:r w:rsidRPr="00EE148E">
        <w:rPr>
          <w:i/>
          <w:iCs/>
        </w:rPr>
        <w:t>Ruiz Suárez v. Spain</w:t>
      </w:r>
    </w:p>
    <w:p w14:paraId="7FB2C37C" w14:textId="564A3AA5" w:rsidR="00591901" w:rsidRPr="00C73CF1" w:rsidRDefault="00591901" w:rsidP="00591901">
      <w:pPr>
        <w:pStyle w:val="SingleTxtG"/>
      </w:pPr>
      <w:r w:rsidRPr="00C73CF1">
        <w:t>1.</w:t>
      </w:r>
      <w:r w:rsidRPr="00C73CF1">
        <w:tab/>
        <w:t xml:space="preserve">The Committee examined the communication in the case </w:t>
      </w:r>
      <w:r w:rsidRPr="00C94093">
        <w:t xml:space="preserve">of </w:t>
      </w:r>
      <w:r w:rsidRPr="00C94093">
        <w:rPr>
          <w:i/>
          <w:iCs/>
        </w:rPr>
        <w:t>Ruiz Suárez v. Spain</w:t>
      </w:r>
      <w:r w:rsidRPr="00C94093">
        <w:t>.</w:t>
      </w:r>
      <w:r w:rsidRPr="000F0562">
        <w:rPr>
          <w:rStyle w:val="FootnoteReference"/>
        </w:rPr>
        <w:footnoteReference w:id="15"/>
      </w:r>
      <w:r w:rsidRPr="000F0562">
        <w:rPr>
          <w:rStyle w:val="FootnoteReference"/>
        </w:rPr>
        <w:t xml:space="preserve"> </w:t>
      </w:r>
      <w:r w:rsidRPr="00C94093">
        <w:t xml:space="preserve">The author of the communication </w:t>
      </w:r>
      <w:r>
        <w:t>was</w:t>
      </w:r>
      <w:r w:rsidRPr="00C94093">
        <w:t xml:space="preserve"> Esteban Ruiz Suárez, a</w:t>
      </w:r>
      <w:r w:rsidRPr="00C73CF1">
        <w:t xml:space="preserve"> national of Spain born on 23</w:t>
      </w:r>
      <w:r w:rsidR="009C5542">
        <w:t> </w:t>
      </w:r>
      <w:r w:rsidRPr="00C73CF1">
        <w:t>July 1980. He claimed to be the victim of violation</w:t>
      </w:r>
      <w:r>
        <w:t>s</w:t>
      </w:r>
      <w:r w:rsidRPr="00C73CF1">
        <w:t xml:space="preserve"> by the State party of his rights under article 13, read in conjunction with articles 5, 9, 12, 14 and 21</w:t>
      </w:r>
      <w:r>
        <w:t xml:space="preserve">, </w:t>
      </w:r>
      <w:r w:rsidRPr="00C73CF1">
        <w:t>of the Convention</w:t>
      </w:r>
      <w:r>
        <w:t>,</w:t>
      </w:r>
      <w:r w:rsidRPr="00C73CF1">
        <w:t xml:space="preserve"> as the State party </w:t>
      </w:r>
      <w:r>
        <w:t xml:space="preserve">had </w:t>
      </w:r>
      <w:r w:rsidRPr="00C73CF1">
        <w:t>failed to provide procedural accommodation and support during criminal proceeding</w:t>
      </w:r>
      <w:r>
        <w:t>s</w:t>
      </w:r>
      <w:r w:rsidRPr="00C73CF1">
        <w:t xml:space="preserve"> against him.</w:t>
      </w:r>
    </w:p>
    <w:p w14:paraId="080259F8" w14:textId="77777777" w:rsidR="00591901" w:rsidRPr="00C73CF1" w:rsidRDefault="00591901" w:rsidP="00591901">
      <w:pPr>
        <w:pStyle w:val="SingleTxtG"/>
      </w:pPr>
      <w:r w:rsidRPr="00C73CF1">
        <w:t>2.</w:t>
      </w:r>
      <w:r w:rsidRPr="00C73CF1">
        <w:tab/>
        <w:t>The author ha</w:t>
      </w:r>
      <w:r>
        <w:t>d</w:t>
      </w:r>
      <w:r w:rsidRPr="00C73CF1">
        <w:t xml:space="preserve"> an intellectual disability. His official disability rating</w:t>
      </w:r>
      <w:r>
        <w:t>,</w:t>
      </w:r>
      <w:r w:rsidRPr="00C73CF1">
        <w:t xml:space="preserve"> determined in accordance with Spanish regulations</w:t>
      </w:r>
      <w:r>
        <w:t xml:space="preserve">, was </w:t>
      </w:r>
      <w:r w:rsidRPr="00C73CF1">
        <w:t xml:space="preserve">73 per cent. On 5 March 2013, three people </w:t>
      </w:r>
      <w:r>
        <w:t>in balaclavas had</w:t>
      </w:r>
      <w:r w:rsidRPr="00C73CF1">
        <w:t xml:space="preserve"> attempted to burgle a home in the town of El Carpio </w:t>
      </w:r>
      <w:r>
        <w:t>de</w:t>
      </w:r>
      <w:r w:rsidRPr="00C73CF1">
        <w:t xml:space="preserve"> Tajo in the Province of Toledo. </w:t>
      </w:r>
      <w:r>
        <w:t>A</w:t>
      </w:r>
      <w:r w:rsidRPr="00F02C9E">
        <w:t xml:space="preserve"> family of three</w:t>
      </w:r>
      <w:r>
        <w:t xml:space="preserve"> </w:t>
      </w:r>
      <w:r w:rsidRPr="00F02C9E">
        <w:t xml:space="preserve">had been present in the house </w:t>
      </w:r>
      <w:r>
        <w:t>a</w:t>
      </w:r>
      <w:r w:rsidRPr="00C73CF1">
        <w:t>t the time of the attempted burglary and</w:t>
      </w:r>
      <w:r>
        <w:t>,</w:t>
      </w:r>
      <w:r w:rsidRPr="00C73CF1">
        <w:t xml:space="preserve"> in the ensuing struggle</w:t>
      </w:r>
      <w:r>
        <w:t>,</w:t>
      </w:r>
      <w:r w:rsidRPr="00C73CF1">
        <w:t xml:space="preserve"> the son and the father </w:t>
      </w:r>
      <w:r>
        <w:t>had been</w:t>
      </w:r>
      <w:r w:rsidRPr="00C73CF1">
        <w:t xml:space="preserve"> seriously </w:t>
      </w:r>
      <w:r>
        <w:t>injured, and the son had later died</w:t>
      </w:r>
      <w:r w:rsidRPr="00C73CF1">
        <w:t xml:space="preserve">. On 26 July 2013, the Civil Guard </w:t>
      </w:r>
      <w:r>
        <w:t xml:space="preserve">had </w:t>
      </w:r>
      <w:r w:rsidRPr="00C73CF1">
        <w:t xml:space="preserve">arrested the author for his alleged involvement in the crime. On 22 and 23 April 2015, the author </w:t>
      </w:r>
      <w:r>
        <w:t>had been</w:t>
      </w:r>
      <w:r w:rsidRPr="00C73CF1">
        <w:t xml:space="preserve"> tried </w:t>
      </w:r>
      <w:r>
        <w:t>by</w:t>
      </w:r>
      <w:r w:rsidRPr="00C73CF1">
        <w:t xml:space="preserve"> the Provincial Court of Toledo, but no account </w:t>
      </w:r>
      <w:r>
        <w:t>had been</w:t>
      </w:r>
      <w:r w:rsidRPr="00C73CF1">
        <w:t xml:space="preserve"> taken of his disability, even though it </w:t>
      </w:r>
      <w:r>
        <w:t>had been</w:t>
      </w:r>
      <w:r w:rsidRPr="00C73CF1">
        <w:t xml:space="preserve"> known to the Court. On 5 May 2015, the Provincial Court of Toledo </w:t>
      </w:r>
      <w:r>
        <w:t xml:space="preserve">had </w:t>
      </w:r>
      <w:r w:rsidRPr="00C73CF1">
        <w:t xml:space="preserve">sentenced the author to 25 years and 8 months in prison for murder aggravated by having been committed while in disguise, attempted murder with the same aggravating factor and attempted robbery in an inhabited dwelling with the aggravating factor of having been committed with dangerous weapons or by dangerous means and while in disguise. The author claimed that the failure to take accessibility measures for him or to provide him with procedural accommodation and support during the criminal proceedings against him </w:t>
      </w:r>
      <w:r>
        <w:t>had constituted</w:t>
      </w:r>
      <w:r w:rsidRPr="00C73CF1">
        <w:t xml:space="preserve"> violation</w:t>
      </w:r>
      <w:r>
        <w:t>s</w:t>
      </w:r>
      <w:r w:rsidRPr="00C73CF1">
        <w:t xml:space="preserve"> of his rights under article 13, read in conjunction with articles 5, 9, 12, 14 and 21</w:t>
      </w:r>
      <w:r>
        <w:t xml:space="preserve">, </w:t>
      </w:r>
      <w:r w:rsidRPr="00C73CF1">
        <w:t xml:space="preserve">of the Convention. He claimed that his intellectual disability </w:t>
      </w:r>
      <w:r>
        <w:t>had gone</w:t>
      </w:r>
      <w:r w:rsidRPr="00C73CF1">
        <w:t xml:space="preserve"> unnoticed by those working in the field of administration of justice during part of the criminal proceedings, although his disability was fairly obvious</w:t>
      </w:r>
      <w:r>
        <w:t xml:space="preserve"> and</w:t>
      </w:r>
      <w:r w:rsidRPr="00C73CF1">
        <w:t xml:space="preserve"> should have been noticed. He concluded that the steps taken by those judicial officials clearly reveal</w:t>
      </w:r>
      <w:r>
        <w:t>ed</w:t>
      </w:r>
      <w:r w:rsidRPr="00C73CF1">
        <w:t xml:space="preserve"> their complete lack of training on disability issues. The author argued that all of the above stem</w:t>
      </w:r>
      <w:r>
        <w:t>med</w:t>
      </w:r>
      <w:r w:rsidRPr="00C73CF1">
        <w:t xml:space="preserve"> from deficient legislation. The author noted that, in general, and in particular when it </w:t>
      </w:r>
      <w:r>
        <w:t>came</w:t>
      </w:r>
      <w:r w:rsidRPr="00C73CF1">
        <w:t xml:space="preserve"> to persons with intellectual disabilities who </w:t>
      </w:r>
      <w:r>
        <w:t>were</w:t>
      </w:r>
      <w:r w:rsidRPr="00C73CF1">
        <w:t xml:space="preserve"> investigated or charged in criminal proceedings, the procedural rules </w:t>
      </w:r>
      <w:r>
        <w:t>did</w:t>
      </w:r>
      <w:r w:rsidRPr="00C73CF1">
        <w:t xml:space="preserve"> not meet the requirements of article 13 (1), read in conjunction with articles 5, 9, 12 and 21</w:t>
      </w:r>
      <w:r>
        <w:t xml:space="preserve">, </w:t>
      </w:r>
      <w:r w:rsidRPr="00C73CF1">
        <w:t>of the Convention.</w:t>
      </w:r>
    </w:p>
    <w:p w14:paraId="5D42448D" w14:textId="39F49031" w:rsidR="00591901" w:rsidRPr="00C73CF1" w:rsidRDefault="00591901" w:rsidP="00591901">
      <w:pPr>
        <w:pStyle w:val="SingleTxtG"/>
      </w:pPr>
      <w:r w:rsidRPr="00C73CF1">
        <w:t>3.</w:t>
      </w:r>
      <w:r w:rsidRPr="00C73CF1">
        <w:tab/>
      </w:r>
      <w:r>
        <w:t>T</w:t>
      </w:r>
      <w:r w:rsidRPr="00C73CF1">
        <w:t>he Committee considered that the State party</w:t>
      </w:r>
      <w:r w:rsidR="000F0562">
        <w:t>’</w:t>
      </w:r>
      <w:r w:rsidRPr="00C73CF1">
        <w:t xml:space="preserve">s authorities should have acted </w:t>
      </w:r>
      <w:r w:rsidRPr="009841EF">
        <w:t>ex</w:t>
      </w:r>
      <w:r w:rsidR="009B04CD">
        <w:t> </w:t>
      </w:r>
      <w:r w:rsidRPr="009841EF">
        <w:t>officio</w:t>
      </w:r>
      <w:r w:rsidRPr="00C73CF1">
        <w:t xml:space="preserve"> and with due diligence as soon as they </w:t>
      </w:r>
      <w:r>
        <w:t xml:space="preserve">had </w:t>
      </w:r>
      <w:r w:rsidRPr="00C73CF1">
        <w:t>bec</w:t>
      </w:r>
      <w:r>
        <w:t>o</w:t>
      </w:r>
      <w:r w:rsidRPr="00C73CF1">
        <w:t>me aware of the author</w:t>
      </w:r>
      <w:r w:rsidR="000F0562">
        <w:t>’</w:t>
      </w:r>
      <w:r w:rsidRPr="00C73CF1">
        <w:t>s disability and, by engaging in an effective and multidisciplinary dialogue with him, should have determined what procedural accommodation and support were needed and monitored his needs during the proceedings. The Committee also considered that the State party should have taken into account the author</w:t>
      </w:r>
      <w:r w:rsidR="000F0562">
        <w:t>’</w:t>
      </w:r>
      <w:r w:rsidRPr="00C73CF1">
        <w:t>s intellectual disability and ensured that communications, including all the information given</w:t>
      </w:r>
      <w:r>
        <w:t xml:space="preserve"> to him</w:t>
      </w:r>
      <w:r w:rsidRPr="00C73CF1">
        <w:t xml:space="preserve">, were accessible to him. In addition, the Committee found that the State party had not demonstrated that those working in the field of administration of justice </w:t>
      </w:r>
      <w:r>
        <w:t>had been</w:t>
      </w:r>
      <w:r w:rsidRPr="00C73CF1">
        <w:t xml:space="preserve"> trained in </w:t>
      </w:r>
      <w:r>
        <w:t xml:space="preserve">issues concerning </w:t>
      </w:r>
      <w:r w:rsidRPr="00C73CF1">
        <w:t>intellectual disability. Lastly, the State party had not demonstrated that it ha</w:t>
      </w:r>
      <w:r>
        <w:t>d</w:t>
      </w:r>
      <w:r w:rsidRPr="00C73CF1">
        <w:t xml:space="preserve"> legislation and policies to ensure that procedural accommodation and support </w:t>
      </w:r>
      <w:r>
        <w:t>were</w:t>
      </w:r>
      <w:r w:rsidRPr="00C73CF1">
        <w:t xml:space="preserve"> provided in situations such as the one in which the author </w:t>
      </w:r>
      <w:r>
        <w:t xml:space="preserve">had </w:t>
      </w:r>
      <w:r w:rsidRPr="00C73CF1">
        <w:t xml:space="preserve">found himself. The Committee therefore concluded that the failure to ensure that information and communications were accessible and the failure to provide the necessary procedural accommodation and support </w:t>
      </w:r>
      <w:r>
        <w:t xml:space="preserve">had </w:t>
      </w:r>
      <w:r w:rsidRPr="00C73CF1">
        <w:t xml:space="preserve">put the author in a situation in which he could </w:t>
      </w:r>
      <w:r w:rsidRPr="00C73CF1">
        <w:lastRenderedPageBreak/>
        <w:t>not defend himself, in violation of his rights under article 13, read alone and in conjunction with article 9</w:t>
      </w:r>
      <w:r>
        <w:t>,</w:t>
      </w:r>
      <w:r w:rsidRPr="00CA467A">
        <w:t xml:space="preserve"> </w:t>
      </w:r>
      <w:r w:rsidRPr="00C73CF1">
        <w:t>of the Convention.</w:t>
      </w:r>
    </w:p>
    <w:p w14:paraId="524CBDAC" w14:textId="3FDBB1A4" w:rsidR="00591901" w:rsidRPr="00C73CF1" w:rsidRDefault="00591901" w:rsidP="00591901">
      <w:pPr>
        <w:pStyle w:val="SingleTxtG"/>
      </w:pPr>
      <w:r w:rsidRPr="00C73CF1">
        <w:t>4.</w:t>
      </w:r>
      <w:r w:rsidRPr="00C73CF1">
        <w:tab/>
        <w:t xml:space="preserve">The Committee </w:t>
      </w:r>
      <w:r>
        <w:t>recommended that</w:t>
      </w:r>
      <w:r w:rsidRPr="00C73CF1">
        <w:t xml:space="preserve"> the State party provide the author with adequate compensation, including for any legal costs </w:t>
      </w:r>
      <w:r>
        <w:t xml:space="preserve">that </w:t>
      </w:r>
      <w:r w:rsidRPr="00C73CF1">
        <w:t xml:space="preserve">he </w:t>
      </w:r>
      <w:r>
        <w:t>had</w:t>
      </w:r>
      <w:r w:rsidRPr="00C73CF1">
        <w:t xml:space="preserve"> incurred in submitting the communication</w:t>
      </w:r>
      <w:r>
        <w:t>,</w:t>
      </w:r>
      <w:r w:rsidRPr="00C73CF1">
        <w:t xml:space="preserve"> and ensure that the author was given a fair trial with all safeguards, while providing him with the necessary procedural accommodation and support in accordance with the </w:t>
      </w:r>
      <w:r>
        <w:t>Committee</w:t>
      </w:r>
      <w:r w:rsidR="000F0562">
        <w:t>’</w:t>
      </w:r>
      <w:r>
        <w:t>s</w:t>
      </w:r>
      <w:r w:rsidRPr="00C73CF1">
        <w:t xml:space="preserve"> Views and the Convention</w:t>
      </w:r>
      <w:r>
        <w:t>.</w:t>
      </w:r>
      <w:r w:rsidRPr="00C73CF1">
        <w:t xml:space="preserve"> </w:t>
      </w:r>
      <w:r>
        <w:t>The Committee also recommended that the State party take measures to</w:t>
      </w:r>
      <w:r w:rsidRPr="00C73CF1">
        <w:t xml:space="preserve"> prevent similar violations in the future, including: (</w:t>
      </w:r>
      <w:r>
        <w:t>a</w:t>
      </w:r>
      <w:r w:rsidRPr="00C73CF1">
        <w:t xml:space="preserve">) enacting legislation to remove barriers for persons with disabilities </w:t>
      </w:r>
      <w:r>
        <w:t>to</w:t>
      </w:r>
      <w:r w:rsidRPr="00C73CF1">
        <w:t xml:space="preserve"> access to justice, guaranteeing the provision of procedural gender- and age-appropriate accommodation and establishing relevant safeguards to enable the participation of persons with disabilities in all legal proceedings on an equal basis with others, </w:t>
      </w:r>
      <w:r>
        <w:t>while</w:t>
      </w:r>
      <w:r w:rsidRPr="00C73CF1">
        <w:t xml:space="preserve"> facilitating the use of the communication method of their choice in judicial interactions, including sign language, Braille, Easy Read, captioning, augmentative and alternative communication devices, and all other accessible means, modes and formats of communication; </w:t>
      </w:r>
      <w:r>
        <w:t xml:space="preserve">and </w:t>
      </w:r>
      <w:r w:rsidRPr="00C73CF1">
        <w:t>(</w:t>
      </w:r>
      <w:r>
        <w:t>b</w:t>
      </w:r>
      <w:r w:rsidRPr="00C73CF1">
        <w:t xml:space="preserve">) </w:t>
      </w:r>
      <w:r>
        <w:t>conducting</w:t>
      </w:r>
      <w:r w:rsidRPr="00C73CF1">
        <w:t xml:space="preserve"> regular training programmes and awareness-raising campaigns for lawyers, court staff, judges, prosecutors and law enforcement officers, including police and prison officers, on the need to provide access to justice for persons with disabilities.</w:t>
      </w:r>
    </w:p>
    <w:p w14:paraId="65155144" w14:textId="77777777" w:rsidR="00591901" w:rsidRPr="00C73CF1" w:rsidRDefault="00591901" w:rsidP="00591901">
      <w:pPr>
        <w:keepNext/>
        <w:keepLines/>
        <w:tabs>
          <w:tab w:val="right" w:pos="851"/>
        </w:tabs>
        <w:spacing w:before="240" w:after="120" w:line="240" w:lineRule="exact"/>
        <w:ind w:left="1134" w:right="1134" w:hanging="1134"/>
        <w:outlineLvl w:val="3"/>
        <w:rPr>
          <w:bCs/>
        </w:rPr>
      </w:pPr>
      <w:r w:rsidRPr="00C73CF1">
        <w:rPr>
          <w:b/>
        </w:rPr>
        <w:tab/>
      </w:r>
      <w:r w:rsidRPr="00C73CF1">
        <w:rPr>
          <w:b/>
        </w:rPr>
        <w:tab/>
      </w:r>
      <w:r w:rsidRPr="00E62ECC">
        <w:rPr>
          <w:b/>
          <w:i/>
          <w:iCs/>
        </w:rPr>
        <w:t>Z.R. v. Sweden</w:t>
      </w:r>
    </w:p>
    <w:p w14:paraId="7DDB791D" w14:textId="4BF221C6" w:rsidR="00591901" w:rsidRPr="00C73CF1" w:rsidRDefault="00591901" w:rsidP="00591901">
      <w:pPr>
        <w:spacing w:after="120"/>
        <w:ind w:left="1166" w:right="1094"/>
        <w:jc w:val="both"/>
      </w:pPr>
      <w:r w:rsidRPr="00C73CF1">
        <w:t>5.</w:t>
      </w:r>
      <w:r w:rsidRPr="00C73CF1">
        <w:tab/>
        <w:t xml:space="preserve">The Committee examined the communication in the case of </w:t>
      </w:r>
      <w:r w:rsidRPr="00E62ECC">
        <w:rPr>
          <w:i/>
          <w:iCs/>
        </w:rPr>
        <w:t>Z.R. v. Sweden</w:t>
      </w:r>
      <w:r w:rsidRPr="00E62ECC">
        <w:t>.</w:t>
      </w:r>
      <w:r w:rsidRPr="000F0562">
        <w:rPr>
          <w:rStyle w:val="FootnoteReference"/>
        </w:rPr>
        <w:footnoteReference w:id="16"/>
      </w:r>
      <w:r w:rsidRPr="000F0562">
        <w:rPr>
          <w:rStyle w:val="FootnoteReference"/>
        </w:rPr>
        <w:t xml:space="preserve"> </w:t>
      </w:r>
      <w:r w:rsidRPr="00C73CF1">
        <w:t>The authors</w:t>
      </w:r>
      <w:r>
        <w:t xml:space="preserve"> of the communication were Z.R. and her mother, S.R.,</w:t>
      </w:r>
      <w:r w:rsidRPr="00C73CF1">
        <w:t xml:space="preserve"> nationals of Kosovo</w:t>
      </w:r>
      <w:r w:rsidRPr="000F0562">
        <w:rPr>
          <w:rStyle w:val="FootnoteReference"/>
        </w:rPr>
        <w:footnoteReference w:id="17"/>
      </w:r>
      <w:r w:rsidRPr="000F0562">
        <w:rPr>
          <w:rStyle w:val="FootnoteReference"/>
        </w:rPr>
        <w:t xml:space="preserve"> </w:t>
      </w:r>
      <w:r w:rsidRPr="00C73CF1">
        <w:t>and members of the Roma minority</w:t>
      </w:r>
      <w:r>
        <w:t xml:space="preserve"> group</w:t>
      </w:r>
      <w:r w:rsidRPr="00C73CF1">
        <w:t xml:space="preserve">. The communication concerned </w:t>
      </w:r>
      <w:r>
        <w:t>a</w:t>
      </w:r>
      <w:r w:rsidRPr="00C73CF1">
        <w:t xml:space="preserve"> decision </w:t>
      </w:r>
      <w:r>
        <w:t>by the State party</w:t>
      </w:r>
      <w:r w:rsidR="000F0562">
        <w:t>’</w:t>
      </w:r>
      <w:r>
        <w:t xml:space="preserve">s authorities </w:t>
      </w:r>
      <w:r w:rsidRPr="00C73CF1">
        <w:t>to deport the authors to Kosovo after their applications for residence permits</w:t>
      </w:r>
      <w:r>
        <w:t xml:space="preserve"> had been rejected</w:t>
      </w:r>
      <w:r w:rsidRPr="00C73CF1">
        <w:t>. Z.R. ha</w:t>
      </w:r>
      <w:r>
        <w:t>d</w:t>
      </w:r>
      <w:r w:rsidRPr="00C73CF1">
        <w:t xml:space="preserve"> severe mental </w:t>
      </w:r>
      <w:r>
        <w:t>health conditions</w:t>
      </w:r>
      <w:r w:rsidRPr="00C73CF1">
        <w:t xml:space="preserve">, including chronic complex post-traumatic stress disorder and resignation syndrome, </w:t>
      </w:r>
      <w:r>
        <w:t>owing</w:t>
      </w:r>
      <w:r w:rsidRPr="00C73CF1">
        <w:t xml:space="preserve"> to traumatic experiences in Kosovo, where she and S.R. </w:t>
      </w:r>
      <w:r>
        <w:t>had been</w:t>
      </w:r>
      <w:r w:rsidRPr="00C73CF1">
        <w:t xml:space="preserve"> sexually abused. The authors and their family </w:t>
      </w:r>
      <w:r>
        <w:t>had</w:t>
      </w:r>
      <w:r w:rsidRPr="00C73CF1">
        <w:t xml:space="preserve"> applied for asylum in </w:t>
      </w:r>
      <w:r>
        <w:t>the State party</w:t>
      </w:r>
      <w:r w:rsidRPr="00C73CF1">
        <w:t xml:space="preserve"> in 2012, but the Migration Agency </w:t>
      </w:r>
      <w:r>
        <w:t xml:space="preserve">had </w:t>
      </w:r>
      <w:r w:rsidRPr="00C73CF1">
        <w:t>rejected their application, finding that the authorities</w:t>
      </w:r>
      <w:r>
        <w:t xml:space="preserve"> in Kosovo</w:t>
      </w:r>
      <w:r w:rsidRPr="00C73CF1">
        <w:t xml:space="preserve"> were willing and able to protect them. The migration authorities </w:t>
      </w:r>
      <w:r>
        <w:t xml:space="preserve">had </w:t>
      </w:r>
      <w:r w:rsidRPr="00C73CF1">
        <w:t>also rejected their subsequent applications for residence permits based on impediments to the enforcement the</w:t>
      </w:r>
      <w:r>
        <w:t>ir</w:t>
      </w:r>
      <w:r w:rsidRPr="00C73CF1">
        <w:t xml:space="preserve"> deportation</w:t>
      </w:r>
      <w:r>
        <w:t>,</w:t>
      </w:r>
      <w:r w:rsidRPr="00C73CF1">
        <w:t xml:space="preserve"> </w:t>
      </w:r>
      <w:r>
        <w:t>in which</w:t>
      </w:r>
      <w:r w:rsidRPr="00C73CF1">
        <w:t xml:space="preserve"> the </w:t>
      </w:r>
      <w:r>
        <w:t>authors had claimed that Z.R</w:t>
      </w:r>
      <w:r w:rsidR="00A93DDF">
        <w:t>.</w:t>
      </w:r>
      <w:r>
        <w:t xml:space="preserve"> would not receive the required</w:t>
      </w:r>
      <w:r w:rsidRPr="00C73CF1">
        <w:t xml:space="preserve"> treatment in Kosovo. Z.R. </w:t>
      </w:r>
      <w:r>
        <w:t>had</w:t>
      </w:r>
      <w:r w:rsidRPr="00C73CF1">
        <w:t xml:space="preserve"> lost many </w:t>
      </w:r>
      <w:r>
        <w:t>bodily</w:t>
      </w:r>
      <w:r w:rsidRPr="00C73CF1">
        <w:t xml:space="preserve"> functions and required diapers. In January 2016, Z.R.</w:t>
      </w:r>
      <w:r w:rsidR="000F0562">
        <w:t>’</w:t>
      </w:r>
      <w:r w:rsidRPr="00C73CF1">
        <w:t xml:space="preserve">s appendix </w:t>
      </w:r>
      <w:r>
        <w:t xml:space="preserve">had </w:t>
      </w:r>
      <w:r w:rsidRPr="00C73CF1">
        <w:t xml:space="preserve">ruptured </w:t>
      </w:r>
      <w:r>
        <w:t>owing</w:t>
      </w:r>
      <w:r w:rsidRPr="00C73CF1">
        <w:t xml:space="preserve"> to appendicitis. She </w:t>
      </w:r>
      <w:r>
        <w:t xml:space="preserve">had </w:t>
      </w:r>
      <w:r w:rsidRPr="00C73CF1">
        <w:t>under</w:t>
      </w:r>
      <w:r>
        <w:t>gone</w:t>
      </w:r>
      <w:r w:rsidRPr="00C73CF1">
        <w:t xml:space="preserve"> </w:t>
      </w:r>
      <w:r>
        <w:t>surgery</w:t>
      </w:r>
      <w:r w:rsidRPr="00C73CF1">
        <w:t xml:space="preserve"> in </w:t>
      </w:r>
      <w:r>
        <w:t>the State party</w:t>
      </w:r>
      <w:r w:rsidRPr="00C73CF1">
        <w:t xml:space="preserve"> but continue</w:t>
      </w:r>
      <w:r>
        <w:t>d</w:t>
      </w:r>
      <w:r w:rsidRPr="00C73CF1">
        <w:t xml:space="preserve"> to require reconstructi</w:t>
      </w:r>
      <w:r>
        <w:t>ve surgery</w:t>
      </w:r>
      <w:r w:rsidRPr="00C73CF1">
        <w:t xml:space="preserve"> </w:t>
      </w:r>
      <w:r>
        <w:t>on</w:t>
      </w:r>
      <w:r w:rsidRPr="00C73CF1">
        <w:t xml:space="preserve"> her abdom</w:t>
      </w:r>
      <w:r>
        <w:t>inal wall</w:t>
      </w:r>
      <w:r w:rsidRPr="00C73CF1">
        <w:t xml:space="preserve">. In </w:t>
      </w:r>
      <w:r>
        <w:t>February</w:t>
      </w:r>
      <w:r w:rsidRPr="00C73CF1">
        <w:t xml:space="preserve"> 2018, the authors</w:t>
      </w:r>
      <w:r>
        <w:t xml:space="preserve"> and their family</w:t>
      </w:r>
      <w:r w:rsidRPr="00C73CF1">
        <w:t xml:space="preserve"> </w:t>
      </w:r>
      <w:r>
        <w:t>had been</w:t>
      </w:r>
      <w:r w:rsidRPr="00C73CF1">
        <w:t xml:space="preserve"> deported to Kosovo, but they </w:t>
      </w:r>
      <w:r>
        <w:t xml:space="preserve">had </w:t>
      </w:r>
      <w:r w:rsidRPr="00C73CF1">
        <w:t xml:space="preserve">returned to </w:t>
      </w:r>
      <w:r>
        <w:t>the State party</w:t>
      </w:r>
      <w:r w:rsidRPr="00C73CF1">
        <w:t xml:space="preserve"> shortly thereafter. In their communication to the Committee, the authors argued that their deportation to Kosovo would result in a real risk of Z.R. being exposed to a serious, rapid and lasting deterioration in her state of health</w:t>
      </w:r>
      <w:r>
        <w:t>,</w:t>
      </w:r>
      <w:r w:rsidRPr="00C73CF1">
        <w:t xml:space="preserve"> because she would not </w:t>
      </w:r>
      <w:r>
        <w:t>have</w:t>
      </w:r>
      <w:r w:rsidRPr="00C73CF1">
        <w:t xml:space="preserve"> access</w:t>
      </w:r>
      <w:r>
        <w:t xml:space="preserve"> to</w:t>
      </w:r>
      <w:r w:rsidRPr="00C73CF1">
        <w:t xml:space="preserve"> or </w:t>
      </w:r>
      <w:r>
        <w:t xml:space="preserve">be able to </w:t>
      </w:r>
      <w:r w:rsidRPr="00C73CF1">
        <w:t>benefit from the required healthcare, in breach of her rights under articles 10 and 15 of the Convention. They argued that the State party had insufficiently verified whether the required medical competence and ability to coordinate between different healthcare providers exist</w:t>
      </w:r>
      <w:r>
        <w:t>ed</w:t>
      </w:r>
      <w:r w:rsidRPr="00C73CF1">
        <w:t xml:space="preserve"> in Kosovo, and what her </w:t>
      </w:r>
      <w:r w:rsidR="000F0562">
        <w:t>“</w:t>
      </w:r>
      <w:r w:rsidRPr="00C73CF1">
        <w:t>actual chances</w:t>
      </w:r>
      <w:r w:rsidR="000F0562">
        <w:t>”</w:t>
      </w:r>
      <w:r w:rsidRPr="00C73CF1">
        <w:t xml:space="preserve"> were of receiving healthcare there as a Roma woman.</w:t>
      </w:r>
    </w:p>
    <w:p w14:paraId="67C23E73" w14:textId="4FB90441" w:rsidR="00591901" w:rsidRPr="00C73CF1" w:rsidRDefault="00591901" w:rsidP="00591901">
      <w:pPr>
        <w:pStyle w:val="SingleTxtG"/>
      </w:pPr>
      <w:r w:rsidRPr="00C73CF1">
        <w:t>6.</w:t>
      </w:r>
      <w:r w:rsidRPr="00C73CF1">
        <w:tab/>
        <w:t>The State party contended that the communication should be found inadmissible and, on the merits, that its authorities had not breached Z.R.</w:t>
      </w:r>
      <w:r w:rsidR="000F0562">
        <w:t>’</w:t>
      </w:r>
      <w:r w:rsidRPr="00C73CF1">
        <w:t>s rights under the Convention in deciding to deport her and S.R. to Kosovo.</w:t>
      </w:r>
    </w:p>
    <w:p w14:paraId="21E2B7CB" w14:textId="0D1FB2AB" w:rsidR="00591901" w:rsidRPr="00D1244F" w:rsidRDefault="00591901" w:rsidP="00591901">
      <w:pPr>
        <w:pStyle w:val="SingleTxtG"/>
      </w:pPr>
      <w:r w:rsidRPr="00C73CF1">
        <w:t>7.</w:t>
      </w:r>
      <w:r w:rsidRPr="00C73CF1">
        <w:tab/>
      </w:r>
      <w:r>
        <w:t>T</w:t>
      </w:r>
      <w:r w:rsidRPr="00C73CF1">
        <w:t xml:space="preserve">he Committee noted the jurisprudence of the European Court of Human Rights in </w:t>
      </w:r>
      <w:r w:rsidRPr="00C73CF1">
        <w:rPr>
          <w:i/>
          <w:iCs/>
        </w:rPr>
        <w:t>Paposhvili v. Belgium</w:t>
      </w:r>
      <w:r w:rsidRPr="00C73CF1">
        <w:t>,</w:t>
      </w:r>
      <w:r w:rsidRPr="000F0562">
        <w:rPr>
          <w:rStyle w:val="FootnoteReference"/>
        </w:rPr>
        <w:footnoteReference w:id="18"/>
      </w:r>
      <w:r w:rsidRPr="000F0562">
        <w:rPr>
          <w:rStyle w:val="FootnoteReference"/>
        </w:rPr>
        <w:t xml:space="preserve"> </w:t>
      </w:r>
      <w:r w:rsidRPr="00C73CF1">
        <w:t xml:space="preserve">in which the Court </w:t>
      </w:r>
      <w:r>
        <w:t xml:space="preserve">had </w:t>
      </w:r>
      <w:r w:rsidRPr="00C73CF1">
        <w:t xml:space="preserve">noted that the removal of a person in need of ongoing medical care could in </w:t>
      </w:r>
      <w:r w:rsidR="000F0562">
        <w:t>“</w:t>
      </w:r>
      <w:r w:rsidRPr="00C73CF1">
        <w:t>very exceptional cases</w:t>
      </w:r>
      <w:r w:rsidR="000F0562">
        <w:t>”</w:t>
      </w:r>
      <w:r w:rsidRPr="00C73CF1">
        <w:t xml:space="preserve"> raise an issue under article 3 of the </w:t>
      </w:r>
      <w:r w:rsidRPr="006622F4">
        <w:t>Convention for the Protection of Human Rights and Fundamental Freedoms (</w:t>
      </w:r>
      <w:r w:rsidRPr="00C73CF1">
        <w:t xml:space="preserve">European </w:t>
      </w:r>
      <w:r w:rsidRPr="00C73CF1">
        <w:lastRenderedPageBreak/>
        <w:t>Convention on Human Rights</w:t>
      </w:r>
      <w:r>
        <w:t>)</w:t>
      </w:r>
      <w:r w:rsidRPr="00C73CF1">
        <w:t xml:space="preserve">. The Committee noted that according to the Court, </w:t>
      </w:r>
      <w:r>
        <w:t>such exceptional cases</w:t>
      </w:r>
      <w:r w:rsidRPr="00C73CF1">
        <w:t xml:space="preserve"> should be understood to </w:t>
      </w:r>
      <w:r>
        <w:t>be</w:t>
      </w:r>
      <w:r w:rsidRPr="00C73CF1">
        <w:t xml:space="preserve"> situations involving the removal of a seriously ill person in which substantial grounds ha</w:t>
      </w:r>
      <w:r>
        <w:t>d</w:t>
      </w:r>
      <w:r w:rsidRPr="00C73CF1">
        <w:t xml:space="preserve"> been shown for believing that he or she, although not at imminent risk of dying, would face a real risk, on account of the absence of appropriate treatment in the receiving country or the lack of access to such treatment, of being exposed to a serious, rapid and irreversible decline in his or her state of health resulting in intense suffering or to a significant reduction in life expectancy. In the present case, the Committee noted that the domestic authorities had obtained two reports </w:t>
      </w:r>
      <w:r>
        <w:t>containing</w:t>
      </w:r>
      <w:r w:rsidRPr="00C73CF1">
        <w:t xml:space="preserve"> medical </w:t>
      </w:r>
      <w:r>
        <w:t xml:space="preserve">information on the </w:t>
      </w:r>
      <w:r w:rsidRPr="00C73CF1">
        <w:t xml:space="preserve">country of origin, based on which they </w:t>
      </w:r>
      <w:r>
        <w:t xml:space="preserve">had </w:t>
      </w:r>
      <w:r w:rsidRPr="00C73CF1">
        <w:t>concluded that the required treatment was available and accessible to Z.R. in Kosovo. The Committee considered that the authors had not demonstrated that the assessments</w:t>
      </w:r>
      <w:r>
        <w:t xml:space="preserve"> by the State party</w:t>
      </w:r>
      <w:r w:rsidRPr="00C73CF1">
        <w:t xml:space="preserve"> </w:t>
      </w:r>
      <w:r>
        <w:t>had been</w:t>
      </w:r>
      <w:r w:rsidRPr="00C73CF1">
        <w:t xml:space="preserve"> clearly arbitrary or amounted to a denial of justice. The Committee therefore considered that it could not conclude that </w:t>
      </w:r>
      <w:r>
        <w:t>the</w:t>
      </w:r>
      <w:r w:rsidRPr="00C73CF1">
        <w:t xml:space="preserve"> removal</w:t>
      </w:r>
      <w:r>
        <w:t xml:space="preserve"> of Z.R.</w:t>
      </w:r>
      <w:r w:rsidRPr="00C73CF1">
        <w:t xml:space="preserve"> to Kosovo would </w:t>
      </w:r>
      <w:r w:rsidRPr="00D1244F">
        <w:t>breach her rights under articles 10 or 15 of the Convention.</w:t>
      </w:r>
    </w:p>
    <w:p w14:paraId="11B19D72" w14:textId="77777777" w:rsidR="00591901" w:rsidRPr="00D1244F" w:rsidRDefault="00591901" w:rsidP="00591901">
      <w:pPr>
        <w:pStyle w:val="H23G"/>
        <w:rPr>
          <w:i/>
          <w:iCs/>
        </w:rPr>
      </w:pPr>
      <w:r w:rsidRPr="00D1244F">
        <w:tab/>
      </w:r>
      <w:r w:rsidRPr="00D1244F">
        <w:tab/>
      </w:r>
      <w:r w:rsidRPr="00D1244F">
        <w:rPr>
          <w:i/>
          <w:iCs/>
        </w:rPr>
        <w:t>E.O.J. et al. v. Sweden</w:t>
      </w:r>
    </w:p>
    <w:p w14:paraId="65F1E8D1" w14:textId="14A175A0" w:rsidR="00591901" w:rsidRPr="00C73CF1" w:rsidRDefault="00591901" w:rsidP="00591901">
      <w:pPr>
        <w:pStyle w:val="SingleTxtG"/>
      </w:pPr>
      <w:r w:rsidRPr="00D1244F">
        <w:t>8.</w:t>
      </w:r>
      <w:r w:rsidRPr="00D1244F">
        <w:tab/>
        <w:t>The C</w:t>
      </w:r>
      <w:r w:rsidRPr="00C73CF1">
        <w:t xml:space="preserve">ommittee examined the communication in the </w:t>
      </w:r>
      <w:r w:rsidRPr="00844CC2">
        <w:t xml:space="preserve">case of </w:t>
      </w:r>
      <w:r w:rsidRPr="00844CC2">
        <w:rPr>
          <w:i/>
          <w:iCs/>
        </w:rPr>
        <w:t>E.O.J. et al. v. Sweden</w:t>
      </w:r>
      <w:r w:rsidRPr="00844CC2">
        <w:t>.</w:t>
      </w:r>
      <w:r w:rsidRPr="000F0562">
        <w:rPr>
          <w:rStyle w:val="FootnoteReference"/>
        </w:rPr>
        <w:footnoteReference w:id="19"/>
      </w:r>
      <w:r w:rsidRPr="000F0562">
        <w:rPr>
          <w:rStyle w:val="FootnoteReference"/>
        </w:rPr>
        <w:t xml:space="preserve"> </w:t>
      </w:r>
      <w:r>
        <w:t xml:space="preserve">The author of the communication was </w:t>
      </w:r>
      <w:r w:rsidRPr="00844CC2">
        <w:t>F.I.J.</w:t>
      </w:r>
      <w:r>
        <w:t>, who</w:t>
      </w:r>
      <w:r w:rsidRPr="00844CC2">
        <w:t xml:space="preserve"> submitted the communication on behalf of her children</w:t>
      </w:r>
      <w:r w:rsidRPr="00C73CF1">
        <w:t xml:space="preserve">, </w:t>
      </w:r>
      <w:r w:rsidRPr="0070757E">
        <w:t>E.O.J.</w:t>
      </w:r>
      <w:r w:rsidRPr="00C73CF1">
        <w:t xml:space="preserve">, S.J. and E.J. The author, her children and her husband, O.O.J., </w:t>
      </w:r>
      <w:r>
        <w:t>all</w:t>
      </w:r>
      <w:r w:rsidRPr="00C73CF1">
        <w:t xml:space="preserve"> nationals of Nigeria, were subject to a decision by the authorities</w:t>
      </w:r>
      <w:r>
        <w:t xml:space="preserve"> of the State party</w:t>
      </w:r>
      <w:r w:rsidRPr="00C73CF1">
        <w:t xml:space="preserve"> to </w:t>
      </w:r>
      <w:r>
        <w:t>deport</w:t>
      </w:r>
      <w:r w:rsidRPr="00C73CF1">
        <w:t xml:space="preserve"> them to Nigeria. </w:t>
      </w:r>
      <w:r w:rsidRPr="00040587">
        <w:t>E.O.J.</w:t>
      </w:r>
      <w:r w:rsidRPr="00C73CF1">
        <w:t xml:space="preserve"> and E.J. </w:t>
      </w:r>
      <w:r>
        <w:t>had been</w:t>
      </w:r>
      <w:r w:rsidRPr="00C73CF1">
        <w:t xml:space="preserve"> diagnosed with autism in 2013 and 2020 respectively</w:t>
      </w:r>
      <w:r w:rsidRPr="00AF79B0">
        <w:t xml:space="preserve"> </w:t>
      </w:r>
      <w:r>
        <w:t>and with intellectual disabilities. Furthermore, E.O.J. had attention deficit hyperactivity disorder and E.J. had hearing impairments in both ears</w:t>
      </w:r>
      <w:r w:rsidRPr="00C73CF1">
        <w:t>. E.J. ha</w:t>
      </w:r>
      <w:r>
        <w:t>d</w:t>
      </w:r>
      <w:r w:rsidRPr="00C73CF1">
        <w:t xml:space="preserve"> no expressive speech, show</w:t>
      </w:r>
      <w:r>
        <w:t>ed</w:t>
      </w:r>
      <w:r w:rsidRPr="00C73CF1">
        <w:t xml:space="preserve"> no understanding of speech and require</w:t>
      </w:r>
      <w:r>
        <w:t>d</w:t>
      </w:r>
      <w:r w:rsidRPr="00C73CF1">
        <w:t xml:space="preserve"> extensive support in his daily life. On 18 August 2017, at its </w:t>
      </w:r>
      <w:r>
        <w:t>eighteenth</w:t>
      </w:r>
      <w:r w:rsidRPr="00C73CF1">
        <w:rPr>
          <w:vertAlign w:val="superscript"/>
        </w:rPr>
        <w:t> </w:t>
      </w:r>
      <w:r w:rsidRPr="00C73CF1">
        <w:t xml:space="preserve">session, the Committee </w:t>
      </w:r>
      <w:r>
        <w:t xml:space="preserve">had </w:t>
      </w:r>
      <w:r w:rsidRPr="00C73CF1">
        <w:t>examined a</w:t>
      </w:r>
      <w:r>
        <w:t>n</w:t>
      </w:r>
      <w:r w:rsidRPr="00C73CF1">
        <w:t xml:space="preserve"> </w:t>
      </w:r>
      <w:r>
        <w:t>earlier</w:t>
      </w:r>
      <w:r w:rsidRPr="00C73CF1">
        <w:t xml:space="preserve"> communication submitted by the family</w:t>
      </w:r>
      <w:r>
        <w:t xml:space="preserve"> on behalf of E.O.J.</w:t>
      </w:r>
      <w:r w:rsidRPr="00C73CF1">
        <w:t xml:space="preserve">, which it </w:t>
      </w:r>
      <w:r>
        <w:t xml:space="preserve">had </w:t>
      </w:r>
      <w:r w:rsidRPr="00C73CF1">
        <w:t xml:space="preserve">found inadmissible for </w:t>
      </w:r>
      <w:r>
        <w:t>failure to</w:t>
      </w:r>
      <w:r w:rsidRPr="00C73CF1">
        <w:t xml:space="preserve"> exhaust domestic remedies.</w:t>
      </w:r>
      <w:r w:rsidRPr="000F0562">
        <w:rPr>
          <w:rStyle w:val="FootnoteReference"/>
        </w:rPr>
        <w:footnoteReference w:id="20"/>
      </w:r>
      <w:r w:rsidRPr="000F0562">
        <w:rPr>
          <w:rStyle w:val="FootnoteReference"/>
        </w:rPr>
        <w:t xml:space="preserve"> </w:t>
      </w:r>
      <w:r w:rsidRPr="00C73CF1">
        <w:t xml:space="preserve">On 8 July 2019, the Migration Agency </w:t>
      </w:r>
      <w:r>
        <w:t xml:space="preserve">had </w:t>
      </w:r>
      <w:r w:rsidRPr="00C73CF1">
        <w:t>rejected a new application for residence</w:t>
      </w:r>
      <w:r>
        <w:t>,</w:t>
      </w:r>
      <w:r w:rsidRPr="00C73CF1">
        <w:t xml:space="preserve"> with reference to a report </w:t>
      </w:r>
      <w:r>
        <w:t>containing</w:t>
      </w:r>
      <w:r w:rsidRPr="00C73CF1">
        <w:t xml:space="preserve"> medical </w:t>
      </w:r>
      <w:r>
        <w:t xml:space="preserve">information on the </w:t>
      </w:r>
      <w:r w:rsidRPr="00C73CF1">
        <w:t xml:space="preserve">country of origin </w:t>
      </w:r>
      <w:r>
        <w:t>regarding</w:t>
      </w:r>
      <w:r w:rsidRPr="00C73CF1">
        <w:t xml:space="preserve"> the availability of care for children with autism in Nigeria. The decision was upheld by the Migration Court and the Migration Court of Appeal. The migration authorities also rejected subsequent applications for residence permits filed on behalf of the family. The author claimed that the State party had breached </w:t>
      </w:r>
      <w:r w:rsidRPr="00F32E73">
        <w:t>E.O.J.</w:t>
      </w:r>
      <w:r w:rsidR="000F0562">
        <w:t>’</w:t>
      </w:r>
      <w:r w:rsidRPr="00C73CF1">
        <w:t>s and E.J.</w:t>
      </w:r>
      <w:r w:rsidR="000F0562">
        <w:t>’</w:t>
      </w:r>
      <w:r w:rsidRPr="00C73CF1">
        <w:t>s rights under the Convention by deciding to deport them</w:t>
      </w:r>
      <w:r>
        <w:t>,</w:t>
      </w:r>
      <w:r w:rsidRPr="00C73CF1">
        <w:t xml:space="preserve"> </w:t>
      </w:r>
      <w:r>
        <w:t>together with their</w:t>
      </w:r>
      <w:r w:rsidRPr="00C73CF1">
        <w:t xml:space="preserve"> family, in view of the consequences on their health, well</w:t>
      </w:r>
      <w:r>
        <w:t>-</w:t>
      </w:r>
      <w:r w:rsidRPr="00C73CF1">
        <w:t xml:space="preserve">being, psychological development and life. The author argued that the migration authorities had inadequately considered the </w:t>
      </w:r>
      <w:r>
        <w:t xml:space="preserve">lack of </w:t>
      </w:r>
      <w:r w:rsidRPr="00C73CF1">
        <w:t>availability</w:t>
      </w:r>
      <w:r>
        <w:t xml:space="preserve"> of</w:t>
      </w:r>
      <w:r w:rsidRPr="00C73CF1">
        <w:t xml:space="preserve"> and access </w:t>
      </w:r>
      <w:r>
        <w:t>to</w:t>
      </w:r>
      <w:r w:rsidRPr="00C73CF1">
        <w:t xml:space="preserve"> healthcare and support for children</w:t>
      </w:r>
      <w:r>
        <w:t xml:space="preserve"> with autism</w:t>
      </w:r>
      <w:r w:rsidRPr="00C73CF1">
        <w:t xml:space="preserve"> in Nigeria, </w:t>
      </w:r>
      <w:r>
        <w:t>and</w:t>
      </w:r>
      <w:r w:rsidRPr="00C73CF1">
        <w:t xml:space="preserve"> </w:t>
      </w:r>
      <w:r w:rsidRPr="001C5867">
        <w:t>E.O.J.</w:t>
      </w:r>
      <w:r w:rsidR="000F0562">
        <w:t>’</w:t>
      </w:r>
      <w:r w:rsidRPr="00C73CF1">
        <w:t>s and E.J.</w:t>
      </w:r>
      <w:r w:rsidR="000F0562">
        <w:t>’</w:t>
      </w:r>
      <w:r w:rsidRPr="00C73CF1">
        <w:t xml:space="preserve">s best interests and the strength of their </w:t>
      </w:r>
      <w:r>
        <w:t xml:space="preserve">social, cultural and family </w:t>
      </w:r>
      <w:r w:rsidRPr="00C73CF1">
        <w:t xml:space="preserve">ties to Sweden, where they </w:t>
      </w:r>
      <w:r>
        <w:t>had been</w:t>
      </w:r>
      <w:r w:rsidRPr="00C73CF1">
        <w:t xml:space="preserve"> born.</w:t>
      </w:r>
    </w:p>
    <w:p w14:paraId="0C7D81EE" w14:textId="77777777" w:rsidR="00591901" w:rsidRPr="00C73CF1" w:rsidRDefault="00591901" w:rsidP="00591901">
      <w:pPr>
        <w:pStyle w:val="SingleTxtG"/>
      </w:pPr>
      <w:r w:rsidRPr="00C73CF1">
        <w:t>9.</w:t>
      </w:r>
      <w:r w:rsidRPr="00C73CF1">
        <w:tab/>
        <w:t xml:space="preserve">In its observations, the State party argued that the communication </w:t>
      </w:r>
      <w:r>
        <w:t>was</w:t>
      </w:r>
      <w:r w:rsidRPr="00C73CF1">
        <w:t xml:space="preserve"> inadmissible or, alternatively, that it </w:t>
      </w:r>
      <w:r>
        <w:t>was</w:t>
      </w:r>
      <w:r w:rsidRPr="00C73CF1">
        <w:t xml:space="preserve"> without merit.</w:t>
      </w:r>
    </w:p>
    <w:p w14:paraId="45EE3F6F" w14:textId="7915B430" w:rsidR="00591901" w:rsidRPr="00C73CF1" w:rsidRDefault="00591901" w:rsidP="00591901">
      <w:pPr>
        <w:pStyle w:val="SingleTxtG"/>
      </w:pPr>
      <w:r w:rsidRPr="00C73CF1">
        <w:t>10.</w:t>
      </w:r>
      <w:r w:rsidRPr="00C73CF1">
        <w:tab/>
        <w:t xml:space="preserve">In its consideration </w:t>
      </w:r>
      <w:r>
        <w:t>of</w:t>
      </w:r>
      <w:r w:rsidRPr="00C73CF1">
        <w:t xml:space="preserve"> admissibility, the Committee found the communication inadmissible insofar as it concerned S.J., as the author had not argued that she </w:t>
      </w:r>
      <w:r>
        <w:t>was</w:t>
      </w:r>
      <w:r w:rsidRPr="00C73CF1">
        <w:t xml:space="preserve"> a person with disabilities. The Committee noted that the State party</w:t>
      </w:r>
      <w:r w:rsidR="000F0562">
        <w:t>’</w:t>
      </w:r>
      <w:r w:rsidRPr="00C73CF1">
        <w:t xml:space="preserve">s authorities had considered </w:t>
      </w:r>
      <w:r w:rsidRPr="006E3FD8">
        <w:t>E.O.J.</w:t>
      </w:r>
      <w:r w:rsidR="000F0562">
        <w:t>’</w:t>
      </w:r>
      <w:r w:rsidRPr="00C73CF1">
        <w:t>s and E.J.</w:t>
      </w:r>
      <w:r w:rsidR="000F0562">
        <w:t>’</w:t>
      </w:r>
      <w:r w:rsidRPr="00C73CF1">
        <w:t xml:space="preserve">s respective situations and </w:t>
      </w:r>
      <w:r>
        <w:t xml:space="preserve">had </w:t>
      </w:r>
      <w:r w:rsidRPr="00C73CF1">
        <w:t>found that psychiatric and psychological care and access to preschool</w:t>
      </w:r>
      <w:r>
        <w:t xml:space="preserve"> education</w:t>
      </w:r>
      <w:r w:rsidRPr="00C73CF1">
        <w:t xml:space="preserve"> for children with autism </w:t>
      </w:r>
      <w:r>
        <w:t xml:space="preserve">did </w:t>
      </w:r>
      <w:r w:rsidRPr="00C73CF1">
        <w:t xml:space="preserve">exist in Nigeria, and that there was no indication that the care and support that </w:t>
      </w:r>
      <w:r w:rsidRPr="00691E32">
        <w:t>E.O.J.</w:t>
      </w:r>
      <w:r w:rsidRPr="00C73CF1">
        <w:t xml:space="preserve"> and E.J. required could not be provided. The Committee therefore found th</w:t>
      </w:r>
      <w:r>
        <w:t>o</w:t>
      </w:r>
      <w:r w:rsidRPr="00C73CF1">
        <w:t xml:space="preserve">se claims inadmissible as insufficiently substantiated. However, the Committee </w:t>
      </w:r>
      <w:r>
        <w:t xml:space="preserve">found </w:t>
      </w:r>
      <w:r w:rsidRPr="00C73CF1">
        <w:t>admi</w:t>
      </w:r>
      <w:r>
        <w:t>ssible</w:t>
      </w:r>
      <w:r w:rsidRPr="00C73CF1">
        <w:t xml:space="preserve"> the author</w:t>
      </w:r>
      <w:r w:rsidR="000F0562">
        <w:t>’</w:t>
      </w:r>
      <w:r w:rsidRPr="00C73CF1">
        <w:t>s claim that</w:t>
      </w:r>
      <w:r>
        <w:t>, despite her request,</w:t>
      </w:r>
      <w:r w:rsidRPr="00C73CF1">
        <w:t xml:space="preserve"> the Migration Court had </w:t>
      </w:r>
      <w:r>
        <w:t>failed to</w:t>
      </w:r>
      <w:r w:rsidRPr="00C73CF1">
        <w:t xml:space="preserve"> hear </w:t>
      </w:r>
      <w:r w:rsidRPr="00217751">
        <w:t>E.O.J.</w:t>
      </w:r>
    </w:p>
    <w:p w14:paraId="60045319" w14:textId="5C4266E2" w:rsidR="00591901" w:rsidRPr="00C73CF1" w:rsidRDefault="00591901" w:rsidP="00591901">
      <w:pPr>
        <w:pStyle w:val="SingleTxtG"/>
      </w:pPr>
      <w:r w:rsidRPr="00C73CF1">
        <w:t>11.</w:t>
      </w:r>
      <w:r w:rsidRPr="00C73CF1">
        <w:tab/>
      </w:r>
      <w:r>
        <w:t>T</w:t>
      </w:r>
      <w:r w:rsidRPr="00C73CF1">
        <w:t xml:space="preserve">he Committee considered that States parties should grant children with disabilities the right to be heard in any judicial or administrative proceedings affecting the child, either directly, or through a representative. The Committee noted that </w:t>
      </w:r>
      <w:r w:rsidRPr="007E37C1">
        <w:t>E.O.J.</w:t>
      </w:r>
      <w:r w:rsidRPr="00C73CF1">
        <w:t xml:space="preserve"> had not been heard by the migration courts despite the author</w:t>
      </w:r>
      <w:r w:rsidR="000F0562">
        <w:t>’</w:t>
      </w:r>
      <w:r w:rsidRPr="00C73CF1">
        <w:t xml:space="preserve">s request and that, as he </w:t>
      </w:r>
      <w:r>
        <w:t>had been</w:t>
      </w:r>
      <w:r w:rsidRPr="00C73CF1">
        <w:t xml:space="preserve"> </w:t>
      </w:r>
      <w:r>
        <w:t>7</w:t>
      </w:r>
      <w:r w:rsidRPr="00C73CF1">
        <w:t xml:space="preserve"> years old at the start of the domestic proceedings and 12 years old when the communication </w:t>
      </w:r>
      <w:r>
        <w:t>had been</w:t>
      </w:r>
      <w:r w:rsidRPr="00C73CF1">
        <w:t xml:space="preserve"> </w:t>
      </w:r>
      <w:r w:rsidRPr="00C73CF1">
        <w:lastRenderedPageBreak/>
        <w:t xml:space="preserve">submitted, he should have been perfectly capable of forming an opinion about his </w:t>
      </w:r>
      <w:r>
        <w:t>return</w:t>
      </w:r>
      <w:r w:rsidRPr="00C73CF1">
        <w:t xml:space="preserve"> to Nigeria. The Committee therefore considered that the State party had breached </w:t>
      </w:r>
      <w:r w:rsidRPr="002232C4">
        <w:t>E.O.J.</w:t>
      </w:r>
      <w:r w:rsidR="000F0562">
        <w:t>’</w:t>
      </w:r>
      <w:r w:rsidRPr="00C73CF1">
        <w:t>s rights under article 7</w:t>
      </w:r>
      <w:r>
        <w:t xml:space="preserve"> </w:t>
      </w:r>
      <w:r w:rsidRPr="00C73CF1">
        <w:t>(3) of the Convention.</w:t>
      </w:r>
    </w:p>
    <w:p w14:paraId="20F4D4C1" w14:textId="7B502E5F" w:rsidR="00591901" w:rsidRPr="00C73CF1" w:rsidRDefault="00591901" w:rsidP="00591901">
      <w:pPr>
        <w:pStyle w:val="SingleTxtG"/>
      </w:pPr>
      <w:r w:rsidRPr="00C73CF1">
        <w:t>12.</w:t>
      </w:r>
      <w:r w:rsidRPr="00C73CF1">
        <w:tab/>
        <w:t xml:space="preserve">The Committee </w:t>
      </w:r>
      <w:r>
        <w:t>recommended that</w:t>
      </w:r>
      <w:r w:rsidRPr="00C73CF1">
        <w:t xml:space="preserve"> the State party provide </w:t>
      </w:r>
      <w:r w:rsidRPr="002232C4">
        <w:t>E.O.J.</w:t>
      </w:r>
      <w:r w:rsidRPr="00C73CF1">
        <w:t xml:space="preserve"> with an effective remedy</w:t>
      </w:r>
      <w:r>
        <w:t>,</w:t>
      </w:r>
      <w:r w:rsidRPr="00C73CF1">
        <w:t xml:space="preserve"> including quashing the </w:t>
      </w:r>
      <w:r>
        <w:t>current</w:t>
      </w:r>
      <w:r w:rsidRPr="00C73CF1">
        <w:t xml:space="preserve"> removal order against him and his family</w:t>
      </w:r>
      <w:r>
        <w:t>,</w:t>
      </w:r>
      <w:r w:rsidRPr="00C73CF1">
        <w:t xml:space="preserve"> reassess his asylum request after hearing him</w:t>
      </w:r>
      <w:r>
        <w:t>,</w:t>
      </w:r>
      <w:r w:rsidRPr="00C73CF1">
        <w:t xml:space="preserve"> provide him with adequate compensation and publish the Committee</w:t>
      </w:r>
      <w:r w:rsidR="000F0562">
        <w:t>’</w:t>
      </w:r>
      <w:r w:rsidRPr="00C73CF1">
        <w:t xml:space="preserve">s Views and circulate them widely in accessible formats so that they </w:t>
      </w:r>
      <w:r>
        <w:t>were</w:t>
      </w:r>
      <w:r w:rsidRPr="00C73CF1">
        <w:t xml:space="preserve"> available to all sectors of the population. The Committee also </w:t>
      </w:r>
      <w:r>
        <w:t>recommended that</w:t>
      </w:r>
      <w:r w:rsidRPr="00C73CF1">
        <w:t xml:space="preserve"> the State party take measures to prevent similar violations in the future, including guaranteeing respect </w:t>
      </w:r>
      <w:r>
        <w:t>for</w:t>
      </w:r>
      <w:r w:rsidRPr="00C73CF1">
        <w:t xml:space="preserve"> the evolving capacities of children with disabilities to ensure that they </w:t>
      </w:r>
      <w:r>
        <w:t>could</w:t>
      </w:r>
      <w:r w:rsidRPr="00C73CF1">
        <w:t xml:space="preserve"> form their own views and express them freely in all matters affecting them, including in asylum proceedings</w:t>
      </w:r>
      <w:r>
        <w:t>,</w:t>
      </w:r>
      <w:r w:rsidRPr="00C73CF1">
        <w:t xml:space="preserve"> ensur</w:t>
      </w:r>
      <w:r>
        <w:t>ing</w:t>
      </w:r>
      <w:r w:rsidRPr="00C73CF1">
        <w:t xml:space="preserve"> that their views </w:t>
      </w:r>
      <w:r>
        <w:t>were</w:t>
      </w:r>
      <w:r w:rsidRPr="00C73CF1">
        <w:t xml:space="preserve"> given due weight in accordance with their age and maturity and ensur</w:t>
      </w:r>
      <w:r>
        <w:t>ing</w:t>
      </w:r>
      <w:r w:rsidRPr="00C73CF1">
        <w:t xml:space="preserve"> that they receive</w:t>
      </w:r>
      <w:r>
        <w:t>d</w:t>
      </w:r>
      <w:r w:rsidRPr="00C73CF1">
        <w:t xml:space="preserve"> disability- and age-appropriate support to realize their right to be heard.</w:t>
      </w:r>
    </w:p>
    <w:p w14:paraId="6B92AE74" w14:textId="77777777" w:rsidR="00591901" w:rsidRPr="00C73CF1" w:rsidRDefault="00591901" w:rsidP="00591901">
      <w:pPr>
        <w:pStyle w:val="H23G"/>
        <w:rPr>
          <w:i/>
          <w:iCs/>
        </w:rPr>
      </w:pPr>
      <w:r w:rsidRPr="00C73CF1">
        <w:tab/>
      </w:r>
      <w:r w:rsidRPr="00C73CF1">
        <w:tab/>
      </w:r>
      <w:r w:rsidRPr="00880D95">
        <w:rPr>
          <w:i/>
          <w:iCs/>
        </w:rPr>
        <w:t>S.Q. v. Sweden</w:t>
      </w:r>
    </w:p>
    <w:p w14:paraId="753B76C6" w14:textId="55D09D5D" w:rsidR="00591901" w:rsidRPr="00C73CF1" w:rsidRDefault="00591901" w:rsidP="00591901">
      <w:pPr>
        <w:pStyle w:val="SingleTxtG"/>
      </w:pPr>
      <w:r w:rsidRPr="00C73CF1">
        <w:t>13.</w:t>
      </w:r>
      <w:r w:rsidRPr="00C73CF1">
        <w:tab/>
        <w:t>The Committee decided to discontinue its consideration of the communication in the case of</w:t>
      </w:r>
      <w:r>
        <w:t xml:space="preserve"> </w:t>
      </w:r>
      <w:r w:rsidRPr="00880D95">
        <w:rPr>
          <w:i/>
          <w:iCs/>
        </w:rPr>
        <w:t>S.Q. v. Sweden</w:t>
      </w:r>
      <w:r w:rsidRPr="00C73CF1">
        <w:t>,</w:t>
      </w:r>
      <w:r w:rsidRPr="000F0562">
        <w:rPr>
          <w:rStyle w:val="FootnoteReference"/>
        </w:rPr>
        <w:footnoteReference w:id="21"/>
      </w:r>
      <w:r w:rsidRPr="000F0562">
        <w:rPr>
          <w:rStyle w:val="FootnoteReference"/>
        </w:rPr>
        <w:t xml:space="preserve"> </w:t>
      </w:r>
      <w:r w:rsidRPr="00C73CF1">
        <w:t>concerning the author</w:t>
      </w:r>
      <w:r w:rsidR="000F0562">
        <w:t>’</w:t>
      </w:r>
      <w:r w:rsidRPr="00C73CF1">
        <w:t xml:space="preserve">s removal to Iraq. The </w:t>
      </w:r>
      <w:r>
        <w:t>decision to expel</w:t>
      </w:r>
      <w:r w:rsidRPr="00C73CF1">
        <w:t xml:space="preserve"> the author had become statute-barred and he could apply anew for asylum.</w:t>
      </w:r>
    </w:p>
    <w:p w14:paraId="054873A8" w14:textId="77777777" w:rsidR="00591901" w:rsidRPr="00C73CF1" w:rsidRDefault="00591901" w:rsidP="00591901">
      <w:pPr>
        <w:pStyle w:val="H23G"/>
        <w:rPr>
          <w:i/>
          <w:iCs/>
        </w:rPr>
      </w:pPr>
      <w:r w:rsidRPr="00C73CF1">
        <w:tab/>
      </w:r>
      <w:r w:rsidRPr="00C73CF1">
        <w:tab/>
      </w:r>
      <w:r w:rsidRPr="00805E16">
        <w:rPr>
          <w:i/>
          <w:iCs/>
        </w:rPr>
        <w:t>M.A.R.G. v. Spain</w:t>
      </w:r>
    </w:p>
    <w:p w14:paraId="4789B2E5" w14:textId="77777777" w:rsidR="00591901" w:rsidRPr="00C73CF1" w:rsidRDefault="00591901" w:rsidP="00591901">
      <w:pPr>
        <w:pStyle w:val="SingleTxtG"/>
      </w:pPr>
      <w:r w:rsidRPr="00C73CF1">
        <w:t>14.</w:t>
      </w:r>
      <w:r w:rsidRPr="00C73CF1">
        <w:tab/>
        <w:t xml:space="preserve">The Committee decided to discontinue its consideration of the communication in the case of </w:t>
      </w:r>
      <w:r w:rsidRPr="00C73CF1">
        <w:rPr>
          <w:i/>
          <w:iCs/>
        </w:rPr>
        <w:t>M</w:t>
      </w:r>
      <w:r w:rsidRPr="00805E16">
        <w:rPr>
          <w:i/>
          <w:iCs/>
        </w:rPr>
        <w:t>.A.R.G. v. Spain</w:t>
      </w:r>
      <w:r w:rsidRPr="00C73CF1">
        <w:t>,</w:t>
      </w:r>
      <w:r w:rsidRPr="000F0562">
        <w:rPr>
          <w:rStyle w:val="FootnoteReference"/>
        </w:rPr>
        <w:footnoteReference w:id="22"/>
      </w:r>
      <w:r w:rsidRPr="000F0562">
        <w:rPr>
          <w:rStyle w:val="FootnoteReference"/>
        </w:rPr>
        <w:t xml:space="preserve"> </w:t>
      </w:r>
      <w:r w:rsidRPr="00C73CF1">
        <w:t xml:space="preserve">regarding the right to non-discrimination in remaining or continuing in employment. The Committee noted that the author had been assigned to a position as a non-police support technician and that he had been awarded compensation. The Committee considered that </w:t>
      </w:r>
      <w:r>
        <w:t>the</w:t>
      </w:r>
      <w:r w:rsidRPr="00C73CF1">
        <w:t xml:space="preserve"> measures taken </w:t>
      </w:r>
      <w:r>
        <w:t xml:space="preserve">by the State party </w:t>
      </w:r>
      <w:r w:rsidRPr="00C73CF1">
        <w:t>in favour of the author rendered the communication devoid of purpose.</w:t>
      </w:r>
    </w:p>
    <w:p w14:paraId="08A0E43F" w14:textId="77777777" w:rsidR="00591901" w:rsidRPr="009841EF" w:rsidRDefault="00591901" w:rsidP="00591901">
      <w:pPr>
        <w:pStyle w:val="H23G"/>
        <w:rPr>
          <w:i/>
          <w:iCs/>
          <w:lang w:val="es-ES"/>
        </w:rPr>
      </w:pPr>
      <w:r w:rsidRPr="00C73CF1">
        <w:tab/>
      </w:r>
      <w:r w:rsidRPr="00C73CF1">
        <w:tab/>
      </w:r>
      <w:r w:rsidRPr="009841EF">
        <w:rPr>
          <w:i/>
          <w:iCs/>
          <w:lang w:val="es-ES"/>
        </w:rPr>
        <w:t>González Otero et al. v. Spain</w:t>
      </w:r>
    </w:p>
    <w:p w14:paraId="1F60EB54" w14:textId="7641AC18" w:rsidR="00591901" w:rsidRPr="00C73CF1" w:rsidRDefault="00591901" w:rsidP="00591901">
      <w:pPr>
        <w:pStyle w:val="SingleTxtG"/>
      </w:pPr>
      <w:r w:rsidRPr="00C73CF1">
        <w:rPr>
          <w:color w:val="000000"/>
        </w:rPr>
        <w:t>15.</w:t>
      </w:r>
      <w:r w:rsidRPr="00C73CF1">
        <w:rPr>
          <w:color w:val="000000"/>
        </w:rPr>
        <w:tab/>
        <w:t xml:space="preserve">The Committee decided to discontinue its consideration of the communication in the case </w:t>
      </w:r>
      <w:r w:rsidRPr="00DE5D99">
        <w:rPr>
          <w:color w:val="000000"/>
        </w:rPr>
        <w:t xml:space="preserve">of </w:t>
      </w:r>
      <w:r w:rsidRPr="00DE5D99">
        <w:rPr>
          <w:i/>
          <w:iCs/>
          <w:color w:val="000000"/>
        </w:rPr>
        <w:t>González Otero et al. v. Spain</w:t>
      </w:r>
      <w:r w:rsidRPr="00DE5D99">
        <w:rPr>
          <w:color w:val="000000"/>
        </w:rPr>
        <w:t>,</w:t>
      </w:r>
      <w:r w:rsidRPr="000F0562">
        <w:rPr>
          <w:rStyle w:val="FootnoteReference"/>
        </w:rPr>
        <w:footnoteReference w:id="23"/>
      </w:r>
      <w:r w:rsidRPr="000F0562">
        <w:rPr>
          <w:rStyle w:val="FootnoteReference"/>
        </w:rPr>
        <w:t xml:space="preserve"> </w:t>
      </w:r>
      <w:r w:rsidRPr="00DE5D99">
        <w:rPr>
          <w:color w:val="000000"/>
        </w:rPr>
        <w:t>regarding</w:t>
      </w:r>
      <w:r w:rsidRPr="00C73CF1">
        <w:rPr>
          <w:color w:val="000000"/>
        </w:rPr>
        <w:t xml:space="preserve"> the right to non-discrimination in obtaining licences to operate lottery games. The Committee considered that the </w:t>
      </w:r>
      <w:r>
        <w:rPr>
          <w:color w:val="000000"/>
        </w:rPr>
        <w:t>s</w:t>
      </w:r>
      <w:r w:rsidRPr="00C73CF1">
        <w:rPr>
          <w:color w:val="000000"/>
        </w:rPr>
        <w:t>ecretariat had lost contact with the author, as he had not provided comments on the State party</w:t>
      </w:r>
      <w:r w:rsidR="000F0562">
        <w:rPr>
          <w:color w:val="000000"/>
        </w:rPr>
        <w:t>’</w:t>
      </w:r>
      <w:r w:rsidRPr="00C73CF1">
        <w:rPr>
          <w:color w:val="000000"/>
        </w:rPr>
        <w:t>s request for discontinuance</w:t>
      </w:r>
      <w:r>
        <w:rPr>
          <w:color w:val="000000"/>
        </w:rPr>
        <w:t>,</w:t>
      </w:r>
      <w:r w:rsidRPr="00C73CF1">
        <w:rPr>
          <w:color w:val="000000"/>
        </w:rPr>
        <w:t xml:space="preserve"> despite a reminder.</w:t>
      </w:r>
    </w:p>
    <w:p w14:paraId="78248398" w14:textId="1453F244" w:rsidR="007268F9" w:rsidRPr="00317DC1" w:rsidRDefault="00591901" w:rsidP="00591901">
      <w:pPr>
        <w:spacing w:before="240"/>
        <w:ind w:left="1134" w:right="1134"/>
        <w:jc w:val="center"/>
      </w:pPr>
      <w:r w:rsidRPr="00C73CF1">
        <w:rPr>
          <w:u w:val="single"/>
        </w:rPr>
        <w:tab/>
      </w:r>
      <w:r w:rsidRPr="00C73CF1">
        <w:rPr>
          <w:u w:val="single"/>
        </w:rPr>
        <w:tab/>
      </w:r>
      <w:r w:rsidRPr="00C73CF1">
        <w:rPr>
          <w:u w:val="single"/>
        </w:rPr>
        <w:tab/>
      </w:r>
      <w:r w:rsidRPr="00C73CF1">
        <w:rPr>
          <w:u w:val="single"/>
        </w:rPr>
        <w:tab/>
      </w:r>
    </w:p>
    <w:sectPr w:rsidR="007268F9" w:rsidRPr="00317DC1" w:rsidSect="009C7535">
      <w:headerReference w:type="first" r:id="rId14"/>
      <w:footerReference w:type="first" r:id="rId1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57758" w14:textId="77777777" w:rsidR="00BC76EC" w:rsidRPr="00317DC1" w:rsidRDefault="00BC76EC" w:rsidP="00317DC1">
      <w:pPr>
        <w:pStyle w:val="Footer"/>
      </w:pPr>
    </w:p>
    <w:p w14:paraId="1E6C9E86" w14:textId="77777777" w:rsidR="001314C6" w:rsidRDefault="001314C6"/>
  </w:endnote>
  <w:endnote w:type="continuationSeparator" w:id="0">
    <w:p w14:paraId="6F52D34A" w14:textId="77777777" w:rsidR="00BC76EC" w:rsidRPr="00317DC1" w:rsidRDefault="00BC76EC" w:rsidP="00317DC1">
      <w:pPr>
        <w:pStyle w:val="Footer"/>
      </w:pPr>
    </w:p>
    <w:p w14:paraId="21CC1F73" w14:textId="77777777" w:rsidR="001314C6" w:rsidRDefault="001314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ABE1E" w14:textId="77777777" w:rsidR="001D4F86" w:rsidRDefault="001D4F86" w:rsidP="001D4F86">
    <w:pPr>
      <w:pStyle w:val="Footer"/>
      <w:tabs>
        <w:tab w:val="right" w:pos="9638"/>
      </w:tabs>
    </w:pPr>
    <w:r w:rsidRPr="001D4F86">
      <w:rPr>
        <w:b/>
        <w:bCs/>
        <w:sz w:val="18"/>
      </w:rPr>
      <w:fldChar w:fldCharType="begin"/>
    </w:r>
    <w:r w:rsidRPr="001D4F86">
      <w:rPr>
        <w:b/>
        <w:bCs/>
        <w:sz w:val="18"/>
      </w:rPr>
      <w:instrText xml:space="preserve"> PAGE  \* MERGEFORMAT </w:instrText>
    </w:r>
    <w:r w:rsidRPr="001D4F86">
      <w:rPr>
        <w:b/>
        <w:bCs/>
        <w:sz w:val="18"/>
      </w:rPr>
      <w:fldChar w:fldCharType="separate"/>
    </w:r>
    <w:r w:rsidRPr="001D4F86">
      <w:rPr>
        <w:b/>
        <w:bCs/>
        <w:noProof/>
        <w:sz w:val="18"/>
      </w:rPr>
      <w:t>2</w:t>
    </w:r>
    <w:r w:rsidRPr="001D4F86">
      <w:rPr>
        <w:b/>
        <w:bCs/>
        <w:sz w:val="18"/>
      </w:rPr>
      <w:fldChar w:fldCharType="end"/>
    </w:r>
    <w:r>
      <w:tab/>
      <w:t>GE.24-17277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979EC" w14:textId="77777777" w:rsidR="001D4F86" w:rsidRDefault="001D4F86" w:rsidP="001D4F86">
    <w:pPr>
      <w:pStyle w:val="Footer"/>
      <w:tabs>
        <w:tab w:val="right" w:pos="9638"/>
      </w:tabs>
    </w:pPr>
    <w:r>
      <w:t>GE.24-17277</w:t>
    </w:r>
    <w:r>
      <w:tab/>
    </w:r>
    <w:r w:rsidRPr="001D4F86">
      <w:rPr>
        <w:b/>
        <w:bCs/>
        <w:sz w:val="18"/>
      </w:rPr>
      <w:fldChar w:fldCharType="begin"/>
    </w:r>
    <w:r w:rsidRPr="001D4F86">
      <w:rPr>
        <w:b/>
        <w:bCs/>
        <w:sz w:val="18"/>
      </w:rPr>
      <w:instrText xml:space="preserve"> PAGE  \* MERGEFORMAT </w:instrText>
    </w:r>
    <w:r w:rsidRPr="001D4F86">
      <w:rPr>
        <w:b/>
        <w:bCs/>
        <w:sz w:val="18"/>
      </w:rPr>
      <w:fldChar w:fldCharType="separate"/>
    </w:r>
    <w:r w:rsidRPr="001D4F86">
      <w:rPr>
        <w:b/>
        <w:bCs/>
        <w:noProof/>
        <w:sz w:val="18"/>
      </w:rPr>
      <w:t>3</w:t>
    </w:r>
    <w:r w:rsidRPr="001D4F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8FA15" w14:textId="2CA93C0D" w:rsidR="001D4F86" w:rsidRDefault="00596033" w:rsidP="00596033">
    <w:pPr>
      <w:pStyle w:val="Footer"/>
      <w:tabs>
        <w:tab w:val="right" w:pos="7370"/>
      </w:tabs>
      <w:rPr>
        <w:sz w:val="20"/>
      </w:rPr>
    </w:pPr>
    <w:r>
      <w:rPr>
        <w:noProof/>
        <w:sz w:val="20"/>
      </w:rPr>
      <w:drawing>
        <wp:anchor distT="0" distB="0" distL="114300" distR="114300" simplePos="0" relativeHeight="251660288" behindDoc="0" locked="0" layoutInCell="1" allowOverlap="1" wp14:anchorId="3BD167EE" wp14:editId="6EC04EBB">
          <wp:simplePos x="0" y="0"/>
          <wp:positionH relativeFrom="column">
            <wp:posOffset>5504815</wp:posOffset>
          </wp:positionH>
          <wp:positionV relativeFrom="paragraph">
            <wp:posOffset>-252180</wp:posOffset>
          </wp:positionV>
          <wp:extent cx="619125" cy="619125"/>
          <wp:effectExtent l="0" t="0" r="9525" b="9525"/>
          <wp:wrapNone/>
          <wp:docPr id="38067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033">
      <w:rPr>
        <w:noProof/>
        <w:sz w:val="20"/>
        <w:lang w:val="en-US"/>
      </w:rPr>
      <w:drawing>
        <wp:anchor distT="0" distB="0" distL="114300" distR="114300" simplePos="0" relativeHeight="251659264" behindDoc="0" locked="1" layoutInCell="1" allowOverlap="1" wp14:anchorId="0CDE4511" wp14:editId="52E1580F">
          <wp:simplePos x="0" y="0"/>
          <wp:positionH relativeFrom="column">
            <wp:posOffset>4427220</wp:posOffset>
          </wp:positionH>
          <wp:positionV relativeFrom="page">
            <wp:posOffset>10166350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1314C6">
      <w:rPr>
        <w:sz w:val="20"/>
      </w:rPr>
      <w:t xml:space="preserve"> </w:t>
    </w:r>
  </w:p>
  <w:p w14:paraId="00367453" w14:textId="5D5F50BD" w:rsidR="00596033" w:rsidRPr="00596033" w:rsidRDefault="00596033" w:rsidP="00596033">
    <w:pPr>
      <w:pStyle w:val="Footer"/>
      <w:tabs>
        <w:tab w:val="right" w:pos="7370"/>
      </w:tabs>
      <w:ind w:right="1134"/>
      <w:rPr>
        <w:sz w:val="20"/>
      </w:rPr>
    </w:pPr>
    <w:r>
      <w:rPr>
        <w:sz w:val="20"/>
      </w:rPr>
      <w:t>GE.24-17277(E)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049900"/>
      <w:docPartObj>
        <w:docPartGallery w:val="Page Numbers (Bottom of Page)"/>
        <w:docPartUnique/>
      </w:docPartObj>
    </w:sdtPr>
    <w:sdtEndPr>
      <w:rPr>
        <w:b/>
        <w:bCs/>
        <w:noProof/>
        <w:sz w:val="18"/>
        <w:szCs w:val="22"/>
      </w:rPr>
    </w:sdtEndPr>
    <w:sdtContent>
      <w:p w14:paraId="280CF051" w14:textId="000CCC65" w:rsidR="006B04A9" w:rsidRPr="006B04A9" w:rsidRDefault="006B04A9">
        <w:pPr>
          <w:pStyle w:val="Footer"/>
          <w:jc w:val="right"/>
          <w:rPr>
            <w:b/>
            <w:bCs/>
            <w:sz w:val="18"/>
            <w:szCs w:val="22"/>
          </w:rPr>
        </w:pPr>
        <w:r w:rsidRPr="006B04A9">
          <w:rPr>
            <w:b/>
            <w:bCs/>
            <w:sz w:val="18"/>
            <w:szCs w:val="22"/>
          </w:rPr>
          <w:fldChar w:fldCharType="begin"/>
        </w:r>
        <w:r w:rsidRPr="006B04A9">
          <w:rPr>
            <w:b/>
            <w:bCs/>
            <w:sz w:val="18"/>
            <w:szCs w:val="22"/>
          </w:rPr>
          <w:instrText xml:space="preserve"> PAGE   \* MERGEFORMAT </w:instrText>
        </w:r>
        <w:r w:rsidRPr="006B04A9">
          <w:rPr>
            <w:b/>
            <w:bCs/>
            <w:sz w:val="18"/>
            <w:szCs w:val="22"/>
          </w:rPr>
          <w:fldChar w:fldCharType="separate"/>
        </w:r>
        <w:r w:rsidRPr="006B04A9">
          <w:rPr>
            <w:b/>
            <w:bCs/>
            <w:noProof/>
            <w:sz w:val="18"/>
            <w:szCs w:val="22"/>
          </w:rPr>
          <w:t>2</w:t>
        </w:r>
        <w:r w:rsidRPr="006B04A9">
          <w:rPr>
            <w:b/>
            <w:bCs/>
            <w:noProof/>
            <w:sz w:val="18"/>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60E9E" w14:textId="77777777" w:rsidR="00BC76EC" w:rsidRPr="00317DC1" w:rsidRDefault="00BC76EC" w:rsidP="00317DC1">
      <w:pPr>
        <w:tabs>
          <w:tab w:val="right" w:pos="2155"/>
        </w:tabs>
        <w:spacing w:after="80" w:line="240" w:lineRule="auto"/>
        <w:ind w:left="680"/>
      </w:pPr>
      <w:r>
        <w:rPr>
          <w:u w:val="single"/>
        </w:rPr>
        <w:tab/>
      </w:r>
    </w:p>
  </w:footnote>
  <w:footnote w:type="continuationSeparator" w:id="0">
    <w:p w14:paraId="1276A6AB" w14:textId="77777777" w:rsidR="00BC76EC" w:rsidRPr="00317DC1" w:rsidRDefault="00BC76EC" w:rsidP="00317DC1">
      <w:pPr>
        <w:tabs>
          <w:tab w:val="right" w:pos="2155"/>
        </w:tabs>
        <w:spacing w:after="80" w:line="240" w:lineRule="auto"/>
        <w:ind w:left="680"/>
      </w:pPr>
      <w:r>
        <w:rPr>
          <w:u w:val="single"/>
        </w:rPr>
        <w:tab/>
      </w:r>
    </w:p>
    <w:p w14:paraId="03A518AC" w14:textId="77777777" w:rsidR="001314C6" w:rsidRDefault="001314C6"/>
  </w:footnote>
  <w:footnote w:id="1">
    <w:p w14:paraId="408EFAAD" w14:textId="3B2227F7" w:rsidR="007C7DC2" w:rsidRPr="00C305CE" w:rsidRDefault="007C7DC2" w:rsidP="007C7DC2">
      <w:pPr>
        <w:pStyle w:val="FootnoteText"/>
        <w:rPr>
          <w:lang w:val="en-US"/>
        </w:rPr>
      </w:pPr>
      <w:r>
        <w:rPr>
          <w:rStyle w:val="FootnoteReference"/>
        </w:rPr>
        <w:tab/>
      </w:r>
      <w:r w:rsidRPr="0070610A">
        <w:rPr>
          <w:rStyle w:val="FootnoteReference"/>
          <w:sz w:val="20"/>
          <w:vertAlign w:val="baseline"/>
        </w:rPr>
        <w:t>*</w:t>
      </w:r>
      <w:r>
        <w:rPr>
          <w:rStyle w:val="FootnoteReference"/>
          <w:sz w:val="20"/>
        </w:rPr>
        <w:tab/>
      </w:r>
      <w:r>
        <w:rPr>
          <w:lang w:val="en-US"/>
        </w:rPr>
        <w:t>Reissued for technical reasons on 1</w:t>
      </w:r>
      <w:r w:rsidR="0070610A">
        <w:rPr>
          <w:lang w:val="en-US"/>
        </w:rPr>
        <w:t>7</w:t>
      </w:r>
      <w:r>
        <w:rPr>
          <w:lang w:val="en-US"/>
        </w:rPr>
        <w:t xml:space="preserve"> </w:t>
      </w:r>
      <w:r w:rsidR="0070610A">
        <w:rPr>
          <w:lang w:val="en-US"/>
        </w:rPr>
        <w:t>Octo</w:t>
      </w:r>
      <w:r>
        <w:rPr>
          <w:lang w:val="en-US"/>
        </w:rPr>
        <w:t>ber 202</w:t>
      </w:r>
      <w:r w:rsidR="0070610A">
        <w:rPr>
          <w:lang w:val="en-US"/>
        </w:rPr>
        <w:t>4</w:t>
      </w:r>
      <w:r>
        <w:rPr>
          <w:lang w:val="en-US"/>
        </w:rPr>
        <w:t>.</w:t>
      </w:r>
    </w:p>
  </w:footnote>
  <w:footnote w:id="2">
    <w:p w14:paraId="0F39D48F" w14:textId="0E18CE65" w:rsidR="00591901" w:rsidRDefault="00591901" w:rsidP="000F0562">
      <w:pPr>
        <w:pStyle w:val="FootnoteText"/>
      </w:pPr>
      <w:r>
        <w:tab/>
      </w:r>
      <w:r w:rsidRPr="000F0562">
        <w:rPr>
          <w:rStyle w:val="FootnoteReference"/>
        </w:rPr>
        <w:footnoteRef/>
      </w:r>
      <w:r w:rsidRPr="000F0562">
        <w:rPr>
          <w:rStyle w:val="FootnoteReference"/>
        </w:rPr>
        <w:tab/>
      </w:r>
      <w:hyperlink r:id="rId1" w:history="1">
        <w:r w:rsidRPr="00D80056">
          <w:rPr>
            <w:rStyle w:val="Hyperlink"/>
          </w:rPr>
          <w:t>CRPD/C/31/1</w:t>
        </w:r>
      </w:hyperlink>
      <w:r>
        <w:t>.</w:t>
      </w:r>
    </w:p>
  </w:footnote>
  <w:footnote w:id="3">
    <w:p w14:paraId="389C214E" w14:textId="27AC491F" w:rsidR="00591901" w:rsidRPr="00CA7536" w:rsidRDefault="00591901" w:rsidP="000F0562">
      <w:pPr>
        <w:pStyle w:val="FootnoteText"/>
      </w:pPr>
      <w:r>
        <w:tab/>
      </w:r>
      <w:r w:rsidRPr="000F0562">
        <w:rPr>
          <w:rStyle w:val="FootnoteReference"/>
        </w:rPr>
        <w:footnoteRef/>
      </w:r>
      <w:r w:rsidRPr="000F0562">
        <w:rPr>
          <w:rStyle w:val="FootnoteReference"/>
        </w:rPr>
        <w:tab/>
      </w:r>
      <w:hyperlink r:id="rId2" w:history="1">
        <w:r w:rsidRPr="00D80056">
          <w:rPr>
            <w:rStyle w:val="Hyperlink"/>
          </w:rPr>
          <w:t>CRPD/C/31/D/69/2019</w:t>
        </w:r>
      </w:hyperlink>
      <w:r w:rsidRPr="00CA7536">
        <w:t>.</w:t>
      </w:r>
    </w:p>
  </w:footnote>
  <w:footnote w:id="4">
    <w:p w14:paraId="58B67F62" w14:textId="71683C8D" w:rsidR="00591901" w:rsidRPr="00CA7536" w:rsidRDefault="00591901" w:rsidP="000F0562">
      <w:pPr>
        <w:pStyle w:val="FootnoteText"/>
      </w:pPr>
      <w:r w:rsidRPr="00CA7536">
        <w:tab/>
      </w:r>
      <w:r w:rsidRPr="000F0562">
        <w:rPr>
          <w:rStyle w:val="FootnoteReference"/>
        </w:rPr>
        <w:footnoteRef/>
      </w:r>
      <w:r w:rsidRPr="000F0562">
        <w:rPr>
          <w:rStyle w:val="FootnoteReference"/>
        </w:rPr>
        <w:tab/>
      </w:r>
      <w:hyperlink r:id="rId3" w:history="1">
        <w:r w:rsidRPr="00D80056">
          <w:rPr>
            <w:rStyle w:val="Hyperlink"/>
          </w:rPr>
          <w:t>CRPD/C/31/D/104/2023</w:t>
        </w:r>
      </w:hyperlink>
      <w:r w:rsidRPr="00CA7536">
        <w:t>.</w:t>
      </w:r>
    </w:p>
  </w:footnote>
  <w:footnote w:id="5">
    <w:p w14:paraId="6C41A878" w14:textId="16EAE441" w:rsidR="00591901" w:rsidRPr="00CA7536" w:rsidRDefault="00591901" w:rsidP="000F0562">
      <w:pPr>
        <w:pStyle w:val="FootnoteText"/>
      </w:pPr>
      <w:r w:rsidRPr="00CA7536">
        <w:tab/>
      </w:r>
      <w:r w:rsidRPr="000F0562">
        <w:rPr>
          <w:rStyle w:val="FootnoteReference"/>
        </w:rPr>
        <w:footnoteRef/>
      </w:r>
      <w:r w:rsidRPr="000F0562">
        <w:rPr>
          <w:rStyle w:val="FootnoteReference"/>
        </w:rPr>
        <w:tab/>
      </w:r>
      <w:hyperlink r:id="rId4" w:history="1">
        <w:r w:rsidRPr="00D80056">
          <w:rPr>
            <w:rStyle w:val="Hyperlink"/>
          </w:rPr>
          <w:t>CRPD/C/31/D/94/2021</w:t>
        </w:r>
      </w:hyperlink>
      <w:r w:rsidRPr="00CA7536">
        <w:t>.</w:t>
      </w:r>
    </w:p>
  </w:footnote>
  <w:footnote w:id="6">
    <w:p w14:paraId="2DE8E394" w14:textId="77777777" w:rsidR="00591901" w:rsidRPr="00CA7536" w:rsidRDefault="00591901" w:rsidP="000F0562">
      <w:pPr>
        <w:pStyle w:val="FootnoteText"/>
      </w:pPr>
      <w:r w:rsidRPr="00CA7536">
        <w:tab/>
      </w:r>
      <w:r w:rsidRPr="000F0562">
        <w:rPr>
          <w:rStyle w:val="FootnoteReference"/>
        </w:rPr>
        <w:footnoteRef/>
      </w:r>
      <w:r w:rsidRPr="000F0562">
        <w:rPr>
          <w:rStyle w:val="FootnoteReference"/>
        </w:rPr>
        <w:tab/>
      </w:r>
      <w:r w:rsidRPr="00CA7536">
        <w:t>References to Kosovo shall be understood to be in the context of Security Council resolution 1244 (1999).</w:t>
      </w:r>
    </w:p>
  </w:footnote>
  <w:footnote w:id="7">
    <w:p w14:paraId="5A6F7277" w14:textId="789ACED5" w:rsidR="00591901" w:rsidRPr="00CA7536" w:rsidRDefault="00591901" w:rsidP="000F0562">
      <w:pPr>
        <w:pStyle w:val="FootnoteText"/>
      </w:pPr>
      <w:r w:rsidRPr="00CA7536">
        <w:tab/>
      </w:r>
      <w:r w:rsidRPr="000F0562">
        <w:rPr>
          <w:rStyle w:val="FootnoteReference"/>
        </w:rPr>
        <w:footnoteRef/>
      </w:r>
      <w:r w:rsidRPr="000F0562">
        <w:rPr>
          <w:rStyle w:val="FootnoteReference"/>
        </w:rPr>
        <w:tab/>
      </w:r>
      <w:bookmarkStart w:id="1" w:name="_Hlk179283331"/>
      <w:r w:rsidR="00D80056">
        <w:fldChar w:fldCharType="begin"/>
      </w:r>
      <w:r w:rsidR="00D80056">
        <w:instrText>HYPERLINK "http://undocs.org/en/CRPD/C/31/D/62/2019"</w:instrText>
      </w:r>
      <w:r w:rsidR="00D80056">
        <w:fldChar w:fldCharType="separate"/>
      </w:r>
      <w:r w:rsidRPr="00D80056">
        <w:rPr>
          <w:rStyle w:val="Hyperlink"/>
        </w:rPr>
        <w:t>CRPD/C/31/D/62/2019</w:t>
      </w:r>
      <w:bookmarkEnd w:id="1"/>
      <w:r w:rsidR="00D80056">
        <w:fldChar w:fldCharType="end"/>
      </w:r>
      <w:r w:rsidRPr="00CA7536">
        <w:t>.</w:t>
      </w:r>
    </w:p>
  </w:footnote>
  <w:footnote w:id="8">
    <w:p w14:paraId="008726EF" w14:textId="0E4BE752" w:rsidR="00591901" w:rsidRPr="00CA7536" w:rsidRDefault="00591901" w:rsidP="000F0562">
      <w:pPr>
        <w:pStyle w:val="FootnoteText"/>
      </w:pPr>
      <w:r w:rsidRPr="00CA7536">
        <w:tab/>
      </w:r>
      <w:r w:rsidRPr="000F0562">
        <w:rPr>
          <w:rStyle w:val="FootnoteReference"/>
        </w:rPr>
        <w:footnoteRef/>
      </w:r>
      <w:r w:rsidRPr="000F0562">
        <w:rPr>
          <w:rStyle w:val="FootnoteReference"/>
        </w:rPr>
        <w:tab/>
      </w:r>
      <w:hyperlink r:id="rId5" w:history="1">
        <w:r w:rsidRPr="00D80056">
          <w:rPr>
            <w:rStyle w:val="Hyperlink"/>
          </w:rPr>
          <w:t>CRPD/C/31/D/63/2019</w:t>
        </w:r>
      </w:hyperlink>
      <w:r w:rsidRPr="00CA7536">
        <w:t>.</w:t>
      </w:r>
    </w:p>
  </w:footnote>
  <w:footnote w:id="9">
    <w:p w14:paraId="5BED6149" w14:textId="03C7AEC0" w:rsidR="00591901" w:rsidRPr="00CA7536" w:rsidRDefault="00591901" w:rsidP="000F0562">
      <w:pPr>
        <w:pStyle w:val="FootnoteText"/>
      </w:pPr>
      <w:r w:rsidRPr="00CA7536">
        <w:tab/>
      </w:r>
      <w:r w:rsidRPr="000F0562">
        <w:rPr>
          <w:rStyle w:val="FootnoteReference"/>
        </w:rPr>
        <w:footnoteRef/>
      </w:r>
      <w:r w:rsidRPr="000F0562">
        <w:rPr>
          <w:rStyle w:val="FootnoteReference"/>
        </w:rPr>
        <w:tab/>
      </w:r>
      <w:hyperlink r:id="rId6" w:history="1">
        <w:r w:rsidRPr="00D80056">
          <w:rPr>
            <w:rStyle w:val="Hyperlink"/>
          </w:rPr>
          <w:t>CRPD/C/31/D/91/2021</w:t>
        </w:r>
      </w:hyperlink>
      <w:r w:rsidRPr="00CA7536">
        <w:t>.</w:t>
      </w:r>
    </w:p>
  </w:footnote>
  <w:footnote w:id="10">
    <w:p w14:paraId="3CBA0BC8" w14:textId="3EF8BC75" w:rsidR="00591901" w:rsidRPr="000C721D" w:rsidRDefault="00591901" w:rsidP="000F0562">
      <w:pPr>
        <w:pStyle w:val="FootnoteText"/>
      </w:pPr>
      <w:r w:rsidRPr="00CA7536">
        <w:tab/>
      </w:r>
      <w:r w:rsidRPr="000F0562">
        <w:rPr>
          <w:rStyle w:val="FootnoteReference"/>
        </w:rPr>
        <w:footnoteRef/>
      </w:r>
      <w:r w:rsidRPr="000F0562">
        <w:rPr>
          <w:rStyle w:val="FootnoteReference"/>
        </w:rPr>
        <w:tab/>
      </w:r>
      <w:hyperlink r:id="rId7" w:history="1">
        <w:r w:rsidRPr="00D80056">
          <w:rPr>
            <w:rStyle w:val="Hyperlink"/>
          </w:rPr>
          <w:t>CRPD/C/6</w:t>
        </w:r>
      </w:hyperlink>
      <w:r w:rsidRPr="00CA7536">
        <w:t>.</w:t>
      </w:r>
    </w:p>
  </w:footnote>
  <w:footnote w:id="11">
    <w:p w14:paraId="4862C9ED" w14:textId="77777777" w:rsidR="00591901" w:rsidRPr="000C721D" w:rsidRDefault="00591901" w:rsidP="000F0562">
      <w:pPr>
        <w:pStyle w:val="FootnoteText"/>
      </w:pPr>
      <w:r>
        <w:tab/>
      </w:r>
      <w:r w:rsidRPr="000F0562">
        <w:rPr>
          <w:rStyle w:val="FootnoteReference"/>
        </w:rPr>
        <w:footnoteRef/>
      </w:r>
      <w:r w:rsidRPr="000F0562">
        <w:rPr>
          <w:rStyle w:val="FootnoteReference"/>
        </w:rPr>
        <w:tab/>
      </w:r>
      <w:r w:rsidRPr="000C721D">
        <w:t xml:space="preserve">See </w:t>
      </w:r>
      <w:hyperlink r:id="rId8" w:history="1">
        <w:r w:rsidRPr="000C721D">
          <w:rPr>
            <w:rStyle w:val="Hyperlink"/>
          </w:rPr>
          <w:t>https://documents.un.org/</w:t>
        </w:r>
      </w:hyperlink>
      <w:r w:rsidRPr="000C721D">
        <w:t>.</w:t>
      </w:r>
    </w:p>
  </w:footnote>
  <w:footnote w:id="12">
    <w:p w14:paraId="10E973E0" w14:textId="7AF99A92" w:rsidR="00591901" w:rsidRDefault="00591901" w:rsidP="000F0562">
      <w:pPr>
        <w:pStyle w:val="FootnoteText"/>
      </w:pPr>
      <w:r>
        <w:tab/>
      </w:r>
      <w:r w:rsidRPr="000F0562">
        <w:rPr>
          <w:rStyle w:val="FootnoteReference"/>
        </w:rPr>
        <w:footnoteRef/>
      </w:r>
      <w:r w:rsidRPr="000F0562">
        <w:rPr>
          <w:rStyle w:val="FootnoteReference"/>
        </w:rPr>
        <w:tab/>
      </w:r>
      <w:hyperlink r:id="rId9" w:history="1">
        <w:r w:rsidRPr="00D80056">
          <w:rPr>
            <w:rStyle w:val="Hyperlink"/>
          </w:rPr>
          <w:t>CRPD/C/BLR/1</w:t>
        </w:r>
      </w:hyperlink>
      <w:r>
        <w:t xml:space="preserve">, </w:t>
      </w:r>
      <w:hyperlink r:id="rId10" w:history="1">
        <w:r w:rsidRPr="00D80056">
          <w:rPr>
            <w:rStyle w:val="Hyperlink"/>
          </w:rPr>
          <w:t>CRPD/C/BEN/1</w:t>
        </w:r>
      </w:hyperlink>
      <w:r>
        <w:t xml:space="preserve">, </w:t>
      </w:r>
      <w:hyperlink r:id="rId11" w:history="1">
        <w:r w:rsidRPr="00D80056">
          <w:rPr>
            <w:rStyle w:val="Hyperlink"/>
          </w:rPr>
          <w:t>CRPD/C/BFA/1</w:t>
        </w:r>
      </w:hyperlink>
      <w:r>
        <w:t xml:space="preserve">, </w:t>
      </w:r>
      <w:hyperlink r:id="rId12" w:history="1">
        <w:r w:rsidRPr="00D80056">
          <w:rPr>
            <w:rStyle w:val="Hyperlink"/>
          </w:rPr>
          <w:t>CRPD/C/GHA/1</w:t>
        </w:r>
      </w:hyperlink>
      <w:r>
        <w:t xml:space="preserve"> and </w:t>
      </w:r>
      <w:hyperlink r:id="rId13" w:history="1">
        <w:r w:rsidRPr="00D80056">
          <w:rPr>
            <w:rStyle w:val="Hyperlink"/>
          </w:rPr>
          <w:t>CRPD/C/NLD/1</w:t>
        </w:r>
      </w:hyperlink>
      <w:r>
        <w:t>.</w:t>
      </w:r>
    </w:p>
  </w:footnote>
  <w:footnote w:id="13">
    <w:p w14:paraId="670F05A1" w14:textId="5E2AF140" w:rsidR="00591901" w:rsidRDefault="00591901" w:rsidP="000F0562">
      <w:pPr>
        <w:pStyle w:val="FootnoteText"/>
      </w:pPr>
      <w:r>
        <w:tab/>
      </w:r>
      <w:r w:rsidRPr="000F0562">
        <w:rPr>
          <w:rStyle w:val="FootnoteReference"/>
        </w:rPr>
        <w:footnoteRef/>
      </w:r>
      <w:r w:rsidRPr="000F0562">
        <w:rPr>
          <w:rStyle w:val="FootnoteReference"/>
        </w:rPr>
        <w:tab/>
      </w:r>
      <w:hyperlink r:id="rId14" w:history="1">
        <w:r w:rsidRPr="00D80056">
          <w:rPr>
            <w:rStyle w:val="Hyperlink"/>
          </w:rPr>
          <w:t>CRPD/C/BEL/2-3</w:t>
        </w:r>
      </w:hyperlink>
      <w:r>
        <w:t xml:space="preserve">, </w:t>
      </w:r>
      <w:hyperlink r:id="rId15" w:history="1">
        <w:r w:rsidRPr="00D80056">
          <w:rPr>
            <w:rStyle w:val="Hyperlink"/>
          </w:rPr>
          <w:t>CRPD/C/DNK/2-3</w:t>
        </w:r>
      </w:hyperlink>
      <w:r>
        <w:t xml:space="preserve">, </w:t>
      </w:r>
      <w:hyperlink r:id="rId16" w:history="1">
        <w:r w:rsidRPr="00D80056">
          <w:rPr>
            <w:rStyle w:val="Hyperlink"/>
          </w:rPr>
          <w:t>CRPD/C/MUS/2-3</w:t>
        </w:r>
      </w:hyperlink>
      <w:r>
        <w:t xml:space="preserve"> and </w:t>
      </w:r>
      <w:hyperlink r:id="rId17" w:history="1">
        <w:r w:rsidRPr="00D80056">
          <w:rPr>
            <w:rStyle w:val="Hyperlink"/>
          </w:rPr>
          <w:t>CRPD/C/UKR/2-3</w:t>
        </w:r>
      </w:hyperlink>
      <w:r>
        <w:t>.</w:t>
      </w:r>
    </w:p>
  </w:footnote>
  <w:footnote w:id="14">
    <w:p w14:paraId="4657E69A" w14:textId="0DECECA0" w:rsidR="00591901" w:rsidRDefault="00591901" w:rsidP="000F0562">
      <w:pPr>
        <w:pStyle w:val="FootnoteText"/>
      </w:pPr>
      <w:r>
        <w:tab/>
      </w:r>
      <w:r w:rsidRPr="000F0562">
        <w:rPr>
          <w:rStyle w:val="FootnoteReference"/>
        </w:rPr>
        <w:footnoteRef/>
      </w:r>
      <w:r w:rsidRPr="000F0562">
        <w:rPr>
          <w:rStyle w:val="FootnoteReference"/>
        </w:rPr>
        <w:tab/>
      </w:r>
      <w:hyperlink r:id="rId18" w:history="1">
        <w:r w:rsidRPr="00D80056">
          <w:rPr>
            <w:rStyle w:val="Hyperlink"/>
          </w:rPr>
          <w:t>CRPD/C/BLR/CO/1</w:t>
        </w:r>
      </w:hyperlink>
      <w:r>
        <w:t xml:space="preserve">, </w:t>
      </w:r>
      <w:hyperlink r:id="rId19" w:history="1">
        <w:r w:rsidRPr="00D80056">
          <w:rPr>
            <w:rStyle w:val="Hyperlink"/>
          </w:rPr>
          <w:t>CRPD/C/BEL/CO/2-3</w:t>
        </w:r>
      </w:hyperlink>
      <w:r>
        <w:t xml:space="preserve">, </w:t>
      </w:r>
      <w:hyperlink r:id="rId20" w:history="1">
        <w:r w:rsidRPr="00D80056">
          <w:rPr>
            <w:rStyle w:val="Hyperlink"/>
          </w:rPr>
          <w:t>CRPD/C/BEN/CO/1</w:t>
        </w:r>
      </w:hyperlink>
      <w:r>
        <w:t xml:space="preserve">, </w:t>
      </w:r>
      <w:hyperlink r:id="rId21" w:history="1">
        <w:r w:rsidRPr="00D80056">
          <w:rPr>
            <w:rStyle w:val="Hyperlink"/>
          </w:rPr>
          <w:t>CRPD/C/BFA/CO/1</w:t>
        </w:r>
      </w:hyperlink>
      <w:r>
        <w:t xml:space="preserve">, </w:t>
      </w:r>
      <w:hyperlink r:id="rId22" w:history="1">
        <w:r w:rsidRPr="00D80056">
          <w:rPr>
            <w:rStyle w:val="Hyperlink"/>
          </w:rPr>
          <w:t>CRPD/C/DNK/CO/2-3</w:t>
        </w:r>
      </w:hyperlink>
      <w:r>
        <w:t xml:space="preserve">, </w:t>
      </w:r>
      <w:hyperlink r:id="rId23" w:history="1">
        <w:r w:rsidRPr="00D80056">
          <w:rPr>
            <w:rStyle w:val="Hyperlink"/>
          </w:rPr>
          <w:t>CRPD/C/GHA/CO/1</w:t>
        </w:r>
      </w:hyperlink>
      <w:r>
        <w:t xml:space="preserve">, </w:t>
      </w:r>
      <w:hyperlink r:id="rId24" w:history="1">
        <w:r w:rsidRPr="00D80056">
          <w:rPr>
            <w:rStyle w:val="Hyperlink"/>
          </w:rPr>
          <w:t>CRPD/C/MUS/CO/2-3</w:t>
        </w:r>
      </w:hyperlink>
      <w:r>
        <w:t xml:space="preserve">, </w:t>
      </w:r>
      <w:hyperlink r:id="rId25" w:history="1">
        <w:r w:rsidRPr="00D80056">
          <w:rPr>
            <w:rStyle w:val="Hyperlink"/>
          </w:rPr>
          <w:t>CRPD/C/NLD/CO/1</w:t>
        </w:r>
      </w:hyperlink>
      <w:r>
        <w:t xml:space="preserve"> and </w:t>
      </w:r>
      <w:hyperlink r:id="rId26" w:history="1">
        <w:r w:rsidRPr="00D80056">
          <w:rPr>
            <w:rStyle w:val="Hyperlink"/>
          </w:rPr>
          <w:t>CRPD/C/UKR/CO/2-3</w:t>
        </w:r>
      </w:hyperlink>
      <w:r>
        <w:t>.</w:t>
      </w:r>
    </w:p>
  </w:footnote>
  <w:footnote w:id="15">
    <w:p w14:paraId="3ADB3DEB" w14:textId="5E67E822" w:rsidR="00591901" w:rsidRPr="001F2B0C" w:rsidRDefault="00591901" w:rsidP="000F0562">
      <w:pPr>
        <w:pStyle w:val="FootnoteText"/>
      </w:pPr>
      <w:r>
        <w:tab/>
      </w:r>
      <w:r w:rsidRPr="000F0562">
        <w:rPr>
          <w:rStyle w:val="FootnoteReference"/>
        </w:rPr>
        <w:footnoteRef/>
      </w:r>
      <w:r w:rsidRPr="000F0562">
        <w:rPr>
          <w:rStyle w:val="FootnoteReference"/>
        </w:rPr>
        <w:tab/>
      </w:r>
      <w:hyperlink r:id="rId27" w:history="1">
        <w:r w:rsidRPr="00D80056">
          <w:rPr>
            <w:rStyle w:val="Hyperlink"/>
          </w:rPr>
          <w:t>CRPD/C/31/D/69/2019</w:t>
        </w:r>
      </w:hyperlink>
      <w:r>
        <w:t>.</w:t>
      </w:r>
    </w:p>
  </w:footnote>
  <w:footnote w:id="16">
    <w:p w14:paraId="07E33A24" w14:textId="4BAB1B40" w:rsidR="00591901" w:rsidRPr="00595C2B" w:rsidRDefault="00591901" w:rsidP="000F0562">
      <w:pPr>
        <w:pStyle w:val="FootnoteText"/>
      </w:pPr>
      <w:r>
        <w:tab/>
      </w:r>
      <w:r w:rsidRPr="000F0562">
        <w:rPr>
          <w:rStyle w:val="FootnoteReference"/>
        </w:rPr>
        <w:footnoteRef/>
      </w:r>
      <w:r w:rsidRPr="000F0562">
        <w:rPr>
          <w:rStyle w:val="FootnoteReference"/>
        </w:rPr>
        <w:tab/>
      </w:r>
      <w:hyperlink r:id="rId28" w:history="1">
        <w:r w:rsidRPr="00D80056">
          <w:rPr>
            <w:rStyle w:val="Hyperlink"/>
          </w:rPr>
          <w:t>CRPD/C/31/D/94/2021</w:t>
        </w:r>
      </w:hyperlink>
      <w:r>
        <w:t>.</w:t>
      </w:r>
    </w:p>
  </w:footnote>
  <w:footnote w:id="17">
    <w:p w14:paraId="333A1B6B" w14:textId="77777777" w:rsidR="00591901" w:rsidRPr="00595C2B" w:rsidRDefault="00591901" w:rsidP="000F0562">
      <w:pPr>
        <w:pStyle w:val="FootnoteText"/>
      </w:pPr>
      <w:r>
        <w:tab/>
      </w:r>
      <w:r w:rsidRPr="000F0562">
        <w:rPr>
          <w:rStyle w:val="FootnoteReference"/>
        </w:rPr>
        <w:footnoteRef/>
      </w:r>
      <w:r w:rsidRPr="000F0562">
        <w:rPr>
          <w:rStyle w:val="FootnoteReference"/>
        </w:rPr>
        <w:tab/>
      </w:r>
      <w:r w:rsidRPr="00E62ECC">
        <w:t>References to Kosovo shall be understood to be in the context of Security Council resolution 1244 (1999).</w:t>
      </w:r>
    </w:p>
  </w:footnote>
  <w:footnote w:id="18">
    <w:p w14:paraId="573AB561" w14:textId="5BBCCE90" w:rsidR="00591901" w:rsidRDefault="00591901" w:rsidP="000F0562">
      <w:pPr>
        <w:pStyle w:val="FootnoteText"/>
      </w:pPr>
      <w:r>
        <w:tab/>
      </w:r>
      <w:r w:rsidRPr="000F0562">
        <w:rPr>
          <w:rStyle w:val="FootnoteReference"/>
        </w:rPr>
        <w:footnoteRef/>
      </w:r>
      <w:r w:rsidRPr="000F0562">
        <w:rPr>
          <w:rStyle w:val="FootnoteReference"/>
        </w:rPr>
        <w:tab/>
      </w:r>
      <w:r w:rsidRPr="00D17EA2">
        <w:t xml:space="preserve">European Court of Human Rights, </w:t>
      </w:r>
      <w:r w:rsidRPr="00D17EA2">
        <w:rPr>
          <w:i/>
          <w:iCs/>
        </w:rPr>
        <w:t>Paposhvili v. Belgium</w:t>
      </w:r>
      <w:r w:rsidRPr="00D17EA2">
        <w:t xml:space="preserve">, Application No. 41738/10, </w:t>
      </w:r>
      <w:r>
        <w:t>J</w:t>
      </w:r>
      <w:r w:rsidRPr="00D17EA2">
        <w:t>udgment, 13</w:t>
      </w:r>
      <w:r w:rsidR="001C2FB3">
        <w:t> </w:t>
      </w:r>
      <w:r w:rsidRPr="00D17EA2">
        <w:t>December 2016.</w:t>
      </w:r>
    </w:p>
  </w:footnote>
  <w:footnote w:id="19">
    <w:p w14:paraId="024D3E75" w14:textId="521CE1EA" w:rsidR="00591901" w:rsidRPr="00AB3791" w:rsidRDefault="00591901" w:rsidP="000F0562">
      <w:pPr>
        <w:pStyle w:val="FootnoteText"/>
      </w:pPr>
      <w:r>
        <w:tab/>
      </w:r>
      <w:r w:rsidRPr="000F0562">
        <w:rPr>
          <w:rStyle w:val="FootnoteReference"/>
        </w:rPr>
        <w:footnoteRef/>
      </w:r>
      <w:r w:rsidRPr="000F0562">
        <w:rPr>
          <w:rStyle w:val="FootnoteReference"/>
        </w:rPr>
        <w:tab/>
      </w:r>
      <w:hyperlink r:id="rId29" w:history="1">
        <w:r w:rsidRPr="00D80056">
          <w:rPr>
            <w:rStyle w:val="Hyperlink"/>
          </w:rPr>
          <w:t>CRPD/C/31/D/104/2023</w:t>
        </w:r>
      </w:hyperlink>
      <w:r w:rsidRPr="0062763B">
        <w:t>.</w:t>
      </w:r>
    </w:p>
  </w:footnote>
  <w:footnote w:id="20">
    <w:p w14:paraId="6861B76A" w14:textId="08B96F26" w:rsidR="00591901" w:rsidRDefault="00591901" w:rsidP="000F0562">
      <w:pPr>
        <w:pStyle w:val="FootnoteText"/>
      </w:pPr>
      <w:r>
        <w:tab/>
      </w:r>
      <w:r w:rsidRPr="000F0562">
        <w:rPr>
          <w:rStyle w:val="FootnoteReference"/>
        </w:rPr>
        <w:footnoteRef/>
      </w:r>
      <w:r w:rsidRPr="000F0562">
        <w:rPr>
          <w:rStyle w:val="FootnoteReference"/>
        </w:rPr>
        <w:tab/>
      </w:r>
      <w:r w:rsidRPr="00A6721A">
        <w:rPr>
          <w:i/>
          <w:iCs/>
        </w:rPr>
        <w:t>O.O.J. v. Sweden</w:t>
      </w:r>
      <w:r w:rsidRPr="00A6721A">
        <w:t xml:space="preserve"> (</w:t>
      </w:r>
      <w:hyperlink r:id="rId30" w:history="1">
        <w:r w:rsidRPr="00D80056">
          <w:rPr>
            <w:rStyle w:val="Hyperlink"/>
          </w:rPr>
          <w:t>CRPD/C/18/D/28/2015</w:t>
        </w:r>
      </w:hyperlink>
      <w:r w:rsidRPr="00A6721A">
        <w:t>).</w:t>
      </w:r>
    </w:p>
  </w:footnote>
  <w:footnote w:id="21">
    <w:p w14:paraId="07C63E19" w14:textId="189528FD" w:rsidR="00591901" w:rsidRPr="00C87D33" w:rsidRDefault="000F0562" w:rsidP="000F0562">
      <w:pPr>
        <w:pStyle w:val="FootnoteText"/>
      </w:pPr>
      <w:r>
        <w:tab/>
      </w:r>
      <w:r w:rsidR="00591901" w:rsidRPr="000F0562">
        <w:rPr>
          <w:rStyle w:val="FootnoteReference"/>
        </w:rPr>
        <w:footnoteRef/>
      </w:r>
      <w:r w:rsidR="00591901" w:rsidRPr="000F0562">
        <w:rPr>
          <w:rStyle w:val="FootnoteReference"/>
        </w:rPr>
        <w:t xml:space="preserve"> </w:t>
      </w:r>
      <w:r>
        <w:tab/>
      </w:r>
      <w:hyperlink r:id="rId31" w:history="1">
        <w:r w:rsidR="00591901" w:rsidRPr="00D80056">
          <w:rPr>
            <w:rStyle w:val="Hyperlink"/>
          </w:rPr>
          <w:t>CRPD/C/31/D/62/2019</w:t>
        </w:r>
      </w:hyperlink>
      <w:r w:rsidR="00591901">
        <w:t>.</w:t>
      </w:r>
    </w:p>
  </w:footnote>
  <w:footnote w:id="22">
    <w:p w14:paraId="5B48EE5E" w14:textId="4511E5E2" w:rsidR="00591901" w:rsidRPr="00C87D33" w:rsidRDefault="000F0562" w:rsidP="000F0562">
      <w:pPr>
        <w:pStyle w:val="FootnoteText"/>
      </w:pPr>
      <w:r>
        <w:tab/>
      </w:r>
      <w:r w:rsidR="00591901" w:rsidRPr="000F0562">
        <w:rPr>
          <w:rStyle w:val="FootnoteReference"/>
        </w:rPr>
        <w:footnoteRef/>
      </w:r>
      <w:r w:rsidR="00591901" w:rsidRPr="000F0562">
        <w:rPr>
          <w:rStyle w:val="FootnoteReference"/>
        </w:rPr>
        <w:t xml:space="preserve"> </w:t>
      </w:r>
      <w:r>
        <w:tab/>
      </w:r>
      <w:hyperlink r:id="rId32" w:history="1">
        <w:r w:rsidR="00591901" w:rsidRPr="00D80056">
          <w:rPr>
            <w:rStyle w:val="Hyperlink"/>
          </w:rPr>
          <w:t>CRPD/C/31/D/63/2019</w:t>
        </w:r>
      </w:hyperlink>
      <w:r w:rsidR="00591901">
        <w:t>.</w:t>
      </w:r>
    </w:p>
  </w:footnote>
  <w:footnote w:id="23">
    <w:p w14:paraId="17ED6936" w14:textId="38CFBBF0" w:rsidR="00591901" w:rsidRPr="001F2B0C" w:rsidRDefault="000F0562" w:rsidP="000F0562">
      <w:pPr>
        <w:pStyle w:val="FootnoteText"/>
      </w:pPr>
      <w:r>
        <w:tab/>
      </w:r>
      <w:r w:rsidR="00591901" w:rsidRPr="000F0562">
        <w:rPr>
          <w:rStyle w:val="FootnoteReference"/>
        </w:rPr>
        <w:footnoteRef/>
      </w:r>
      <w:r w:rsidR="00591901" w:rsidRPr="000F0562">
        <w:rPr>
          <w:rStyle w:val="FootnoteReference"/>
        </w:rPr>
        <w:t xml:space="preserve"> </w:t>
      </w:r>
      <w:r>
        <w:tab/>
      </w:r>
      <w:hyperlink r:id="rId33" w:history="1">
        <w:r w:rsidR="00591901" w:rsidRPr="00D80056">
          <w:rPr>
            <w:rStyle w:val="Hyperlink"/>
          </w:rPr>
          <w:t>CRPD/C/31/D/91/2021</w:t>
        </w:r>
      </w:hyperlink>
      <w:r w:rsidR="005919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DDA2C" w14:textId="77777777" w:rsidR="001D4F86" w:rsidRDefault="001D4F86" w:rsidP="001D4F86">
    <w:pPr>
      <w:pStyle w:val="Header"/>
    </w:pPr>
    <w:r>
      <w:t>CRPD/C/31/2</w:t>
    </w:r>
  </w:p>
  <w:p w14:paraId="79A6CFC1" w14:textId="77777777" w:rsidR="001314C6" w:rsidRDefault="001314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9BAEE" w14:textId="77777777" w:rsidR="001D4F86" w:rsidRDefault="001D4F86" w:rsidP="001D4F86">
    <w:pPr>
      <w:pStyle w:val="Header"/>
      <w:jc w:val="right"/>
    </w:pPr>
    <w:r>
      <w:t>CRPD/C/31/2</w:t>
    </w:r>
  </w:p>
  <w:p w14:paraId="3B0AE0A0" w14:textId="77777777" w:rsidR="001314C6" w:rsidRDefault="001314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DF6EC" w14:textId="77777777" w:rsidR="006B04A9" w:rsidRDefault="006B04A9" w:rsidP="006B04A9">
    <w:pPr>
      <w:pStyle w:val="Header"/>
      <w:jc w:val="right"/>
    </w:pPr>
    <w:r>
      <w:t>CRPD/C/31/2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6602197">
    <w:abstractNumId w:val="3"/>
  </w:num>
  <w:num w:numId="2" w16cid:durableId="489836545">
    <w:abstractNumId w:val="2"/>
  </w:num>
  <w:num w:numId="3" w16cid:durableId="1325473092">
    <w:abstractNumId w:val="0"/>
  </w:num>
  <w:num w:numId="4" w16cid:durableId="385832958">
    <w:abstractNumId w:val="4"/>
  </w:num>
  <w:num w:numId="5" w16cid:durableId="576328732">
    <w:abstractNumId w:val="5"/>
  </w:num>
  <w:num w:numId="6" w16cid:durableId="1081830064">
    <w:abstractNumId w:val="6"/>
  </w:num>
  <w:num w:numId="7" w16cid:durableId="1241792517">
    <w:abstractNumId w:val="1"/>
  </w:num>
  <w:num w:numId="8" w16cid:durableId="535582981">
    <w:abstractNumId w:val="3"/>
  </w:num>
  <w:num w:numId="9" w16cid:durableId="1696617914">
    <w:abstractNumId w:val="2"/>
  </w:num>
  <w:num w:numId="10" w16cid:durableId="17708858">
    <w:abstractNumId w:val="0"/>
  </w:num>
  <w:num w:numId="11" w16cid:durableId="1715080022">
    <w:abstractNumId w:val="5"/>
  </w:num>
  <w:num w:numId="12" w16cid:durableId="94712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EC"/>
    <w:rsid w:val="00046E92"/>
    <w:rsid w:val="00064DB5"/>
    <w:rsid w:val="000C291C"/>
    <w:rsid w:val="000F0562"/>
    <w:rsid w:val="001314C6"/>
    <w:rsid w:val="001350A8"/>
    <w:rsid w:val="0016108A"/>
    <w:rsid w:val="001A7D64"/>
    <w:rsid w:val="001C2FB3"/>
    <w:rsid w:val="001D4F86"/>
    <w:rsid w:val="00247E2C"/>
    <w:rsid w:val="002D6C53"/>
    <w:rsid w:val="002F238A"/>
    <w:rsid w:val="002F5595"/>
    <w:rsid w:val="00317DC1"/>
    <w:rsid w:val="00334F6A"/>
    <w:rsid w:val="003350F9"/>
    <w:rsid w:val="00342AC8"/>
    <w:rsid w:val="003B4550"/>
    <w:rsid w:val="003B49CF"/>
    <w:rsid w:val="003F40A9"/>
    <w:rsid w:val="00461253"/>
    <w:rsid w:val="004A1DC4"/>
    <w:rsid w:val="00502AC4"/>
    <w:rsid w:val="005042C2"/>
    <w:rsid w:val="00591901"/>
    <w:rsid w:val="00596033"/>
    <w:rsid w:val="005E08DF"/>
    <w:rsid w:val="00671529"/>
    <w:rsid w:val="006B04A9"/>
    <w:rsid w:val="006B6980"/>
    <w:rsid w:val="006E4390"/>
    <w:rsid w:val="006F33F1"/>
    <w:rsid w:val="0070610A"/>
    <w:rsid w:val="007268F9"/>
    <w:rsid w:val="007C52B0"/>
    <w:rsid w:val="007C7DC2"/>
    <w:rsid w:val="00816928"/>
    <w:rsid w:val="0086105F"/>
    <w:rsid w:val="008E48B6"/>
    <w:rsid w:val="009411B4"/>
    <w:rsid w:val="009B04CD"/>
    <w:rsid w:val="009C5542"/>
    <w:rsid w:val="009C7535"/>
    <w:rsid w:val="009D0139"/>
    <w:rsid w:val="009F5CDC"/>
    <w:rsid w:val="009F71FB"/>
    <w:rsid w:val="00A775CF"/>
    <w:rsid w:val="00A93DDF"/>
    <w:rsid w:val="00A95750"/>
    <w:rsid w:val="00AA4342"/>
    <w:rsid w:val="00AC535F"/>
    <w:rsid w:val="00B06045"/>
    <w:rsid w:val="00B275CB"/>
    <w:rsid w:val="00BC76EC"/>
    <w:rsid w:val="00BE04BA"/>
    <w:rsid w:val="00C35A27"/>
    <w:rsid w:val="00C9007B"/>
    <w:rsid w:val="00CC3AB5"/>
    <w:rsid w:val="00D80056"/>
    <w:rsid w:val="00DB3A49"/>
    <w:rsid w:val="00DD2265"/>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33B9C"/>
  <w15:docId w15:val="{ACF535A4-3163-4614-A622-AB111E42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005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D80056"/>
    <w:pPr>
      <w:spacing w:after="0" w:line="240" w:lineRule="auto"/>
      <w:ind w:right="0"/>
      <w:jc w:val="left"/>
      <w:outlineLvl w:val="0"/>
    </w:pPr>
  </w:style>
  <w:style w:type="paragraph" w:styleId="Heading2">
    <w:name w:val="heading 2"/>
    <w:basedOn w:val="Normal"/>
    <w:next w:val="Normal"/>
    <w:link w:val="Heading2Char"/>
    <w:semiHidden/>
    <w:rsid w:val="00D80056"/>
    <w:pPr>
      <w:spacing w:line="240" w:lineRule="auto"/>
      <w:outlineLvl w:val="1"/>
    </w:pPr>
  </w:style>
  <w:style w:type="paragraph" w:styleId="Heading3">
    <w:name w:val="heading 3"/>
    <w:basedOn w:val="Normal"/>
    <w:next w:val="Normal"/>
    <w:link w:val="Heading3Char"/>
    <w:semiHidden/>
    <w:rsid w:val="00D80056"/>
    <w:pPr>
      <w:spacing w:line="240" w:lineRule="auto"/>
      <w:outlineLvl w:val="2"/>
    </w:pPr>
  </w:style>
  <w:style w:type="paragraph" w:styleId="Heading4">
    <w:name w:val="heading 4"/>
    <w:basedOn w:val="Normal"/>
    <w:next w:val="Normal"/>
    <w:link w:val="Heading4Char"/>
    <w:semiHidden/>
    <w:rsid w:val="00D80056"/>
    <w:pPr>
      <w:spacing w:line="240" w:lineRule="auto"/>
      <w:outlineLvl w:val="3"/>
    </w:pPr>
  </w:style>
  <w:style w:type="paragraph" w:styleId="Heading5">
    <w:name w:val="heading 5"/>
    <w:basedOn w:val="Normal"/>
    <w:next w:val="Normal"/>
    <w:link w:val="Heading5Char"/>
    <w:semiHidden/>
    <w:rsid w:val="00D80056"/>
    <w:pPr>
      <w:spacing w:line="240" w:lineRule="auto"/>
      <w:outlineLvl w:val="4"/>
    </w:pPr>
  </w:style>
  <w:style w:type="paragraph" w:styleId="Heading6">
    <w:name w:val="heading 6"/>
    <w:basedOn w:val="Normal"/>
    <w:next w:val="Normal"/>
    <w:link w:val="Heading6Char"/>
    <w:semiHidden/>
    <w:rsid w:val="00D80056"/>
    <w:pPr>
      <w:spacing w:line="240" w:lineRule="auto"/>
      <w:outlineLvl w:val="5"/>
    </w:pPr>
  </w:style>
  <w:style w:type="paragraph" w:styleId="Heading7">
    <w:name w:val="heading 7"/>
    <w:basedOn w:val="Normal"/>
    <w:next w:val="Normal"/>
    <w:link w:val="Heading7Char"/>
    <w:semiHidden/>
    <w:rsid w:val="00D80056"/>
    <w:pPr>
      <w:spacing w:line="240" w:lineRule="auto"/>
      <w:outlineLvl w:val="6"/>
    </w:pPr>
  </w:style>
  <w:style w:type="paragraph" w:styleId="Heading8">
    <w:name w:val="heading 8"/>
    <w:basedOn w:val="Normal"/>
    <w:next w:val="Normal"/>
    <w:link w:val="Heading8Char"/>
    <w:semiHidden/>
    <w:rsid w:val="00D80056"/>
    <w:pPr>
      <w:spacing w:line="240" w:lineRule="auto"/>
      <w:outlineLvl w:val="7"/>
    </w:pPr>
  </w:style>
  <w:style w:type="paragraph" w:styleId="Heading9">
    <w:name w:val="heading 9"/>
    <w:basedOn w:val="Normal"/>
    <w:next w:val="Normal"/>
    <w:link w:val="Heading9Char"/>
    <w:semiHidden/>
    <w:rsid w:val="00D8005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8005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D80056"/>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80056"/>
    <w:pPr>
      <w:tabs>
        <w:tab w:val="left" w:pos="1701"/>
        <w:tab w:val="left" w:pos="2268"/>
      </w:tabs>
      <w:spacing w:after="120"/>
      <w:ind w:left="1134" w:right="1134"/>
      <w:jc w:val="both"/>
    </w:pPr>
  </w:style>
  <w:style w:type="paragraph" w:customStyle="1" w:styleId="SLG">
    <w:name w:val="__S_L_G"/>
    <w:basedOn w:val="Normal"/>
    <w:next w:val="Normal"/>
    <w:rsid w:val="00D80056"/>
    <w:pPr>
      <w:keepNext/>
      <w:keepLines/>
      <w:spacing w:before="240" w:after="240" w:line="580" w:lineRule="exact"/>
      <w:ind w:left="1134" w:right="1134"/>
    </w:pPr>
    <w:rPr>
      <w:b/>
      <w:sz w:val="56"/>
    </w:rPr>
  </w:style>
  <w:style w:type="paragraph" w:customStyle="1" w:styleId="SMG">
    <w:name w:val="__S_M_G"/>
    <w:basedOn w:val="Normal"/>
    <w:next w:val="Normal"/>
    <w:rsid w:val="00D80056"/>
    <w:pPr>
      <w:keepNext/>
      <w:keepLines/>
      <w:spacing w:before="240" w:after="240" w:line="420" w:lineRule="exact"/>
      <w:ind w:left="1134" w:right="1134"/>
    </w:pPr>
    <w:rPr>
      <w:b/>
      <w:sz w:val="40"/>
    </w:rPr>
  </w:style>
  <w:style w:type="paragraph" w:customStyle="1" w:styleId="SSG">
    <w:name w:val="__S_S_G"/>
    <w:basedOn w:val="Normal"/>
    <w:next w:val="Normal"/>
    <w:rsid w:val="00D80056"/>
    <w:pPr>
      <w:keepNext/>
      <w:keepLines/>
      <w:spacing w:before="240" w:after="240" w:line="300" w:lineRule="exact"/>
      <w:ind w:left="1134" w:right="1134"/>
    </w:pPr>
    <w:rPr>
      <w:b/>
      <w:sz w:val="28"/>
    </w:rPr>
  </w:style>
  <w:style w:type="paragraph" w:customStyle="1" w:styleId="XLargeG">
    <w:name w:val="__XLarge_G"/>
    <w:basedOn w:val="Normal"/>
    <w:next w:val="Normal"/>
    <w:rsid w:val="00D80056"/>
    <w:pPr>
      <w:keepNext/>
      <w:keepLines/>
      <w:spacing w:before="240" w:after="240" w:line="420" w:lineRule="exact"/>
      <w:ind w:left="1134" w:right="1134"/>
    </w:pPr>
    <w:rPr>
      <w:b/>
      <w:sz w:val="40"/>
    </w:rPr>
  </w:style>
  <w:style w:type="paragraph" w:customStyle="1" w:styleId="Bullet1G">
    <w:name w:val="_Bullet 1_G"/>
    <w:basedOn w:val="Normal"/>
    <w:rsid w:val="00D80056"/>
    <w:pPr>
      <w:numPr>
        <w:numId w:val="8"/>
      </w:numPr>
      <w:spacing w:after="120"/>
      <w:ind w:right="1134"/>
      <w:jc w:val="both"/>
    </w:pPr>
  </w:style>
  <w:style w:type="paragraph" w:customStyle="1" w:styleId="Bullet2G">
    <w:name w:val="_Bullet 2_G"/>
    <w:basedOn w:val="Normal"/>
    <w:rsid w:val="00D80056"/>
    <w:pPr>
      <w:numPr>
        <w:numId w:val="9"/>
      </w:numPr>
      <w:spacing w:after="120"/>
      <w:ind w:right="1134"/>
      <w:jc w:val="both"/>
    </w:pPr>
  </w:style>
  <w:style w:type="paragraph" w:customStyle="1" w:styleId="ParaNoG">
    <w:name w:val="_ParaNo._G"/>
    <w:basedOn w:val="SingleTxtG"/>
    <w:rsid w:val="00D80056"/>
    <w:pPr>
      <w:numPr>
        <w:numId w:val="10"/>
      </w:numPr>
      <w:tabs>
        <w:tab w:val="clear" w:pos="0"/>
      </w:tabs>
    </w:pPr>
  </w:style>
  <w:style w:type="numbering" w:styleId="111111">
    <w:name w:val="Outline List 2"/>
    <w:basedOn w:val="NoList"/>
    <w:semiHidden/>
    <w:rsid w:val="00D80056"/>
    <w:pPr>
      <w:numPr>
        <w:numId w:val="5"/>
      </w:numPr>
    </w:pPr>
  </w:style>
  <w:style w:type="numbering" w:styleId="1ai">
    <w:name w:val="Outline List 1"/>
    <w:basedOn w:val="NoList"/>
    <w:semiHidden/>
    <w:rsid w:val="00D80056"/>
    <w:pPr>
      <w:numPr>
        <w:numId w:val="6"/>
      </w:numPr>
    </w:pPr>
  </w:style>
  <w:style w:type="character" w:styleId="EndnoteReference">
    <w:name w:val="endnote reference"/>
    <w:aliases w:val="1_G"/>
    <w:rsid w:val="00D80056"/>
    <w:rPr>
      <w:rFonts w:ascii="Times New Roman" w:hAnsi="Times New Roman"/>
      <w:sz w:val="18"/>
      <w:vertAlign w:val="superscript"/>
    </w:rPr>
  </w:style>
  <w:style w:type="paragraph" w:styleId="BalloonText">
    <w:name w:val="Balloon Text"/>
    <w:basedOn w:val="Normal"/>
    <w:link w:val="BalloonTextChar"/>
    <w:rsid w:val="00D8005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80056"/>
    <w:rPr>
      <w:rFonts w:ascii="Tahoma" w:hAnsi="Tahoma" w:cs="Tahoma"/>
      <w:sz w:val="16"/>
      <w:szCs w:val="16"/>
    </w:rPr>
  </w:style>
  <w:style w:type="paragraph" w:styleId="EndnoteText">
    <w:name w:val="endnote text"/>
    <w:aliases w:val="2_G"/>
    <w:basedOn w:val="FootnoteText"/>
    <w:link w:val="EndnoteTextChar"/>
    <w:rsid w:val="00D8005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qFormat/>
    <w:rsid w:val="00D80056"/>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80056"/>
    <w:rPr>
      <w:rFonts w:ascii="Times New Roman" w:hAnsi="Times New Roman"/>
      <w:b/>
      <w:sz w:val="18"/>
    </w:rPr>
  </w:style>
  <w:style w:type="character" w:customStyle="1" w:styleId="FootnoteTextChar">
    <w:name w:val="Footnote Text Char"/>
    <w:aliases w:val="5_G Char"/>
    <w:basedOn w:val="DefaultParagraphFont"/>
    <w:link w:val="FootnoteText"/>
    <w:rsid w:val="00D80056"/>
    <w:rPr>
      <w:rFonts w:ascii="Times New Roman" w:hAnsi="Times New Roman" w:cs="Times New Roman"/>
      <w:sz w:val="18"/>
      <w:szCs w:val="20"/>
    </w:rPr>
  </w:style>
  <w:style w:type="table" w:styleId="TableGrid">
    <w:name w:val="Table Grid"/>
    <w:basedOn w:val="TableNormal"/>
    <w:rsid w:val="00D8005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qFormat/>
    <w:rsid w:val="00D80056"/>
    <w:rPr>
      <w:rFonts w:ascii="Times New Roman" w:hAnsi="Times New Roman"/>
      <w:sz w:val="18"/>
      <w:vertAlign w:val="superscript"/>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D80056"/>
    <w:rPr>
      <w:color w:val="0000FF" w:themeColor="hyperlink"/>
      <w:u w:val="none"/>
    </w:rPr>
  </w:style>
  <w:style w:type="character" w:styleId="FollowedHyperlink">
    <w:name w:val="FollowedHyperlink"/>
    <w:basedOn w:val="DefaultParagraphFont"/>
    <w:uiPriority w:val="99"/>
    <w:semiHidden/>
    <w:unhideWhenUsed/>
    <w:rsid w:val="00D80056"/>
    <w:rPr>
      <w:color w:val="0000FF"/>
      <w:u w:val="single"/>
    </w:rPr>
  </w:style>
  <w:style w:type="paragraph" w:styleId="Revision">
    <w:name w:val="Revision"/>
    <w:hidden/>
    <w:uiPriority w:val="99"/>
    <w:semiHidden/>
    <w:rsid w:val="007C7DC2"/>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un.org/" TargetMode="External"/><Relationship Id="rId13" Type="http://schemas.openxmlformats.org/officeDocument/2006/relationships/hyperlink" Target="http://undocs.org/en/CRPD/C/NLD/1" TargetMode="External"/><Relationship Id="rId18" Type="http://schemas.openxmlformats.org/officeDocument/2006/relationships/hyperlink" Target="http://undocs.org/en/CRPD/C/BLR/CO/1" TargetMode="External"/><Relationship Id="rId26" Type="http://schemas.openxmlformats.org/officeDocument/2006/relationships/hyperlink" Target="http://undocs.org/en/CRPD/C/UKR/CO/2-3" TargetMode="External"/><Relationship Id="rId3" Type="http://schemas.openxmlformats.org/officeDocument/2006/relationships/hyperlink" Target="http://undocs.org/en/CRPD/C/31/D/104/2023" TargetMode="External"/><Relationship Id="rId21" Type="http://schemas.openxmlformats.org/officeDocument/2006/relationships/hyperlink" Target="http://undocs.org/en/CRPD/C/BFA/CO/1" TargetMode="External"/><Relationship Id="rId7" Type="http://schemas.openxmlformats.org/officeDocument/2006/relationships/hyperlink" Target="http://undocs.org/en/CRPD/C/6" TargetMode="External"/><Relationship Id="rId12" Type="http://schemas.openxmlformats.org/officeDocument/2006/relationships/hyperlink" Target="http://undocs.org/en/CRPD/C/GHA/1" TargetMode="External"/><Relationship Id="rId17" Type="http://schemas.openxmlformats.org/officeDocument/2006/relationships/hyperlink" Target="http://undocs.org/en/CRPD/C/UKR/2-3" TargetMode="External"/><Relationship Id="rId25" Type="http://schemas.openxmlformats.org/officeDocument/2006/relationships/hyperlink" Target="http://undocs.org/en/CRPD/C/NLD/CO/1" TargetMode="External"/><Relationship Id="rId33" Type="http://schemas.openxmlformats.org/officeDocument/2006/relationships/hyperlink" Target="http://undocs.org/en/CRPD/C/31/D/91/2021" TargetMode="External"/><Relationship Id="rId2" Type="http://schemas.openxmlformats.org/officeDocument/2006/relationships/hyperlink" Target="http://undocs.org/en/CRPD/C/31/D/69/2019" TargetMode="External"/><Relationship Id="rId16" Type="http://schemas.openxmlformats.org/officeDocument/2006/relationships/hyperlink" Target="http://undocs.org/en/CRPD/C/MUS/2-3" TargetMode="External"/><Relationship Id="rId20" Type="http://schemas.openxmlformats.org/officeDocument/2006/relationships/hyperlink" Target="http://undocs.org/en/CRPD/C/BEN/CO/1" TargetMode="External"/><Relationship Id="rId29" Type="http://schemas.openxmlformats.org/officeDocument/2006/relationships/hyperlink" Target="http://undocs.org/en/CRPD/C/31/D/104/2023" TargetMode="External"/><Relationship Id="rId1" Type="http://schemas.openxmlformats.org/officeDocument/2006/relationships/hyperlink" Target="http://undocs.org/en/CRPD/C/31/1" TargetMode="External"/><Relationship Id="rId6" Type="http://schemas.openxmlformats.org/officeDocument/2006/relationships/hyperlink" Target="http://undocs.org/en/CRPD/C/31/D/91/2021" TargetMode="External"/><Relationship Id="rId11" Type="http://schemas.openxmlformats.org/officeDocument/2006/relationships/hyperlink" Target="http://undocs.org/en/CRPD/C/BFA/1" TargetMode="External"/><Relationship Id="rId24" Type="http://schemas.openxmlformats.org/officeDocument/2006/relationships/hyperlink" Target="http://undocs.org/en/CRPD/C/MUS/CO/2-3" TargetMode="External"/><Relationship Id="rId32" Type="http://schemas.openxmlformats.org/officeDocument/2006/relationships/hyperlink" Target="http://undocs.org/en/CRPD/C/31/D/63/2019" TargetMode="External"/><Relationship Id="rId5" Type="http://schemas.openxmlformats.org/officeDocument/2006/relationships/hyperlink" Target="http://undocs.org/en/CRPD/C/31/D/63/2019" TargetMode="External"/><Relationship Id="rId15" Type="http://schemas.openxmlformats.org/officeDocument/2006/relationships/hyperlink" Target="http://undocs.org/en/CRPD/C/DNK/2-3" TargetMode="External"/><Relationship Id="rId23" Type="http://schemas.openxmlformats.org/officeDocument/2006/relationships/hyperlink" Target="http://undocs.org/en/CRPD/C/GHA/CO/1" TargetMode="External"/><Relationship Id="rId28" Type="http://schemas.openxmlformats.org/officeDocument/2006/relationships/hyperlink" Target="http://undocs.org/en/CRPD/C/31/D/94/2021" TargetMode="External"/><Relationship Id="rId10" Type="http://schemas.openxmlformats.org/officeDocument/2006/relationships/hyperlink" Target="http://undocs.org/en/CRPD/C/BEN/1" TargetMode="External"/><Relationship Id="rId19" Type="http://schemas.openxmlformats.org/officeDocument/2006/relationships/hyperlink" Target="http://undocs.org/en/CRPD/C/BEL/CO/2-3" TargetMode="External"/><Relationship Id="rId31" Type="http://schemas.openxmlformats.org/officeDocument/2006/relationships/hyperlink" Target="http://undocs.org/en/CRPD/C/31/D/62/2019" TargetMode="External"/><Relationship Id="rId4" Type="http://schemas.openxmlformats.org/officeDocument/2006/relationships/hyperlink" Target="http://undocs.org/en/CRPD/C/31/D/94/2021" TargetMode="External"/><Relationship Id="rId9" Type="http://schemas.openxmlformats.org/officeDocument/2006/relationships/hyperlink" Target="http://undocs.org/en/CRPD/C/BLR/1" TargetMode="External"/><Relationship Id="rId14" Type="http://schemas.openxmlformats.org/officeDocument/2006/relationships/hyperlink" Target="http://undocs.org/en/CRPD/C/BEL/2-3" TargetMode="External"/><Relationship Id="rId22" Type="http://schemas.openxmlformats.org/officeDocument/2006/relationships/hyperlink" Target="http://undocs.org/en/CRPD/C/DNK/CO/2-3" TargetMode="External"/><Relationship Id="rId27" Type="http://schemas.openxmlformats.org/officeDocument/2006/relationships/hyperlink" Target="http://undocs.org/en/CRPD/C/31/D/69/2019" TargetMode="External"/><Relationship Id="rId30" Type="http://schemas.openxmlformats.org/officeDocument/2006/relationships/hyperlink" Target="http://undocs.org/en/CRPD/C/18/D/28/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4438</Words>
  <Characters>23956</Characters>
  <Application>Microsoft Office Word</Application>
  <DocSecurity>0</DocSecurity>
  <Lines>430</Lines>
  <Paragraphs>145</Paragraphs>
  <ScaleCrop>false</ScaleCrop>
  <HeadingPairs>
    <vt:vector size="2" baseType="variant">
      <vt:variant>
        <vt:lpstr>Title</vt:lpstr>
      </vt:variant>
      <vt:variant>
        <vt:i4>1</vt:i4>
      </vt:variant>
    </vt:vector>
  </HeadingPairs>
  <TitlesOfParts>
    <vt:vector size="1" baseType="lpstr">
      <vt:lpstr>CRPD/C/31/2</vt:lpstr>
    </vt:vector>
  </TitlesOfParts>
  <Company>DCM</Company>
  <LinksUpToDate>false</LinksUpToDate>
  <CharactersWithSpaces>28305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CRPD/C/31/2</dc:title>
  <dc:subject>2417277</dc:subject>
  <dc:creator>AVT</dc:creator>
  <cp:keywords/>
  <dc:description/>
  <cp:lastModifiedBy>Maria Rosario Corazon Gatmaytan</cp:lastModifiedBy>
  <cp:revision>2</cp:revision>
  <dcterms:created xsi:type="dcterms:W3CDTF">2024-10-22T07:27:00Z</dcterms:created>
  <dcterms:modified xsi:type="dcterms:W3CDTF">2024-10-22T07:27:00Z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9dad5c5b3cf18f1ec0a01178334303716d19c835bac0f555e82649f3e5b9d75a</vt:lpwstr>
  </property>
</Properties>
</file>