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8B4" w:rsidRDefault="007878B4" w:rsidP="007878B4">
      <w:pPr>
        <w:spacing w:line="60" w:lineRule="exact"/>
        <w:sectPr w:rsidR="007878B4" w:rsidSect="007878B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29 Size =1Lang = C"/>
            <w10:wrap anchorx="page" anchory="page"/>
          </v:shape>
        </w:pict>
      </w:r>
      <w:commentRangeEnd w:id="0"/>
      <w:r>
        <w:rPr>
          <w:rStyle w:val="CommentReference"/>
        </w:rPr>
        <w:commentReference w:id="0"/>
      </w:r>
    </w:p>
    <w:p w:rsidR="007878B4" w:rsidRDefault="007878B4" w:rsidP="007878B4">
      <w:pPr>
        <w:spacing w:line="60" w:lineRule="exact"/>
      </w:pPr>
    </w:p>
    <w:p w:rsidR="007C75FB" w:rsidRDefault="007C75FB" w:rsidP="009133D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9133DD" w:rsidRPr="009133DD" w:rsidRDefault="009133DD" w:rsidP="009133DD">
      <w:pPr>
        <w:pStyle w:val="SingleTxt"/>
        <w:spacing w:after="0" w:line="120" w:lineRule="exact"/>
        <w:rPr>
          <w:sz w:val="10"/>
        </w:rPr>
      </w:pPr>
    </w:p>
    <w:p w:rsidR="009133DD" w:rsidRPr="009133DD" w:rsidRDefault="009133DD" w:rsidP="009133DD">
      <w:pPr>
        <w:pStyle w:val="SingleTxt"/>
        <w:spacing w:after="0" w:line="120" w:lineRule="exact"/>
        <w:rPr>
          <w:sz w:val="10"/>
        </w:rPr>
      </w:pPr>
    </w:p>
    <w:p w:rsidR="007C75FB" w:rsidRPr="009133DD" w:rsidRDefault="009133DD" w:rsidP="009133D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C75FB" w:rsidRPr="009133DD">
        <w:rPr>
          <w:rFonts w:hint="eastAsia"/>
        </w:rPr>
        <w:t>关于《消除对妇女一切形式歧视公约》第十六条的一般性建议(婚姻、家庭关系及其解除的经济后果)</w:t>
      </w:r>
    </w:p>
    <w:p w:rsidR="009133DD" w:rsidRPr="009133DD" w:rsidRDefault="009133DD" w:rsidP="009133DD">
      <w:pPr>
        <w:pStyle w:val="SingleTxt"/>
        <w:spacing w:after="0" w:line="120" w:lineRule="exact"/>
        <w:rPr>
          <w:rFonts w:hint="eastAsia"/>
          <w:sz w:val="10"/>
        </w:rPr>
      </w:pPr>
    </w:p>
    <w:p w:rsidR="009133DD" w:rsidRPr="009133DD" w:rsidRDefault="009133DD" w:rsidP="009133DD">
      <w:pPr>
        <w:pStyle w:val="SingleTxt"/>
        <w:spacing w:after="0" w:line="120" w:lineRule="exact"/>
        <w:rPr>
          <w:rFonts w:hint="eastAsia"/>
          <w:sz w:val="10"/>
        </w:rPr>
      </w:pPr>
    </w:p>
    <w:p w:rsidR="007C75FB" w:rsidRDefault="007C75FB" w:rsidP="009133D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一.</w:t>
      </w:r>
      <w:r>
        <w:rPr>
          <w:rFonts w:hint="eastAsia"/>
        </w:rPr>
        <w:tab/>
        <w:t>背景</w:t>
      </w:r>
    </w:p>
    <w:p w:rsidR="009133DD" w:rsidRPr="009133DD" w:rsidRDefault="009133DD" w:rsidP="009133DD">
      <w:pPr>
        <w:pStyle w:val="SingleTxt"/>
        <w:spacing w:after="0" w:line="120" w:lineRule="exact"/>
        <w:rPr>
          <w:rFonts w:hint="eastAsia"/>
          <w:sz w:val="10"/>
        </w:rPr>
      </w:pPr>
    </w:p>
    <w:p w:rsidR="009133DD" w:rsidRPr="009133DD" w:rsidRDefault="009133DD" w:rsidP="009133DD">
      <w:pPr>
        <w:pStyle w:val="SingleTxt"/>
        <w:spacing w:after="0" w:line="120" w:lineRule="exact"/>
        <w:rPr>
          <w:rFonts w:hint="eastAsia"/>
          <w:sz w:val="10"/>
        </w:rPr>
      </w:pPr>
    </w:p>
    <w:p w:rsidR="007C75FB" w:rsidRDefault="007C75FB" w:rsidP="007C75FB">
      <w:pPr>
        <w:pStyle w:val="SingleTxt"/>
        <w:rPr>
          <w:rFonts w:hint="eastAsia"/>
        </w:rPr>
      </w:pPr>
      <w:r>
        <w:rPr>
          <w:rFonts w:hint="eastAsia"/>
        </w:rPr>
        <w:t>1.</w:t>
      </w:r>
      <w:r>
        <w:rPr>
          <w:rFonts w:hint="eastAsia"/>
        </w:rPr>
        <w:tab/>
        <w:t>如《世界人权宣言》所言，家庭是社会的基本单位。</w:t>
      </w:r>
      <w:r>
        <w:rPr>
          <w:rStyle w:val="FootnoteReference"/>
        </w:rPr>
        <w:footnoteReference w:id="1"/>
      </w:r>
      <w:r>
        <w:rPr>
          <w:rFonts w:hint="eastAsia"/>
        </w:rPr>
        <w:t xml:space="preserve"> 它是一个社会和法律概念，而且在许多国家，是一个宗教概念。家庭还是一个经济概念。家庭市场研究表明，家庭结构、家庭内的性别分工和家庭法对妇女经济福利的影响不下于劳动市场结构和劳动法的影响。的确，妇女往往不能平等享有其家庭的经济财富和收益，而且一旦家庭解体，她们付出的代价通常比男子更高，守寡后则可能陷于赤贫。如果她们有子女，特别是国家提供的经济安全网很小或根本不存在时，则尤其如此。</w:t>
      </w:r>
    </w:p>
    <w:p w:rsidR="007C75FB" w:rsidRDefault="007C75FB" w:rsidP="007C75FB">
      <w:pPr>
        <w:pStyle w:val="SingleTxt"/>
        <w:rPr>
          <w:rFonts w:hint="eastAsia"/>
        </w:rPr>
      </w:pPr>
      <w:r>
        <w:rPr>
          <w:rFonts w:hint="eastAsia"/>
        </w:rPr>
        <w:t>2.</w:t>
      </w:r>
      <w:r>
        <w:rPr>
          <w:rFonts w:hint="eastAsia"/>
        </w:rPr>
        <w:tab/>
        <w:t>家庭中的不平等是所有其他歧视妇女现象的根本，而且经常以意识形态、传统和文化的名义合理化。对缔约国报告的审查揭示，在许多国家，规范已婚伴侣权利和责任的民法或普通法原则、宗教或习惯法和习俗或这种法律和习俗的某种组合歧视妇女，不符合《公约》所载的各项原则。</w:t>
      </w:r>
    </w:p>
    <w:p w:rsidR="007C75FB" w:rsidRDefault="007C75FB" w:rsidP="007C75FB">
      <w:pPr>
        <w:pStyle w:val="SingleTxt"/>
        <w:rPr>
          <w:rFonts w:hint="eastAsia"/>
        </w:rPr>
      </w:pPr>
      <w:r>
        <w:rPr>
          <w:rFonts w:hint="eastAsia"/>
        </w:rPr>
        <w:t>3.</w:t>
      </w:r>
      <w:r>
        <w:rPr>
          <w:rFonts w:hint="eastAsia"/>
        </w:rPr>
        <w:tab/>
        <w:t>维持此种法律安排的许多缔约国对第二条和第十六条的全部或部分内容提出保留。消除对妇女歧视委员会一再关切地注意到这些保留的范围，并认为这些保留无效，因其不符合《公约》的目标和宗旨。委员会始终呼吁这些缔约国撤销其保留，并确保其法律制度，无论是民事、宗教、习惯、族裔或其某种组合符合《公约》，特别是符合第十六条。</w:t>
      </w:r>
    </w:p>
    <w:p w:rsidR="007C75FB" w:rsidRDefault="007C75FB" w:rsidP="007C75FB">
      <w:pPr>
        <w:pStyle w:val="SingleTxt"/>
        <w:rPr>
          <w:rFonts w:hint="eastAsia"/>
        </w:rPr>
      </w:pPr>
      <w:r>
        <w:rPr>
          <w:rFonts w:hint="eastAsia"/>
        </w:rPr>
        <w:t>4.</w:t>
      </w:r>
      <w:r>
        <w:rPr>
          <w:rFonts w:hint="eastAsia"/>
        </w:rPr>
        <w:tab/>
        <w:t>结婚、离婚、分居和死亡给妇女带来的经济后果越来越引起委员会的关切。在某些国家进行的研究发现，离婚和(或)分居后，男子受到的收入损失即便不是微乎其微，通常也比较小，但许多妇女却经历了家庭收入的大幅下降，进一步依赖能获得的社会福利。在全世界，女户主家庭最可能是贫困家庭。它们的状况不可避免地受到以下全球性发展态势的影响：市场经济及其危机；妇女愈来愈多地从事有偿工作，主要集中于低收入工作；国家内和各国间始终存在收入不平等；离婚率上升和事实结合增加；社会保障制度改革或新制度的推出；最为重要的是，妇女贫穷的持续。尽管妇女为家庭经济福祉做出贡献，但她们低下的经济地位渗透家庭关系的所有阶段，原因往往在于她们要对受扶养人尽责。</w:t>
      </w:r>
    </w:p>
    <w:p w:rsidR="007C75FB" w:rsidRDefault="007C75FB" w:rsidP="007C75FB">
      <w:pPr>
        <w:pStyle w:val="SingleTxt"/>
        <w:rPr>
          <w:rFonts w:hint="eastAsia"/>
        </w:rPr>
      </w:pPr>
      <w:r>
        <w:rPr>
          <w:rFonts w:hint="eastAsia"/>
        </w:rPr>
        <w:t>5.</w:t>
      </w:r>
      <w:r>
        <w:rPr>
          <w:rFonts w:hint="eastAsia"/>
        </w:rPr>
        <w:tab/>
        <w:t>尽管存在形形色色的家庭经济安排，但在家庭关系中以及这种关系解除后，发展中国家和发达国家妇女的经济状况通常都比男子差。名义上为改善经济状况所设计的社会保障制度也可能歧视妇女。</w:t>
      </w:r>
    </w:p>
    <w:p w:rsidR="009133DD" w:rsidRPr="009133DD" w:rsidRDefault="009133DD" w:rsidP="009133DD">
      <w:pPr>
        <w:pStyle w:val="SingleTxt"/>
        <w:spacing w:after="0" w:line="120" w:lineRule="exact"/>
        <w:rPr>
          <w:rFonts w:hint="eastAsia"/>
          <w:sz w:val="10"/>
        </w:rPr>
      </w:pPr>
    </w:p>
    <w:p w:rsidR="007C75FB" w:rsidRDefault="007C75FB" w:rsidP="009133D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二.</w:t>
      </w:r>
      <w:r>
        <w:rPr>
          <w:rFonts w:hint="eastAsia"/>
        </w:rPr>
        <w:tab/>
        <w:t>一般性建议的宗旨和范围</w:t>
      </w:r>
    </w:p>
    <w:p w:rsidR="009133DD" w:rsidRPr="009133DD" w:rsidRDefault="009133DD" w:rsidP="009133DD">
      <w:pPr>
        <w:pStyle w:val="SingleTxt"/>
        <w:spacing w:after="0" w:line="120" w:lineRule="exact"/>
        <w:rPr>
          <w:rFonts w:hint="eastAsia"/>
          <w:sz w:val="10"/>
        </w:rPr>
      </w:pPr>
    </w:p>
    <w:p w:rsidR="009133DD" w:rsidRPr="009133DD" w:rsidRDefault="009133DD" w:rsidP="009133DD">
      <w:pPr>
        <w:pStyle w:val="SingleTxt"/>
        <w:spacing w:after="0" w:line="120" w:lineRule="exact"/>
        <w:rPr>
          <w:rFonts w:hint="eastAsia"/>
          <w:sz w:val="10"/>
        </w:rPr>
      </w:pPr>
    </w:p>
    <w:p w:rsidR="007C75FB" w:rsidRDefault="007C75FB" w:rsidP="009133DD">
      <w:pPr>
        <w:pStyle w:val="SingleTxt"/>
        <w:spacing w:after="180"/>
        <w:rPr>
          <w:rFonts w:hint="eastAsia"/>
        </w:rPr>
      </w:pPr>
      <w:r>
        <w:rPr>
          <w:rFonts w:hint="eastAsia"/>
        </w:rPr>
        <w:t>6.</w:t>
      </w:r>
      <w:r>
        <w:rPr>
          <w:rFonts w:hint="eastAsia"/>
        </w:rPr>
        <w:tab/>
        <w:t>《消除对妇女一切形式歧视公约》第十六条规定，应消除在结婚时、婚姻存续期间以及婚姻关系因离婚或死亡而解除时存在的对妇女的歧视。1994年，委员会通过第21号一般性建议，其中阐述了第十六条的许多内容及其与第九条和第十五条的关系。第21号一般性建议指出，第十六条第(1)款(h)项具体指涉婚姻及其解除的经济方面。本建议的基础是第21号一般性建议、第27号等其他相关的一般性建议以及委员会的判例所阐明的原则。本建议援引《公约》第一条所载的歧视定义，并呼吁缔约国采取《公约》第二条和第28号一般性建议要求的法律和政策措施。它还包含了第21号一般性建议通过以来发生的社会和法律进展，例如一些缔约国通过了关于登记伴侣和(或)事实结合的法律，并且以这种关系生活在一起的伴侣数量增加。</w:t>
      </w:r>
    </w:p>
    <w:p w:rsidR="007C75FB" w:rsidRDefault="007C75FB" w:rsidP="009133DD">
      <w:pPr>
        <w:pStyle w:val="SingleTxt"/>
        <w:spacing w:after="180"/>
        <w:rPr>
          <w:rFonts w:hint="eastAsia"/>
        </w:rPr>
      </w:pPr>
      <w:r>
        <w:rPr>
          <w:rFonts w:hint="eastAsia"/>
        </w:rPr>
        <w:t>7.</w:t>
      </w:r>
      <w:r>
        <w:rPr>
          <w:rFonts w:hint="eastAsia"/>
        </w:rPr>
        <w:tab/>
        <w:t>妇女在家庭内应当享有的平等权得到普遍承认，其他人权条约机构的相关一般性意见可以为证：人权事务委员会关于男女权利平等的第28号一般性意见(特别是第23至27段)以及关于保护家庭、结婚权利和配偶平等的第19号一般性意见；经济、社会及文化权利委员会关于男女平等享有所有经济、社会及文化权利的第16号一般性意见(特别是第27段)以及关于在经济、社会和文化权利方面不受歧视的第20号一般性意见。《北京行动纲要》</w:t>
      </w:r>
      <w:r>
        <w:rPr>
          <w:rStyle w:val="FootnoteReference"/>
        </w:rPr>
        <w:footnoteReference w:id="2"/>
      </w:r>
      <w:r>
        <w:rPr>
          <w:rFonts w:hint="eastAsia"/>
        </w:rPr>
        <w:t xml:space="preserve"> 和千年发展目标</w:t>
      </w:r>
      <w:r>
        <w:rPr>
          <w:rStyle w:val="FootnoteReference"/>
        </w:rPr>
        <w:footnoteReference w:id="3"/>
      </w:r>
      <w:r>
        <w:rPr>
          <w:rFonts w:hint="eastAsia"/>
        </w:rPr>
        <w:t xml:space="preserve"> 等重要的全球政治文件也提到家庭内部平等是根本性原则。</w:t>
      </w:r>
    </w:p>
    <w:p w:rsidR="007C75FB" w:rsidRDefault="007C75FB" w:rsidP="009133DD">
      <w:pPr>
        <w:pStyle w:val="SingleTxt"/>
        <w:spacing w:after="180"/>
        <w:rPr>
          <w:rFonts w:hint="eastAsia"/>
        </w:rPr>
      </w:pPr>
      <w:r>
        <w:rPr>
          <w:rFonts w:hint="eastAsia"/>
        </w:rPr>
        <w:t>8.</w:t>
      </w:r>
      <w:r>
        <w:rPr>
          <w:rFonts w:hint="eastAsia"/>
        </w:rPr>
        <w:tab/>
        <w:t>委员会始终认为，若要消除对妇女的歧视，缔约国就必须规定实质上以及形式上的平等。形式上的平等可以通过不带性别色彩、表面上平等对待妇女与男子的法律和政策实现</w:t>
      </w:r>
      <w:r w:rsidR="00055145">
        <w:rPr>
          <w:rFonts w:hint="eastAsia"/>
        </w:rPr>
        <w:t>，</w:t>
      </w:r>
      <w:r>
        <w:rPr>
          <w:rFonts w:hint="eastAsia"/>
        </w:rPr>
        <w:t>但只有缔约国审查法律和政策的实施及效果，并确保其规定事实上的平等并照顾到妇女的不利地位或被排斥状态，才能实现实质上的平等。就家庭关系的经济层面而言，实质上的平等做法必须处理以下问题：教育和就业方面的歧视，兼顾工作和家庭的需要，性别定型观念和性别角色对妇女经济能力的影响。</w:t>
      </w:r>
    </w:p>
    <w:p w:rsidR="007C75FB" w:rsidRDefault="007C75FB" w:rsidP="007C75FB">
      <w:pPr>
        <w:pStyle w:val="SingleTxt"/>
        <w:rPr>
          <w:rFonts w:hint="eastAsia"/>
        </w:rPr>
      </w:pPr>
      <w:r>
        <w:rPr>
          <w:rFonts w:hint="eastAsia"/>
        </w:rPr>
        <w:t>9.</w:t>
      </w:r>
      <w:r>
        <w:rPr>
          <w:rFonts w:hint="eastAsia"/>
        </w:rPr>
        <w:tab/>
        <w:t>本一般性建议将指导缔约国实现法律上和事实上的平等制度，在这种制度下，家庭关系的经济利益和成本以及关系解除的经济后果都由男女平等承受。本建议将确立评估缔约国在家庭经济平等方面执行《公约》情况的准则。</w:t>
      </w:r>
    </w:p>
    <w:p w:rsidR="009133DD" w:rsidRPr="009133DD" w:rsidRDefault="009133DD" w:rsidP="009133DD">
      <w:pPr>
        <w:pStyle w:val="SingleTxt"/>
        <w:spacing w:after="0" w:line="120" w:lineRule="exact"/>
        <w:rPr>
          <w:rFonts w:hint="eastAsia"/>
          <w:sz w:val="10"/>
        </w:rPr>
      </w:pPr>
    </w:p>
    <w:p w:rsidR="007C75FB" w:rsidRDefault="007C75FB" w:rsidP="009133D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三.</w:t>
      </w:r>
      <w:r>
        <w:rPr>
          <w:rFonts w:hint="eastAsia"/>
        </w:rPr>
        <w:tab/>
        <w:t>宪法和法律框架</w:t>
      </w:r>
    </w:p>
    <w:p w:rsidR="009133DD" w:rsidRPr="009133DD" w:rsidRDefault="009133DD" w:rsidP="009133DD">
      <w:pPr>
        <w:pStyle w:val="SingleTxt"/>
        <w:spacing w:after="0" w:line="120" w:lineRule="exact"/>
        <w:rPr>
          <w:rFonts w:hint="eastAsia"/>
          <w:sz w:val="10"/>
        </w:rPr>
      </w:pPr>
    </w:p>
    <w:p w:rsidR="009133DD" w:rsidRPr="009133DD" w:rsidRDefault="009133DD" w:rsidP="009133DD">
      <w:pPr>
        <w:pStyle w:val="SingleTxt"/>
        <w:spacing w:after="0" w:line="120" w:lineRule="exact"/>
        <w:rPr>
          <w:rFonts w:hint="eastAsia"/>
          <w:sz w:val="10"/>
        </w:rPr>
      </w:pPr>
    </w:p>
    <w:p w:rsidR="007C75FB" w:rsidRDefault="007C75FB" w:rsidP="007C75FB">
      <w:pPr>
        <w:pStyle w:val="SingleTxt"/>
        <w:rPr>
          <w:rFonts w:hint="eastAsia"/>
        </w:rPr>
      </w:pPr>
      <w:r>
        <w:rPr>
          <w:rFonts w:hint="eastAsia"/>
        </w:rPr>
        <w:t>10.</w:t>
      </w:r>
      <w:r>
        <w:rPr>
          <w:rFonts w:hint="eastAsia"/>
        </w:rPr>
        <w:tab/>
        <w:t>一些缔约国的宪法或法律框架仍然规定，与婚姻、离婚、婚姻财产的分配、继承、监护、收养和其他此类事项有关的人身法不受禁止歧视的宪法条款的限制，或将人身法事项留给缔约国内的族裔和宗教社区决定。在这种情况下，宪法的平等保护条款和反歧视条款无法保护妇女免受根据习俗和宗教法成婚的歧视性影响。有些缔约国通过了包含平等保护和不歧视条款的宪法，但却没有修订或通过法律来消除其家庭法制度内的歧视内容，无论是规范家庭制度的民法、宗教法、族裔习俗，还是法律与惯例的组合。这样的宪法和法律框架全都具有歧视性，违反了《公约》第二条及第五、十五和十六条。</w:t>
      </w:r>
    </w:p>
    <w:p w:rsidR="007C75FB" w:rsidRDefault="007C75FB" w:rsidP="007C75FB">
      <w:pPr>
        <w:pStyle w:val="SingleTxt"/>
        <w:rPr>
          <w:rFonts w:hint="eastAsia"/>
        </w:rPr>
      </w:pPr>
      <w:r>
        <w:rPr>
          <w:rFonts w:hint="eastAsia"/>
        </w:rPr>
        <w:t>11.</w:t>
      </w:r>
      <w:r>
        <w:rPr>
          <w:rFonts w:hint="eastAsia"/>
        </w:rPr>
        <w:tab/>
        <w:t>缔约国应在其宪法中保障男女平等，并应消除任何有助于保护或保留家庭关系方面的歧视性法律和做法的宪法例外。</w:t>
      </w:r>
    </w:p>
    <w:p w:rsidR="007C75FB" w:rsidRPr="009133DD" w:rsidRDefault="007C75FB" w:rsidP="007C75FB">
      <w:pPr>
        <w:pStyle w:val="SingleTxt"/>
        <w:rPr>
          <w:rFonts w:ascii="SimHei" w:eastAsia="SimHei" w:hint="eastAsia"/>
        </w:rPr>
      </w:pPr>
      <w:r w:rsidRPr="009133DD">
        <w:rPr>
          <w:rFonts w:ascii="SimHei" w:eastAsia="SimHei" w:hint="eastAsia"/>
        </w:rPr>
        <w:t>多重家庭法制度</w:t>
      </w:r>
    </w:p>
    <w:p w:rsidR="007C75FB" w:rsidRDefault="007C75FB" w:rsidP="007C75FB">
      <w:pPr>
        <w:pStyle w:val="SingleTxt"/>
        <w:rPr>
          <w:rFonts w:hint="eastAsia"/>
        </w:rPr>
      </w:pPr>
      <w:r>
        <w:rPr>
          <w:rFonts w:hint="eastAsia"/>
        </w:rPr>
        <w:t>12.</w:t>
      </w:r>
      <w:r>
        <w:rPr>
          <w:rFonts w:hint="eastAsia"/>
        </w:rPr>
        <w:tab/>
        <w:t>有</w:t>
      </w:r>
      <w:r w:rsidRPr="007C75FB">
        <w:rPr>
          <w:rFonts w:hint="eastAsia"/>
          <w:spacing w:val="-2"/>
        </w:rPr>
        <w:t>些缔约国有多重法律制度，可根据族裔或宗教等身份因素对个人适用不同的人身法。其中有些国家(但不是所有国家)还可以在规定的情形下适用民法，或由当事方选择适用。但在某些国家，个人在适用身份决定的人身法方面没有选择权。</w:t>
      </w:r>
    </w:p>
    <w:p w:rsidR="007C75FB" w:rsidRDefault="007C75FB" w:rsidP="007C75FB">
      <w:pPr>
        <w:pStyle w:val="SingleTxt"/>
        <w:rPr>
          <w:rFonts w:hint="eastAsia"/>
        </w:rPr>
      </w:pPr>
      <w:r>
        <w:rPr>
          <w:rFonts w:hint="eastAsia"/>
        </w:rPr>
        <w:t>13.</w:t>
      </w:r>
      <w:r>
        <w:rPr>
          <w:rFonts w:hint="eastAsia"/>
        </w:rPr>
        <w:tab/>
        <w:t>个人自由选择其宗教或习俗信仰和做法的程度不同。他们自由质疑国家或社区法律和习俗中歧视妇女内容的程度也不同。</w:t>
      </w:r>
    </w:p>
    <w:p w:rsidR="007C75FB" w:rsidRDefault="007C75FB" w:rsidP="007C75FB">
      <w:pPr>
        <w:pStyle w:val="SingleTxt"/>
        <w:rPr>
          <w:rFonts w:hint="eastAsia"/>
        </w:rPr>
      </w:pPr>
      <w:r>
        <w:rPr>
          <w:rFonts w:hint="eastAsia"/>
        </w:rPr>
        <w:t>14.</w:t>
      </w:r>
      <w:r>
        <w:rPr>
          <w:rFonts w:hint="eastAsia"/>
        </w:rPr>
        <w:tab/>
        <w:t>委员会一贯表示的关切是，身份决定的人身法和习俗将使对妇女的歧视永久持续下去，并且维持多重法律制度本身即是对妇女的歧视。个人无法选择适用或遵循特定的法律和习俗更加重了这种歧视。</w:t>
      </w:r>
    </w:p>
    <w:p w:rsidR="007C75FB" w:rsidRDefault="007C75FB" w:rsidP="007C75FB">
      <w:pPr>
        <w:pStyle w:val="SingleTxt"/>
        <w:rPr>
          <w:rFonts w:hint="eastAsia"/>
        </w:rPr>
      </w:pPr>
      <w:r>
        <w:rPr>
          <w:rFonts w:hint="eastAsia"/>
        </w:rPr>
        <w:t>15.</w:t>
      </w:r>
      <w:r>
        <w:rPr>
          <w:rFonts w:hint="eastAsia"/>
        </w:rPr>
        <w:tab/>
        <w:t>缔约国应按照《公约》和委员会的一般性建议，通过成文的家庭法或人身法，规定配偶或伴侣之间彼此平等，无论宗教或族裔身份或社区如何。如果没有统一</w:t>
      </w:r>
      <w:r w:rsidRPr="007C75FB">
        <w:rPr>
          <w:rFonts w:hint="eastAsia"/>
          <w:spacing w:val="-2"/>
        </w:rPr>
        <w:t>的家庭法，则人身法制度应规定，在关系的任何阶段，个人均可以选择适用宗教法、族裔习俗或民法。属人法应体现男女平等这一基本原则，并应与《公约》的规定完全一致，以在与婚姻和家庭关系有关的一切事项中，消除对妇女的一切歧视。</w:t>
      </w:r>
    </w:p>
    <w:p w:rsidR="009133DD" w:rsidRPr="009133DD" w:rsidRDefault="009133DD" w:rsidP="009133DD">
      <w:pPr>
        <w:pStyle w:val="SingleTxt"/>
        <w:spacing w:after="0" w:line="120" w:lineRule="exact"/>
        <w:rPr>
          <w:rFonts w:hint="eastAsia"/>
          <w:sz w:val="10"/>
        </w:rPr>
      </w:pPr>
    </w:p>
    <w:p w:rsidR="007C75FB" w:rsidRDefault="007C75FB" w:rsidP="009133D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四.</w:t>
      </w:r>
      <w:r>
        <w:rPr>
          <w:rFonts w:hint="eastAsia"/>
        </w:rPr>
        <w:tab/>
        <w:t>家庭的各种形式</w:t>
      </w:r>
    </w:p>
    <w:p w:rsidR="009133DD" w:rsidRPr="009133DD" w:rsidRDefault="009133DD" w:rsidP="009133DD">
      <w:pPr>
        <w:pStyle w:val="SingleTxt"/>
        <w:spacing w:after="0" w:line="120" w:lineRule="exact"/>
        <w:rPr>
          <w:rFonts w:hint="eastAsia"/>
          <w:sz w:val="10"/>
        </w:rPr>
      </w:pPr>
    </w:p>
    <w:p w:rsidR="009133DD" w:rsidRPr="009133DD" w:rsidRDefault="009133DD" w:rsidP="009133DD">
      <w:pPr>
        <w:pStyle w:val="SingleTxt"/>
        <w:spacing w:after="0" w:line="120" w:lineRule="exact"/>
        <w:rPr>
          <w:rFonts w:hint="eastAsia"/>
          <w:sz w:val="10"/>
        </w:rPr>
      </w:pPr>
    </w:p>
    <w:p w:rsidR="007C75FB" w:rsidRDefault="007C75FB" w:rsidP="009133DD">
      <w:pPr>
        <w:pStyle w:val="SingleTxt"/>
        <w:spacing w:after="180"/>
        <w:rPr>
          <w:rFonts w:hint="eastAsia"/>
        </w:rPr>
      </w:pPr>
      <w:r>
        <w:rPr>
          <w:rFonts w:hint="eastAsia"/>
        </w:rPr>
        <w:t>16.</w:t>
      </w:r>
      <w:r>
        <w:rPr>
          <w:rFonts w:hint="eastAsia"/>
        </w:rPr>
        <w:tab/>
        <w:t>委员会在第21号一般性建议第13段中确认家庭的形式多种多样，并强调在所有制度下都有“在法律上和在私人生活之中”实现家庭内平等的义务。</w:t>
      </w:r>
    </w:p>
    <w:p w:rsidR="007C75FB" w:rsidRDefault="007C75FB" w:rsidP="009133DD">
      <w:pPr>
        <w:pStyle w:val="SingleTxt"/>
        <w:spacing w:after="180"/>
        <w:rPr>
          <w:rFonts w:hint="eastAsia"/>
        </w:rPr>
      </w:pPr>
      <w:r>
        <w:rPr>
          <w:rFonts w:hint="eastAsia"/>
        </w:rPr>
        <w:t>17.</w:t>
      </w:r>
      <w:r>
        <w:rPr>
          <w:rFonts w:hint="eastAsia"/>
        </w:rPr>
        <w:tab/>
        <w:t>联合国系统其他实体的声明确认了这一理解，即“必须广义地理解‘家庭’这一概念。”</w:t>
      </w:r>
      <w:r>
        <w:rPr>
          <w:rStyle w:val="FootnoteReference"/>
        </w:rPr>
        <w:footnoteReference w:id="4"/>
      </w:r>
      <w:r>
        <w:rPr>
          <w:rFonts w:hint="eastAsia"/>
        </w:rPr>
        <w:t xml:space="preserve"> 人权事务委员会在其第28号一般性意见第27段中承认“家庭的不同形式”。秘书长在其关于纪念国际家庭年的报告中确认，“家庭在各国之间和国家内部具有各种不同的形式和职能”。</w:t>
      </w:r>
      <w:r w:rsidR="00C25FBD">
        <w:rPr>
          <w:rStyle w:val="FootnoteReference"/>
        </w:rPr>
        <w:footnoteReference w:id="5"/>
      </w:r>
    </w:p>
    <w:p w:rsidR="007C75FB" w:rsidRDefault="007C75FB" w:rsidP="009133DD">
      <w:pPr>
        <w:pStyle w:val="SingleTxt"/>
        <w:spacing w:after="180"/>
        <w:rPr>
          <w:rFonts w:hint="eastAsia"/>
        </w:rPr>
      </w:pPr>
      <w:r>
        <w:rPr>
          <w:rFonts w:hint="eastAsia"/>
        </w:rPr>
        <w:t>18.</w:t>
      </w:r>
      <w:r>
        <w:rPr>
          <w:rFonts w:hint="eastAsia"/>
        </w:rPr>
        <w:tab/>
        <w:t>缔约国有义务解决各种形式的家庭和家庭关系中的性和性别歧视。在消除歧视妇女方面，缔约国必须处理重男轻女的传统和态度，并对家庭法和政策给予如同个人和社区生活的“公共”方面一样的监督。</w:t>
      </w:r>
    </w:p>
    <w:p w:rsidR="007C75FB" w:rsidRDefault="007C75FB" w:rsidP="009133DD">
      <w:pPr>
        <w:pStyle w:val="SingleTxt"/>
        <w:spacing w:after="180"/>
        <w:rPr>
          <w:rFonts w:hint="eastAsia"/>
        </w:rPr>
      </w:pPr>
      <w:r>
        <w:rPr>
          <w:rFonts w:hint="eastAsia"/>
        </w:rPr>
        <w:t>19.</w:t>
      </w:r>
      <w:r>
        <w:rPr>
          <w:rFonts w:hint="eastAsia"/>
        </w:rPr>
        <w:tab/>
        <w:t>人们可通过国家认可的各种风俗、仪式和礼仪缔结婚姻。民事婚姻只能由国家批准并予以登记。宗教婚姻通过履行宗教法规定的仪式而神圣化。习俗婚姻通过履行双方社区习俗规定的仪式来缔结。</w:t>
      </w:r>
    </w:p>
    <w:p w:rsidR="007C75FB" w:rsidRDefault="007C75FB" w:rsidP="009133DD">
      <w:pPr>
        <w:pStyle w:val="SingleTxt"/>
        <w:spacing w:after="180"/>
        <w:rPr>
          <w:rFonts w:hint="eastAsia"/>
        </w:rPr>
      </w:pPr>
      <w:r>
        <w:rPr>
          <w:rFonts w:hint="eastAsia"/>
        </w:rPr>
        <w:t>20.</w:t>
      </w:r>
      <w:r>
        <w:rPr>
          <w:rFonts w:hint="eastAsia"/>
        </w:rPr>
        <w:tab/>
        <w:t>有些缔约国不把登记作为宗教婚姻和习俗婚姻生效的条件。未登记的婚姻可通过出示婚约、证人对仪式的叙述或合乎情理的其他形式加以证明。</w:t>
      </w:r>
    </w:p>
    <w:p w:rsidR="007C75FB" w:rsidRDefault="007C75FB" w:rsidP="009133DD">
      <w:pPr>
        <w:pStyle w:val="SingleTxt"/>
        <w:spacing w:after="180"/>
        <w:rPr>
          <w:rFonts w:hint="eastAsia"/>
        </w:rPr>
      </w:pPr>
      <w:r>
        <w:rPr>
          <w:rFonts w:hint="eastAsia"/>
        </w:rPr>
        <w:t>21.</w:t>
      </w:r>
      <w:r>
        <w:rPr>
          <w:rFonts w:hint="eastAsia"/>
        </w:rPr>
        <w:tab/>
        <w:t>有些缔约国依照宗教法或习惯法承认一夫多妻婚姻，同时也规定民事婚姻，后者按定义是一夫一妻制。在没有规定民事婚姻的地方，实行一夫多妻制社区中的妇女，无论是否愿意，都别无选择地只能缔结已经或至少可能是一夫多妻的婚姻关系。委员会第21号一般性建议认为，一夫多妻违反《公约》的规定，必须“抑制和禁止”。</w:t>
      </w:r>
    </w:p>
    <w:p w:rsidR="007C75FB" w:rsidRDefault="007C75FB" w:rsidP="009133DD">
      <w:pPr>
        <w:pStyle w:val="SingleTxt"/>
        <w:spacing w:after="180"/>
        <w:rPr>
          <w:rFonts w:hint="eastAsia"/>
        </w:rPr>
      </w:pPr>
      <w:r>
        <w:rPr>
          <w:rFonts w:hint="eastAsia"/>
        </w:rPr>
        <w:t>22.</w:t>
      </w:r>
      <w:r>
        <w:rPr>
          <w:rFonts w:hint="eastAsia"/>
        </w:rPr>
        <w:tab/>
        <w:t>在有些缔约国，法律还规定登记伴侣关系，确立双方之间的权利和义务。国家可向登记的伴侣提供不同程度的社会和纳税福利。</w:t>
      </w:r>
    </w:p>
    <w:p w:rsidR="007C75FB" w:rsidRDefault="007C75FB" w:rsidP="009133DD">
      <w:pPr>
        <w:pStyle w:val="SingleTxt"/>
        <w:spacing w:after="180"/>
        <w:rPr>
          <w:rFonts w:hint="eastAsia"/>
        </w:rPr>
      </w:pPr>
      <w:r>
        <w:rPr>
          <w:rFonts w:hint="eastAsia"/>
        </w:rPr>
        <w:t>23.</w:t>
      </w:r>
      <w:r>
        <w:rPr>
          <w:rFonts w:hint="eastAsia"/>
        </w:rPr>
        <w:tab/>
        <w:t>事实结合不经登记，通常不产生任何权利。但某些国家承认事实结合，并为其规定平等的权利和义务，但范围和程度可能有所不同。</w:t>
      </w:r>
    </w:p>
    <w:p w:rsidR="007C75FB" w:rsidRDefault="007C75FB" w:rsidP="007C75FB">
      <w:pPr>
        <w:pStyle w:val="SingleTxt"/>
        <w:rPr>
          <w:rFonts w:hint="eastAsia"/>
        </w:rPr>
      </w:pPr>
      <w:r>
        <w:rPr>
          <w:rFonts w:hint="eastAsia"/>
        </w:rPr>
        <w:t>24.</w:t>
      </w:r>
      <w:r>
        <w:rPr>
          <w:rFonts w:hint="eastAsia"/>
        </w:rPr>
        <w:tab/>
        <w:t>相当一部分缔约国的法律、社会和文化不接受某种形式的关系，即同性关系。但如果缔约国承认这种关系，不论是作为事实结合、登记伴侣还是婚姻，就应确保这种关系中的妇女经济权利受到保护。</w:t>
      </w:r>
    </w:p>
    <w:p w:rsidR="009133DD" w:rsidRDefault="009133DD" w:rsidP="007C75FB">
      <w:pPr>
        <w:pStyle w:val="SingleTxt"/>
        <w:rPr>
          <w:rFonts w:ascii="Times New Roman" w:eastAsia="SimHei"/>
        </w:rPr>
      </w:pPr>
    </w:p>
    <w:p w:rsidR="007C75FB" w:rsidRPr="009133DD" w:rsidRDefault="007C75FB" w:rsidP="007C75FB">
      <w:pPr>
        <w:pStyle w:val="SingleTxt"/>
        <w:rPr>
          <w:rFonts w:ascii="SimHei" w:eastAsia="SimHei" w:hint="eastAsia"/>
        </w:rPr>
      </w:pPr>
      <w:r w:rsidRPr="009133DD">
        <w:rPr>
          <w:rFonts w:ascii="SimHei" w:eastAsia="SimHei" w:hint="eastAsia"/>
        </w:rPr>
        <w:t>未登记的习俗/宗教婚姻</w:t>
      </w:r>
    </w:p>
    <w:p w:rsidR="007C75FB" w:rsidRDefault="007C75FB" w:rsidP="007C75FB">
      <w:pPr>
        <w:pStyle w:val="SingleTxt"/>
        <w:rPr>
          <w:rFonts w:hint="eastAsia"/>
        </w:rPr>
      </w:pPr>
      <w:r>
        <w:rPr>
          <w:rFonts w:hint="eastAsia"/>
        </w:rPr>
        <w:t>25.</w:t>
      </w:r>
      <w:r>
        <w:rPr>
          <w:rFonts w:hint="eastAsia"/>
        </w:rPr>
        <w:tab/>
        <w:t>婚姻登记保护配偶在婚姻关系因对方死亡或离婚而解除时在财产问题上的</w:t>
      </w:r>
      <w:r w:rsidRPr="009133DD">
        <w:rPr>
          <w:rFonts w:hint="eastAsia"/>
          <w:spacing w:val="-2"/>
        </w:rPr>
        <w:t>权利。《公约》规定缔约国有义务建立并充分执行婚姻登记制度。但许多缔约国或者在法律上不要求婚姻登记，或者没有执行现行的登记要求</w:t>
      </w:r>
      <w:r w:rsidR="00055145">
        <w:rPr>
          <w:rFonts w:hint="eastAsia"/>
          <w:spacing w:val="-2"/>
        </w:rPr>
        <w:t>，</w:t>
      </w:r>
      <w:r w:rsidRPr="009133DD">
        <w:rPr>
          <w:rFonts w:hint="eastAsia"/>
          <w:spacing w:val="-2"/>
        </w:rPr>
        <w:t>在这种情况下，包括因缺乏教育和基础设施导致登记困难的情况下，个人不应为没有登记而受到惩罚。</w:t>
      </w:r>
    </w:p>
    <w:p w:rsidR="007C75FB" w:rsidRDefault="007C75FB" w:rsidP="007C75FB">
      <w:pPr>
        <w:pStyle w:val="SingleTxt"/>
        <w:rPr>
          <w:rFonts w:hint="eastAsia"/>
        </w:rPr>
      </w:pPr>
      <w:r>
        <w:rPr>
          <w:rFonts w:hint="eastAsia"/>
        </w:rPr>
        <w:t>26.</w:t>
      </w:r>
      <w:r>
        <w:rPr>
          <w:rFonts w:hint="eastAsia"/>
        </w:rPr>
        <w:tab/>
        <w:t>缔约国应确立婚姻登记的法律要求，并为此开展有效的提高认识活动。缔约国必须通过登记要求方面的教育来促进执行，并提供基础设施，使其管辖范围内的所有人都能登记。缔约国应规定，在情况允许时，提供登记之外的其他婚姻证明方式。国家必须保护处于这种婚姻的妇女的权利，无论她们有否登记。</w:t>
      </w:r>
    </w:p>
    <w:p w:rsidR="007C75FB" w:rsidRPr="009133DD" w:rsidRDefault="007C75FB" w:rsidP="007C75FB">
      <w:pPr>
        <w:pStyle w:val="SingleTxt"/>
        <w:rPr>
          <w:rFonts w:ascii="SimHei" w:eastAsia="SimHei" w:hint="eastAsia"/>
        </w:rPr>
      </w:pPr>
      <w:r w:rsidRPr="009133DD">
        <w:rPr>
          <w:rFonts w:ascii="SimHei" w:eastAsia="SimHei" w:hint="eastAsia"/>
        </w:rPr>
        <w:t>一夫多妻的婚姻</w:t>
      </w:r>
    </w:p>
    <w:p w:rsidR="007C75FB" w:rsidRPr="009133DD" w:rsidRDefault="007C75FB" w:rsidP="007C75FB">
      <w:pPr>
        <w:pStyle w:val="SingleTxt"/>
        <w:rPr>
          <w:rFonts w:hint="eastAsia"/>
          <w:spacing w:val="-2"/>
        </w:rPr>
      </w:pPr>
      <w:r>
        <w:rPr>
          <w:rFonts w:hint="eastAsia"/>
        </w:rPr>
        <w:t>27.</w:t>
      </w:r>
      <w:r>
        <w:rPr>
          <w:rFonts w:hint="eastAsia"/>
        </w:rPr>
        <w:tab/>
        <w:t>委员会重申其第21号一般性建议第14段。其中指出，“一夫多妻婚姻与男女平等的权利相抵触，会给妇女和其受抚养人带来严重的情感和经济方面的后</w:t>
      </w:r>
      <w:r w:rsidRPr="009133DD">
        <w:rPr>
          <w:rFonts w:hint="eastAsia"/>
          <w:spacing w:val="-2"/>
        </w:rPr>
        <w:t>果，因此这种婚姻应予抑制和禁止。”自该一般性建议通过以来，委员会一直关切地注意到，一夫多妻的婚姻在许多缔约国持续存在。委员会在结论意见中指出，一夫多妻对妇女及其子女的人权和经济福祉造成严重影响，并呼吁废除这种婚姻。</w:t>
      </w:r>
    </w:p>
    <w:p w:rsidR="007C75FB" w:rsidRDefault="007C75FB" w:rsidP="007C75FB">
      <w:pPr>
        <w:pStyle w:val="SingleTxt"/>
        <w:rPr>
          <w:rFonts w:hint="eastAsia"/>
        </w:rPr>
      </w:pPr>
      <w:r>
        <w:rPr>
          <w:rFonts w:hint="eastAsia"/>
        </w:rPr>
        <w:t>28.</w:t>
      </w:r>
      <w:r>
        <w:rPr>
          <w:rFonts w:hint="eastAsia"/>
        </w:rPr>
        <w:tab/>
        <w:t>缔约国应采取一切必要的立法和政策措施以废除一夫多妻婚姻。然而，正如委员会第27号一般性建议所指出，“许多缔约国仍在实行一夫多妻制，许多妇女生活在一夫多妻的家庭中”。因此，对已经处于一夫多妻婚姻之中的妇女，缔约国应采取必要措施，确保妇女的经济权利受到保护。</w:t>
      </w:r>
    </w:p>
    <w:p w:rsidR="007C75FB" w:rsidRPr="009133DD" w:rsidRDefault="007C75FB" w:rsidP="007C75FB">
      <w:pPr>
        <w:pStyle w:val="SingleTxt"/>
        <w:rPr>
          <w:rFonts w:ascii="SimHei" w:eastAsia="SimHei" w:hint="eastAsia"/>
        </w:rPr>
      </w:pPr>
      <w:r w:rsidRPr="009133DD">
        <w:rPr>
          <w:rFonts w:ascii="SimHei" w:eastAsia="SimHei" w:hint="eastAsia"/>
        </w:rPr>
        <w:t>登记伴侣关系</w:t>
      </w:r>
    </w:p>
    <w:p w:rsidR="007C75FB" w:rsidRDefault="007C75FB" w:rsidP="007C75FB">
      <w:pPr>
        <w:pStyle w:val="SingleTxt"/>
        <w:rPr>
          <w:rFonts w:hint="eastAsia"/>
        </w:rPr>
      </w:pPr>
      <w:r>
        <w:rPr>
          <w:rFonts w:hint="eastAsia"/>
        </w:rPr>
        <w:t>29.</w:t>
      </w:r>
      <w:r>
        <w:rPr>
          <w:rFonts w:hint="eastAsia"/>
        </w:rPr>
        <w:tab/>
        <w:t>规定登记伴侣关系的缔约国必须确保伴侣在规范此种关系的法律所规定的经济事务上享有平等权利、责任和待遇。下文载列的建议比照适用于在法律秩序中承认登记伴侣关系的缔约国。</w:t>
      </w:r>
    </w:p>
    <w:p w:rsidR="007C75FB" w:rsidRPr="009133DD" w:rsidRDefault="007C75FB" w:rsidP="007C75FB">
      <w:pPr>
        <w:pStyle w:val="SingleTxt"/>
        <w:rPr>
          <w:rFonts w:ascii="SimHei" w:eastAsia="SimHei" w:hint="eastAsia"/>
        </w:rPr>
      </w:pPr>
      <w:r w:rsidRPr="009133DD">
        <w:rPr>
          <w:rFonts w:ascii="SimHei" w:eastAsia="SimHei" w:hint="eastAsia"/>
        </w:rPr>
        <w:t>事实结合</w:t>
      </w:r>
    </w:p>
    <w:p w:rsidR="007C75FB" w:rsidRDefault="007C75FB" w:rsidP="007C75FB">
      <w:pPr>
        <w:pStyle w:val="SingleTxt"/>
        <w:rPr>
          <w:rFonts w:hint="eastAsia"/>
        </w:rPr>
      </w:pPr>
      <w:r>
        <w:rPr>
          <w:rFonts w:hint="eastAsia"/>
        </w:rPr>
        <w:t>30.</w:t>
      </w:r>
      <w:r>
        <w:rPr>
          <w:rFonts w:hint="eastAsia"/>
        </w:rPr>
        <w:tab/>
        <w:t>妇女因各种原因缔结事实结合关系。一些国家的法律框架在某点上，例如在伴侣死亡时或关系解除时，承认事实婚姻。如果没有这种法律框架，则妇女在同居关系结束时可能面临经济风险，即便她们曾为维持家庭和积累其他资产做出了贡献。</w:t>
      </w:r>
    </w:p>
    <w:p w:rsidR="007C75FB" w:rsidRDefault="007C75FB" w:rsidP="007C75FB">
      <w:pPr>
        <w:pStyle w:val="SingleTxt"/>
        <w:rPr>
          <w:rFonts w:hint="eastAsia"/>
        </w:rPr>
      </w:pPr>
      <w:r>
        <w:rPr>
          <w:rFonts w:hint="eastAsia"/>
        </w:rPr>
        <w:t>31.</w:t>
      </w:r>
      <w:r>
        <w:rPr>
          <w:rFonts w:hint="eastAsia"/>
        </w:rPr>
        <w:tab/>
        <w:t>委员会在第21号一般性建议中确定，《公约》第十六条第1款规定的缔约国义务中包含消除歧视处于事实结合的妇女。委员会建议，在存在此种结合的缔约国内，如果伴侣双方均没有与其他人结婚或结成登记伴侣，则缔约国应考虑处于此种结合中的妇女及其所生子女的状况，并采取必要措施确保她们的经济权利受到保护。在事实婚姻受法律承认的国家里，则比照适用下文载列的建议。</w:t>
      </w:r>
    </w:p>
    <w:p w:rsidR="007C75FB" w:rsidRDefault="007C75FB" w:rsidP="009133D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五.</w:t>
      </w:r>
      <w:r>
        <w:rPr>
          <w:rFonts w:hint="eastAsia"/>
        </w:rPr>
        <w:tab/>
        <w:t>家庭组成的经济方面</w:t>
      </w:r>
    </w:p>
    <w:p w:rsidR="009133DD" w:rsidRPr="009133DD" w:rsidRDefault="009133DD" w:rsidP="009133DD">
      <w:pPr>
        <w:pStyle w:val="SingleTxt"/>
        <w:spacing w:after="0" w:line="120" w:lineRule="exact"/>
        <w:rPr>
          <w:sz w:val="10"/>
        </w:rPr>
      </w:pPr>
    </w:p>
    <w:p w:rsidR="009133DD" w:rsidRPr="009133DD" w:rsidRDefault="009133DD" w:rsidP="009133DD">
      <w:pPr>
        <w:pStyle w:val="SingleTxt"/>
        <w:spacing w:after="0" w:line="120" w:lineRule="exact"/>
        <w:rPr>
          <w:sz w:val="10"/>
        </w:rPr>
      </w:pPr>
    </w:p>
    <w:p w:rsidR="007C75FB" w:rsidRDefault="007C75FB" w:rsidP="007C75FB">
      <w:pPr>
        <w:pStyle w:val="SingleTxt"/>
        <w:rPr>
          <w:rFonts w:hint="eastAsia"/>
        </w:rPr>
      </w:pPr>
      <w:r>
        <w:rPr>
          <w:rFonts w:hint="eastAsia"/>
        </w:rPr>
        <w:t>32.</w:t>
      </w:r>
      <w:r>
        <w:rPr>
          <w:rFonts w:hint="eastAsia"/>
        </w:rPr>
        <w:tab/>
        <w:t>缔</w:t>
      </w:r>
      <w:r w:rsidRPr="009133DD">
        <w:rPr>
          <w:rFonts w:hint="eastAsia"/>
          <w:spacing w:val="-2"/>
        </w:rPr>
        <w:t>约国应向缔结婚姻的个人提供信息，说明婚姻关系及其可能因离婚或死亡而解除的经济后果。规定登记伴侣关系的缔约国也应向登记伴侣提供同样的信息。</w:t>
      </w:r>
    </w:p>
    <w:p w:rsidR="007C75FB" w:rsidRPr="009133DD" w:rsidRDefault="007C75FB" w:rsidP="007C75FB">
      <w:pPr>
        <w:pStyle w:val="SingleTxt"/>
        <w:rPr>
          <w:rFonts w:ascii="SimHei" w:eastAsia="SimHei" w:hint="eastAsia"/>
        </w:rPr>
      </w:pPr>
      <w:r w:rsidRPr="009133DD">
        <w:rPr>
          <w:rFonts w:ascii="SimHei" w:eastAsia="SimHei" w:hint="eastAsia"/>
        </w:rPr>
        <w:t>以钱财或地位提升作为婚姻要件</w:t>
      </w:r>
    </w:p>
    <w:p w:rsidR="007C75FB" w:rsidRDefault="007C75FB" w:rsidP="007C75FB">
      <w:pPr>
        <w:pStyle w:val="SingleTxt"/>
        <w:rPr>
          <w:rFonts w:hint="eastAsia"/>
        </w:rPr>
      </w:pPr>
      <w:r>
        <w:rPr>
          <w:rFonts w:hint="eastAsia"/>
        </w:rPr>
        <w:t>33.</w:t>
      </w:r>
      <w:r>
        <w:rPr>
          <w:rFonts w:hint="eastAsia"/>
        </w:rPr>
        <w:tab/>
        <w:t>委员会在第21号一般性建议第16段中指出，一些缔约国允许“为钱财或地位提升而安排的婚姻”。这侵犯妇女自由选择配偶的权利。“钱财或地位提升”系指新郎或新郎家向新娘或新娘家支付现金、货物或牲畜的交易，或是由新娘或新娘家向新郎或新郎家提供类似支付。不得以任何形式将这种做法列为婚姻生效的要件，并且缔约国不应确认这种协议可强制执行。</w:t>
      </w:r>
    </w:p>
    <w:p w:rsidR="007C75FB" w:rsidRPr="009133DD" w:rsidRDefault="007C75FB" w:rsidP="007C75FB">
      <w:pPr>
        <w:pStyle w:val="SingleTxt"/>
        <w:rPr>
          <w:rFonts w:ascii="SimHei" w:eastAsia="SimHei" w:hint="eastAsia"/>
        </w:rPr>
      </w:pPr>
      <w:r w:rsidRPr="009133DD">
        <w:rPr>
          <w:rFonts w:ascii="SimHei" w:eastAsia="SimHei" w:hint="eastAsia"/>
        </w:rPr>
        <w:t>契约：婚前和婚后协议</w:t>
      </w:r>
    </w:p>
    <w:p w:rsidR="007C75FB" w:rsidRDefault="007C75FB" w:rsidP="007C75FB">
      <w:pPr>
        <w:pStyle w:val="SingleTxt"/>
        <w:rPr>
          <w:rFonts w:hint="eastAsia"/>
        </w:rPr>
      </w:pPr>
      <w:r>
        <w:rPr>
          <w:rFonts w:hint="eastAsia"/>
        </w:rPr>
        <w:t>34.</w:t>
      </w:r>
      <w:r>
        <w:rPr>
          <w:rFonts w:hint="eastAsia"/>
        </w:rPr>
        <w:tab/>
        <w:t>在某些制度中，只能通过书面契约缔结婚姻或得到承认的其他结合形式。某些制度允许当事人选择在婚前或婚姻期间签订有关财产的契约协定。由于在谈判能力方面存在严重的不平等，各国必须确保签订契约的妇女享有的保护不低于标准或默认的婚姻条款规定的保护。</w:t>
      </w:r>
    </w:p>
    <w:p w:rsidR="007C75FB" w:rsidRDefault="007C75FB" w:rsidP="007C75FB">
      <w:pPr>
        <w:pStyle w:val="SingleTxt"/>
        <w:rPr>
          <w:rFonts w:hint="eastAsia"/>
        </w:rPr>
      </w:pPr>
      <w:r>
        <w:rPr>
          <w:rFonts w:hint="eastAsia"/>
        </w:rPr>
        <w:t>35.</w:t>
      </w:r>
      <w:r>
        <w:rPr>
          <w:rFonts w:hint="eastAsia"/>
        </w:rPr>
        <w:tab/>
        <w:t>如果缔约国规定可以对婚姻解体后的婚姻财产和其他财产的分配私下做出契约安排，则应采取措施保证不存在歧视，尊重公共秩序，防止滥用不平等的谈判能力，并保护每一配偶在订立这种契约时不受滥用权力的伤害。这些保护性措施可包括要求这些安排以书面方式做出或遵守其他正式要求，并规定如发现契约不当，则可事后宣布无效，或规定经济补偿或其他救济。</w:t>
      </w:r>
    </w:p>
    <w:p w:rsidR="009133DD" w:rsidRPr="009133DD" w:rsidRDefault="009133DD" w:rsidP="009133DD">
      <w:pPr>
        <w:pStyle w:val="SingleTxt"/>
        <w:spacing w:after="0" w:line="120" w:lineRule="exact"/>
        <w:rPr>
          <w:sz w:val="10"/>
        </w:rPr>
      </w:pPr>
    </w:p>
    <w:p w:rsidR="007C75FB" w:rsidRDefault="007C75FB" w:rsidP="009133D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六.</w:t>
      </w:r>
      <w:r>
        <w:rPr>
          <w:rFonts w:hint="eastAsia"/>
        </w:rPr>
        <w:tab/>
        <w:t>关系存续期间的经济问题</w:t>
      </w:r>
    </w:p>
    <w:p w:rsidR="009133DD" w:rsidRPr="009133DD" w:rsidRDefault="009133DD" w:rsidP="009133DD">
      <w:pPr>
        <w:pStyle w:val="SingleTxt"/>
        <w:spacing w:after="0" w:line="120" w:lineRule="exact"/>
        <w:rPr>
          <w:sz w:val="10"/>
        </w:rPr>
      </w:pPr>
    </w:p>
    <w:p w:rsidR="009133DD" w:rsidRPr="009133DD" w:rsidRDefault="009133DD" w:rsidP="009133DD">
      <w:pPr>
        <w:pStyle w:val="SingleTxt"/>
        <w:spacing w:after="0" w:line="120" w:lineRule="exact"/>
        <w:rPr>
          <w:rFonts w:hint="eastAsia"/>
          <w:sz w:val="10"/>
        </w:rPr>
      </w:pPr>
    </w:p>
    <w:p w:rsidR="007C75FB" w:rsidRDefault="007C75FB" w:rsidP="007C75FB">
      <w:pPr>
        <w:pStyle w:val="SingleTxt"/>
        <w:rPr>
          <w:rFonts w:hint="eastAsia"/>
        </w:rPr>
      </w:pPr>
      <w:r>
        <w:rPr>
          <w:rFonts w:hint="eastAsia"/>
        </w:rPr>
        <w:t>36.</w:t>
      </w:r>
      <w:r>
        <w:rPr>
          <w:rFonts w:hint="eastAsia"/>
        </w:rPr>
        <w:tab/>
        <w:t>一些缔约国保留了婚姻期间财产管理方面的歧视性制度。有些保留了指定男子为户主的法律，因而同时赋予他家庭唯一经济代理人的角色。</w:t>
      </w:r>
    </w:p>
    <w:p w:rsidR="007C75FB" w:rsidRDefault="007C75FB" w:rsidP="007C75FB">
      <w:pPr>
        <w:pStyle w:val="SingleTxt"/>
        <w:rPr>
          <w:rFonts w:hint="eastAsia"/>
        </w:rPr>
      </w:pPr>
      <w:r>
        <w:rPr>
          <w:rFonts w:hint="eastAsia"/>
        </w:rPr>
        <w:t>37.</w:t>
      </w:r>
      <w:r>
        <w:rPr>
          <w:rFonts w:hint="eastAsia"/>
        </w:rPr>
        <w:tab/>
        <w:t>在实行夫妻共有财产制规范的地方，名义上规定妇女拥有一半的婚姻财产，但妇女仍然可能没有财产管理权。在许多法律制度下，妇女可保留个人拥有财产的管理权，并可在婚姻存续期间积累和管理更多单独拥有的财产。然而，妇女经济活动所积累的财产可能被认为属于婚后的家庭，妇女可能没有得到认可的管理权。甚至妇女自己的工资也可能是这种情况。</w:t>
      </w:r>
    </w:p>
    <w:p w:rsidR="007C75FB" w:rsidRDefault="007C75FB" w:rsidP="007C75FB">
      <w:pPr>
        <w:pStyle w:val="SingleTxt"/>
        <w:rPr>
          <w:rFonts w:hint="eastAsia"/>
        </w:rPr>
      </w:pPr>
      <w:r>
        <w:rPr>
          <w:rFonts w:hint="eastAsia"/>
        </w:rPr>
        <w:t>38.</w:t>
      </w:r>
      <w:r>
        <w:rPr>
          <w:rFonts w:hint="eastAsia"/>
        </w:rPr>
        <w:tab/>
        <w:t>缔约国应向配偶双方提供享有婚姻财产的平等机会和管理财产的平等行为能力。缔约国应确保在拥有、获取、管理、经营和享有单独或非婚姻财产方面，妇女享有与男子同等的权利。</w:t>
      </w:r>
    </w:p>
    <w:p w:rsidR="007C75FB" w:rsidRDefault="007C75FB" w:rsidP="007C75FB">
      <w:pPr>
        <w:pStyle w:val="SingleTxt"/>
      </w:pPr>
    </w:p>
    <w:p w:rsidR="007C75FB" w:rsidRDefault="007C75FB" w:rsidP="009133D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七.</w:t>
      </w:r>
      <w:r>
        <w:rPr>
          <w:rFonts w:hint="eastAsia"/>
        </w:rPr>
        <w:tab/>
        <w:t>关系解除的经济和财务后果</w:t>
      </w:r>
    </w:p>
    <w:p w:rsidR="009133DD" w:rsidRPr="009133DD" w:rsidRDefault="009133DD" w:rsidP="009133DD">
      <w:pPr>
        <w:pStyle w:val="SingleTxt"/>
        <w:spacing w:after="0" w:line="120" w:lineRule="exact"/>
        <w:rPr>
          <w:sz w:val="10"/>
        </w:rPr>
      </w:pPr>
    </w:p>
    <w:p w:rsidR="009133DD" w:rsidRPr="009133DD" w:rsidRDefault="009133DD" w:rsidP="009133DD">
      <w:pPr>
        <w:pStyle w:val="SingleTxt"/>
        <w:spacing w:after="0" w:line="120" w:lineRule="exact"/>
        <w:rPr>
          <w:sz w:val="10"/>
        </w:rPr>
      </w:pPr>
    </w:p>
    <w:p w:rsidR="007C75FB" w:rsidRPr="009133DD" w:rsidRDefault="007C75FB" w:rsidP="009133DD">
      <w:pPr>
        <w:pStyle w:val="SingleTxt"/>
        <w:spacing w:after="100"/>
        <w:rPr>
          <w:rFonts w:ascii="SimHei" w:eastAsia="SimHei" w:hint="eastAsia"/>
        </w:rPr>
      </w:pPr>
      <w:r w:rsidRPr="009133DD">
        <w:rPr>
          <w:rFonts w:ascii="SimHei" w:eastAsia="SimHei" w:hint="eastAsia"/>
        </w:rPr>
        <w:t>离婚理由与经济后果</w:t>
      </w:r>
    </w:p>
    <w:p w:rsidR="007C75FB" w:rsidRDefault="007C75FB" w:rsidP="009133DD">
      <w:pPr>
        <w:pStyle w:val="SingleTxt"/>
        <w:spacing w:after="100"/>
        <w:rPr>
          <w:rFonts w:hint="eastAsia"/>
        </w:rPr>
      </w:pPr>
      <w:r>
        <w:rPr>
          <w:rFonts w:hint="eastAsia"/>
        </w:rPr>
        <w:t>39.</w:t>
      </w:r>
      <w:r>
        <w:rPr>
          <w:rFonts w:hint="eastAsia"/>
        </w:rPr>
        <w:tab/>
        <w:t>一些法律制度将离婚缘由与离婚的经济后果直接联系起来。过错离婚制度可能会以没有过错为取得经济权利的条件。丈夫可能会滥用这种制度来解除自己对妻子的任何经济义务。在许多法律制度中，对宣布因过错而离婚的妻子不给予任何经济支助。过错离婚制度可能会对妻子和丈夫采取不同的过错标准，例如，相对于妻子而言，离婚理由要求证明的丈夫不忠行为性质更严重。基于过错的经济框架往往对妻子不利，因为她们通常是无经济自立能力的一方。</w:t>
      </w:r>
    </w:p>
    <w:p w:rsidR="007C75FB" w:rsidRDefault="007C75FB" w:rsidP="009133DD">
      <w:pPr>
        <w:pStyle w:val="SingleTxt"/>
        <w:spacing w:after="100"/>
        <w:rPr>
          <w:rFonts w:hint="eastAsia"/>
        </w:rPr>
      </w:pPr>
      <w:r>
        <w:rPr>
          <w:rFonts w:hint="eastAsia"/>
        </w:rPr>
        <w:t>40.</w:t>
      </w:r>
      <w:r>
        <w:rPr>
          <w:rFonts w:hint="eastAsia"/>
        </w:rPr>
        <w:tab/>
        <w:t>缔约国应：</w:t>
      </w:r>
    </w:p>
    <w:p w:rsidR="007C75FB" w:rsidRDefault="009133DD" w:rsidP="009133DD">
      <w:pPr>
        <w:pStyle w:val="SingleTxt"/>
        <w:spacing w:after="100"/>
        <w:ind w:left="2126" w:hanging="431"/>
        <w:rPr>
          <w:rFonts w:hint="eastAsia"/>
        </w:rPr>
      </w:pPr>
      <w:r>
        <w:rPr>
          <w:rFonts w:hint="eastAsia"/>
        </w:rPr>
        <w:sym w:font="Symbol" w:char="F0B7"/>
      </w:r>
      <w:r>
        <w:tab/>
      </w:r>
      <w:r w:rsidR="007C75FB">
        <w:rPr>
          <w:rFonts w:hint="eastAsia"/>
        </w:rPr>
        <w:t>修改把离婚理由与经济后果相关联的规定，使丈夫没有机会滥用这些规定来逃避对其妻子的经济义务。</w:t>
      </w:r>
    </w:p>
    <w:p w:rsidR="007C75FB" w:rsidRDefault="009133DD" w:rsidP="009133DD">
      <w:pPr>
        <w:pStyle w:val="SingleTxt"/>
        <w:spacing w:after="100"/>
        <w:ind w:left="2126" w:hanging="431"/>
        <w:rPr>
          <w:rFonts w:hint="eastAsia"/>
        </w:rPr>
      </w:pPr>
      <w:r>
        <w:rPr>
          <w:rFonts w:hint="eastAsia"/>
        </w:rPr>
        <w:sym w:font="Symbol" w:char="F0B7"/>
      </w:r>
      <w:r>
        <w:tab/>
      </w:r>
      <w:r w:rsidR="007C75FB">
        <w:rPr>
          <w:rFonts w:hint="eastAsia"/>
        </w:rPr>
        <w:t>修改过错离婚规定，以便对妻子在婚姻期间对家庭经济福祉所做的贡献进行补偿。</w:t>
      </w:r>
    </w:p>
    <w:p w:rsidR="007C75FB" w:rsidRDefault="009133DD" w:rsidP="009133DD">
      <w:pPr>
        <w:pStyle w:val="SingleTxt"/>
        <w:spacing w:after="100"/>
        <w:ind w:left="2126" w:hanging="431"/>
        <w:rPr>
          <w:rFonts w:hint="eastAsia"/>
        </w:rPr>
      </w:pPr>
      <w:r>
        <w:rPr>
          <w:rFonts w:hint="eastAsia"/>
        </w:rPr>
        <w:sym w:font="Symbol" w:char="F0B7"/>
      </w:r>
      <w:r>
        <w:tab/>
      </w:r>
      <w:r w:rsidR="007C75FB">
        <w:rPr>
          <w:rFonts w:hint="eastAsia"/>
        </w:rPr>
        <w:t>消除对妻子和丈夫设定的过错标准差异，例如，相对于妻子而言，离婚理由要求证明的丈夫不忠行为性质更为严重。</w:t>
      </w:r>
    </w:p>
    <w:p w:rsidR="007C75FB" w:rsidRDefault="007C75FB" w:rsidP="009133DD">
      <w:pPr>
        <w:pStyle w:val="SingleTxt"/>
        <w:spacing w:after="100"/>
        <w:rPr>
          <w:rFonts w:hint="eastAsia"/>
        </w:rPr>
      </w:pPr>
      <w:r>
        <w:rPr>
          <w:rFonts w:hint="eastAsia"/>
        </w:rPr>
        <w:t>41.</w:t>
      </w:r>
      <w:r>
        <w:rPr>
          <w:rFonts w:hint="eastAsia"/>
        </w:rPr>
        <w:tab/>
        <w:t>一些法律制度要求妻子或其家庭向丈夫或其家庭返还以钱财或地位提升形式获得的经济利益，或作为缔结婚姻一部分的其他此类支付，但对离婚的丈夫却不施加同等的经济要求。缔约国应取消任何不能同等适用于丈夫和妻子的离婚程序支付要求。</w:t>
      </w:r>
    </w:p>
    <w:p w:rsidR="007C75FB" w:rsidRDefault="007C75FB" w:rsidP="009133DD">
      <w:pPr>
        <w:pStyle w:val="SingleTxt"/>
        <w:spacing w:after="100"/>
        <w:rPr>
          <w:rFonts w:hint="eastAsia"/>
        </w:rPr>
      </w:pPr>
      <w:r>
        <w:rPr>
          <w:rFonts w:hint="eastAsia"/>
        </w:rPr>
        <w:t>42.</w:t>
      </w:r>
      <w:r>
        <w:rPr>
          <w:rFonts w:hint="eastAsia"/>
        </w:rPr>
        <w:tab/>
        <w:t>缔约国应规定，解除婚姻关系应遵循的原则和程序与解除关系的经济问题涉及的原则和程序各行其是。应向没有能力支付法院费用和律师费的妇女提供免费法律援助，以确保没有妇女被迫为离婚而牺牲其经济权利。</w:t>
      </w:r>
    </w:p>
    <w:p w:rsidR="007C75FB" w:rsidRPr="009133DD" w:rsidRDefault="007C75FB" w:rsidP="009133DD">
      <w:pPr>
        <w:pStyle w:val="SingleTxt"/>
        <w:spacing w:after="100"/>
        <w:rPr>
          <w:rFonts w:ascii="SimHei" w:eastAsia="SimHei" w:hint="eastAsia"/>
        </w:rPr>
      </w:pPr>
      <w:r w:rsidRPr="009133DD">
        <w:rPr>
          <w:rFonts w:ascii="SimHei" w:eastAsia="SimHei" w:hint="eastAsia"/>
        </w:rPr>
        <w:t>分居和离婚导致的婚姻解体</w:t>
      </w:r>
    </w:p>
    <w:p w:rsidR="007C75FB" w:rsidRDefault="007C75FB" w:rsidP="009133DD">
      <w:pPr>
        <w:pStyle w:val="SingleTxt"/>
        <w:spacing w:after="100"/>
        <w:rPr>
          <w:rFonts w:hint="eastAsia"/>
        </w:rPr>
      </w:pPr>
      <w:r>
        <w:rPr>
          <w:rFonts w:hint="eastAsia"/>
        </w:rPr>
        <w:t>43.</w:t>
      </w:r>
      <w:r>
        <w:rPr>
          <w:rFonts w:hint="eastAsia"/>
        </w:rPr>
        <w:tab/>
        <w:t>与解除婚姻的经济后果有关的多数法律、习俗和惯例可分为两大类，即财产的分割和离婚或分居后的赡养。无论法律是否表面中立，财产分割和离婚或分居后的赡养制度通常对丈夫有利，其原因如下：在划分可分割婚姻财产方面存在先入为主的性别观念，对非金钱贡献未给予充分认可，未赋予妇女管理财产的法律行为能力，按性别划分的家庭角色。此外，与解体后使用家庭房屋和动产有关的法律、习俗和惯例显然对妇女在婚姻解体后的经济状况产生影响。</w:t>
      </w:r>
    </w:p>
    <w:p w:rsidR="007C75FB" w:rsidRDefault="007C75FB" w:rsidP="009133DD">
      <w:pPr>
        <w:pStyle w:val="SingleTxt"/>
        <w:spacing w:after="100"/>
        <w:rPr>
          <w:rFonts w:hint="eastAsia"/>
        </w:rPr>
      </w:pPr>
      <w:r>
        <w:rPr>
          <w:rFonts w:hint="eastAsia"/>
        </w:rPr>
        <w:t>44.</w:t>
      </w:r>
      <w:r>
        <w:rPr>
          <w:rFonts w:hint="eastAsia"/>
        </w:rPr>
        <w:tab/>
        <w:t>以下原因可能会阻碍妇女主张财产权：缺乏得到承认的拥有或管理财产的行为能力，或财产制度不承认婚姻存续期间积累的财产可供双方分割。学业和就业生涯的中断以及育儿责任往往妨碍妇女走上一条足以在婚姻解体后养家糊口的有偿就业之路(机会成本)。这些社会和经济因素也妨碍生活在单独财产制度下的妇女在婚姻存续期间增加其个人财产。</w:t>
      </w:r>
    </w:p>
    <w:p w:rsidR="007C75FB" w:rsidRDefault="007C75FB" w:rsidP="00A96EFD">
      <w:pPr>
        <w:pStyle w:val="SingleTxt"/>
        <w:spacing w:after="160"/>
        <w:rPr>
          <w:rFonts w:hint="eastAsia"/>
        </w:rPr>
      </w:pPr>
      <w:r>
        <w:rPr>
          <w:rFonts w:hint="eastAsia"/>
        </w:rPr>
        <w:t>45.</w:t>
      </w:r>
      <w:r>
        <w:rPr>
          <w:rFonts w:hint="eastAsia"/>
        </w:rPr>
        <w:tab/>
        <w:t>指导原则应是由双方平等分担与关系及其解除有关的经济利害。配偶共同生活期间角色和职能的分工不应对任何一方造成有害的经济后果。</w:t>
      </w:r>
    </w:p>
    <w:p w:rsidR="007C75FB" w:rsidRDefault="007C75FB" w:rsidP="00A96EFD">
      <w:pPr>
        <w:pStyle w:val="SingleTxt"/>
        <w:spacing w:after="160"/>
        <w:rPr>
          <w:rFonts w:hint="eastAsia"/>
        </w:rPr>
      </w:pPr>
      <w:r>
        <w:rPr>
          <w:rFonts w:hint="eastAsia"/>
        </w:rPr>
        <w:t>46.</w:t>
      </w:r>
      <w:r>
        <w:rPr>
          <w:rFonts w:hint="eastAsia"/>
        </w:rPr>
        <w:tab/>
        <w:t>缔约国有义务规定，离婚和(或)分居时，双方平等分割婚姻期间积累的所有财产。缔约国应承认任何一方对婚姻存续期间所取得的财产做出的非直接、包括非金钱贡献的价值。</w:t>
      </w:r>
    </w:p>
    <w:p w:rsidR="007C75FB" w:rsidRDefault="007C75FB" w:rsidP="00A96EFD">
      <w:pPr>
        <w:pStyle w:val="SingleTxt"/>
        <w:spacing w:after="160"/>
        <w:rPr>
          <w:rFonts w:hint="eastAsia"/>
        </w:rPr>
      </w:pPr>
      <w:r>
        <w:rPr>
          <w:rFonts w:hint="eastAsia"/>
        </w:rPr>
        <w:t>47.</w:t>
      </w:r>
      <w:r>
        <w:rPr>
          <w:rFonts w:hint="eastAsia"/>
        </w:rPr>
        <w:tab/>
        <w:t>缔约国应规定，夫妻双方享有在形式和事实上平等的拥有和管理财产的法律行为能力。为实现婚姻解体时形式和实质上的财产权平等，大力鼓励缔约国规定：</w:t>
      </w:r>
    </w:p>
    <w:p w:rsidR="007C75FB" w:rsidRDefault="009133DD" w:rsidP="00A96EFD">
      <w:pPr>
        <w:pStyle w:val="SingleTxt"/>
        <w:spacing w:after="160"/>
        <w:ind w:left="2126" w:hanging="431"/>
      </w:pPr>
      <w:r>
        <w:rPr>
          <w:rFonts w:hint="eastAsia"/>
        </w:rPr>
        <w:sym w:font="Symbol" w:char="F0B7"/>
      </w:r>
      <w:r>
        <w:tab/>
      </w:r>
      <w:r w:rsidR="007C75FB" w:rsidRPr="009133DD">
        <w:rPr>
          <w:rFonts w:hint="eastAsia"/>
          <w:spacing w:val="-4"/>
        </w:rPr>
        <w:t>承</w:t>
      </w:r>
      <w:r w:rsidRPr="009133DD">
        <w:rPr>
          <w:rFonts w:hint="eastAsia"/>
          <w:spacing w:val="-4"/>
        </w:rPr>
        <w:t>认对生计相关财产的使用权，或者提供补偿，以替代与财产有关的生计。</w:t>
      </w:r>
    </w:p>
    <w:p w:rsidR="007C75FB" w:rsidRDefault="009133DD" w:rsidP="00A96EFD">
      <w:pPr>
        <w:pStyle w:val="SingleTxt"/>
        <w:spacing w:after="160"/>
        <w:ind w:left="2126" w:hanging="431"/>
        <w:rPr>
          <w:rFonts w:hint="eastAsia"/>
        </w:rPr>
      </w:pPr>
      <w:r>
        <w:rPr>
          <w:rFonts w:hint="eastAsia"/>
        </w:rPr>
        <w:sym w:font="Symbol" w:char="F0B7"/>
      </w:r>
      <w:r>
        <w:tab/>
      </w:r>
      <w:r>
        <w:rPr>
          <w:rFonts w:hint="eastAsia"/>
        </w:rPr>
        <w:t>提供适当居所，以替代对家庭房屋的使用。</w:t>
      </w:r>
    </w:p>
    <w:p w:rsidR="007C75FB" w:rsidRDefault="009133DD" w:rsidP="00A96EFD">
      <w:pPr>
        <w:pStyle w:val="SingleTxt"/>
        <w:spacing w:after="160"/>
        <w:ind w:left="2126" w:hanging="431"/>
        <w:rPr>
          <w:rFonts w:hint="eastAsia"/>
        </w:rPr>
      </w:pPr>
      <w:r>
        <w:rPr>
          <w:rFonts w:hint="eastAsia"/>
        </w:rPr>
        <w:sym w:font="Symbol" w:char="F0B7"/>
      </w:r>
      <w:r>
        <w:tab/>
      </w:r>
      <w:r w:rsidR="007C75FB">
        <w:rPr>
          <w:rFonts w:hint="eastAsia"/>
        </w:rPr>
        <w:t>在夫妇可以利用的财产制度(共同财产制、单独财产制、混合制度)内部实现平等，拥有选择财</w:t>
      </w:r>
      <w:r>
        <w:rPr>
          <w:rFonts w:hint="eastAsia"/>
        </w:rPr>
        <w:t>产制度的权利并理解每种制度的后果。</w:t>
      </w:r>
    </w:p>
    <w:p w:rsidR="007C75FB" w:rsidRDefault="009133DD" w:rsidP="00A96EFD">
      <w:pPr>
        <w:pStyle w:val="SingleTxt"/>
        <w:spacing w:after="160"/>
        <w:ind w:left="2126" w:hanging="431"/>
        <w:rPr>
          <w:rFonts w:hint="eastAsia"/>
        </w:rPr>
      </w:pPr>
      <w:r>
        <w:rPr>
          <w:rFonts w:hint="eastAsia"/>
        </w:rPr>
        <w:sym w:font="Symbol" w:char="F0B7"/>
      </w:r>
      <w:r>
        <w:tab/>
      </w:r>
      <w:r w:rsidR="007C75FB">
        <w:rPr>
          <w:rFonts w:hint="eastAsia"/>
        </w:rPr>
        <w:t>计算延付报酬、养老金或人寿保险单等其他因婚姻存续期间所</w:t>
      </w:r>
      <w:r>
        <w:rPr>
          <w:rFonts w:hint="eastAsia"/>
        </w:rPr>
        <w:t>做贡献而在解体后得到的支付的现值，作为可分割的婚姻财产的一部分。</w:t>
      </w:r>
    </w:p>
    <w:p w:rsidR="007C75FB" w:rsidRDefault="009133DD" w:rsidP="00A96EFD">
      <w:pPr>
        <w:pStyle w:val="SingleTxt"/>
        <w:spacing w:after="160"/>
        <w:ind w:left="2126" w:hanging="431"/>
        <w:rPr>
          <w:rFonts w:hint="eastAsia"/>
        </w:rPr>
      </w:pPr>
      <w:r>
        <w:rPr>
          <w:rFonts w:hint="eastAsia"/>
        </w:rPr>
        <w:sym w:font="Symbol" w:char="F0B7"/>
      </w:r>
      <w:r>
        <w:tab/>
      </w:r>
      <w:r w:rsidR="007C75FB">
        <w:rPr>
          <w:rFonts w:hint="eastAsia"/>
        </w:rPr>
        <w:t>对可分割婚姻财产所做的非资金贡献进行估值，包括家务和照顾家庭、失去的经济机会以</w:t>
      </w:r>
      <w:r>
        <w:rPr>
          <w:rFonts w:hint="eastAsia"/>
        </w:rPr>
        <w:t>及对配偶的职业发展、其他经济活动和人力资本发展的有形或无形贡献。</w:t>
      </w:r>
    </w:p>
    <w:p w:rsidR="007C75FB" w:rsidRDefault="009133DD" w:rsidP="00A96EFD">
      <w:pPr>
        <w:pStyle w:val="SingleTxt"/>
        <w:spacing w:after="160"/>
        <w:ind w:left="2126" w:hanging="431"/>
        <w:rPr>
          <w:rFonts w:hint="eastAsia"/>
        </w:rPr>
      </w:pPr>
      <w:r>
        <w:rPr>
          <w:rFonts w:hint="eastAsia"/>
        </w:rPr>
        <w:sym w:font="Symbol" w:char="F0B7"/>
      </w:r>
      <w:r>
        <w:tab/>
      </w:r>
      <w:r w:rsidR="007C75FB">
        <w:rPr>
          <w:rFonts w:hint="eastAsia"/>
        </w:rPr>
        <w:t>考虑将婚姻解体后的配偶付款作为提供平等经济结果的方法。</w:t>
      </w:r>
    </w:p>
    <w:p w:rsidR="007C75FB" w:rsidRDefault="007C75FB" w:rsidP="00A96EFD">
      <w:pPr>
        <w:pStyle w:val="SingleTxt"/>
        <w:spacing w:after="160"/>
        <w:rPr>
          <w:rFonts w:hint="eastAsia"/>
        </w:rPr>
      </w:pPr>
      <w:r>
        <w:rPr>
          <w:rFonts w:hint="eastAsia"/>
        </w:rPr>
        <w:t>48.</w:t>
      </w:r>
      <w:r>
        <w:rPr>
          <w:rFonts w:hint="eastAsia"/>
        </w:rPr>
        <w:tab/>
        <w:t>缔约国应就妇女在家庭内的经济地位及家庭关系解除后的经济地位进行调查和政策研究，并以易于获取的形式公布结果。</w:t>
      </w:r>
    </w:p>
    <w:p w:rsidR="007C75FB" w:rsidRPr="009133DD" w:rsidRDefault="007C75FB" w:rsidP="00A96EFD">
      <w:pPr>
        <w:pStyle w:val="SingleTxt"/>
        <w:spacing w:after="160"/>
        <w:rPr>
          <w:rFonts w:ascii="SimHei" w:eastAsia="SimHei" w:hint="eastAsia"/>
        </w:rPr>
      </w:pPr>
      <w:r w:rsidRPr="009133DD">
        <w:rPr>
          <w:rFonts w:ascii="SimHei" w:eastAsia="SimHei" w:hint="eastAsia"/>
        </w:rPr>
        <w:t>死后财产权</w:t>
      </w:r>
    </w:p>
    <w:p w:rsidR="007C75FB" w:rsidRDefault="007C75FB" w:rsidP="00A96EFD">
      <w:pPr>
        <w:pStyle w:val="SingleTxt"/>
        <w:spacing w:after="160"/>
        <w:rPr>
          <w:rFonts w:hint="eastAsia"/>
        </w:rPr>
      </w:pPr>
      <w:r>
        <w:rPr>
          <w:rFonts w:hint="eastAsia"/>
        </w:rPr>
        <w:t>49.</w:t>
      </w:r>
      <w:r>
        <w:rPr>
          <w:rFonts w:hint="eastAsia"/>
        </w:rPr>
        <w:tab/>
        <w:t>许多缔约国在法律或习俗上否认丧偶妇女具有与丧偶男子平等的继承权，使妇女在配偶死亡后在经济境地脆弱。一些法律制度在形式上为丧偶妇女提供其他经济保障手段，例如由男性亲属支付抚养费或用死者遗产支付抚养费。然而，在实践中这些义务可能无法强制执行。</w:t>
      </w:r>
    </w:p>
    <w:p w:rsidR="007C75FB" w:rsidRDefault="007C75FB" w:rsidP="00A96EFD">
      <w:pPr>
        <w:pStyle w:val="SingleTxt"/>
        <w:spacing w:after="160"/>
        <w:rPr>
          <w:rFonts w:hint="eastAsia"/>
        </w:rPr>
      </w:pPr>
      <w:r>
        <w:rPr>
          <w:rFonts w:hint="eastAsia"/>
        </w:rPr>
        <w:t>50.</w:t>
      </w:r>
      <w:r>
        <w:rPr>
          <w:rFonts w:hint="eastAsia"/>
        </w:rPr>
        <w:tab/>
        <w:t>按照土地保有的习惯方式，个人对土地的购买或转让可能受到限制，土地保有可能只限于使用权，一旦丈夫死亡，妻子可能会被要求离开或者需要与死者的兄弟结婚才能留下。有子女或者没有子女可能是这种结婚要求的主要因素。在一些缔约国，丧偶妇女被“剥夺财产”或“攫取财产”，即死亡丈夫的亲属根据习俗主张权利，剥夺丧偶妇女及其子女对婚姻存续期间积累的财产的占有权，其中包括并非根据习俗保有的财产。他们把丧偶妇女从家庭住房中赶走，宣称拥有所有动产，然后不履行根据习俗同时产生的对丧偶妇女及其子女的扶养责任。在一些缔约国，丧偶妇女被边缘化或被赶到另一个社区。</w:t>
      </w:r>
    </w:p>
    <w:p w:rsidR="007C75FB" w:rsidRDefault="007C75FB" w:rsidP="009133DD">
      <w:pPr>
        <w:pStyle w:val="SingleTxt"/>
        <w:spacing w:after="120"/>
        <w:rPr>
          <w:rFonts w:hint="eastAsia"/>
        </w:rPr>
      </w:pPr>
      <w:r>
        <w:rPr>
          <w:rFonts w:hint="eastAsia"/>
        </w:rPr>
        <w:t>51.</w:t>
      </w:r>
      <w:r>
        <w:rPr>
          <w:rFonts w:hint="eastAsia"/>
        </w:rPr>
        <w:tab/>
        <w:t>在一些缔约国，夫妻在其关系存续期间向社会保障金(养老金和伤残金)缴纳大量资金。在这些国家中，未亡人取得这类付款的权利以及在缴费型养老金制度中的权利发挥很大作用。缔约国有义务规定男女平等地享受社会保障和养老金制度提供的配偶福利和未亡人福利。</w:t>
      </w:r>
    </w:p>
    <w:p w:rsidR="007C75FB" w:rsidRDefault="007C75FB" w:rsidP="009133DD">
      <w:pPr>
        <w:pStyle w:val="SingleTxt"/>
        <w:spacing w:after="120"/>
        <w:rPr>
          <w:rFonts w:hint="eastAsia"/>
        </w:rPr>
      </w:pPr>
      <w:r>
        <w:rPr>
          <w:rFonts w:hint="eastAsia"/>
        </w:rPr>
        <w:t>52.</w:t>
      </w:r>
      <w:r>
        <w:rPr>
          <w:rFonts w:hint="eastAsia"/>
        </w:rPr>
        <w:tab/>
        <w:t>一些缔约国的法律或惯例限制利用遗嘱推翻歧视性法律和习俗并增加妇女的继承份额。缔约国有义务通过有关订立遗嘱的法律，赋予妇女与男子平等的遗嘱人、继承人和受益人权利。</w:t>
      </w:r>
    </w:p>
    <w:p w:rsidR="007C75FB" w:rsidRDefault="007C75FB" w:rsidP="009133DD">
      <w:pPr>
        <w:pStyle w:val="SingleTxt"/>
        <w:spacing w:after="120"/>
        <w:rPr>
          <w:rFonts w:hint="eastAsia"/>
        </w:rPr>
      </w:pPr>
      <w:r>
        <w:rPr>
          <w:rFonts w:hint="eastAsia"/>
        </w:rPr>
        <w:t>53.</w:t>
      </w:r>
      <w:r>
        <w:rPr>
          <w:rFonts w:hint="eastAsia"/>
        </w:rPr>
        <w:tab/>
        <w:t>缔约国有义务通过符合《公约》原则的无遗嘱继承法。这种法律应确保：</w:t>
      </w:r>
    </w:p>
    <w:p w:rsidR="007C75FB" w:rsidRDefault="009133DD" w:rsidP="00055145">
      <w:pPr>
        <w:pStyle w:val="SingleTxt"/>
        <w:spacing w:after="120"/>
        <w:ind w:left="1979" w:hanging="284"/>
        <w:rPr>
          <w:rFonts w:hint="eastAsia"/>
        </w:rPr>
      </w:pPr>
      <w:r>
        <w:rPr>
          <w:rFonts w:hint="eastAsia"/>
        </w:rPr>
        <w:sym w:font="Symbol" w:char="F0B7"/>
      </w:r>
      <w:r>
        <w:tab/>
      </w:r>
      <w:r w:rsidR="007C75FB">
        <w:rPr>
          <w:rFonts w:hint="eastAsia"/>
        </w:rPr>
        <w:t>平等对待丧偶女性和男性</w:t>
      </w:r>
      <w:r>
        <w:rPr>
          <w:rFonts w:hint="eastAsia"/>
        </w:rPr>
        <w:t>。</w:t>
      </w:r>
    </w:p>
    <w:p w:rsidR="007C75FB" w:rsidRDefault="009133DD" w:rsidP="00055145">
      <w:pPr>
        <w:pStyle w:val="SingleTxt"/>
        <w:spacing w:after="120"/>
        <w:ind w:left="1979" w:hanging="284"/>
        <w:rPr>
          <w:rFonts w:hint="eastAsia"/>
        </w:rPr>
      </w:pPr>
      <w:r>
        <w:rPr>
          <w:rFonts w:hint="eastAsia"/>
        </w:rPr>
        <w:sym w:font="Symbol" w:char="F0B7"/>
      </w:r>
      <w:r>
        <w:tab/>
      </w:r>
      <w:r w:rsidR="007C75FB">
        <w:rPr>
          <w:rFonts w:hint="eastAsia"/>
        </w:rPr>
        <w:t>对土地使用权或所有权的继承习俗不能以被迫嫁给亡夫的兄弟(转房婚)或任何其他人为条件，或以有无婚生未成年子女为条件</w:t>
      </w:r>
      <w:r>
        <w:rPr>
          <w:rFonts w:hint="eastAsia"/>
        </w:rPr>
        <w:t>。</w:t>
      </w:r>
    </w:p>
    <w:p w:rsidR="007C75FB" w:rsidRDefault="009133DD" w:rsidP="00055145">
      <w:pPr>
        <w:pStyle w:val="SingleTxt"/>
        <w:spacing w:after="120"/>
        <w:ind w:left="1979" w:hanging="284"/>
        <w:rPr>
          <w:rFonts w:hint="eastAsia"/>
        </w:rPr>
      </w:pPr>
      <w:r>
        <w:rPr>
          <w:rFonts w:hint="eastAsia"/>
        </w:rPr>
        <w:sym w:font="Symbol" w:char="F0B7"/>
      </w:r>
      <w:r>
        <w:tab/>
      </w:r>
      <w:r w:rsidR="007C75FB">
        <w:rPr>
          <w:rFonts w:hint="eastAsia"/>
        </w:rPr>
        <w:t>禁止剥夺未亡配偶的继承权</w:t>
      </w:r>
      <w:r>
        <w:rPr>
          <w:rFonts w:hint="eastAsia"/>
        </w:rPr>
        <w:t>。</w:t>
      </w:r>
    </w:p>
    <w:p w:rsidR="007C75FB" w:rsidRDefault="009133DD" w:rsidP="00055145">
      <w:pPr>
        <w:pStyle w:val="SingleTxt"/>
        <w:spacing w:after="120"/>
        <w:ind w:left="1979" w:hanging="284"/>
        <w:rPr>
          <w:rFonts w:hint="eastAsia"/>
        </w:rPr>
      </w:pPr>
      <w:r>
        <w:rPr>
          <w:rFonts w:hint="eastAsia"/>
        </w:rPr>
        <w:sym w:font="Symbol" w:char="F0B7"/>
      </w:r>
      <w:r>
        <w:tab/>
      </w:r>
      <w:r w:rsidR="007C75FB" w:rsidRPr="009133DD">
        <w:rPr>
          <w:rFonts w:hint="eastAsia"/>
          <w:spacing w:val="-4"/>
        </w:rPr>
        <w:t>各国应将“剥夺财产/攫取财产”定为犯罪，并确保犯罪人受到适当起诉。</w:t>
      </w:r>
    </w:p>
    <w:p w:rsidR="009133DD" w:rsidRPr="009133DD" w:rsidRDefault="009133DD" w:rsidP="009133DD">
      <w:pPr>
        <w:pStyle w:val="SingleTxt"/>
        <w:spacing w:after="0" w:line="120" w:lineRule="exact"/>
        <w:rPr>
          <w:rFonts w:hint="eastAsia"/>
          <w:sz w:val="10"/>
        </w:rPr>
      </w:pPr>
    </w:p>
    <w:p w:rsidR="007C75FB" w:rsidRDefault="007C75FB" w:rsidP="009133D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八.</w:t>
      </w:r>
      <w:r>
        <w:rPr>
          <w:rFonts w:hint="eastAsia"/>
        </w:rPr>
        <w:tab/>
        <w:t>保留</w:t>
      </w:r>
    </w:p>
    <w:p w:rsidR="009133DD" w:rsidRPr="009133DD" w:rsidRDefault="009133DD" w:rsidP="009133DD">
      <w:pPr>
        <w:pStyle w:val="SingleTxt"/>
        <w:spacing w:after="0" w:line="120" w:lineRule="exact"/>
        <w:rPr>
          <w:rFonts w:hint="eastAsia"/>
          <w:sz w:val="10"/>
        </w:rPr>
      </w:pPr>
    </w:p>
    <w:p w:rsidR="009133DD" w:rsidRPr="009133DD" w:rsidRDefault="009133DD" w:rsidP="009133DD">
      <w:pPr>
        <w:pStyle w:val="SingleTxt"/>
        <w:spacing w:after="0" w:line="120" w:lineRule="exact"/>
        <w:rPr>
          <w:rFonts w:hint="eastAsia"/>
          <w:sz w:val="10"/>
        </w:rPr>
      </w:pPr>
    </w:p>
    <w:p w:rsidR="007C75FB" w:rsidRDefault="007C75FB" w:rsidP="007C75FB">
      <w:pPr>
        <w:pStyle w:val="SingleTxt"/>
        <w:rPr>
          <w:rFonts w:hint="eastAsia"/>
        </w:rPr>
      </w:pPr>
      <w:r>
        <w:rPr>
          <w:rFonts w:hint="eastAsia"/>
        </w:rPr>
        <w:t>54.</w:t>
      </w:r>
      <w:r>
        <w:rPr>
          <w:rFonts w:hint="eastAsia"/>
        </w:rPr>
        <w:tab/>
        <w:t>委员会在1998年关于对《公约》的保留的声明</w:t>
      </w:r>
      <w:r w:rsidR="00400EF3">
        <w:rPr>
          <w:rStyle w:val="FootnoteReference"/>
        </w:rPr>
        <w:footnoteReference w:id="6"/>
      </w:r>
      <w:r>
        <w:rPr>
          <w:rFonts w:hint="eastAsia"/>
        </w:rPr>
        <w:t xml:space="preserve"> 中，对保留的数量和性质表示关切。委员会在第6段中具体指出：</w:t>
      </w:r>
    </w:p>
    <w:p w:rsidR="007C75FB" w:rsidRDefault="009133DD" w:rsidP="009133DD">
      <w:pPr>
        <w:pStyle w:val="SingleTxt"/>
        <w:ind w:left="1695"/>
        <w:rPr>
          <w:rFonts w:hint="eastAsia"/>
        </w:rPr>
      </w:pPr>
      <w:r>
        <w:rPr>
          <w:rFonts w:hint="eastAsia"/>
        </w:rPr>
        <w:tab/>
      </w:r>
      <w:r w:rsidR="007C75FB">
        <w:rPr>
          <w:rFonts w:hint="eastAsia"/>
        </w:rPr>
        <w:t>第二条和第十六条被委员会视为《公约》的核心条款。虽然一些国家已撤消对这些条文的保留，但委员会仍对就这些条文提出的保留的数目和范围感到特别关切。</w:t>
      </w:r>
    </w:p>
    <w:p w:rsidR="007C75FB" w:rsidRDefault="007C75FB" w:rsidP="007C75FB">
      <w:pPr>
        <w:pStyle w:val="SingleTxt"/>
        <w:rPr>
          <w:rFonts w:hint="eastAsia"/>
        </w:rPr>
      </w:pPr>
      <w:r>
        <w:rPr>
          <w:rFonts w:hint="eastAsia"/>
        </w:rPr>
        <w:t>关于第十六条，委员会在第7段中具体指出</w:t>
      </w:r>
      <w:r w:rsidR="00055145">
        <w:rPr>
          <w:rFonts w:hint="eastAsia"/>
        </w:rPr>
        <w:t>：</w:t>
      </w:r>
    </w:p>
    <w:p w:rsidR="007C75FB" w:rsidRDefault="009133DD" w:rsidP="009133DD">
      <w:pPr>
        <w:pStyle w:val="SingleTxt"/>
        <w:ind w:left="1695"/>
        <w:rPr>
          <w:rFonts w:hint="eastAsia"/>
        </w:rPr>
      </w:pPr>
      <w:r>
        <w:rPr>
          <w:rFonts w:hint="eastAsia"/>
        </w:rPr>
        <w:tab/>
      </w:r>
      <w:r w:rsidR="007C75FB">
        <w:rPr>
          <w:rFonts w:hint="eastAsia"/>
        </w:rPr>
        <w:t>无论是传统、宗教或文化上的习俗，还是不一致的国内法和政策，都不能成为违反《公约》的理由。委员会还坚信，无论出于民族、传统、宗教还是文化上的原因提出对第十六条的保留都不符合《公约》，因此都不应允许，而应予以审查、修改或撤回。</w:t>
      </w:r>
    </w:p>
    <w:p w:rsidR="007C75FB" w:rsidRDefault="007C75FB" w:rsidP="007C75FB">
      <w:pPr>
        <w:pStyle w:val="SingleTxt"/>
      </w:pPr>
      <w:r>
        <w:rPr>
          <w:rFonts w:hint="eastAsia"/>
        </w:rPr>
        <w:t>55.</w:t>
      </w:r>
      <w:r>
        <w:rPr>
          <w:rFonts w:hint="eastAsia"/>
        </w:rPr>
        <w:tab/>
        <w:t>关于与宗教法和惯例有关的保留，委员会确认，自1998年以来，一些缔约国修改了它们的法律，至少在家庭关系的某些方面规定了平等。委员会继续建议缔约国，“借鉴有着类似宗教背景和法律制度且使其国内立法成功适应依据具有法律约束力的国际文书作业各项的承诺的那些国家的经验，以期”撤回保留。</w:t>
      </w:r>
      <w:r w:rsidR="00400EF3">
        <w:rPr>
          <w:rStyle w:val="FootnoteReference"/>
        </w:rPr>
        <w:footnoteReference w:id="7"/>
      </w:r>
    </w:p>
    <w:p w:rsidR="00055145" w:rsidRPr="00EC10C0" w:rsidRDefault="00EC10C0" w:rsidP="00EC10C0">
      <w:pPr>
        <w:pStyle w:val="SingleTxt"/>
        <w:spacing w:after="0" w:line="240" w:lineRule="auto"/>
        <w:rPr>
          <w:rFonts w:hint="eastAsia"/>
          <w:sz w:val="20"/>
        </w:rPr>
      </w:pPr>
      <w:r>
        <w:rPr>
          <w:rFonts w:hint="eastAsia"/>
          <w:noProof/>
          <w:sz w:val="20"/>
        </w:rPr>
        <w:pict>
          <v:line id="_x0000_s1038" style="position:absolute;left:0;text-align:left;z-index:2" from="210pt,14.6pt" to="282pt,14.6pt" strokeweight=".25pt"/>
        </w:pict>
      </w:r>
    </w:p>
    <w:sectPr w:rsidR="00055145" w:rsidRPr="00EC10C0" w:rsidSect="007878B4">
      <w:footnotePr>
        <w:numFmt w:val="lowerLetter"/>
      </w:footnotePr>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06T17:20:00Z" w:initials="Start">
    <w:p w:rsidR="00EC10C0" w:rsidRDefault="00EC10C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sidR="00850429">
        <w:rPr>
          <w:rFonts w:hint="eastAsia"/>
          <w:noProof/>
        </w:rPr>
        <w:t xml:space="preserve">页: </w:t>
      </w:r>
      <w:r w:rsidR="00850429">
        <w:rPr>
          <w:noProof/>
        </w:rPr>
        <w:t>1</w:t>
      </w:r>
      <w:r w:rsidR="00850429">
        <w:rPr>
          <w:rFonts w:hint="eastAsia"/>
          <w:noProof/>
        </w:rPr>
        <w:br/>
      </w:r>
      <w:r>
        <w:fldChar w:fldCharType="end"/>
      </w:r>
      <w:r>
        <w:rPr>
          <w:rStyle w:val="CommentReference"/>
        </w:rPr>
        <w:annotationRef/>
      </w:r>
      <w:r>
        <w:t>&lt;&lt;ODS JOB NO&gt;&gt;N1354002C&lt;&lt;ODS JOB NO&gt;&gt;</w:t>
      </w:r>
    </w:p>
    <w:p w:rsidR="00EC10C0" w:rsidRDefault="00EC10C0">
      <w:pPr>
        <w:pStyle w:val="CommentText"/>
      </w:pPr>
      <w:r>
        <w:t>&lt;&lt;ODS DOC SYMBOL1&gt;&gt;CEDAW/C/GC/29&lt;&lt;ODS DOC SYMBOL1&gt;&gt;</w:t>
      </w:r>
    </w:p>
    <w:p w:rsidR="00EC10C0" w:rsidRDefault="00EC10C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7973" w:rsidRDefault="002F7973">
      <w:r>
        <w:separator/>
      </w:r>
    </w:p>
  </w:endnote>
  <w:endnote w:type="continuationSeparator" w:id="0">
    <w:p w:rsidR="002F7973" w:rsidRDefault="002F79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C10C0" w:rsidTr="007878B4">
      <w:tblPrEx>
        <w:tblCellMar>
          <w:top w:w="0" w:type="dxa"/>
          <w:bottom w:w="0" w:type="dxa"/>
        </w:tblCellMar>
      </w:tblPrEx>
      <w:tc>
        <w:tcPr>
          <w:tcW w:w="5033" w:type="dxa"/>
          <w:shd w:val="clear" w:color="auto" w:fill="auto"/>
        </w:tcPr>
        <w:p w:rsidR="00EC10C0" w:rsidRPr="007878B4" w:rsidRDefault="00EC10C0" w:rsidP="007878B4">
          <w:pPr>
            <w:pStyle w:val="Footer"/>
            <w:jc w:val="right"/>
            <w:rPr>
              <w:b w:val="0"/>
              <w:w w:val="103"/>
              <w:sz w:val="14"/>
            </w:rPr>
          </w:pPr>
          <w:fldSimple w:instr=" DOCVARIABLE &quot;FooterJN&quot; \* MERGEFORMAT ">
            <w:r w:rsidR="00850429">
              <w:rPr>
                <w:b w:val="0"/>
                <w:w w:val="103"/>
                <w:sz w:val="14"/>
              </w:rPr>
              <w:t>13-54002 (C)</w:t>
            </w:r>
          </w:fldSimple>
        </w:p>
      </w:tc>
      <w:tc>
        <w:tcPr>
          <w:tcW w:w="5033" w:type="dxa"/>
          <w:shd w:val="clear" w:color="auto" w:fill="auto"/>
        </w:tcPr>
        <w:p w:rsidR="00EC10C0" w:rsidRPr="007878B4" w:rsidRDefault="00EC10C0" w:rsidP="007878B4">
          <w:pPr>
            <w:pStyle w:val="Footer"/>
            <w:jc w:val="left"/>
            <w:rPr>
              <w:w w:val="103"/>
            </w:rPr>
          </w:pPr>
          <w:r>
            <w:rPr>
              <w:w w:val="103"/>
            </w:rPr>
            <w:fldChar w:fldCharType="begin"/>
          </w:r>
          <w:r>
            <w:rPr>
              <w:w w:val="103"/>
            </w:rPr>
            <w:instrText xml:space="preserve"> PAGE  \* Arabic  \* MERGEFORMAT </w:instrText>
          </w:r>
          <w:r>
            <w:rPr>
              <w:w w:val="103"/>
            </w:rPr>
            <w:fldChar w:fldCharType="separate"/>
          </w:r>
          <w:r w:rsidR="00A74AF2">
            <w:rPr>
              <w:w w:val="103"/>
            </w:rPr>
            <w:t>2</w:t>
          </w:r>
          <w:r>
            <w:rPr>
              <w:w w:val="103"/>
            </w:rPr>
            <w:fldChar w:fldCharType="end"/>
          </w:r>
          <w:r>
            <w:rPr>
              <w:w w:val="103"/>
            </w:rPr>
            <w:t>/</w:t>
          </w:r>
          <w:fldSimple w:instr=" NUMPAGES  \* Arabic  \* MERGEFORMAT ">
            <w:r w:rsidR="00850429">
              <w:rPr>
                <w:w w:val="103"/>
              </w:rPr>
              <w:t>9</w:t>
            </w:r>
          </w:fldSimple>
        </w:p>
      </w:tc>
    </w:tr>
  </w:tbl>
  <w:p w:rsidR="00EC10C0" w:rsidRPr="007878B4" w:rsidRDefault="00EC10C0" w:rsidP="007878B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C10C0" w:rsidTr="007878B4">
      <w:tblPrEx>
        <w:tblCellMar>
          <w:top w:w="0" w:type="dxa"/>
          <w:bottom w:w="0" w:type="dxa"/>
        </w:tblCellMar>
      </w:tblPrEx>
      <w:tc>
        <w:tcPr>
          <w:tcW w:w="5033" w:type="dxa"/>
          <w:shd w:val="clear" w:color="auto" w:fill="auto"/>
        </w:tcPr>
        <w:p w:rsidR="00EC10C0" w:rsidRPr="007878B4" w:rsidRDefault="00EC10C0" w:rsidP="007878B4">
          <w:pPr>
            <w:pStyle w:val="Footer"/>
            <w:jc w:val="right"/>
          </w:pPr>
          <w:fldSimple w:instr=" PAGE  \* Arabic  \* MERGEFORMAT ">
            <w:r w:rsidR="000129A6">
              <w:t>9</w:t>
            </w:r>
          </w:fldSimple>
          <w:r>
            <w:t>/</w:t>
          </w:r>
          <w:fldSimple w:instr=" NUMPAGES  \* Arabic  \* MERGEFORMAT ">
            <w:r w:rsidR="00850429">
              <w:t>9</w:t>
            </w:r>
          </w:fldSimple>
        </w:p>
      </w:tc>
      <w:tc>
        <w:tcPr>
          <w:tcW w:w="5033" w:type="dxa"/>
          <w:shd w:val="clear" w:color="auto" w:fill="auto"/>
        </w:tcPr>
        <w:p w:rsidR="00EC10C0" w:rsidRPr="007878B4" w:rsidRDefault="00EC10C0" w:rsidP="007878B4">
          <w:pPr>
            <w:pStyle w:val="Footer"/>
            <w:jc w:val="left"/>
            <w:rPr>
              <w:b w:val="0"/>
              <w:w w:val="103"/>
              <w:sz w:val="14"/>
            </w:rPr>
          </w:pPr>
          <w:fldSimple w:instr=" DOCVARIABLE &quot;FooterJN&quot; \* MERGEFORMAT ">
            <w:r w:rsidR="00850429">
              <w:rPr>
                <w:b w:val="0"/>
                <w:w w:val="103"/>
                <w:sz w:val="14"/>
              </w:rPr>
              <w:t>13-54002 (C)</w:t>
            </w:r>
          </w:fldSimple>
        </w:p>
      </w:tc>
    </w:tr>
  </w:tbl>
  <w:p w:rsidR="00EC10C0" w:rsidRPr="007878B4" w:rsidRDefault="00EC10C0" w:rsidP="007878B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C10C0" w:rsidTr="007878B4">
      <w:tblPrEx>
        <w:tblCellMar>
          <w:top w:w="0" w:type="dxa"/>
          <w:bottom w:w="0" w:type="dxa"/>
        </w:tblCellMar>
      </w:tblPrEx>
      <w:tc>
        <w:tcPr>
          <w:tcW w:w="5033" w:type="dxa"/>
        </w:tcPr>
        <w:p w:rsidR="00EC10C0" w:rsidRDefault="00EC10C0" w:rsidP="007878B4">
          <w:pPr>
            <w:pStyle w:val="Footer"/>
            <w:rPr>
              <w:rFonts w:hint="eastAsia"/>
              <w:b w:val="0"/>
              <w:sz w:val="21"/>
            </w:rPr>
          </w:pPr>
          <w:fldSimple w:instr=" DOCVARIABLE &quot;jobn&quot; \* MERGEFORMAT ">
            <w:r w:rsidR="00850429">
              <w:rPr>
                <w:b w:val="0"/>
                <w:sz w:val="21"/>
              </w:rPr>
              <w:t>13-54002 (C)</w:t>
            </w:r>
          </w:fldSimple>
          <w:r>
            <w:rPr>
              <w:b w:val="0"/>
              <w:sz w:val="21"/>
            </w:rPr>
            <w:t xml:space="preserve">    011113    0</w:t>
          </w:r>
          <w:r>
            <w:rPr>
              <w:rFonts w:hint="eastAsia"/>
              <w:b w:val="0"/>
              <w:sz w:val="21"/>
            </w:rPr>
            <w:t>70</w:t>
          </w:r>
          <w:r>
            <w:rPr>
              <w:b w:val="0"/>
              <w:sz w:val="21"/>
            </w:rPr>
            <w:t>11</w:t>
          </w:r>
          <w:r>
            <w:rPr>
              <w:rFonts w:hint="eastAsia"/>
              <w:b w:val="0"/>
              <w:sz w:val="21"/>
            </w:rPr>
            <w:t>4</w:t>
          </w:r>
        </w:p>
        <w:p w:rsidR="00EC10C0" w:rsidRPr="007878B4" w:rsidRDefault="00EC10C0" w:rsidP="007878B4">
          <w:pPr>
            <w:spacing w:before="80" w:line="210" w:lineRule="exact"/>
            <w:rPr>
              <w:rFonts w:ascii="Barcode 3 of 9 by request" w:hAnsi="Barcode 3 of 9 by request"/>
              <w:sz w:val="24"/>
            </w:rPr>
          </w:pPr>
          <w:r>
            <w:rPr>
              <w:rFonts w:ascii="Barcode 3 of 9 by request" w:hAnsi="Barcode 3 of 9 by request"/>
              <w:sz w:val="24"/>
            </w:rPr>
            <w:t>*1354002*</w:t>
          </w:r>
        </w:p>
      </w:tc>
      <w:tc>
        <w:tcPr>
          <w:tcW w:w="3686" w:type="dxa"/>
        </w:tcPr>
        <w:p w:rsidR="00EC10C0" w:rsidRDefault="00EC10C0" w:rsidP="007878B4">
          <w:pPr>
            <w:pStyle w:val="Footer"/>
            <w:jc w:val="right"/>
            <w:rPr>
              <w:b w:val="0"/>
              <w:sz w:val="21"/>
            </w:rPr>
          </w:pPr>
          <w:r w:rsidRPr="007878B4">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EC10C0" w:rsidRPr="007878B4" w:rsidRDefault="00EC10C0" w:rsidP="007878B4">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7973" w:rsidRPr="007C75FB" w:rsidRDefault="002F7973" w:rsidP="007C75FB">
      <w:pPr>
        <w:pStyle w:val="Footer"/>
        <w:spacing w:after="80"/>
        <w:ind w:left="792"/>
        <w:rPr>
          <w:sz w:val="16"/>
        </w:rPr>
      </w:pPr>
      <w:r w:rsidRPr="007C75FB">
        <w:rPr>
          <w:sz w:val="16"/>
        </w:rPr>
        <w:t>__________________</w:t>
      </w:r>
    </w:p>
  </w:footnote>
  <w:footnote w:type="continuationSeparator" w:id="0">
    <w:p w:rsidR="002F7973" w:rsidRPr="007C75FB" w:rsidRDefault="002F7973" w:rsidP="007C75FB">
      <w:pPr>
        <w:pStyle w:val="Footer"/>
        <w:spacing w:after="80"/>
        <w:ind w:left="792"/>
        <w:rPr>
          <w:sz w:val="16"/>
        </w:rPr>
      </w:pPr>
      <w:r w:rsidRPr="007C75FB">
        <w:rPr>
          <w:sz w:val="16"/>
        </w:rPr>
        <w:t>__________________</w:t>
      </w:r>
    </w:p>
  </w:footnote>
  <w:footnote w:id="1">
    <w:p w:rsidR="00EC10C0" w:rsidRPr="007C75FB" w:rsidRDefault="00EC10C0" w:rsidP="007C75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C75FB">
        <w:rPr>
          <w:rFonts w:hint="eastAsia"/>
        </w:rPr>
        <w:t>第217 A(III)号决议，第十六条第(3)款。</w:t>
      </w:r>
    </w:p>
  </w:footnote>
  <w:footnote w:id="2">
    <w:p w:rsidR="00EC10C0" w:rsidRPr="007C75FB" w:rsidRDefault="00EC10C0" w:rsidP="007C75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7C75FB">
        <w:rPr>
          <w:rFonts w:hint="eastAsia"/>
        </w:rPr>
        <w:t>《</w:t>
      </w:r>
      <w:r w:rsidRPr="007C75FB">
        <w:rPr>
          <w:rFonts w:hint="eastAsia"/>
          <w:spacing w:val="-4"/>
        </w:rPr>
        <w:t>第四次妇女问题世界会议的报告，1995年9月4日至15日，北京》(联合国出版物，出售品编号：</w:t>
      </w:r>
      <w:r w:rsidRPr="007C75FB">
        <w:rPr>
          <w:rFonts w:hint="eastAsia"/>
        </w:rPr>
        <w:t>C.96.IV.13)，第一章，决议1，附件二，第61段。</w:t>
      </w:r>
    </w:p>
  </w:footnote>
  <w:footnote w:id="3">
    <w:p w:rsidR="00EC10C0" w:rsidRPr="007C75FB" w:rsidRDefault="00EC10C0" w:rsidP="007C75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ab/>
      </w:r>
      <w:r w:rsidRPr="007C75FB">
        <w:rPr>
          <w:rFonts w:hint="eastAsia"/>
          <w:spacing w:val="-8"/>
        </w:rPr>
        <w:t>见第55/2号决议；另见千年项目，目标3，可查阅</w:t>
      </w:r>
      <w:r w:rsidRPr="007C75FB">
        <w:rPr>
          <w:rFonts w:ascii="Times New Roman"/>
          <w:spacing w:val="-8"/>
        </w:rPr>
        <w:t>http://www.unmillenniumproject.org/goals/index.htm</w:t>
      </w:r>
      <w:r w:rsidRPr="007C75FB">
        <w:rPr>
          <w:rFonts w:hint="eastAsia"/>
          <w:spacing w:val="-8"/>
        </w:rPr>
        <w:t>。</w:t>
      </w:r>
    </w:p>
  </w:footnote>
  <w:footnote w:id="4">
    <w:p w:rsidR="00EC10C0" w:rsidRPr="007C75FB" w:rsidRDefault="00EC10C0" w:rsidP="007C75F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ab/>
      </w:r>
      <w:r w:rsidRPr="007C75FB">
        <w:rPr>
          <w:rFonts w:hint="eastAsia"/>
        </w:rPr>
        <w:t>见经济、社会及文化权利委员会关于适足住房权的第4号一般性意见(《经济、社会及文化权利国际公约》第十一条第(1)款)，第6段。</w:t>
      </w:r>
    </w:p>
  </w:footnote>
  <w:footnote w:id="5">
    <w:p w:rsidR="00EC10C0" w:rsidRPr="00C25FBD" w:rsidRDefault="00EC10C0" w:rsidP="00C25FB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ab/>
      </w:r>
      <w:r w:rsidRPr="00C25FBD">
        <w:rPr>
          <w:rFonts w:hint="eastAsia"/>
        </w:rPr>
        <w:t>A/50/370，第14段。</w:t>
      </w:r>
    </w:p>
  </w:footnote>
  <w:footnote w:id="6">
    <w:p w:rsidR="00EC10C0" w:rsidRPr="00400EF3" w:rsidRDefault="00EC10C0" w:rsidP="00A96EF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70" w:right="1259" w:hanging="578"/>
      </w:pPr>
      <w:r>
        <w:tab/>
      </w:r>
      <w:r>
        <w:rPr>
          <w:rStyle w:val="FootnoteReference"/>
        </w:rPr>
        <w:footnoteRef/>
      </w:r>
      <w:r>
        <w:tab/>
      </w:r>
      <w:r w:rsidRPr="00400EF3">
        <w:rPr>
          <w:rFonts w:hint="eastAsia"/>
        </w:rPr>
        <w:t>A/53/38/Rev.1，第二部分。</w:t>
      </w:r>
    </w:p>
  </w:footnote>
  <w:footnote w:id="7">
    <w:p w:rsidR="00EC10C0" w:rsidRPr="00400EF3" w:rsidRDefault="00EC10C0" w:rsidP="00400EF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400EF3">
        <w:rPr>
          <w:rFonts w:hint="eastAsia"/>
        </w:rPr>
        <w:t>CEDAW/C/ARE/CO/1(2010年)，第46段，结论意见，阿拉伯联合酋长国。</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C10C0" w:rsidTr="007878B4">
      <w:tblPrEx>
        <w:tblCellMar>
          <w:top w:w="0" w:type="dxa"/>
          <w:bottom w:w="0" w:type="dxa"/>
        </w:tblCellMar>
      </w:tblPrEx>
      <w:trPr>
        <w:trHeight w:hRule="exact" w:val="864"/>
      </w:trPr>
      <w:tc>
        <w:tcPr>
          <w:tcW w:w="4838" w:type="dxa"/>
          <w:shd w:val="clear" w:color="auto" w:fill="auto"/>
          <w:vAlign w:val="bottom"/>
        </w:tcPr>
        <w:p w:rsidR="00EC10C0" w:rsidRPr="007878B4" w:rsidRDefault="00EC10C0" w:rsidP="007878B4">
          <w:pPr>
            <w:pStyle w:val="Header"/>
            <w:spacing w:after="80"/>
            <w:jc w:val="left"/>
            <w:rPr>
              <w:b/>
              <w:sz w:val="17"/>
            </w:rPr>
          </w:pPr>
          <w:fldSimple w:instr=" DOCVARIABLE &quot;sss1&quot; \* MERGEFORMAT ">
            <w:r w:rsidR="00850429">
              <w:rPr>
                <w:b/>
                <w:sz w:val="17"/>
              </w:rPr>
              <w:t xml:space="preserve">CEDAW/C/GC/29 </w:t>
            </w:r>
          </w:fldSimple>
        </w:p>
      </w:tc>
      <w:tc>
        <w:tcPr>
          <w:tcW w:w="5033" w:type="dxa"/>
          <w:shd w:val="clear" w:color="auto" w:fill="auto"/>
          <w:vAlign w:val="bottom"/>
        </w:tcPr>
        <w:p w:rsidR="00EC10C0" w:rsidRDefault="00EC10C0" w:rsidP="007878B4">
          <w:pPr>
            <w:pStyle w:val="Header"/>
          </w:pPr>
        </w:p>
      </w:tc>
    </w:tr>
  </w:tbl>
  <w:p w:rsidR="00EC10C0" w:rsidRPr="007878B4" w:rsidRDefault="00EC10C0" w:rsidP="007878B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C10C0" w:rsidTr="007878B4">
      <w:tblPrEx>
        <w:tblCellMar>
          <w:top w:w="0" w:type="dxa"/>
          <w:bottom w:w="0" w:type="dxa"/>
        </w:tblCellMar>
      </w:tblPrEx>
      <w:trPr>
        <w:trHeight w:hRule="exact" w:val="864"/>
      </w:trPr>
      <w:tc>
        <w:tcPr>
          <w:tcW w:w="4838" w:type="dxa"/>
          <w:shd w:val="clear" w:color="auto" w:fill="auto"/>
          <w:vAlign w:val="bottom"/>
        </w:tcPr>
        <w:p w:rsidR="00EC10C0" w:rsidRDefault="00EC10C0" w:rsidP="007878B4">
          <w:pPr>
            <w:pStyle w:val="Header"/>
          </w:pPr>
        </w:p>
      </w:tc>
      <w:tc>
        <w:tcPr>
          <w:tcW w:w="5033" w:type="dxa"/>
          <w:shd w:val="clear" w:color="auto" w:fill="auto"/>
          <w:vAlign w:val="bottom"/>
        </w:tcPr>
        <w:p w:rsidR="00EC10C0" w:rsidRPr="007878B4" w:rsidRDefault="00EC10C0" w:rsidP="007878B4">
          <w:pPr>
            <w:pStyle w:val="Header"/>
            <w:spacing w:after="80"/>
            <w:jc w:val="right"/>
            <w:rPr>
              <w:b/>
              <w:sz w:val="17"/>
            </w:rPr>
          </w:pPr>
          <w:fldSimple w:instr=" DOCVARIABLE &quot;sss1&quot; \* MERGEFORMAT ">
            <w:r w:rsidR="00850429">
              <w:rPr>
                <w:b/>
                <w:sz w:val="17"/>
              </w:rPr>
              <w:t xml:space="preserve">CEDAW/C/GC/29 </w:t>
            </w:r>
          </w:fldSimple>
        </w:p>
      </w:tc>
    </w:tr>
  </w:tbl>
  <w:p w:rsidR="00EC10C0" w:rsidRPr="007878B4" w:rsidRDefault="00EC10C0" w:rsidP="007878B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EC10C0" w:rsidTr="007878B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C10C0" w:rsidRDefault="00EC10C0" w:rsidP="007878B4">
          <w:pPr>
            <w:pStyle w:val="Header"/>
            <w:spacing w:after="120"/>
          </w:pPr>
        </w:p>
      </w:tc>
      <w:tc>
        <w:tcPr>
          <w:tcW w:w="1872" w:type="dxa"/>
          <w:tcBorders>
            <w:bottom w:val="single" w:sz="4" w:space="0" w:color="auto"/>
          </w:tcBorders>
          <w:shd w:val="clear" w:color="auto" w:fill="auto"/>
          <w:vAlign w:val="bottom"/>
        </w:tcPr>
        <w:p w:rsidR="00EC10C0" w:rsidRPr="007878B4" w:rsidRDefault="00EC10C0" w:rsidP="007878B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C10C0" w:rsidRDefault="00EC10C0" w:rsidP="007878B4">
          <w:pPr>
            <w:pStyle w:val="Header"/>
            <w:spacing w:after="120"/>
          </w:pPr>
        </w:p>
      </w:tc>
      <w:tc>
        <w:tcPr>
          <w:tcW w:w="6523" w:type="dxa"/>
          <w:gridSpan w:val="3"/>
          <w:tcBorders>
            <w:bottom w:val="single" w:sz="4" w:space="0" w:color="auto"/>
          </w:tcBorders>
          <w:shd w:val="clear" w:color="auto" w:fill="auto"/>
          <w:vAlign w:val="bottom"/>
        </w:tcPr>
        <w:p w:rsidR="00EC10C0" w:rsidRPr="007878B4" w:rsidRDefault="00EC10C0" w:rsidP="007878B4">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/C/GC/29 </w:t>
          </w:r>
        </w:p>
      </w:tc>
    </w:tr>
    <w:tr w:rsidR="00EC10C0" w:rsidRPr="007878B4" w:rsidTr="007878B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C10C0" w:rsidRDefault="00EC10C0" w:rsidP="007878B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C10C0" w:rsidRPr="007878B4" w:rsidRDefault="00EC10C0" w:rsidP="007878B4">
          <w:pPr>
            <w:pStyle w:val="Header"/>
            <w:spacing w:before="109"/>
            <w:ind w:left="-72"/>
          </w:pPr>
        </w:p>
      </w:tc>
      <w:tc>
        <w:tcPr>
          <w:tcW w:w="5227" w:type="dxa"/>
          <w:gridSpan w:val="3"/>
          <w:tcBorders>
            <w:top w:val="single" w:sz="4" w:space="0" w:color="auto"/>
            <w:bottom w:val="single" w:sz="12" w:space="0" w:color="auto"/>
          </w:tcBorders>
          <w:shd w:val="clear" w:color="auto" w:fill="auto"/>
        </w:tcPr>
        <w:p w:rsidR="00EC10C0" w:rsidRPr="007878B4" w:rsidRDefault="00EC10C0" w:rsidP="007878B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C10C0" w:rsidRPr="007878B4" w:rsidRDefault="00EC10C0" w:rsidP="007878B4">
          <w:pPr>
            <w:pStyle w:val="Header"/>
            <w:spacing w:before="109"/>
          </w:pPr>
        </w:p>
      </w:tc>
      <w:tc>
        <w:tcPr>
          <w:tcW w:w="3180" w:type="dxa"/>
          <w:gridSpan w:val="2"/>
          <w:tcBorders>
            <w:top w:val="single" w:sz="4" w:space="0" w:color="auto"/>
            <w:bottom w:val="single" w:sz="12" w:space="0" w:color="auto"/>
          </w:tcBorders>
          <w:shd w:val="clear" w:color="auto" w:fill="auto"/>
        </w:tcPr>
        <w:p w:rsidR="00EC10C0" w:rsidRDefault="00EC10C0" w:rsidP="007878B4">
          <w:pPr>
            <w:spacing w:before="240" w:line="240" w:lineRule="exact"/>
            <w:rPr>
              <w:rFonts w:ascii="Times New Roman"/>
            </w:rPr>
          </w:pPr>
          <w:r>
            <w:rPr>
              <w:rFonts w:ascii="Times New Roman"/>
            </w:rPr>
            <w:t>Distr.: General</w:t>
          </w:r>
        </w:p>
        <w:p w:rsidR="00EC10C0" w:rsidRDefault="00EC10C0" w:rsidP="007878B4">
          <w:pPr>
            <w:spacing w:line="240" w:lineRule="exact"/>
            <w:rPr>
              <w:rFonts w:ascii="Times New Roman"/>
            </w:rPr>
          </w:pPr>
          <w:r>
            <w:rPr>
              <w:rFonts w:ascii="Times New Roman"/>
            </w:rPr>
            <w:t>30 October 2013</w:t>
          </w:r>
        </w:p>
        <w:p w:rsidR="00EC10C0" w:rsidRDefault="00EC10C0" w:rsidP="007878B4">
          <w:pPr>
            <w:spacing w:line="240" w:lineRule="exact"/>
            <w:rPr>
              <w:rFonts w:ascii="Times New Roman"/>
            </w:rPr>
          </w:pPr>
          <w:r>
            <w:rPr>
              <w:rFonts w:ascii="Times New Roman"/>
            </w:rPr>
            <w:t>Chinese</w:t>
          </w:r>
        </w:p>
        <w:p w:rsidR="00EC10C0" w:rsidRPr="007878B4" w:rsidRDefault="00EC10C0" w:rsidP="007878B4">
          <w:pPr>
            <w:spacing w:line="240" w:lineRule="exact"/>
            <w:rPr>
              <w:rFonts w:ascii="Times New Roman"/>
            </w:rPr>
          </w:pPr>
          <w:r>
            <w:rPr>
              <w:rFonts w:ascii="Times New Roman"/>
            </w:rPr>
            <w:t>Original: English</w:t>
          </w:r>
        </w:p>
      </w:tc>
    </w:tr>
  </w:tbl>
  <w:p w:rsidR="00EC10C0" w:rsidRPr="007878B4" w:rsidRDefault="00EC10C0" w:rsidP="007878B4">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002*"/>
    <w:docVar w:name="CreationDt" w:val="01/11/2013 13:09:12"/>
    <w:docVar w:name="DocCategory" w:val="Doc"/>
    <w:docVar w:name="DocType" w:val="Final"/>
    <w:docVar w:name="FooterJN" w:val="13-54002 (C)"/>
    <w:docVar w:name="jobn" w:val="13-54002 (C)"/>
    <w:docVar w:name="jobnDT" w:val="13-54002 (C)   011113"/>
    <w:docVar w:name="jobnDTDT" w:val="13-54002 (C)   011113   011113"/>
    <w:docVar w:name="JobNo" w:val="1354002C"/>
    <w:docVar w:name="OandT" w:val="jia"/>
    <w:docVar w:name="sss1" w:val="CEDAW/C/GC/29 "/>
    <w:docVar w:name="sss2" w:val="-"/>
    <w:docVar w:name="Symbol1" w:val="CEDAW/C/GC/29 "/>
    <w:docVar w:name="Symbol2" w:val="-"/>
  </w:docVars>
  <w:rsids>
    <w:rsidRoot w:val="002D6474"/>
    <w:rsid w:val="0000347C"/>
    <w:rsid w:val="000125BC"/>
    <w:rsid w:val="000129A6"/>
    <w:rsid w:val="0001645E"/>
    <w:rsid w:val="00021A2B"/>
    <w:rsid w:val="00024E72"/>
    <w:rsid w:val="00034465"/>
    <w:rsid w:val="00036AA2"/>
    <w:rsid w:val="00036F1B"/>
    <w:rsid w:val="00037444"/>
    <w:rsid w:val="00037B39"/>
    <w:rsid w:val="00044CA4"/>
    <w:rsid w:val="00044EE9"/>
    <w:rsid w:val="00045EFE"/>
    <w:rsid w:val="00055145"/>
    <w:rsid w:val="000622D3"/>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0251"/>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474"/>
    <w:rsid w:val="002E475F"/>
    <w:rsid w:val="002E66D5"/>
    <w:rsid w:val="002F41E2"/>
    <w:rsid w:val="002F7973"/>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00EF3"/>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3E96"/>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0D50"/>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43EA1"/>
    <w:rsid w:val="0075155C"/>
    <w:rsid w:val="00753A05"/>
    <w:rsid w:val="00757193"/>
    <w:rsid w:val="00761190"/>
    <w:rsid w:val="00776537"/>
    <w:rsid w:val="00783A25"/>
    <w:rsid w:val="007843DB"/>
    <w:rsid w:val="007877F4"/>
    <w:rsid w:val="007878B4"/>
    <w:rsid w:val="007B6BAE"/>
    <w:rsid w:val="007C74B9"/>
    <w:rsid w:val="007C75FB"/>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50429"/>
    <w:rsid w:val="00854973"/>
    <w:rsid w:val="00860742"/>
    <w:rsid w:val="0086691F"/>
    <w:rsid w:val="00872730"/>
    <w:rsid w:val="00883DB0"/>
    <w:rsid w:val="00884C8F"/>
    <w:rsid w:val="00896D38"/>
    <w:rsid w:val="008A0216"/>
    <w:rsid w:val="008C076B"/>
    <w:rsid w:val="008C3296"/>
    <w:rsid w:val="008C3413"/>
    <w:rsid w:val="008E19C5"/>
    <w:rsid w:val="008E2D03"/>
    <w:rsid w:val="008E7BDF"/>
    <w:rsid w:val="008F2BB5"/>
    <w:rsid w:val="008F425D"/>
    <w:rsid w:val="008F5472"/>
    <w:rsid w:val="008F5D0F"/>
    <w:rsid w:val="009122E0"/>
    <w:rsid w:val="00913351"/>
    <w:rsid w:val="009133DD"/>
    <w:rsid w:val="00957134"/>
    <w:rsid w:val="0096193C"/>
    <w:rsid w:val="009769E1"/>
    <w:rsid w:val="00977E0D"/>
    <w:rsid w:val="00982D5C"/>
    <w:rsid w:val="00986132"/>
    <w:rsid w:val="00986C04"/>
    <w:rsid w:val="00987F88"/>
    <w:rsid w:val="009932F9"/>
    <w:rsid w:val="009A11E3"/>
    <w:rsid w:val="009A2F76"/>
    <w:rsid w:val="009B1250"/>
    <w:rsid w:val="009C7A5B"/>
    <w:rsid w:val="009D2AC2"/>
    <w:rsid w:val="009E1774"/>
    <w:rsid w:val="009E2668"/>
    <w:rsid w:val="009E40A3"/>
    <w:rsid w:val="009E5C8C"/>
    <w:rsid w:val="009F10B1"/>
    <w:rsid w:val="009F3D89"/>
    <w:rsid w:val="009F47E3"/>
    <w:rsid w:val="009F6938"/>
    <w:rsid w:val="00A013F6"/>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4AF2"/>
    <w:rsid w:val="00A750A5"/>
    <w:rsid w:val="00A778F1"/>
    <w:rsid w:val="00A90956"/>
    <w:rsid w:val="00A95404"/>
    <w:rsid w:val="00A968C5"/>
    <w:rsid w:val="00A96EFD"/>
    <w:rsid w:val="00AA3C28"/>
    <w:rsid w:val="00AA759D"/>
    <w:rsid w:val="00AB2786"/>
    <w:rsid w:val="00AC550F"/>
    <w:rsid w:val="00AD4308"/>
    <w:rsid w:val="00AF2A33"/>
    <w:rsid w:val="00AF4C2D"/>
    <w:rsid w:val="00B014C7"/>
    <w:rsid w:val="00B03EFA"/>
    <w:rsid w:val="00B171E7"/>
    <w:rsid w:val="00B309DD"/>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5FBD"/>
    <w:rsid w:val="00C2725D"/>
    <w:rsid w:val="00C31E79"/>
    <w:rsid w:val="00C403C9"/>
    <w:rsid w:val="00C42033"/>
    <w:rsid w:val="00C464DD"/>
    <w:rsid w:val="00C52423"/>
    <w:rsid w:val="00C60D8E"/>
    <w:rsid w:val="00C628CB"/>
    <w:rsid w:val="00C62EF9"/>
    <w:rsid w:val="00C672B6"/>
    <w:rsid w:val="00C76854"/>
    <w:rsid w:val="00C900C5"/>
    <w:rsid w:val="00C92AE0"/>
    <w:rsid w:val="00C943B4"/>
    <w:rsid w:val="00CA40B3"/>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360"/>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0025"/>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10C0"/>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94605"/>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link w:val="SingleTxtChar"/>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 w:type="character" w:customStyle="1" w:styleId="SingleTxtChar">
    <w:name w:val="__Single Txt Char"/>
    <w:link w:val="SingleTxt"/>
    <w:rsid w:val="00743EA1"/>
    <w:rPr>
      <w:rFonts w:ascii="SimSun" w:eastAsia="SimSun"/>
      <w:kern w:val="14"/>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89</TotalTime>
  <Pages>1</Pages>
  <Words>4065</Words>
  <Characters>4106</Characters>
  <Application>Microsoft Office Outlook</Application>
  <DocSecurity>4</DocSecurity>
  <Lines>157</Lines>
  <Paragraphs>92</Paragraphs>
  <ScaleCrop>false</ScaleCrop>
  <Company>United Nations</Company>
  <LinksUpToDate>false</LinksUpToDate>
  <CharactersWithSpaces>8079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United Nations</dc:creator>
  <cp:keywords/>
  <dc:description/>
  <cp:lastModifiedBy>United Nations</cp:lastModifiedBy>
  <cp:revision>34</cp:revision>
  <cp:lastPrinted>2014-01-06T15:20:00Z</cp:lastPrinted>
  <dcterms:created xsi:type="dcterms:W3CDTF">2013-11-01T11:08:00Z</dcterms:created>
  <dcterms:modified xsi:type="dcterms:W3CDTF">2014-01-06T15:23:00Z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1354002</vt:lpwstr>
  </property>
  <property fmtid="{D5CDD505-2E9C-101B-9397-08002B2CF9AE}" pid="3" name="Symbol1">
    <vt:lpwstr>CEDAW/C/GC/29 </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jia</vt:lpwstr>
  </property>
</Properties>
</file>