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B89" w:rsidRDefault="00CB1B89" w:rsidP="00CB1B89">
      <w:pPr>
        <w:spacing w:line="60" w:lineRule="exact"/>
        <w:rPr>
          <w:sz w:val="6"/>
        </w:rPr>
        <w:sectPr w:rsidR="00CB1B89" w:rsidSect="00CB1B8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CB1B89" w:rsidRDefault="00CB1B89" w:rsidP="00CB1B89">
      <w:pPr>
        <w:spacing w:line="60" w:lineRule="exact"/>
        <w:rPr>
          <w:sz w:val="6"/>
        </w:rPr>
      </w:pPr>
    </w:p>
    <w:p w:rsidR="00CD487C" w:rsidRPr="00CE3A21" w:rsidRDefault="00CD487C" w:rsidP="00CE3A21">
      <w:pPr>
        <w:spacing w:line="380" w:lineRule="exact"/>
        <w:rPr>
          <w:rFonts w:ascii="SimHei" w:eastAsia="SimHei" w:hint="eastAsia"/>
          <w:color w:val="FF0000"/>
          <w:sz w:val="24"/>
          <w:szCs w:val="24"/>
        </w:rPr>
      </w:pPr>
      <w:r w:rsidRPr="00CE3A21">
        <w:rPr>
          <w:rFonts w:ascii="SimHei" w:eastAsia="SimHei" w:hint="eastAsia"/>
          <w:color w:val="FF0000"/>
          <w:sz w:val="24"/>
          <w:szCs w:val="24"/>
        </w:rPr>
        <w:t>消除对妇女歧视委员会</w:t>
      </w:r>
    </w:p>
    <w:p w:rsidR="00CD487C" w:rsidRPr="00CE3A21" w:rsidRDefault="00CD487C" w:rsidP="00CE3A21">
      <w:pPr>
        <w:spacing w:line="380" w:lineRule="exact"/>
        <w:rPr>
          <w:rFonts w:ascii="SimHei" w:eastAsia="SimHei" w:hint="eastAsia"/>
          <w:color w:val="FF0000"/>
        </w:rPr>
      </w:pPr>
      <w:r w:rsidRPr="00CE3A21">
        <w:rPr>
          <w:rFonts w:ascii="SimHei" w:eastAsia="SimHei" w:hint="eastAsia"/>
          <w:color w:val="FF0000"/>
        </w:rPr>
        <w:t>会前工作组</w:t>
      </w:r>
    </w:p>
    <w:p w:rsidR="00CD487C" w:rsidRPr="00CE3A21" w:rsidRDefault="00CD487C" w:rsidP="00CE3A21">
      <w:pPr>
        <w:spacing w:line="380" w:lineRule="exact"/>
        <w:rPr>
          <w:rFonts w:ascii="SimHei" w:eastAsia="SimHei" w:hint="eastAsia"/>
          <w:color w:val="FF0000"/>
        </w:rPr>
      </w:pPr>
      <w:r w:rsidRPr="00CE3A21">
        <w:rPr>
          <w:rFonts w:ascii="SimHei" w:eastAsia="SimHei" w:hint="eastAsia"/>
          <w:color w:val="FF0000"/>
        </w:rPr>
        <w:t>第四十和四十一届会议</w:t>
      </w:r>
    </w:p>
    <w:p w:rsidR="00CD487C" w:rsidRDefault="00CD487C" w:rsidP="00CE3A21">
      <w:pPr>
        <w:spacing w:line="380" w:lineRule="exact"/>
        <w:rPr>
          <w:rFonts w:hint="eastAsia"/>
        </w:rPr>
      </w:pPr>
      <w:r>
        <w:rPr>
          <w:rFonts w:hint="eastAsia"/>
        </w:rPr>
        <w:t>2007年7月16日至20日</w:t>
      </w:r>
    </w:p>
    <w:p w:rsidR="00CE3A21" w:rsidRPr="00CE3A21" w:rsidRDefault="00CE3A21" w:rsidP="00CE3A2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CE3A21" w:rsidRPr="00CE3A21" w:rsidRDefault="00CE3A21" w:rsidP="00CE3A2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CE3A21" w:rsidRPr="00CE3A21" w:rsidRDefault="00CE3A21" w:rsidP="00CE3A2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CD487C" w:rsidRDefault="00CE3A21" w:rsidP="00CE3A2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CD487C">
        <w:rPr>
          <w:rFonts w:hint="eastAsia"/>
        </w:rPr>
        <w:t>与审议定期报告有关的事项和问题清单</w:t>
      </w:r>
    </w:p>
    <w:p w:rsidR="00CE3A21" w:rsidRPr="00CE3A21" w:rsidRDefault="00CE3A21" w:rsidP="00CE3A21">
      <w:pPr>
        <w:pStyle w:val="SingleTxt"/>
        <w:spacing w:after="0" w:line="120" w:lineRule="exact"/>
        <w:rPr>
          <w:rFonts w:hint="eastAsia"/>
          <w:sz w:val="10"/>
        </w:rPr>
      </w:pPr>
    </w:p>
    <w:p w:rsidR="00CE3A21" w:rsidRPr="00CE3A21" w:rsidRDefault="00CE3A21" w:rsidP="00CE3A21">
      <w:pPr>
        <w:pStyle w:val="SingleTxt"/>
        <w:spacing w:after="0" w:line="120" w:lineRule="exact"/>
        <w:rPr>
          <w:rFonts w:hint="eastAsia"/>
          <w:sz w:val="10"/>
        </w:rPr>
      </w:pPr>
    </w:p>
    <w:p w:rsidR="00CD487C" w:rsidRDefault="00CE3A21" w:rsidP="00CE3A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CD487C">
        <w:rPr>
          <w:rFonts w:hint="eastAsia"/>
        </w:rPr>
        <w:t>法国</w:t>
      </w:r>
    </w:p>
    <w:p w:rsidR="00CE3A21" w:rsidRPr="00CE3A21" w:rsidRDefault="00CE3A21" w:rsidP="00CE3A21">
      <w:pPr>
        <w:pStyle w:val="SingleTxt"/>
        <w:spacing w:after="0" w:line="120" w:lineRule="exact"/>
        <w:rPr>
          <w:rFonts w:hint="eastAsia"/>
          <w:sz w:val="10"/>
        </w:rPr>
      </w:pPr>
    </w:p>
    <w:p w:rsidR="008B26DD" w:rsidRPr="008B26DD" w:rsidRDefault="008B26DD" w:rsidP="008B26DD">
      <w:pPr>
        <w:pStyle w:val="SingleTxt"/>
        <w:spacing w:after="0" w:line="120" w:lineRule="exact"/>
        <w:rPr>
          <w:rFonts w:hint="eastAsia"/>
          <w:sz w:val="10"/>
        </w:rPr>
      </w:pPr>
    </w:p>
    <w:p w:rsidR="00CD487C" w:rsidRDefault="00CD487C" w:rsidP="00CD487C">
      <w:pPr>
        <w:pStyle w:val="SingleTxt"/>
      </w:pPr>
      <w:r>
        <w:rPr>
          <w:rFonts w:hint="eastAsia"/>
        </w:rPr>
        <w:t>会前工作组审议了法国第六次定期报告</w:t>
      </w:r>
      <w:r w:rsidR="00CE3A21">
        <w:rPr>
          <w:rFonts w:hint="eastAsia"/>
        </w:rPr>
        <w:t>（CEDAW/C/FRA/6）</w:t>
      </w:r>
    </w:p>
    <w:p w:rsidR="00CD487C" w:rsidRPr="00CE3A21" w:rsidRDefault="00CD487C" w:rsidP="00CD487C">
      <w:pPr>
        <w:pStyle w:val="SingleTxt"/>
        <w:rPr>
          <w:rFonts w:ascii="SimHei" w:eastAsia="SimHei" w:hint="eastAsia"/>
          <w:color w:val="FF0000"/>
        </w:rPr>
      </w:pPr>
      <w:r w:rsidRPr="00CE3A21">
        <w:rPr>
          <w:rFonts w:ascii="SimHei" w:eastAsia="SimHei" w:hint="eastAsia"/>
          <w:color w:val="FF0000"/>
        </w:rPr>
        <w:t>宪政、立法和体制框架</w:t>
      </w:r>
    </w:p>
    <w:p w:rsidR="00CD487C" w:rsidRDefault="00CD487C" w:rsidP="00CD487C">
      <w:pPr>
        <w:pStyle w:val="SingleTxt"/>
        <w:rPr>
          <w:rFonts w:hint="eastAsia"/>
        </w:rPr>
      </w:pPr>
      <w:r>
        <w:rPr>
          <w:rFonts w:hint="eastAsia"/>
        </w:rPr>
        <w:t>1.</w:t>
      </w:r>
      <w:r>
        <w:rPr>
          <w:rFonts w:hint="eastAsia"/>
        </w:rPr>
        <w:tab/>
        <w:t>法国维持对第十四条2款(c)项和(h)项的保留。报告表示“对有关第十四条第2款(c)项</w:t>
      </w:r>
      <w:r w:rsidR="00CE3A21">
        <w:rPr>
          <w:rFonts w:hint="eastAsia"/>
        </w:rPr>
        <w:t>……</w:t>
      </w:r>
      <w:r>
        <w:rPr>
          <w:rFonts w:hint="eastAsia"/>
        </w:rPr>
        <w:t>的保留不再适用”。请说明为什么还未撤回有关的保留。关于对十六条第1款(g)项的保留，请就撤回的计划说明最新的情况。</w:t>
      </w:r>
    </w:p>
    <w:p w:rsidR="00CD487C" w:rsidRDefault="00CD487C" w:rsidP="00CD487C">
      <w:pPr>
        <w:pStyle w:val="SingleTxt"/>
        <w:rPr>
          <w:rFonts w:hint="eastAsia"/>
        </w:rPr>
      </w:pPr>
      <w:r>
        <w:rPr>
          <w:rFonts w:hint="eastAsia"/>
        </w:rPr>
        <w:t>2.</w:t>
      </w:r>
      <w:r>
        <w:rPr>
          <w:rFonts w:hint="eastAsia"/>
        </w:rPr>
        <w:tab/>
        <w:t>在本国法庭审理的案件中有没有援引《消除对妇女一切形式歧视公约》。如果有，援引了哪些条款？此外，请具体说明采取了什么举措使法国的司法机构、检察官和律师产生对《公约》的意识。</w:t>
      </w:r>
    </w:p>
    <w:p w:rsidR="00CD487C" w:rsidRDefault="00CD487C" w:rsidP="00CD487C">
      <w:pPr>
        <w:pStyle w:val="SingleTxt"/>
        <w:rPr>
          <w:rFonts w:hint="eastAsia"/>
        </w:rPr>
      </w:pPr>
      <w:r>
        <w:rPr>
          <w:rFonts w:hint="eastAsia"/>
        </w:rPr>
        <w:t>3.</w:t>
      </w:r>
      <w:r>
        <w:rPr>
          <w:rFonts w:hint="eastAsia"/>
        </w:rPr>
        <w:tab/>
        <w:t>根据报告，反对歧视争取平等高级权力机构有权就提出的案件调查歧视的情况。请就提交高级权力机构的直接或间接歧视妇女的事件分列其数目和性质。高级权力机构处理的案件占提交案件的百分比为何？迄今作出的建议产生了什么影响？报告还注意到需要进一步加强高级权力机构的权力。请阐述为此目的采取了什么步骤。最后，检察部门有没有依职使用其新的权力处理这些案件？</w:t>
      </w:r>
    </w:p>
    <w:p w:rsidR="00CD487C" w:rsidRDefault="00CD487C" w:rsidP="00CD487C">
      <w:pPr>
        <w:pStyle w:val="SingleTxt"/>
        <w:rPr>
          <w:rFonts w:hint="eastAsia"/>
        </w:rPr>
      </w:pPr>
      <w:r>
        <w:rPr>
          <w:rFonts w:hint="eastAsia"/>
        </w:rPr>
        <w:t>4.</w:t>
      </w:r>
      <w:r>
        <w:rPr>
          <w:rFonts w:hint="eastAsia"/>
        </w:rPr>
        <w:tab/>
        <w:t>一些行动者决心在三年时间内采取行动以实现《男女平等宪章》所阐述的五项主要目标。在《宪章》最初的三年周期中，这一文件中议定的行动得以落实的百分比为何？迄今取得了什么具体成果？</w:t>
      </w:r>
    </w:p>
    <w:p w:rsidR="00CD487C" w:rsidRDefault="00CD487C" w:rsidP="00CD487C">
      <w:pPr>
        <w:pStyle w:val="SingleTxt"/>
        <w:rPr>
          <w:rFonts w:hint="eastAsia"/>
        </w:rPr>
      </w:pPr>
      <w:r>
        <w:rPr>
          <w:rFonts w:hint="eastAsia"/>
        </w:rPr>
        <w:t>5.</w:t>
      </w:r>
      <w:r>
        <w:rPr>
          <w:rFonts w:hint="eastAsia"/>
        </w:rPr>
        <w:tab/>
        <w:t>负责平等问题的部门自从2001年以来从事“就业公共服务局关于恢复平等的承诺”的项目。该项目声称的目的是，提高政府就业雇佣部门官员在就业方面打击种族歧视和（或）基于性别和种族或民族血统的双重歧视的意识并给予训练。这一方案对其声称目标有什么影响？</w:t>
      </w:r>
    </w:p>
    <w:p w:rsidR="00CD487C" w:rsidRDefault="00CD487C" w:rsidP="00CD487C">
      <w:pPr>
        <w:pStyle w:val="SingleTxt"/>
        <w:rPr>
          <w:rFonts w:hint="eastAsia"/>
        </w:rPr>
      </w:pPr>
      <w:r>
        <w:rPr>
          <w:rFonts w:hint="eastAsia"/>
        </w:rPr>
        <w:t>6.</w:t>
      </w:r>
      <w:r>
        <w:rPr>
          <w:rFonts w:hint="eastAsia"/>
        </w:rPr>
        <w:tab/>
        <w:t>报告提供了一些关于法国海外领土的妇女的情况。这些资料不足以评估这些领土的妇女的实际地位，也不足以就《公约》涵盖的所有领域评估领土实际实现男女平等原则的情况。请提供更详细资料，特别是关于下列方面的资料：民法的执行情况、女孩教育、妇女就业、暴力侵害妇女行为和贩运妇女。应当针对所有法国海外领土提供这些资料。</w:t>
      </w:r>
    </w:p>
    <w:p w:rsidR="00CD487C" w:rsidRPr="00CE3A21" w:rsidRDefault="00CD487C" w:rsidP="00CD487C">
      <w:pPr>
        <w:pStyle w:val="SingleTxt"/>
        <w:rPr>
          <w:rFonts w:ascii="SimHei" w:eastAsia="SimHei" w:hint="eastAsia"/>
          <w:color w:val="FF0000"/>
        </w:rPr>
      </w:pPr>
      <w:r w:rsidRPr="00CE3A21">
        <w:rPr>
          <w:rFonts w:ascii="SimHei" w:eastAsia="SimHei" w:hint="eastAsia"/>
          <w:color w:val="FF0000"/>
        </w:rPr>
        <w:t>暴力侵害妇女行为</w:t>
      </w:r>
    </w:p>
    <w:p w:rsidR="00CD487C" w:rsidRDefault="00CD487C" w:rsidP="00CD487C">
      <w:pPr>
        <w:pStyle w:val="SingleTxt"/>
        <w:rPr>
          <w:rFonts w:hint="eastAsia"/>
        </w:rPr>
      </w:pPr>
      <w:r>
        <w:rPr>
          <w:rFonts w:hint="eastAsia"/>
        </w:rPr>
        <w:t>7.</w:t>
      </w:r>
      <w:r>
        <w:rPr>
          <w:rFonts w:hint="eastAsia"/>
        </w:rPr>
        <w:tab/>
        <w:t>请说明采取了什么措施保护女性工作人员不受性骚扰，包括说明具体的立法和有效的机制以接受及调查受害者的指控。</w:t>
      </w:r>
    </w:p>
    <w:p w:rsidR="00CD487C" w:rsidRDefault="00CD487C" w:rsidP="00CD487C">
      <w:pPr>
        <w:pStyle w:val="SingleTxt"/>
        <w:rPr>
          <w:rFonts w:hint="eastAsia"/>
        </w:rPr>
      </w:pPr>
      <w:r>
        <w:rPr>
          <w:rFonts w:hint="eastAsia"/>
        </w:rPr>
        <w:t>8.</w:t>
      </w:r>
      <w:r>
        <w:rPr>
          <w:rFonts w:hint="eastAsia"/>
        </w:rPr>
        <w:tab/>
        <w:t>请提供更多资料，说明为了改善对暴力状况和有关趋势的了解制订和使用“通用统计文书”的情况。议会目前讨论加强预防和惩罚伴侣内部暴力的法案的情况如何？</w:t>
      </w:r>
    </w:p>
    <w:p w:rsidR="00CD487C" w:rsidRDefault="00CD487C" w:rsidP="00CD487C">
      <w:pPr>
        <w:pStyle w:val="SingleTxt"/>
        <w:rPr>
          <w:rFonts w:hint="eastAsia"/>
        </w:rPr>
      </w:pPr>
      <w:r>
        <w:rPr>
          <w:rFonts w:hint="eastAsia"/>
        </w:rPr>
        <w:t>9.</w:t>
      </w:r>
      <w:r>
        <w:rPr>
          <w:rFonts w:hint="eastAsia"/>
        </w:rPr>
        <w:tab/>
        <w:t>委员会在以前的结论意见中遗憾地指出关于移民妇女和女孩受暴力侵害（包括家庭暴力）的资料很少，而同样地，当前的报告提供关于这一题目的资料也非常少。请提供这种数据</w:t>
      </w:r>
      <w:r w:rsidR="007146A3">
        <w:rPr>
          <w:rFonts w:hint="eastAsia"/>
        </w:rPr>
        <w:t>（</w:t>
      </w:r>
      <w:r>
        <w:rPr>
          <w:rFonts w:hint="eastAsia"/>
        </w:rPr>
        <w:t>A/58/38，第275段</w:t>
      </w:r>
      <w:r w:rsidR="007146A3">
        <w:rPr>
          <w:rFonts w:hint="eastAsia"/>
        </w:rPr>
        <w:t>）</w:t>
      </w:r>
      <w:r>
        <w:rPr>
          <w:rFonts w:hint="eastAsia"/>
        </w:rPr>
        <w:t>。此外，关于报告第19页述及的问题所涉的研究，这些研究的确切内容为何？获得了什么重要的研究结果？</w:t>
      </w:r>
    </w:p>
    <w:p w:rsidR="00CD487C" w:rsidRPr="00CE3A21" w:rsidRDefault="00CD487C" w:rsidP="00CD487C">
      <w:pPr>
        <w:pStyle w:val="SingleTxt"/>
        <w:rPr>
          <w:rFonts w:ascii="SimHei" w:eastAsia="SimHei" w:hint="eastAsia"/>
          <w:color w:val="FF0000"/>
        </w:rPr>
      </w:pPr>
      <w:r w:rsidRPr="00CE3A21">
        <w:rPr>
          <w:rFonts w:ascii="SimHei" w:eastAsia="SimHei" w:hint="eastAsia"/>
          <w:color w:val="FF0000"/>
        </w:rPr>
        <w:t>卖淫方面的贩运和剥削</w:t>
      </w:r>
    </w:p>
    <w:p w:rsidR="00CD487C" w:rsidRDefault="00CD487C" w:rsidP="00CD487C">
      <w:pPr>
        <w:pStyle w:val="SingleTxt"/>
        <w:rPr>
          <w:rFonts w:hint="eastAsia"/>
        </w:rPr>
      </w:pPr>
      <w:r>
        <w:rPr>
          <w:rFonts w:hint="eastAsia"/>
        </w:rPr>
        <w:t>10.</w:t>
      </w:r>
      <w:r>
        <w:rPr>
          <w:rFonts w:hint="eastAsia"/>
        </w:rPr>
        <w:tab/>
        <w:t>请提供中央打击贩卖人口局可得的统计数据，说明通过法国或从法国贩运妇女的情况。这一资料应当包括过去4年来记录的获救受害人数目和被惩罚的犯罪者的数目及被判处的惩罚。</w:t>
      </w:r>
    </w:p>
    <w:p w:rsidR="00CD487C" w:rsidRDefault="00CD487C" w:rsidP="00CD487C">
      <w:pPr>
        <w:pStyle w:val="SingleTxt"/>
        <w:rPr>
          <w:rFonts w:hint="eastAsia"/>
        </w:rPr>
      </w:pPr>
      <w:r>
        <w:rPr>
          <w:rFonts w:hint="eastAsia"/>
        </w:rPr>
        <w:t>11.</w:t>
      </w:r>
      <w:r>
        <w:rPr>
          <w:rFonts w:hint="eastAsia"/>
        </w:rPr>
        <w:tab/>
        <w:t>委员会在以前的结论意见（A/58/38，第273段）中表示关注保护被贩运妇女、特别是外籍妇女和女孩（她们不愿作证指控贩运她们的人）的措施不足的问题。根据报告，《国内安全法》第76条规定，只有在外籍受害人作证或提出指控的情况下才可以给该受害人临时居留证。只有在被告被定罪时，受害人才可以获得标准居留证。获得标准（非临时）居留证的受害人所占的百分比为何？改革援助和保护受害人方案以及延长居留时限的计划的状况如何？</w:t>
      </w:r>
    </w:p>
    <w:p w:rsidR="00CD487C" w:rsidRDefault="00CD487C" w:rsidP="00CD487C">
      <w:pPr>
        <w:pStyle w:val="SingleTxt"/>
        <w:rPr>
          <w:rFonts w:hint="eastAsia"/>
        </w:rPr>
      </w:pPr>
      <w:r>
        <w:rPr>
          <w:rFonts w:hint="eastAsia"/>
        </w:rPr>
        <w:t>12.</w:t>
      </w:r>
      <w:r>
        <w:rPr>
          <w:rFonts w:hint="eastAsia"/>
        </w:rPr>
        <w:tab/>
        <w:t>委员会在以前的结论意见（A/58/38，第271段）中表示对关于被动拉客的《国内安全法》第18条的执行方式感到关切。不过，本次报告没有提及进一步监测《安全法》的效果或本条的任何规定。请提供最新资料，说明本法第18条的执行情况，包括本法的执行如何影响到不是从事被动拉客活动的妇女。</w:t>
      </w:r>
    </w:p>
    <w:p w:rsidR="00CD487C" w:rsidRPr="00CE3A21" w:rsidRDefault="00CD487C" w:rsidP="00CD487C">
      <w:pPr>
        <w:pStyle w:val="SingleTxt"/>
        <w:rPr>
          <w:rFonts w:ascii="SimHei" w:eastAsia="SimHei" w:hint="eastAsia"/>
          <w:color w:val="FF0000"/>
        </w:rPr>
      </w:pPr>
      <w:r w:rsidRPr="00CE3A21">
        <w:rPr>
          <w:rFonts w:ascii="SimHei" w:eastAsia="SimHei" w:hint="eastAsia"/>
          <w:color w:val="FF0000"/>
        </w:rPr>
        <w:t>参与政治和公共生活</w:t>
      </w:r>
    </w:p>
    <w:p w:rsidR="00CD487C" w:rsidRDefault="00CD487C" w:rsidP="00CD487C">
      <w:pPr>
        <w:pStyle w:val="SingleTxt"/>
        <w:rPr>
          <w:rFonts w:hint="eastAsia"/>
        </w:rPr>
      </w:pPr>
      <w:r>
        <w:rPr>
          <w:rFonts w:hint="eastAsia"/>
        </w:rPr>
        <w:t>13.</w:t>
      </w:r>
      <w:r>
        <w:rPr>
          <w:rFonts w:hint="eastAsia"/>
        </w:rPr>
        <w:tab/>
        <w:t>2000年6月6日的条例规定在地方、区域和国家各级促进采取平等的方式。该条例其后获得2003年4月11日的条例的补充。2005年2月，所有代议制机构自该条例颁布以来首次进行选举，内政部和负责平等问题的部门量度该立法的影响。根据审查结果，在区议会、地区议长、国民议会和参议院的选举的平等方面没有取得什么进展。针对这一审查结果采取了什么措施以加强这些领域的平等制度的效果？</w:t>
      </w:r>
    </w:p>
    <w:p w:rsidR="00CD487C" w:rsidRDefault="00CD487C" w:rsidP="00CD487C">
      <w:pPr>
        <w:pStyle w:val="SingleTxt"/>
        <w:rPr>
          <w:rFonts w:hint="eastAsia"/>
        </w:rPr>
      </w:pPr>
      <w:r>
        <w:rPr>
          <w:rFonts w:hint="eastAsia"/>
        </w:rPr>
        <w:t>14.</w:t>
      </w:r>
      <w:r>
        <w:rPr>
          <w:rFonts w:hint="eastAsia"/>
        </w:rPr>
        <w:tab/>
        <w:t>2000年，总理要求各部长拟订长期计划，内载可量度的旨在增加妇女在公务员高层担任管理职位的机会的目标。请说明是否所有部长都有遵照总理的要求，并请提供资料，说明2003年以来妇女在高级公务员管理阶层担任职位的百分比的变化情况。此外，请提供资料，说明妇女在政府设立的咨询机构和其他机构以及在大学、研究所和司法机构担任高层职位的情况，包括说明按照《公约》第四条第1款制订和实行了哪些措施以扩大妇女的参与。</w:t>
      </w:r>
    </w:p>
    <w:p w:rsidR="00CD487C" w:rsidRPr="00CE3A21" w:rsidRDefault="00CD487C" w:rsidP="00CD487C">
      <w:pPr>
        <w:pStyle w:val="SingleTxt"/>
        <w:rPr>
          <w:rFonts w:ascii="SimHei" w:eastAsia="SimHei" w:hint="eastAsia"/>
          <w:color w:val="FF0000"/>
        </w:rPr>
      </w:pPr>
      <w:r w:rsidRPr="00CE3A21">
        <w:rPr>
          <w:rFonts w:ascii="SimHei" w:eastAsia="SimHei" w:hint="eastAsia"/>
          <w:color w:val="FF0000"/>
        </w:rPr>
        <w:t>教育和陈规定型观念</w:t>
      </w:r>
    </w:p>
    <w:p w:rsidR="00CD487C" w:rsidRDefault="00CD487C" w:rsidP="00CD487C">
      <w:pPr>
        <w:pStyle w:val="SingleTxt"/>
        <w:rPr>
          <w:rFonts w:hint="eastAsia"/>
        </w:rPr>
      </w:pPr>
      <w:r>
        <w:rPr>
          <w:rFonts w:hint="eastAsia"/>
        </w:rPr>
        <w:t>15.</w:t>
      </w:r>
      <w:r>
        <w:rPr>
          <w:rFonts w:hint="eastAsia"/>
        </w:rPr>
        <w:tab/>
        <w:t>儿童权利委员会（CRC/C/15/Add.240，第26段）建议缔约国密切监测女孩因违反2004年3月15日禁止小学、初中和高中学生“穿戴公然表现其宗教信仰的标记或服装”的法令而被赶出学校的情况。请说明有多少年轻妇女和女孩由于该法令而被赶出或自愿离开学校。该法令如何影响到女孩和年轻妇女接受教育的权利？</w:t>
      </w:r>
    </w:p>
    <w:p w:rsidR="00CD487C" w:rsidRDefault="00CD487C" w:rsidP="00CD487C">
      <w:pPr>
        <w:pStyle w:val="SingleTxt"/>
        <w:rPr>
          <w:rFonts w:hint="eastAsia"/>
        </w:rPr>
      </w:pPr>
      <w:r>
        <w:rPr>
          <w:rFonts w:hint="eastAsia"/>
        </w:rPr>
        <w:t>16.</w:t>
      </w:r>
      <w:r>
        <w:rPr>
          <w:rFonts w:hint="eastAsia"/>
        </w:rPr>
        <w:tab/>
        <w:t>根据报告，教具、学校课程和课本仍然存在陈规定型的性别观念。报告表示课本由私营公司编制，“需要时间作出改善”。为了消除陈规定型的性别观念，政府有什么审查课本和提出修订建议的机制，包括为此有什么时间表来监测及评价有关的进展情况？报告还表示三分之二的教师培训机构会给予未来的教师讲授促进课室性别平等的课程。每年有多少百分比的老师修读这种课程，有没有采取一些行动规定未来的教师必修这种课程？</w:t>
      </w:r>
    </w:p>
    <w:p w:rsidR="00CD487C" w:rsidRPr="00CE3A21" w:rsidRDefault="00CD487C" w:rsidP="00CD487C">
      <w:pPr>
        <w:pStyle w:val="SingleTxt"/>
        <w:rPr>
          <w:rFonts w:ascii="SimHei" w:eastAsia="SimHei" w:hint="eastAsia"/>
          <w:color w:val="FF0000"/>
        </w:rPr>
      </w:pPr>
      <w:r w:rsidRPr="00CE3A21">
        <w:rPr>
          <w:rFonts w:ascii="SimHei" w:eastAsia="SimHei" w:hint="eastAsia"/>
          <w:color w:val="FF0000"/>
        </w:rPr>
        <w:t>就业以及工作与家庭生活的协调</w:t>
      </w:r>
    </w:p>
    <w:p w:rsidR="00CD487C" w:rsidRDefault="00CD487C" w:rsidP="00CD487C">
      <w:pPr>
        <w:pStyle w:val="SingleTxt"/>
        <w:rPr>
          <w:rFonts w:hint="eastAsia"/>
        </w:rPr>
      </w:pPr>
      <w:r>
        <w:rPr>
          <w:rFonts w:hint="eastAsia"/>
        </w:rPr>
        <w:t>17.</w:t>
      </w:r>
      <w:r>
        <w:rPr>
          <w:rFonts w:hint="eastAsia"/>
        </w:rPr>
        <w:tab/>
        <w:t>2005年4月，妇女失业率为11.2％，男子失业率为9.3％。此外，妇女就业不足率为男子的4倍，大多数非全时工作由妇女担任。委员会在以前的结论意见（A/58/38，第261段）中表示关注妇女在非全时工作和其他特别服务合同形式（例如临时工或定期合同）方面的人数不成比例。政府采取了什么针对性措施以减少失业和就业不足以及处理妇女没有工作保障的问题？这些措施产生什么影响？</w:t>
      </w:r>
    </w:p>
    <w:p w:rsidR="00CD487C" w:rsidRDefault="00CD487C" w:rsidP="00CD487C">
      <w:pPr>
        <w:pStyle w:val="SingleTxt"/>
        <w:rPr>
          <w:rFonts w:hint="eastAsia"/>
        </w:rPr>
      </w:pPr>
      <w:r>
        <w:rPr>
          <w:rFonts w:hint="eastAsia"/>
        </w:rPr>
        <w:t>18.</w:t>
      </w:r>
      <w:r>
        <w:rPr>
          <w:rFonts w:hint="eastAsia"/>
        </w:rPr>
        <w:tab/>
        <w:t>根据报告，2003年，男女工资差别为19％。男女同工同酬法的规定目标是通过工会“在行业和企业内进行的谈判”和部门内的集体谈判，在5年内（至迟在2010年）消除同工不同酬的情况。男女同工同酬法如何能够使在没有工会的中小型企业中工作的妇女受益？采取了什么措施以确保各部门消除同工不同酬的情况？</w:t>
      </w:r>
    </w:p>
    <w:p w:rsidR="00CD487C" w:rsidRDefault="00CD487C" w:rsidP="00CD487C">
      <w:pPr>
        <w:pStyle w:val="SingleTxt"/>
        <w:rPr>
          <w:rFonts w:hint="eastAsia"/>
        </w:rPr>
      </w:pPr>
      <w:r>
        <w:rPr>
          <w:rFonts w:hint="eastAsia"/>
        </w:rPr>
        <w:t>19.</w:t>
      </w:r>
      <w:r>
        <w:rPr>
          <w:rFonts w:hint="eastAsia"/>
        </w:rPr>
        <w:tab/>
        <w:t>报告指出银行在贷款给男子和妇女时采用不同的标准；妇女往往被问及她们要照顾的子女的数目，而男子则不会被问及这一问题。政府采取了什么步骤来消除歧视性的借贷做法？</w:t>
      </w:r>
    </w:p>
    <w:p w:rsidR="00CD487C" w:rsidRDefault="00CD487C" w:rsidP="00CD487C">
      <w:pPr>
        <w:pStyle w:val="SingleTxt"/>
        <w:rPr>
          <w:rFonts w:hint="eastAsia"/>
        </w:rPr>
      </w:pPr>
      <w:r>
        <w:rPr>
          <w:rFonts w:hint="eastAsia"/>
        </w:rPr>
        <w:t>20.</w:t>
      </w:r>
      <w:r>
        <w:rPr>
          <w:rFonts w:hint="eastAsia"/>
        </w:rPr>
        <w:tab/>
        <w:t>《企业多样性宪章》是一个在公司内禁止歧视的方案。公司签署了这一宪章后要担负什么责任？此外，有多少公司签署了《宪章》？对于消除工作场所对妇女的歧视有什么影响？</w:t>
      </w:r>
    </w:p>
    <w:p w:rsidR="00CD487C" w:rsidRPr="00CE3A21" w:rsidRDefault="00CD487C" w:rsidP="00CD487C">
      <w:pPr>
        <w:pStyle w:val="SingleTxt"/>
        <w:rPr>
          <w:rFonts w:ascii="SimHei" w:eastAsia="SimHei" w:hint="eastAsia"/>
          <w:color w:val="FF0000"/>
        </w:rPr>
      </w:pPr>
      <w:r w:rsidRPr="00CE3A21">
        <w:rPr>
          <w:rFonts w:ascii="SimHei" w:eastAsia="SimHei" w:hint="eastAsia"/>
          <w:color w:val="FF0000"/>
        </w:rPr>
        <w:t>卫生保健</w:t>
      </w:r>
    </w:p>
    <w:p w:rsidR="00CD487C" w:rsidRDefault="00CD487C" w:rsidP="00CD487C">
      <w:pPr>
        <w:pStyle w:val="SingleTxt"/>
        <w:rPr>
          <w:rFonts w:hint="eastAsia"/>
        </w:rPr>
      </w:pPr>
      <w:r>
        <w:rPr>
          <w:rFonts w:hint="eastAsia"/>
        </w:rPr>
        <w:t>21.</w:t>
      </w:r>
      <w:r>
        <w:rPr>
          <w:rFonts w:hint="eastAsia"/>
        </w:rPr>
        <w:tab/>
        <w:t>报告提及卫生部和妇女权利和平等部合办的旨在处理暴力与妇女健康的关联问题的试点方案。请叙述这一方案如何改善给予受暴力侵害的妇女的护理，尤其是医院的入院程序。</w:t>
      </w:r>
    </w:p>
    <w:p w:rsidR="00CD487C" w:rsidRDefault="00CD487C" w:rsidP="00CD487C">
      <w:pPr>
        <w:pStyle w:val="SingleTxt"/>
        <w:rPr>
          <w:rFonts w:hint="eastAsia"/>
        </w:rPr>
      </w:pPr>
      <w:r>
        <w:rPr>
          <w:rFonts w:hint="eastAsia"/>
        </w:rPr>
        <w:t>22.</w:t>
      </w:r>
      <w:r>
        <w:rPr>
          <w:rFonts w:hint="eastAsia"/>
        </w:rPr>
        <w:tab/>
        <w:t>请提供资料，说明法国妇女吸毒的情况以及为此采取的措施。</w:t>
      </w:r>
    </w:p>
    <w:p w:rsidR="00CD487C" w:rsidRPr="00CE3A21" w:rsidRDefault="00CD487C" w:rsidP="00CD487C">
      <w:pPr>
        <w:pStyle w:val="SingleTxt"/>
        <w:rPr>
          <w:rFonts w:ascii="SimHei" w:eastAsia="SimHei" w:hint="eastAsia"/>
          <w:color w:val="FF0000"/>
        </w:rPr>
      </w:pPr>
      <w:r w:rsidRPr="00CE3A21">
        <w:rPr>
          <w:rFonts w:ascii="SimHei" w:eastAsia="SimHei" w:hint="eastAsia"/>
          <w:color w:val="FF0000"/>
        </w:rPr>
        <w:t>妇女特别群体的情况</w:t>
      </w:r>
    </w:p>
    <w:p w:rsidR="00CD487C" w:rsidRDefault="00CD487C" w:rsidP="00CD487C">
      <w:pPr>
        <w:pStyle w:val="SingleTxt"/>
        <w:rPr>
          <w:rFonts w:hint="eastAsia"/>
        </w:rPr>
      </w:pPr>
      <w:r>
        <w:rPr>
          <w:rFonts w:hint="eastAsia"/>
        </w:rPr>
        <w:t>23.</w:t>
      </w:r>
      <w:r>
        <w:rPr>
          <w:rFonts w:hint="eastAsia"/>
        </w:rPr>
        <w:tab/>
        <w:t>根据报告，称为“避孕、性欲、脆弱性”的方案是要改善那些处境脆弱的妇女和具移民背景的妇女对避孕信息的获取。这一方案在三年初始期（2003至2005年）之后产生了什么影响？</w:t>
      </w:r>
    </w:p>
    <w:p w:rsidR="00CD487C" w:rsidRDefault="00CD487C" w:rsidP="00CD487C">
      <w:pPr>
        <w:pStyle w:val="SingleTxt"/>
        <w:rPr>
          <w:rFonts w:hint="eastAsia"/>
        </w:rPr>
      </w:pPr>
      <w:r>
        <w:rPr>
          <w:rFonts w:hint="eastAsia"/>
        </w:rPr>
        <w:t>24.</w:t>
      </w:r>
      <w:r>
        <w:rPr>
          <w:rFonts w:hint="eastAsia"/>
        </w:rPr>
        <w:tab/>
        <w:t>根据报告，移民妇女或父母为移民的妇女的失业率为20.2％，差不多为非移民妇女的两倍。采取了什么措施来创造和增加移民妇女的经济机会，这些措施的影响为何？除语言课程外，在各种经济部门给予非公民妇女什么训练机会？</w:t>
      </w:r>
    </w:p>
    <w:p w:rsidR="00CD487C" w:rsidRDefault="00CD487C" w:rsidP="00CD487C">
      <w:pPr>
        <w:pStyle w:val="SingleTxt"/>
        <w:rPr>
          <w:rFonts w:hint="eastAsia"/>
        </w:rPr>
      </w:pPr>
      <w:r>
        <w:rPr>
          <w:rFonts w:hint="eastAsia"/>
        </w:rPr>
        <w:t>25.</w:t>
      </w:r>
      <w:r>
        <w:rPr>
          <w:rFonts w:hint="eastAsia"/>
        </w:rPr>
        <w:tab/>
        <w:t>总统2006年1月的讲话强调支持各政党承诺容纳“移民所生的男女在地方或全国选举中担任候选人”。这一讲话产生了什么影响？为了回应这一讲话采取了什么行动来增加具有移民背景的妇女候选人？</w:t>
      </w:r>
    </w:p>
    <w:p w:rsidR="00CD487C" w:rsidRDefault="00CD487C" w:rsidP="00CD487C">
      <w:pPr>
        <w:pStyle w:val="SingleTxt"/>
        <w:rPr>
          <w:rFonts w:hint="eastAsia"/>
        </w:rPr>
      </w:pPr>
      <w:r>
        <w:rPr>
          <w:rFonts w:hint="eastAsia"/>
        </w:rPr>
        <w:t>26.</w:t>
      </w:r>
      <w:r>
        <w:rPr>
          <w:rFonts w:hint="eastAsia"/>
        </w:rPr>
        <w:tab/>
        <w:t>请提供资料，说明旨在加强预防和制止婚姻暴力（包括逼婚）的法案的状况和专门针对移民妇女的措施的情况。如何向移民妇女宣传立法？请提供资料，如有的话，请包括统计数据，说明法国逼婚事件的情况。</w:t>
      </w:r>
    </w:p>
    <w:p w:rsidR="00CD487C" w:rsidRDefault="00CD487C" w:rsidP="00CD487C">
      <w:pPr>
        <w:pStyle w:val="SingleTxt"/>
        <w:rPr>
          <w:rFonts w:hint="eastAsia"/>
        </w:rPr>
      </w:pPr>
      <w:r>
        <w:rPr>
          <w:rFonts w:hint="eastAsia"/>
        </w:rPr>
        <w:t>27.</w:t>
      </w:r>
      <w:r>
        <w:rPr>
          <w:rFonts w:hint="eastAsia"/>
        </w:rPr>
        <w:tab/>
        <w:t>委员会在以前的结论意见中表示关切福利体制结构可能对老年妇女的不利影响大于老年男子（A/58/38，第263段）。如以前的结论意见所建议，有没有对此问题进行研究？为了充分照顾老年妇女的健康、经济和情绪状况以及避免贫穷和孤独，采取了什么措施？</w:t>
      </w:r>
    </w:p>
    <w:p w:rsidR="00CD487C" w:rsidRPr="00CE3A21" w:rsidRDefault="007D6C47" w:rsidP="00CD487C">
      <w:pPr>
        <w:pStyle w:val="SingleTxt"/>
        <w:rPr>
          <w:rFonts w:ascii="SimHei" w:eastAsia="SimHei" w:hint="eastAsia"/>
          <w:color w:val="FF0000"/>
        </w:rPr>
      </w:pPr>
      <w:r>
        <w:rPr>
          <w:rFonts w:ascii="SimHei" w:eastAsia="SimHei"/>
          <w:color w:val="FF0000"/>
        </w:rPr>
        <w:br w:type="page"/>
      </w:r>
      <w:r w:rsidR="00CD487C" w:rsidRPr="00CE3A21">
        <w:rPr>
          <w:rFonts w:ascii="SimHei" w:eastAsia="SimHei" w:hint="eastAsia"/>
          <w:color w:val="FF0000"/>
        </w:rPr>
        <w:t>婚姻和家庭生活</w:t>
      </w:r>
    </w:p>
    <w:p w:rsidR="00CD487C" w:rsidRDefault="00CD487C" w:rsidP="00CD487C">
      <w:pPr>
        <w:pStyle w:val="SingleTxt"/>
        <w:rPr>
          <w:rFonts w:hint="eastAsia"/>
        </w:rPr>
      </w:pPr>
      <w:r>
        <w:rPr>
          <w:rFonts w:hint="eastAsia"/>
        </w:rPr>
        <w:t>28.</w:t>
      </w:r>
      <w:r>
        <w:rPr>
          <w:rFonts w:hint="eastAsia"/>
        </w:rPr>
        <w:tab/>
        <w:t>根据报告，对民法典所作的修改，根据《公约》第十六条第2款将男女青年的法定结婚年龄一律定为18岁，该修改已经列入关于夫妇间暴力的法律草案中。请提供这一法律的最新状况。</w:t>
      </w:r>
    </w:p>
    <w:p w:rsidR="00CD487C" w:rsidRDefault="00CD487C" w:rsidP="00CD487C">
      <w:pPr>
        <w:pStyle w:val="SingleTxt"/>
        <w:rPr>
          <w:rFonts w:hint="eastAsia"/>
        </w:rPr>
      </w:pPr>
      <w:r>
        <w:rPr>
          <w:rFonts w:hint="eastAsia"/>
        </w:rPr>
        <w:t>29.</w:t>
      </w:r>
      <w:r>
        <w:rPr>
          <w:rFonts w:hint="eastAsia"/>
        </w:rPr>
        <w:tab/>
        <w:t>根据报告，2003年7月21日的《海外财务法》（经2004年5月26日《离婚法》补充）在马约特岛禁止一夫多妻制、单方面休妻和子女之间在遗产问题上基于性别或婚生</w:t>
      </w:r>
      <w:r w:rsidR="007D6C47">
        <w:rPr>
          <w:rFonts w:hint="eastAsia"/>
        </w:rPr>
        <w:t>/</w:t>
      </w:r>
      <w:r>
        <w:rPr>
          <w:rFonts w:hint="eastAsia"/>
        </w:rPr>
        <w:t>私生特征的歧视现象。采取了什么机制来监测这些新法律的遵守情况？</w:t>
      </w:r>
    </w:p>
    <w:p w:rsidR="00CD487C" w:rsidRPr="00CE3A21" w:rsidRDefault="00CD487C" w:rsidP="00CD487C">
      <w:pPr>
        <w:pStyle w:val="SingleTxt"/>
        <w:rPr>
          <w:rFonts w:ascii="SimHei" w:eastAsia="SimHei" w:hint="eastAsia"/>
          <w:color w:val="FF0000"/>
        </w:rPr>
      </w:pPr>
      <w:r w:rsidRPr="00CE3A21">
        <w:rPr>
          <w:rFonts w:ascii="SimHei" w:eastAsia="SimHei" w:hint="eastAsia"/>
          <w:color w:val="FF0000"/>
        </w:rPr>
        <w:t>任择议定书</w:t>
      </w:r>
    </w:p>
    <w:p w:rsidR="00CD487C" w:rsidRDefault="00CD487C" w:rsidP="00CD487C">
      <w:pPr>
        <w:pStyle w:val="SingleTxt"/>
        <w:rPr>
          <w:rFonts w:hint="eastAsia"/>
        </w:rPr>
      </w:pPr>
      <w:r>
        <w:rPr>
          <w:rFonts w:hint="eastAsia"/>
        </w:rPr>
        <w:t>30.</w:t>
      </w:r>
      <w:r>
        <w:rPr>
          <w:rFonts w:hint="eastAsia"/>
        </w:rPr>
        <w:tab/>
        <w:t>请提供资料，说明采取了什么措施使人们广泛知悉法国（包括海外领土）于2000年6月9日批准的《公约任择议定书》。</w:t>
      </w:r>
    </w:p>
    <w:p w:rsidR="00CD487C" w:rsidRPr="00CE3A21" w:rsidRDefault="00CE3A21" w:rsidP="00CE3A21">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CD487C" w:rsidRPr="00CE3A21" w:rsidSect="00CB1B89">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7T14:47:00Z" w:initials="Start">
    <w:p w:rsidR="00195A55" w:rsidRDefault="00195A5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NO&gt;&gt;N0749603C&lt;&lt;ODS JOB NO&gt;&gt;</w:t>
      </w:r>
    </w:p>
    <w:p w:rsidR="00195A55" w:rsidRDefault="00195A55">
      <w:pPr>
        <w:pStyle w:val="CommentText"/>
      </w:pPr>
      <w:r>
        <w:t>&lt;&lt;ODS DOC SYMBOL1&gt;&gt;CEDAW/C/FRA/Q/6&lt;&lt;ODS DOC SYMBOL1&gt;&gt;</w:t>
      </w:r>
    </w:p>
    <w:p w:rsidR="00195A55" w:rsidRDefault="00195A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BD4" w:rsidRDefault="00837BD4">
      <w:r>
        <w:separator/>
      </w:r>
    </w:p>
  </w:endnote>
  <w:endnote w:type="continuationSeparator" w:id="0">
    <w:p w:rsidR="00837BD4" w:rsidRDefault="00837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5A55" w:rsidTr="00CB1B89">
      <w:tblPrEx>
        <w:tblCellMar>
          <w:top w:w="0" w:type="dxa"/>
          <w:bottom w:w="0" w:type="dxa"/>
        </w:tblCellMar>
      </w:tblPrEx>
      <w:tc>
        <w:tcPr>
          <w:tcW w:w="5033" w:type="dxa"/>
          <w:shd w:val="clear" w:color="auto" w:fill="auto"/>
        </w:tcPr>
        <w:p w:rsidR="00195A55" w:rsidRPr="00CB1B89" w:rsidRDefault="00195A55" w:rsidP="00CB1B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07-49603</w:t>
          </w:r>
          <w:r>
            <w:rPr>
              <w:b w:val="0"/>
              <w:w w:val="103"/>
              <w:sz w:val="14"/>
            </w:rPr>
            <w:fldChar w:fldCharType="end"/>
          </w:r>
        </w:p>
      </w:tc>
      <w:tc>
        <w:tcPr>
          <w:tcW w:w="5033" w:type="dxa"/>
          <w:shd w:val="clear" w:color="auto" w:fill="auto"/>
        </w:tcPr>
        <w:p w:rsidR="00195A55" w:rsidRPr="00CB1B89" w:rsidRDefault="00195A55" w:rsidP="00CB1B89">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2</w:t>
          </w:r>
          <w:r>
            <w:rPr>
              <w:w w:val="103"/>
              <w:sz w:val="17"/>
            </w:rPr>
            <w:fldChar w:fldCharType="end"/>
          </w:r>
        </w:p>
      </w:tc>
    </w:tr>
  </w:tbl>
  <w:p w:rsidR="00195A55" w:rsidRPr="00CB1B89" w:rsidRDefault="00195A55" w:rsidP="00CB1B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5A55" w:rsidTr="00CB1B89">
      <w:tblPrEx>
        <w:tblCellMar>
          <w:top w:w="0" w:type="dxa"/>
          <w:bottom w:w="0" w:type="dxa"/>
        </w:tblCellMar>
      </w:tblPrEx>
      <w:tc>
        <w:tcPr>
          <w:tcW w:w="5033" w:type="dxa"/>
          <w:shd w:val="clear" w:color="auto" w:fill="auto"/>
        </w:tcPr>
        <w:p w:rsidR="00195A55" w:rsidRPr="00CB1B89" w:rsidRDefault="00195A55" w:rsidP="00CB1B89">
          <w:pPr>
            <w:pStyle w:val="Footer"/>
            <w:jc w:val="right"/>
          </w:pPr>
          <w:r>
            <w:fldChar w:fldCharType="begin"/>
          </w:r>
          <w:r>
            <w:instrText xml:space="preserve"> PAGE  \* MERGEFORMAT </w:instrText>
          </w:r>
          <w:r>
            <w:fldChar w:fldCharType="separate"/>
          </w:r>
          <w:r>
            <w:t>5</w:t>
          </w:r>
          <w:r>
            <w:fldChar w:fldCharType="end"/>
          </w:r>
        </w:p>
      </w:tc>
      <w:tc>
        <w:tcPr>
          <w:tcW w:w="5033" w:type="dxa"/>
          <w:shd w:val="clear" w:color="auto" w:fill="auto"/>
        </w:tcPr>
        <w:p w:rsidR="00195A55" w:rsidRPr="00CB1B89" w:rsidRDefault="00195A55" w:rsidP="00CB1B89">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07-49603</w:t>
          </w:r>
          <w:r>
            <w:rPr>
              <w:b w:val="0"/>
              <w:w w:val="103"/>
              <w:sz w:val="14"/>
            </w:rPr>
            <w:fldChar w:fldCharType="end"/>
          </w:r>
        </w:p>
      </w:tc>
    </w:tr>
  </w:tbl>
  <w:p w:rsidR="00195A55" w:rsidRPr="00CB1B89" w:rsidRDefault="00195A55" w:rsidP="00CB1B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A55" w:rsidRDefault="00195A55" w:rsidP="00CB1B89">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07-49603 (C)</w:t>
    </w:r>
    <w:r>
      <w:rPr>
        <w:b w:val="0"/>
        <w:sz w:val="21"/>
      </w:rPr>
      <w:fldChar w:fldCharType="end"/>
    </w:r>
    <w:r>
      <w:rPr>
        <w:b w:val="0"/>
        <w:sz w:val="21"/>
      </w:rPr>
      <w:t xml:space="preserve">    1</w:t>
    </w:r>
    <w:r>
      <w:rPr>
        <w:rFonts w:hint="eastAsia"/>
        <w:b w:val="0"/>
        <w:sz w:val="21"/>
      </w:rPr>
      <w:t>4</w:t>
    </w:r>
    <w:r>
      <w:rPr>
        <w:b w:val="0"/>
        <w:sz w:val="21"/>
      </w:rPr>
      <w:t xml:space="preserve">0907    </w:t>
    </w:r>
    <w:r>
      <w:rPr>
        <w:rFonts w:hint="eastAsia"/>
        <w:b w:val="0"/>
        <w:sz w:val="21"/>
      </w:rPr>
      <w:t>18</w:t>
    </w:r>
    <w:r>
      <w:rPr>
        <w:b w:val="0"/>
        <w:sz w:val="21"/>
      </w:rPr>
      <w:t>0907</w:t>
    </w:r>
  </w:p>
  <w:p w:rsidR="00195A55" w:rsidRPr="00CB1B89" w:rsidRDefault="00195A55" w:rsidP="00CB1B89">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*0749603*</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BD4" w:rsidRDefault="00837BD4">
      <w:r>
        <w:separator/>
      </w:r>
    </w:p>
  </w:footnote>
  <w:footnote w:type="continuationSeparator" w:id="0">
    <w:p w:rsidR="00837BD4" w:rsidRDefault="00837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5A55" w:rsidTr="00CB1B89">
      <w:tblPrEx>
        <w:tblCellMar>
          <w:top w:w="0" w:type="dxa"/>
          <w:bottom w:w="0" w:type="dxa"/>
        </w:tblCellMar>
      </w:tblPrEx>
      <w:trPr>
        <w:trHeight w:hRule="exact" w:val="864"/>
      </w:trPr>
      <w:tc>
        <w:tcPr>
          <w:tcW w:w="4838" w:type="dxa"/>
          <w:shd w:val="clear" w:color="auto" w:fill="auto"/>
          <w:vAlign w:val="bottom"/>
        </w:tcPr>
        <w:p w:rsidR="00195A55" w:rsidRPr="00CB1B89" w:rsidRDefault="00195A55" w:rsidP="00CB1B8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CEDAW/C/FRA/Q/6</w:t>
          </w:r>
          <w:r>
            <w:rPr>
              <w:b/>
              <w:sz w:val="17"/>
            </w:rPr>
            <w:fldChar w:fldCharType="end"/>
          </w:r>
        </w:p>
      </w:tc>
      <w:tc>
        <w:tcPr>
          <w:tcW w:w="5033" w:type="dxa"/>
          <w:shd w:val="clear" w:color="auto" w:fill="auto"/>
          <w:vAlign w:val="bottom"/>
        </w:tcPr>
        <w:p w:rsidR="00195A55" w:rsidRDefault="00195A55" w:rsidP="00CB1B89">
          <w:pPr>
            <w:pStyle w:val="Header"/>
          </w:pPr>
        </w:p>
      </w:tc>
    </w:tr>
  </w:tbl>
  <w:p w:rsidR="00195A55" w:rsidRPr="00CB1B89" w:rsidRDefault="00195A55" w:rsidP="00CB1B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5A55" w:rsidTr="00CB1B89">
      <w:tblPrEx>
        <w:tblCellMar>
          <w:top w:w="0" w:type="dxa"/>
          <w:bottom w:w="0" w:type="dxa"/>
        </w:tblCellMar>
      </w:tblPrEx>
      <w:trPr>
        <w:trHeight w:hRule="exact" w:val="864"/>
      </w:trPr>
      <w:tc>
        <w:tcPr>
          <w:tcW w:w="4838" w:type="dxa"/>
          <w:shd w:val="clear" w:color="auto" w:fill="auto"/>
          <w:vAlign w:val="bottom"/>
        </w:tcPr>
        <w:p w:rsidR="00195A55" w:rsidRDefault="00195A55" w:rsidP="00CB1B89">
          <w:pPr>
            <w:pStyle w:val="Header"/>
          </w:pPr>
        </w:p>
      </w:tc>
      <w:tc>
        <w:tcPr>
          <w:tcW w:w="5033" w:type="dxa"/>
          <w:shd w:val="clear" w:color="auto" w:fill="auto"/>
          <w:vAlign w:val="bottom"/>
        </w:tcPr>
        <w:p w:rsidR="00195A55" w:rsidRPr="00CB1B89" w:rsidRDefault="00195A55" w:rsidP="00CB1B8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CEDAW/C/FRA/Q/6</w:t>
          </w:r>
          <w:r>
            <w:rPr>
              <w:b/>
              <w:sz w:val="17"/>
            </w:rPr>
            <w:fldChar w:fldCharType="end"/>
          </w:r>
        </w:p>
      </w:tc>
    </w:tr>
  </w:tbl>
  <w:p w:rsidR="00195A55" w:rsidRPr="00CB1B89" w:rsidRDefault="00195A55" w:rsidP="00CB1B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95A55" w:rsidTr="00CB1B8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95A55" w:rsidRDefault="00195A55" w:rsidP="00CB1B89">
          <w:pPr>
            <w:pStyle w:val="Header"/>
            <w:spacing w:after="120"/>
          </w:pPr>
        </w:p>
      </w:tc>
      <w:tc>
        <w:tcPr>
          <w:tcW w:w="1872" w:type="dxa"/>
          <w:tcBorders>
            <w:bottom w:val="single" w:sz="4" w:space="0" w:color="auto"/>
          </w:tcBorders>
          <w:shd w:val="clear" w:color="auto" w:fill="auto"/>
          <w:vAlign w:val="bottom"/>
        </w:tcPr>
        <w:p w:rsidR="00195A55" w:rsidRPr="00CB1B89" w:rsidRDefault="00195A55" w:rsidP="00CB1B8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95A55" w:rsidRDefault="00195A55" w:rsidP="00CB1B89">
          <w:pPr>
            <w:pStyle w:val="Header"/>
            <w:spacing w:after="120"/>
          </w:pPr>
        </w:p>
      </w:tc>
      <w:tc>
        <w:tcPr>
          <w:tcW w:w="6523" w:type="dxa"/>
          <w:gridSpan w:val="3"/>
          <w:tcBorders>
            <w:bottom w:val="single" w:sz="4" w:space="0" w:color="auto"/>
          </w:tcBorders>
          <w:shd w:val="clear" w:color="auto" w:fill="auto"/>
          <w:vAlign w:val="bottom"/>
        </w:tcPr>
        <w:p w:rsidR="00195A55" w:rsidRPr="00CB1B89" w:rsidRDefault="00195A55" w:rsidP="00CB1B89">
          <w:pPr>
            <w:spacing w:after="80" w:line="240" w:lineRule="auto"/>
            <w:jc w:val="right"/>
            <w:rPr>
              <w:rFonts w:ascii="Times New Roman"/>
              <w:position w:val="-4"/>
            </w:rPr>
          </w:pPr>
          <w:r>
            <w:rPr>
              <w:rFonts w:ascii="Times New Roman"/>
              <w:position w:val="-4"/>
              <w:sz w:val="40"/>
            </w:rPr>
            <w:t>CEDAW</w:t>
          </w:r>
          <w:r>
            <w:rPr>
              <w:rFonts w:ascii="Times New Roman"/>
              <w:position w:val="-4"/>
            </w:rPr>
            <w:t>/C/FRA/Q/6</w:t>
          </w:r>
        </w:p>
      </w:tc>
    </w:tr>
    <w:tr w:rsidR="00195A55" w:rsidRPr="00CB1B89" w:rsidTr="00CB1B8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95A55" w:rsidRDefault="00195A55" w:rsidP="00CB1B8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5A55" w:rsidRPr="00CB1B89" w:rsidRDefault="00195A55" w:rsidP="00CB1B89">
          <w:pPr>
            <w:pStyle w:val="Header"/>
            <w:spacing w:before="109"/>
            <w:ind w:left="-72"/>
          </w:pPr>
        </w:p>
      </w:tc>
      <w:tc>
        <w:tcPr>
          <w:tcW w:w="5227" w:type="dxa"/>
          <w:gridSpan w:val="3"/>
          <w:tcBorders>
            <w:top w:val="single" w:sz="4" w:space="0" w:color="auto"/>
            <w:bottom w:val="single" w:sz="12" w:space="0" w:color="auto"/>
          </w:tcBorders>
          <w:shd w:val="clear" w:color="auto" w:fill="auto"/>
        </w:tcPr>
        <w:p w:rsidR="00195A55" w:rsidRPr="00CB1B89" w:rsidRDefault="00195A55" w:rsidP="00CB1B8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95A55" w:rsidRPr="00CB1B89" w:rsidRDefault="00195A55" w:rsidP="00CB1B89">
          <w:pPr>
            <w:pStyle w:val="Header"/>
            <w:spacing w:before="109"/>
          </w:pPr>
        </w:p>
      </w:tc>
      <w:tc>
        <w:tcPr>
          <w:tcW w:w="3180" w:type="dxa"/>
          <w:gridSpan w:val="2"/>
          <w:tcBorders>
            <w:top w:val="single" w:sz="4" w:space="0" w:color="auto"/>
            <w:bottom w:val="single" w:sz="12" w:space="0" w:color="auto"/>
          </w:tcBorders>
          <w:shd w:val="clear" w:color="auto" w:fill="auto"/>
        </w:tcPr>
        <w:p w:rsidR="00195A55" w:rsidRDefault="00195A55" w:rsidP="00CB1B89">
          <w:pPr>
            <w:spacing w:before="240" w:line="240" w:lineRule="exact"/>
            <w:rPr>
              <w:rFonts w:ascii="Times New Roman"/>
            </w:rPr>
          </w:pPr>
          <w:r>
            <w:rPr>
              <w:rFonts w:ascii="Times New Roman"/>
            </w:rPr>
            <w:t>Distr.: General</w:t>
          </w:r>
        </w:p>
        <w:p w:rsidR="00195A55" w:rsidRDefault="00195A55" w:rsidP="00CB1B89">
          <w:pPr>
            <w:spacing w:line="240" w:lineRule="exact"/>
            <w:rPr>
              <w:rFonts w:ascii="Times New Roman"/>
            </w:rPr>
          </w:pPr>
          <w:r>
            <w:rPr>
              <w:rFonts w:ascii="Times New Roman"/>
            </w:rPr>
            <w:t>4 September 2007</w:t>
          </w:r>
        </w:p>
        <w:p w:rsidR="00195A55" w:rsidRDefault="00195A55" w:rsidP="00CB1B89">
          <w:pPr>
            <w:spacing w:line="240" w:lineRule="exact"/>
            <w:rPr>
              <w:rFonts w:ascii="Times New Roman"/>
            </w:rPr>
          </w:pPr>
          <w:r>
            <w:rPr>
              <w:rFonts w:ascii="Times New Roman"/>
            </w:rPr>
            <w:t>Chinese</w:t>
          </w:r>
        </w:p>
        <w:p w:rsidR="00195A55" w:rsidRPr="00CB1B89" w:rsidRDefault="00195A55" w:rsidP="00CB1B89">
          <w:pPr>
            <w:spacing w:line="240" w:lineRule="exact"/>
            <w:rPr>
              <w:rFonts w:ascii="Times New Roman"/>
            </w:rPr>
          </w:pPr>
          <w:r>
            <w:rPr>
              <w:rFonts w:ascii="Times New Roman"/>
            </w:rPr>
            <w:t>Original: English</w:t>
          </w:r>
        </w:p>
      </w:tc>
    </w:tr>
  </w:tbl>
  <w:p w:rsidR="00195A55" w:rsidRPr="00CB1B89" w:rsidRDefault="00195A55" w:rsidP="00CB1B8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9603*"/>
    <w:docVar w:name="CreationDt" w:val="17/09/2007 14:33:23"/>
    <w:docVar w:name="DocCategory" w:val="Doc"/>
    <w:docVar w:name="DocType" w:val="Final"/>
    <w:docVar w:name="FooterJN" w:val="07-49603"/>
    <w:docVar w:name="jobn" w:val="07-49603 (C)"/>
    <w:docVar w:name="jobnDT" w:val="07-49603 (C)   170907"/>
    <w:docVar w:name="jobnDTDT" w:val="07-49603 (C)   170907   170907"/>
    <w:docVar w:name="JobNo" w:val="0749603C"/>
    <w:docVar w:name="OandT" w:val="wu"/>
    <w:docVar w:name="sss1" w:val="CEDAW/C/FRA/Q/6"/>
    <w:docVar w:name="sss2" w:val="-"/>
    <w:docVar w:name="Symbol1" w:val="CEDAW/C/FRA/Q/6"/>
    <w:docVar w:name="Symbol2" w:val="-"/>
  </w:docVars>
  <w:rsids>
    <w:rsidRoot w:val="00787CD9"/>
    <w:rsid w:val="0000458E"/>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37CBC"/>
    <w:rsid w:val="00141322"/>
    <w:rsid w:val="0015066B"/>
    <w:rsid w:val="00150D3A"/>
    <w:rsid w:val="00153D29"/>
    <w:rsid w:val="00161E69"/>
    <w:rsid w:val="00161F54"/>
    <w:rsid w:val="00170FBE"/>
    <w:rsid w:val="0017506F"/>
    <w:rsid w:val="00195A55"/>
    <w:rsid w:val="001960EE"/>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21A00"/>
    <w:rsid w:val="004411AD"/>
    <w:rsid w:val="004424EF"/>
    <w:rsid w:val="004433DC"/>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E79D6"/>
    <w:rsid w:val="005F12F0"/>
    <w:rsid w:val="005F3273"/>
    <w:rsid w:val="005F34A3"/>
    <w:rsid w:val="00610CF2"/>
    <w:rsid w:val="006479F1"/>
    <w:rsid w:val="00650BEE"/>
    <w:rsid w:val="006520FA"/>
    <w:rsid w:val="0065377D"/>
    <w:rsid w:val="00666F57"/>
    <w:rsid w:val="006740A7"/>
    <w:rsid w:val="00691524"/>
    <w:rsid w:val="006A654B"/>
    <w:rsid w:val="006E2924"/>
    <w:rsid w:val="006E7A26"/>
    <w:rsid w:val="006F2B3D"/>
    <w:rsid w:val="006F5585"/>
    <w:rsid w:val="007146A3"/>
    <w:rsid w:val="007319E0"/>
    <w:rsid w:val="00737B00"/>
    <w:rsid w:val="0075155C"/>
    <w:rsid w:val="00753A05"/>
    <w:rsid w:val="00757193"/>
    <w:rsid w:val="00761190"/>
    <w:rsid w:val="00776537"/>
    <w:rsid w:val="00783A25"/>
    <w:rsid w:val="007877F4"/>
    <w:rsid w:val="00787CD9"/>
    <w:rsid w:val="007D6C47"/>
    <w:rsid w:val="007E1B5E"/>
    <w:rsid w:val="007F2278"/>
    <w:rsid w:val="00805783"/>
    <w:rsid w:val="00806F57"/>
    <w:rsid w:val="00806F90"/>
    <w:rsid w:val="00824C19"/>
    <w:rsid w:val="008378D1"/>
    <w:rsid w:val="00837BD4"/>
    <w:rsid w:val="00846462"/>
    <w:rsid w:val="0086691F"/>
    <w:rsid w:val="00883DB0"/>
    <w:rsid w:val="00884C8F"/>
    <w:rsid w:val="00896D38"/>
    <w:rsid w:val="008B26DD"/>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0A13"/>
    <w:rsid w:val="00CB1B89"/>
    <w:rsid w:val="00CB2B1E"/>
    <w:rsid w:val="00CC3E8B"/>
    <w:rsid w:val="00CC4E84"/>
    <w:rsid w:val="00CD487C"/>
    <w:rsid w:val="00CD5641"/>
    <w:rsid w:val="00CE3A21"/>
    <w:rsid w:val="00CE64AC"/>
    <w:rsid w:val="00CF7718"/>
    <w:rsid w:val="00D177F1"/>
    <w:rsid w:val="00D323B5"/>
    <w:rsid w:val="00D42ACC"/>
    <w:rsid w:val="00D51DC5"/>
    <w:rsid w:val="00D676D7"/>
    <w:rsid w:val="00D71517"/>
    <w:rsid w:val="00D7168D"/>
    <w:rsid w:val="00D874E1"/>
    <w:rsid w:val="00D9586D"/>
    <w:rsid w:val="00DB068F"/>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567</Words>
  <Characters>3233</Characters>
  <Application>Microsoft Office Word</Application>
  <DocSecurity>4</DocSecurity>
  <Lines>26</Lines>
  <Paragraphs>7</Paragraphs>
  <ScaleCrop>false</ScaleCrop>
  <Company>United Nations</Company>
  <LinksUpToDate>false</LinksUpToDate>
  <CharactersWithSpaces>3793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Xinlu.Wu</dc:creator>
  <cp:keywords/>
  <dc:description/>
  <cp:lastModifiedBy>ctpu2</cp:lastModifiedBy>
  <cp:revision>25</cp:revision>
  <cp:lastPrinted>2007-09-18T09:03:00Z</cp:lastPrinted>
  <dcterms:created xsi:type="dcterms:W3CDTF">2007-09-17T13:32:00Z</dcterms:created>
  <dcterms:modified xsi:type="dcterms:W3CDTF">2007-09-18T09:03:00Z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0749603</vt:lpwstr>
  </property>
  <property fmtid="{D5CDD505-2E9C-101B-9397-08002B2CF9AE}" pid="3" name="Symbol1">
    <vt:lpwstr>CEDAW/C/FRA/Q/6</vt:lpwstr>
  </property>
  <property fmtid="{D5CDD505-2E9C-101B-9397-08002B2CF9AE}" pid="4" name="Symbol2">
    <vt:lpwstr/>
  </property>
  <property fmtid="{D5CDD505-2E9C-101B-9397-08002B2CF9AE}" pid="5" name="Translator">
    <vt:lpwstr/>
  </property>
  <property fmtid="{D5CDD505-2E9C-101B-9397-08002B2CF9AE}" pid="6" name="Operator">
    <vt:lpwstr>wu</vt:lpwstr>
  </property>
  <property fmtid="{D5CDD505-2E9C-101B-9397-08002B2CF9AE}" pid="7" name="DraftPages">
    <vt:lpwstr> </vt:lpwstr>
  </property>
  <property fmtid="{D5CDD505-2E9C-101B-9397-08002B2CF9AE}" pid="8" name="Comment">
    <vt:lpwstr/>
  </property>
</Properties>
</file>