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4D7E5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D7E58" w:rsidP="004D7E58">
            <w:pPr>
              <w:jc w:val="right"/>
            </w:pPr>
            <w:r w:rsidRPr="004D7E58">
              <w:rPr>
                <w:sz w:val="40"/>
              </w:rPr>
              <w:t>A</w:t>
            </w:r>
            <w:r>
              <w:t>/HRC/RES/24/29</w:t>
            </w:r>
          </w:p>
        </w:tc>
      </w:tr>
      <w:tr w:rsidR="002D5AAC" w:rsidTr="004D7E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D7E58" w:rsidRDefault="004D7E58" w:rsidP="00AB05F9">
            <w:pPr>
              <w:spacing w:before="240"/>
            </w:pPr>
            <w:r>
              <w:t>Distr. general</w:t>
            </w:r>
          </w:p>
          <w:p w:rsidR="004D7E58" w:rsidRDefault="004D7E58" w:rsidP="004D7E58">
            <w:pPr>
              <w:spacing w:line="240" w:lineRule="exact"/>
            </w:pPr>
            <w:r>
              <w:t>8 de octubre de 2013</w:t>
            </w:r>
          </w:p>
          <w:p w:rsidR="004D7E58" w:rsidRDefault="004D7E58" w:rsidP="004D7E58">
            <w:pPr>
              <w:spacing w:line="240" w:lineRule="exact"/>
            </w:pPr>
            <w:r>
              <w:t>Español</w:t>
            </w:r>
          </w:p>
          <w:p w:rsidR="002D5AAC" w:rsidRDefault="004D7E58" w:rsidP="004D7E58">
            <w:pPr>
              <w:spacing w:line="240" w:lineRule="exact"/>
            </w:pPr>
            <w:r>
              <w:t>Original: inglés</w:t>
            </w:r>
          </w:p>
        </w:tc>
      </w:tr>
    </w:tbl>
    <w:p w:rsidR="004D7E58" w:rsidRPr="004D7E58" w:rsidRDefault="004D7E58" w:rsidP="004D7E58">
      <w:pPr>
        <w:spacing w:before="120"/>
        <w:rPr>
          <w:b/>
          <w:sz w:val="24"/>
          <w:szCs w:val="24"/>
        </w:rPr>
      </w:pPr>
      <w:r w:rsidRPr="004D7E58">
        <w:rPr>
          <w:b/>
          <w:sz w:val="24"/>
          <w:szCs w:val="24"/>
        </w:rPr>
        <w:t>Consejo de Derechos Humanos</w:t>
      </w:r>
    </w:p>
    <w:p w:rsidR="004D7E58" w:rsidRPr="004D7E58" w:rsidRDefault="004D7E58" w:rsidP="004D7E58">
      <w:pPr>
        <w:rPr>
          <w:b/>
        </w:rPr>
      </w:pPr>
      <w:r w:rsidRPr="004D7E58">
        <w:rPr>
          <w:b/>
        </w:rPr>
        <w:t>24º período de sesiones</w:t>
      </w:r>
    </w:p>
    <w:p w:rsidR="004D7E58" w:rsidRPr="004D7E58" w:rsidRDefault="004D7E58" w:rsidP="004D7E58">
      <w:r w:rsidRPr="004D7E58">
        <w:t>Tema 10 de la agenda</w:t>
      </w:r>
    </w:p>
    <w:p w:rsidR="004D7E58" w:rsidRPr="004D7E58" w:rsidRDefault="004D7E58" w:rsidP="004D7E58">
      <w:pPr>
        <w:rPr>
          <w:b/>
        </w:rPr>
      </w:pPr>
      <w:r w:rsidRPr="004D7E58">
        <w:rPr>
          <w:b/>
        </w:rPr>
        <w:t>Asistencia técnica y fomento de la capacidad</w:t>
      </w:r>
    </w:p>
    <w:p w:rsidR="004D7E58" w:rsidRPr="004D7E58" w:rsidRDefault="004D7E58" w:rsidP="004D7E58">
      <w:pPr>
        <w:pStyle w:val="HChG"/>
      </w:pPr>
      <w:r w:rsidRPr="004D7E58">
        <w:tab/>
      </w:r>
      <w:r>
        <w:tab/>
      </w:r>
      <w:r w:rsidRPr="004D7E58">
        <w:t>Resolución aprobada por el Consejo de Derechos Humanos</w:t>
      </w:r>
      <w:r w:rsidRPr="0032657B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D7E58" w:rsidRPr="004D7E58" w:rsidRDefault="004D7E58" w:rsidP="007A4C7D">
      <w:pPr>
        <w:pStyle w:val="H1G"/>
        <w:ind w:left="1933" w:hanging="799"/>
      </w:pPr>
      <w:r>
        <w:t>24/29.</w:t>
      </w:r>
      <w:r>
        <w:tab/>
      </w:r>
      <w:r w:rsidRPr="004D7E58">
        <w:t>Servicios de ase</w:t>
      </w:r>
      <w:r w:rsidR="007D7810">
        <w:t>soramiento y asistencia técnica</w:t>
      </w:r>
      <w:r w:rsidR="00FE2DC4">
        <w:t xml:space="preserve"> </w:t>
      </w:r>
      <w:r w:rsidRPr="004D7E58">
        <w:t xml:space="preserve">para </w:t>
      </w:r>
      <w:r w:rsidR="00FE2DC4">
        <w:br/>
      </w:r>
      <w:r w:rsidRPr="004D7E58">
        <w:t>Camboya</w:t>
      </w:r>
    </w:p>
    <w:p w:rsidR="004D7E58" w:rsidRPr="004D7E58" w:rsidRDefault="004D7E58" w:rsidP="004D7E58">
      <w:pPr>
        <w:pStyle w:val="SingleTxtG"/>
      </w:pPr>
      <w:r>
        <w:rPr>
          <w:i/>
          <w:iCs/>
        </w:rPr>
        <w:tab/>
      </w:r>
      <w:r w:rsidRPr="004D7E58">
        <w:rPr>
          <w:i/>
          <w:iCs/>
        </w:rPr>
        <w:t>El Consejo de Derechos Humanos</w:t>
      </w:r>
      <w:r w:rsidRPr="004D7E58">
        <w:rPr>
          <w:iCs/>
        </w:rPr>
        <w:t>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Reafirmando </w:t>
      </w:r>
      <w:r w:rsidRPr="004D7E58">
        <w:t>que todos los Estados Miembros tienen la obligación de promover y proteger los derechos humanos y las libertades fundamentales consagrados en la Carta de las Naciones Unidas y reafirmados en la Declaración Universal de Derechos Humanos, y de conformidad con las obligaciones que les imponen los Pactos internacionales de derechos humanos y otros instrumentos de derechos humanos aplicables,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Recordando </w:t>
      </w:r>
      <w:r w:rsidRPr="004D7E58">
        <w:t>la resolución 60/251 de la Asamblea General, de 15 de marzo de 2006,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Recordando también </w:t>
      </w:r>
      <w:r w:rsidRPr="004D7E58">
        <w:t>las resoluciones del Consejo 5/1 y 5/2, de 18 de junio de 2007, y destacando que los titulares de mandatos deberán desempeñar sus funciones de conformidad con lo dispuesto en dichas resoluciones y en sus anexos,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Recordando además </w:t>
      </w:r>
      <w:r w:rsidRPr="004D7E58">
        <w:t>la resolución 18/25 del Consejo, de 30 de septiembre de 2011, y otras resoluciones pertinentes,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Teniendo presente </w:t>
      </w:r>
      <w:r w:rsidRPr="004D7E58">
        <w:t>el informe del Secretario General sobre la función y los logros de la Oficina del Alto Comisionado de las Naciones Unidas para los Derechos Humanos en la prestación de asistencia al Gobierno y al pueblo de Camboya para la promoción y la protección de los derechos humanos</w:t>
      </w:r>
      <w:r w:rsidRPr="00C830AE">
        <w:rPr>
          <w:rStyle w:val="FootnoteReference"/>
        </w:rPr>
        <w:footnoteReference w:id="2"/>
      </w:r>
      <w:r w:rsidR="0032657B">
        <w:t>,</w:t>
      </w:r>
    </w:p>
    <w:p w:rsidR="004D7E58" w:rsidRPr="004D7E58" w:rsidRDefault="004D7E58" w:rsidP="004D7E58">
      <w:pPr>
        <w:pStyle w:val="SingleTxtG"/>
      </w:pPr>
      <w:r>
        <w:rPr>
          <w:i/>
        </w:rPr>
        <w:tab/>
      </w:r>
      <w:r w:rsidRPr="004D7E58">
        <w:rPr>
          <w:i/>
        </w:rPr>
        <w:t xml:space="preserve">Reconociendo </w:t>
      </w:r>
      <w:r w:rsidRPr="004D7E58">
        <w:t>que la trágica historia de Camboya exige la adopción de medidas especiales para asegurar la protección de los derechos humanos e impedir que se vuelva a las políticas y prácticas del pasado, conforme a lo estipulado en el Acuerdo sobre un arreglo político amplio del conflicto de Camboya, firmado en París el 23 de octubre de 1991,</w:t>
      </w:r>
    </w:p>
    <w:p w:rsidR="004D7E58" w:rsidRPr="004D7E58" w:rsidRDefault="0032657B" w:rsidP="004D7E58">
      <w:pPr>
        <w:pStyle w:val="SingleTxtG"/>
      </w:pPr>
      <w:r>
        <w:rPr>
          <w:i/>
        </w:rPr>
        <w:tab/>
      </w:r>
      <w:r w:rsidR="004D7E58" w:rsidRPr="004D7E58">
        <w:rPr>
          <w:i/>
        </w:rPr>
        <w:t xml:space="preserve">Tomando nota </w:t>
      </w:r>
      <w:r w:rsidR="004D7E58" w:rsidRPr="004D7E58">
        <w:t>de los acontecimientos ocurridos recientemente en Camboya, en particular los que se relacionan con los esfuerzos y los avances realizados por el Gobierno de Camboya en materia de promoción y protección de los derechos humanos, especialmente los logros y mejoras obtenidos en los últimos años en las esferas social, económica, política y cultural mediante los planes, estrategias y marcos nacionales pertinentes,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1.</w:t>
      </w:r>
      <w:r w:rsidR="004D7E58" w:rsidRPr="004D7E58">
        <w:tab/>
      </w:r>
      <w:r w:rsidR="004D7E58" w:rsidRPr="004D7E58">
        <w:rPr>
          <w:i/>
        </w:rPr>
        <w:t xml:space="preserve">Reafirma </w:t>
      </w:r>
      <w:r w:rsidR="004D7E58" w:rsidRPr="004D7E58">
        <w:t>la importancia de las salas especiales de los tribunales de Camboya en su carácter de órganos independientes e imparciales, y cree que su labor contribuirá sensiblemente a erradicar la impunidad y establecer el estado de derecho, entre otras cosas por la posibilidad de que sirvan de tribunales modelo en Camboya;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2.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los progresos logrados por las salas especiales, entre ellos la sentencia dictada en la causa Nº 001 contra Kaing Guek Eav el 3 de febrero de 2012 y la conclusión del juicio oral en la causa Nº 002/01 el 23 de julio de 2013, y apoya la posición del Gobierno de Camboya y de las Naciones Unidas de llevar adelante las actividades del tribunal de manera justa, eficiente y rápida, habida cuenta de la avanzada edad y delicada salud de los acusados y de lo mucho que se ha tardado en hacer justicia en el caso del pueblo de Camboya;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3.</w:t>
      </w:r>
      <w:r w:rsidR="004D7E58" w:rsidRPr="004D7E58">
        <w:tab/>
      </w:r>
      <w:r w:rsidR="004D7E58" w:rsidRPr="004D7E58">
        <w:rPr>
          <w:i/>
        </w:rPr>
        <w:t xml:space="preserve">Expresa gran preocupación </w:t>
      </w:r>
      <w:r w:rsidR="004D7E58" w:rsidRPr="004D7E58">
        <w:t>por la situación financiera de las salas especiales, insta al Gobierno de Camboya a que colabore con las Naciones Unidas y los Estados que prestan asistencia para asegurar los más altos niveles de administración de las salas especiales, y destaca la necesidad de que el Gobierno y la comunidad internacional presten toda la asistencia apropiada a las salas especiales;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4.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la positiva participación del Gobierno de Camboya en el proceso del examen periódico universal, así como su aceptación de todas las recomendaciones formuladas en el examen y los progresos realizados hasta la fecha en su aplicación;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5.</w:t>
      </w:r>
      <w:r w:rsidR="004D7E58" w:rsidRPr="004D7E58">
        <w:tab/>
      </w:r>
      <w:r w:rsidR="004D7E58" w:rsidRPr="004D7E58">
        <w:rPr>
          <w:i/>
        </w:rPr>
        <w:t xml:space="preserve">Acoge con beneplácito también </w:t>
      </w:r>
      <w:r w:rsidR="004D7E58" w:rsidRPr="004D7E58">
        <w:t>los informes del Relator Especial sobre la situación de los derechos humanos en Camboya</w:t>
      </w:r>
      <w:r w:rsidR="004D7E58" w:rsidRPr="00C830AE">
        <w:rPr>
          <w:rStyle w:val="FootnoteReference"/>
        </w:rPr>
        <w:footnoteReference w:id="3"/>
      </w:r>
      <w:r w:rsidR="004D7E58" w:rsidRPr="004D7E58">
        <w:t xml:space="preserve"> y las recomendaciones que figuran en ellos, y toma nota de la necesidad de mantener consultas estrechas y respetuosas entre el Gobierno de Camboya y el Relator Especial para seguir mejorando la situación de los derechos humanos en el país y para proseguir la cooperación técnica entre la Oficina del Alto Comisionado de las Naciones Unidas para los Derechos Humanos y el Gobierno;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6.</w:t>
      </w:r>
      <w:r w:rsidR="004D7E58" w:rsidRPr="004D7E58">
        <w:tab/>
      </w:r>
      <w:r w:rsidR="004D7E58" w:rsidRPr="004D7E58">
        <w:rPr>
          <w:i/>
        </w:rPr>
        <w:t xml:space="preserve">Reafirma </w:t>
      </w:r>
      <w:r w:rsidR="004D7E58" w:rsidRPr="004D7E58">
        <w:t>la necesidad de que el Gobierno de Camboya redoble sus esfuerzos por consolidar el estado de derecho, por ejemplo mediante la promulgación y posterior aplicación de las leyes y los códigos esenciales para el establecimiento de una sociedad democrática;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7.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los esfuerzos desplegados y los progresos logrados por el Gobierno de Camboya para promover una reforma legal bajo la dirección del Consejo de Reforma Legal y Judicial, incluida la promulgación o aplicación de leyes fundamentales como el Código de Procedimiento Civil, el Código Civil, el Código de Procedimiento Penal y el Código Penal;</w:t>
      </w:r>
    </w:p>
    <w:p w:rsidR="004D7E58" w:rsidRPr="004D7E58" w:rsidRDefault="00724529" w:rsidP="004D7E58">
      <w:pPr>
        <w:pStyle w:val="SingleTxtG"/>
      </w:pPr>
      <w:r>
        <w:tab/>
      </w:r>
      <w:r w:rsidR="004D7E58" w:rsidRPr="004D7E58">
        <w:t>8.</w:t>
      </w:r>
      <w:r w:rsidR="004D7E58" w:rsidRPr="004D7E58">
        <w:tab/>
      </w:r>
      <w:r w:rsidR="004D7E58" w:rsidRPr="004D7E58">
        <w:rPr>
          <w:i/>
        </w:rPr>
        <w:t xml:space="preserve">Alienta </w:t>
      </w:r>
      <w:r w:rsidR="004D7E58" w:rsidRPr="004D7E58">
        <w:t>al Gobierno de Camboya a presentar a la Asamblea Nacional tres proyectos de leyes fundamentales, a saber, el proyecto de ley sobre el estatuto de los jueces y fiscales, el proyecto de ley sobre la organización y el funcionamiento de los tribunales y el proyecto de enmienda a la Ley de organización y funcionamiento del Consejo Superior de la Magistratura, e insta al Gobierno a que continúe con su reforma judicial, empezando por la rápida adopción y aplicación de esas tres leyes fundamentales con el fin de asegurar la independencia, la imparcialidad, la transparencia y la eficacia del sistema judicial, así como la transferencia de los conocimientos del personal judicial de las salas especiales y el intercambio de buenas prácticas en el tribunal;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9.</w:t>
      </w:r>
      <w:r w:rsidR="004D7E58" w:rsidRPr="004D7E58">
        <w:tab/>
      </w:r>
      <w:r w:rsidR="004D7E58" w:rsidRPr="004D7E58">
        <w:rPr>
          <w:i/>
        </w:rPr>
        <w:t xml:space="preserve">Destaca </w:t>
      </w:r>
      <w:r w:rsidR="004D7E58" w:rsidRPr="004D7E58">
        <w:t>la necesidad de que el Gobierno de Camboya siga intensificando sus esfuerzos para investigar con urgencia y someter a juicio, con las debidas garantías procesales y en cumplimiento de las obligaciones que tiene en virtud de los tratados internacionales de derechos humanos, a todos los que hayan perpetrado delitos graves, en particular violaciones de los derechos humanos;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10.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los esfuerzos del Gobierno de Camboya por combatir la corrupción, como la aplicación del Código Penal y de la legislación anticorrupción, así como las actividades de la Dependencia de Lucha contra la Corrupción, y alienta al Gobierno a proseguir dichos esfuerzos;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11.</w:t>
      </w:r>
      <w:r w:rsidR="004D7E58" w:rsidRPr="004D7E58">
        <w:tab/>
      </w:r>
      <w:r w:rsidR="004D7E58" w:rsidRPr="004D7E58">
        <w:rPr>
          <w:i/>
        </w:rPr>
        <w:t xml:space="preserve">Acoge con beneplácito también </w:t>
      </w:r>
      <w:r w:rsidR="004D7E58" w:rsidRPr="004D7E58">
        <w:t>los esfuerzos realizados por el Gobierno de Camboya para luchar contra delitos como la trata de personas, la explotación laboral y la explotación sexual de mujeres y niños, e insta al Gobierno a que redoble sus esfuerzos en ese sentido, de acuerdo con la comunidad internacional, para combatir los principales problemas pendientes en esa materia;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12.</w:t>
      </w:r>
      <w:r w:rsidR="004D7E58" w:rsidRPr="004D7E58">
        <w:tab/>
      </w:r>
      <w:r w:rsidR="004D7E58" w:rsidRPr="004D7E58">
        <w:rPr>
          <w:i/>
        </w:rPr>
        <w:t xml:space="preserve">Toma nota con preocupación </w:t>
      </w:r>
      <w:r w:rsidR="004D7E58" w:rsidRPr="004D7E58">
        <w:t>de los últimos descubrimientos sobre la violencia de género en Camboya y alienta al Gobierno de Camboya a redoblar sus esfuerzos contra la violencia de género, entre otras cosas mediante la aplicación efectiva de las leyes y los reglamentos vigentes;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13.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los esfuerzos realizados por el Gobierno de Camboya para resolver las cuestiones relacionadas con la tierra, entre otras cosas mediante la aplicación de las leyes y los reglamentos pertinentes y la moratoria aplicada a las concesiones de tierras con fines económicos, expresa preocupación por los problemas pendientes en esta materia e insta al Gobierno a continuar y redoblar sus esfuerzos para resolverlos de manera equitativa, rápida, justa y transparente, tomando en consideración los derechos de las partes interesadas y las consecuencias reales para ellas, y de conformidad con las leyes y los reglamentos pertinentes, como la Ley del suelo de 2001, la Ley de expropiaciones, la Circular sobre la construcción de edificios temporales ilegales en las ciudades y zonas urbanas, y la Política nacional de vivienda, así como fortaleciendo la capacidad y la eficacia de las instituciones pertinentes, como la Dirección Nacional de Solución de Litigios de Tierras y los comités catastrales a nivel nacional, provincial y distrital;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14.</w:t>
      </w:r>
      <w:r w:rsidR="004D7E58" w:rsidRPr="004D7E58">
        <w:tab/>
      </w:r>
      <w:r w:rsidR="004D7E58" w:rsidRPr="004D7E58">
        <w:rPr>
          <w:i/>
        </w:rPr>
        <w:t xml:space="preserve">Acoge con beneplácito también </w:t>
      </w:r>
      <w:r w:rsidR="004D7E58" w:rsidRPr="004D7E58">
        <w:t>los compromisos asumidos y los progresos logrados por el Gobierno de Camboya para cumplir las obligaciones que le imponen los tratados y convenciones internacionales de derechos humanos en que es parte con respecto a su compromiso de establecer una institución nacional de derechos humanos y de velar por que se haga en consulta con las partes interesadas; sus esfuerzos para ratificar la Convención Internacional para la protección de todas las personas contra las desapariciones forzadas, en junio de 2013, y la Convención sobre los derechos de las personas con discapacidad, en diciembre de 2012; e insta al Gobierno a que siga tomando medidas para cumplir las obligaciones que le imponen los tratados y convenciones en que es parte y, con este fin, refuerce su cooperación con los organismos de las Naciones Unidas, incluida la Oficina del Alto Comisionado, reforzando el diálogo y realizando actividades conjuntas;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15.</w:t>
      </w:r>
      <w:r w:rsidR="004D7E58" w:rsidRPr="004D7E58">
        <w:tab/>
      </w:r>
      <w:r w:rsidR="004D7E58" w:rsidRPr="004D7E58">
        <w:rPr>
          <w:i/>
        </w:rPr>
        <w:t xml:space="preserve">Acoge con beneplácito además </w:t>
      </w:r>
      <w:r w:rsidR="004D7E58" w:rsidRPr="004D7E58">
        <w:t>los esfuerzos desplegados por el Comité Camboyano de Derechos Humanos, en particular para resolver las denuncias de particulares;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16.</w:t>
      </w:r>
      <w:r w:rsidR="004D7E58" w:rsidRPr="004D7E58">
        <w:tab/>
      </w:r>
      <w:r w:rsidR="004D7E58" w:rsidRPr="004D7E58">
        <w:rPr>
          <w:i/>
        </w:rPr>
        <w:t xml:space="preserve">Acoge con beneplácito </w:t>
      </w:r>
      <w:r w:rsidR="004D7E58" w:rsidRPr="004D7E58">
        <w:t>los esfuerzos realizados y los progresos logrados por el Gobierno de Camboya para promover una reforma encaminada a la descentralización y desconcentración, con objeto de lograr un desarrollo democrático fortaleciendo las instituciones subnacionales y comunitarias;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17.</w:t>
      </w:r>
      <w:r w:rsidR="004D7E58" w:rsidRPr="004D7E58">
        <w:tab/>
      </w:r>
      <w:r w:rsidR="004D7E58" w:rsidRPr="004D7E58">
        <w:rPr>
          <w:i/>
        </w:rPr>
        <w:t xml:space="preserve">Acoge con beneplácito también </w:t>
      </w:r>
      <w:r w:rsidR="004D7E58" w:rsidRPr="004D7E58">
        <w:t>el hecho de que las elecciones a la Asamblea Nacional del 28 de julio de 2013 se celebraran, en general, de forma fluida y pacífica, al tiempo que toma nota de las protestas postelectorales y del anuncio conjunto de reforma electoral realizado por el partido gobernante y la oposición el 16 de septiembre, e insta al Gobierno de Camboya a que haga esfuerzos adicionales y constantes para promover un entorno propicio a las actividades políticas legítimas de todos los partidos políticos, y a que haga más esfuerzos para mejorar su sistema electoral de conformidad con las normas internacionales, de manera que el proceso electoral en su conjunto sea satisfactorio y aceptable para todos los partidos interesados;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18.</w:t>
      </w:r>
      <w:r w:rsidR="004D7E58" w:rsidRPr="004D7E58">
        <w:tab/>
      </w:r>
      <w:r w:rsidR="004D7E58" w:rsidRPr="004D7E58">
        <w:rPr>
          <w:i/>
        </w:rPr>
        <w:t xml:space="preserve">Destaca </w:t>
      </w:r>
      <w:r w:rsidR="004D7E58" w:rsidRPr="004D7E58">
        <w:t>la necesidad de que el Gobierno de Camboya siga avanzando y esforzándose por promover un proceso pluralista y democrático en Camboya a través del debate parlamentario de acuerdo con la Constitución, y, para ello, alienta al Gobierno a trabajar con el poder legislativo para promover la independencia y eficacia de este último, entre otras cosas velando por la verdadera participación de los parlamentarios de los diversos partidos políticos en sus deliberaciones;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19.</w:t>
      </w:r>
      <w:r w:rsidR="004D7E58" w:rsidRPr="004D7E58">
        <w:tab/>
      </w:r>
      <w:r w:rsidR="004D7E58" w:rsidRPr="004D7E58">
        <w:rPr>
          <w:i/>
        </w:rPr>
        <w:t xml:space="preserve">Insta </w:t>
      </w:r>
      <w:r w:rsidR="004D7E58" w:rsidRPr="004D7E58">
        <w:t>al Gobierno de Camboya a tomar las medidas apropiadas para alentar a la sociedad civil y los medios de comunicación a desempeñar un papel constructivo en la consolidación del desarrollo democrático en Camboya, y para permitir que puedan desempeñar ese papel, entre otras cosas garantizando y promoviendo sus actividades y promoviendo la igualdad de acceso de todos los partidos a los medios de comunicación;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20.</w:t>
      </w:r>
      <w:r w:rsidR="004D7E58" w:rsidRPr="004D7E58">
        <w:tab/>
      </w:r>
      <w:r w:rsidR="004D7E58" w:rsidRPr="004D7E58">
        <w:rPr>
          <w:i/>
        </w:rPr>
        <w:t xml:space="preserve">Destaca </w:t>
      </w:r>
      <w:r w:rsidR="004D7E58" w:rsidRPr="004D7E58">
        <w:t>la necesidad de que el Gobierno de Camboya continúe adoptando medidas para promover los derechos y la dignidad de todos los camboyanos protegiendo sus derechos civiles y políticos, incluida la libertad de opinión y de expresión, y, con ese fin, vele por que las leyes pertinentes, entre ellas el Código Penal, se interpreten y apliquen de forma sensata, de manera que se promuevan los derechos económicos, sociales y culturales de conformidad con el estado de derecho;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21.</w:t>
      </w:r>
      <w:r w:rsidR="004D7E58" w:rsidRPr="004D7E58">
        <w:tab/>
      </w:r>
      <w:r w:rsidR="004D7E58" w:rsidRPr="004D7E58">
        <w:rPr>
          <w:i/>
        </w:rPr>
        <w:t xml:space="preserve">Invita </w:t>
      </w:r>
      <w:r w:rsidR="004D7E58" w:rsidRPr="004D7E58">
        <w:t>al Secretario General, a los organismos del sistema de las Naciones Unidas presentes en Camboya y a la comunidad internacional, incluida la sociedad civil, a que sigan colaborando con el Gobierno de Camboya para consolidar la democracia y velar por la protección y promoción de los derechos humanos de toda la población de Camboya, en particular proporcionando asistencia en lo que se refiere a:</w:t>
      </w:r>
    </w:p>
    <w:p w:rsidR="004D7E58" w:rsidRPr="00A40BB6" w:rsidRDefault="00A40BB6" w:rsidP="004D7E58">
      <w:pPr>
        <w:pStyle w:val="SingleTxtG"/>
      </w:pPr>
      <w:r>
        <w:tab/>
      </w:r>
      <w:r w:rsidR="004D7E58" w:rsidRPr="00A40BB6">
        <w:t>a)</w:t>
      </w:r>
      <w:r w:rsidR="004D7E58" w:rsidRPr="00A40BB6">
        <w:tab/>
        <w:t>La formulación de leyes y el establecimiento de una institución nacional de derechos humanos independiente;</w:t>
      </w:r>
    </w:p>
    <w:p w:rsidR="004D7E58" w:rsidRPr="00A40BB6" w:rsidRDefault="00A40BB6" w:rsidP="004D7E58">
      <w:pPr>
        <w:pStyle w:val="SingleTxtG"/>
      </w:pPr>
      <w:r>
        <w:tab/>
      </w:r>
      <w:r w:rsidR="004D7E58" w:rsidRPr="00A40BB6">
        <w:t>b)</w:t>
      </w:r>
      <w:r w:rsidR="004D7E58" w:rsidRPr="00A40BB6">
        <w:tab/>
        <w:t>El fomento de la capacidad para fortalecer las instituciones judiciales, entre otras cosas mejorando la formación de los jueces, los fiscales, los abogados y el personal judicial, y aprovechando la experiencia adquirida por los ciudadanos camboyanos que trabajan en las salas especiales de los tribunales de Camboya;</w:t>
      </w:r>
    </w:p>
    <w:p w:rsidR="004D7E58" w:rsidRPr="00A40BB6" w:rsidRDefault="00A40BB6" w:rsidP="004D7E58">
      <w:pPr>
        <w:pStyle w:val="SingleTxtG"/>
      </w:pPr>
      <w:r>
        <w:tab/>
      </w:r>
      <w:r w:rsidR="004D7E58" w:rsidRPr="00A40BB6">
        <w:t>c)</w:t>
      </w:r>
      <w:r w:rsidR="004D7E58" w:rsidRPr="00A40BB6">
        <w:tab/>
        <w:t>El fomento de la capacidad para consolidar las instituciones nacionales de investigación penal y de orden público, así como el sumin</w:t>
      </w:r>
      <w:r w:rsidR="00EF5F53">
        <w:t>istro del equipo necesario para </w:t>
      </w:r>
      <w:r w:rsidR="004D7E58" w:rsidRPr="00A40BB6">
        <w:t>ello;</w:t>
      </w:r>
    </w:p>
    <w:p w:rsidR="004D7E58" w:rsidRPr="00A40BB6" w:rsidRDefault="00A40BB6" w:rsidP="004D7E58">
      <w:pPr>
        <w:pStyle w:val="SingleTxtG"/>
      </w:pPr>
      <w:r>
        <w:tab/>
      </w:r>
      <w:r w:rsidR="004D7E58" w:rsidRPr="00A40BB6">
        <w:t>d)</w:t>
      </w:r>
      <w:r w:rsidR="004D7E58" w:rsidRPr="00A40BB6">
        <w:tab/>
        <w:t>La aplicación de las recomendaciones del examen periódico universal;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A40BB6">
        <w:t>e)</w:t>
      </w:r>
      <w:r w:rsidR="004D7E58" w:rsidRPr="00A40BB6">
        <w:tab/>
        <w:t>La evaluación</w:t>
      </w:r>
      <w:r w:rsidR="004D7E58" w:rsidRPr="004D7E58">
        <w:t xml:space="preserve"> de los progresos realizados en materia de derechos humanos;</w:t>
      </w:r>
    </w:p>
    <w:p w:rsidR="004D7E58" w:rsidRPr="004D7E58" w:rsidRDefault="00BD6DC9" w:rsidP="004D7E58">
      <w:pPr>
        <w:pStyle w:val="SingleTxtG"/>
      </w:pPr>
      <w:r>
        <w:tab/>
      </w:r>
      <w:r w:rsidR="004D7E58" w:rsidRPr="004D7E58">
        <w:t>22.</w:t>
      </w:r>
      <w:r w:rsidR="004D7E58" w:rsidRPr="004D7E58">
        <w:tab/>
      </w:r>
      <w:r w:rsidR="004D7E58" w:rsidRPr="004D7E58">
        <w:rPr>
          <w:i/>
        </w:rPr>
        <w:t xml:space="preserve">Decide </w:t>
      </w:r>
      <w:r w:rsidR="004D7E58" w:rsidRPr="004D7E58">
        <w:t>prorrogar por dos años el mandato del Relator Especial sobre la situación de los derechos humanos en Camboya, y solicita al Relator Especial que informe sobre el cumplimiento de su mandato al Consejo en sus períodos de sesiones 27º y 30º, y que mantenga una colaboración constructiva con el Gobierno de Camboya para seguir mejorando la situación de los derechos humanos en el país;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23.</w:t>
      </w:r>
      <w:r w:rsidR="004D7E58" w:rsidRPr="004D7E58">
        <w:tab/>
      </w:r>
      <w:r w:rsidR="004D7E58" w:rsidRPr="004D7E58">
        <w:rPr>
          <w:i/>
        </w:rPr>
        <w:t xml:space="preserve">Solicita </w:t>
      </w:r>
      <w:r w:rsidR="004D7E58" w:rsidRPr="004D7E58">
        <w:t>al Secretario General que informe al Consejo de Derechos Humanos en sus períodos de sesiones 27º y 30º sobre la función y los logros de la Oficina del Alto Comisionado en la prestación de asistencia al Gobierno y al pueblo de Camboya para promover y proteger los derechos humanos;</w:t>
      </w:r>
    </w:p>
    <w:p w:rsidR="004D7E58" w:rsidRPr="004D7E58" w:rsidRDefault="00A40BB6" w:rsidP="004D7E58">
      <w:pPr>
        <w:pStyle w:val="SingleTxtG"/>
      </w:pPr>
      <w:r>
        <w:tab/>
      </w:r>
      <w:r w:rsidR="004D7E58" w:rsidRPr="004D7E58">
        <w:t>24.</w:t>
      </w:r>
      <w:r w:rsidR="004D7E58" w:rsidRPr="004D7E58">
        <w:tab/>
      </w:r>
      <w:r w:rsidR="004D7E58" w:rsidRPr="004D7E58">
        <w:rPr>
          <w:i/>
        </w:rPr>
        <w:t xml:space="preserve">Decide </w:t>
      </w:r>
      <w:r w:rsidR="004D7E58" w:rsidRPr="004D7E58">
        <w:t>seguir examinando la situación de los derechos humanos en Camboya en su 30º período de sesiones.</w:t>
      </w:r>
    </w:p>
    <w:p w:rsidR="004D7E58" w:rsidRPr="004D7E58" w:rsidRDefault="004D7E58" w:rsidP="00A40BB6">
      <w:pPr>
        <w:pStyle w:val="SingleTxtG"/>
        <w:spacing w:after="0"/>
        <w:jc w:val="right"/>
        <w:rPr>
          <w:i/>
        </w:rPr>
      </w:pPr>
      <w:r w:rsidRPr="004D7E58">
        <w:rPr>
          <w:i/>
        </w:rPr>
        <w:t>37ª sesión</w:t>
      </w:r>
    </w:p>
    <w:p w:rsidR="004D7E58" w:rsidRPr="004D7E58" w:rsidRDefault="004D7E58" w:rsidP="00A40BB6">
      <w:pPr>
        <w:pStyle w:val="SingleTxtG"/>
        <w:jc w:val="right"/>
        <w:rPr>
          <w:i/>
        </w:rPr>
      </w:pPr>
      <w:r w:rsidRPr="004D7E58">
        <w:rPr>
          <w:i/>
        </w:rPr>
        <w:t>27 de septiembre de 2013</w:t>
      </w:r>
    </w:p>
    <w:p w:rsidR="00381C24" w:rsidRDefault="004D7E58" w:rsidP="004D7E58">
      <w:pPr>
        <w:pStyle w:val="SingleTxtG"/>
      </w:pPr>
      <w:r w:rsidRPr="004D7E58">
        <w:t>[Aprobada sin votación.]</w:t>
      </w:r>
    </w:p>
    <w:p w:rsidR="00A40BB6" w:rsidRPr="00A40BB6" w:rsidRDefault="00A40BB6" w:rsidP="00A40BB6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40BB6" w:rsidRPr="00A40BB6" w:rsidSect="004D7E5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D0F" w:rsidRDefault="00785D0F">
      <w:r>
        <w:separator/>
      </w:r>
    </w:p>
  </w:endnote>
  <w:endnote w:type="continuationSeparator" w:id="0">
    <w:p w:rsidR="00785D0F" w:rsidRDefault="00785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58" w:rsidRPr="004D7E58" w:rsidRDefault="004D7E58" w:rsidP="004D7E58">
    <w:pPr>
      <w:pStyle w:val="Footer"/>
      <w:tabs>
        <w:tab w:val="right" w:pos="9638"/>
      </w:tabs>
    </w:pPr>
    <w:r w:rsidRPr="004D7E58">
      <w:rPr>
        <w:b/>
        <w:sz w:val="18"/>
      </w:rPr>
      <w:fldChar w:fldCharType="begin"/>
    </w:r>
    <w:r w:rsidRPr="004D7E58">
      <w:rPr>
        <w:b/>
        <w:sz w:val="18"/>
      </w:rPr>
      <w:instrText xml:space="preserve"> PAGE  \* MERGEFORMAT </w:instrText>
    </w:r>
    <w:r w:rsidRPr="004D7E58">
      <w:rPr>
        <w:b/>
        <w:sz w:val="18"/>
      </w:rPr>
      <w:fldChar w:fldCharType="separate"/>
    </w:r>
    <w:r w:rsidR="00587EBC">
      <w:rPr>
        <w:b/>
        <w:noProof/>
        <w:sz w:val="18"/>
      </w:rPr>
      <w:t>4</w:t>
    </w:r>
    <w:r w:rsidRPr="004D7E58">
      <w:rPr>
        <w:b/>
        <w:sz w:val="18"/>
      </w:rPr>
      <w:fldChar w:fldCharType="end"/>
    </w:r>
    <w:r>
      <w:rPr>
        <w:b/>
        <w:sz w:val="18"/>
      </w:rPr>
      <w:tab/>
    </w:r>
    <w:r>
      <w:t>GE.13-17988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58" w:rsidRPr="004D7E58" w:rsidRDefault="004D7E58" w:rsidP="004D7E58">
    <w:pPr>
      <w:pStyle w:val="Footer"/>
      <w:tabs>
        <w:tab w:val="right" w:pos="9638"/>
      </w:tabs>
      <w:rPr>
        <w:b/>
        <w:sz w:val="18"/>
      </w:rPr>
    </w:pPr>
    <w:r>
      <w:t>GE.13-17988</w:t>
    </w:r>
    <w:r>
      <w:tab/>
    </w:r>
    <w:r w:rsidRPr="004D7E58">
      <w:rPr>
        <w:b/>
        <w:sz w:val="18"/>
      </w:rPr>
      <w:fldChar w:fldCharType="begin"/>
    </w:r>
    <w:r w:rsidRPr="004D7E58">
      <w:rPr>
        <w:b/>
        <w:sz w:val="18"/>
      </w:rPr>
      <w:instrText xml:space="preserve"> PAGE  \* MERGEFORMAT </w:instrText>
    </w:r>
    <w:r w:rsidRPr="004D7E58">
      <w:rPr>
        <w:b/>
        <w:sz w:val="18"/>
      </w:rPr>
      <w:fldChar w:fldCharType="separate"/>
    </w:r>
    <w:r w:rsidR="00587EBC">
      <w:rPr>
        <w:b/>
        <w:noProof/>
        <w:sz w:val="18"/>
      </w:rPr>
      <w:t>5</w:t>
    </w:r>
    <w:r w:rsidRPr="004D7E5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71" w:rsidRPr="004D7E58" w:rsidRDefault="004D7E58">
    <w:pPr>
      <w:pStyle w:val="Footer"/>
      <w:rPr>
        <w:sz w:val="20"/>
      </w:rPr>
    </w:pPr>
    <w:r>
      <w:rPr>
        <w:sz w:val="20"/>
      </w:rPr>
      <w:t>GE.</w:t>
    </w:r>
    <w:r w:rsidR="00166A7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 xml:space="preserve">13-17988  (S)    141013    </w:t>
    </w:r>
    <w:r w:rsidR="00A22A94">
      <w:rPr>
        <w:sz w:val="20"/>
      </w:rPr>
      <w:t>301013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D0F" w:rsidRPr="001075E9" w:rsidRDefault="00785D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85D0F" w:rsidRDefault="00785D0F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4D7E58" w:rsidRPr="004D7E58" w:rsidRDefault="004D7E58">
      <w:pPr>
        <w:pStyle w:val="FootnoteText"/>
        <w:rPr>
          <w:sz w:val="20"/>
        </w:rPr>
      </w:pPr>
      <w:r>
        <w:tab/>
      </w:r>
      <w:r w:rsidRPr="004D7E58">
        <w:rPr>
          <w:rStyle w:val="FootnoteReference"/>
          <w:sz w:val="20"/>
          <w:vertAlign w:val="baseline"/>
        </w:rPr>
        <w:t>*</w:t>
      </w:r>
      <w:r w:rsidRPr="004D7E58">
        <w:tab/>
      </w:r>
      <w:r w:rsidRPr="004D7E58">
        <w:rPr>
          <w:rFonts w:eastAsia="SimSun"/>
          <w:szCs w:val="18"/>
          <w:lang w:val="es-ES_tradnl" w:eastAsia="zh-CN"/>
        </w:rPr>
        <w:t>Las resoluciones y decisiones aprobadas por el Consejo de Derechos Humanos se publicarán en el informe del Consejo sobre su 24º período de sesiones (A/HRC/24/2), primera parte.</w:t>
      </w:r>
    </w:p>
  </w:footnote>
  <w:footnote w:id="2">
    <w:p w:rsidR="004D7E58" w:rsidRPr="004D7E58" w:rsidRDefault="004D7E58" w:rsidP="0032657B">
      <w:pPr>
        <w:pStyle w:val="FootnoteText"/>
        <w:spacing w:line="240" w:lineRule="auto"/>
        <w:ind w:left="0" w:right="0" w:firstLine="0"/>
        <w:rPr>
          <w:sz w:val="24"/>
          <w:szCs w:val="24"/>
        </w:rPr>
      </w:pPr>
      <w:r w:rsidRPr="00DB1596">
        <w:rPr>
          <w:sz w:val="24"/>
          <w:szCs w:val="24"/>
        </w:rPr>
        <w:tab/>
      </w:r>
      <w:r w:rsidRPr="00C830AE">
        <w:rPr>
          <w:rStyle w:val="FootnoteReference"/>
        </w:rPr>
        <w:footnoteRef/>
      </w:r>
      <w:r w:rsidRPr="00DB1596">
        <w:rPr>
          <w:sz w:val="24"/>
          <w:szCs w:val="24"/>
        </w:rPr>
        <w:tab/>
      </w:r>
      <w:r w:rsidRPr="0032657B">
        <w:rPr>
          <w:szCs w:val="18"/>
          <w:lang w:val="es-ES_tradnl"/>
        </w:rPr>
        <w:t>A/HRC/24/32</w:t>
      </w:r>
      <w:r w:rsidR="00497774" w:rsidRPr="0032657B">
        <w:rPr>
          <w:szCs w:val="18"/>
          <w:lang w:val="es-ES_tradnl"/>
        </w:rPr>
        <w:t>.</w:t>
      </w:r>
    </w:p>
  </w:footnote>
  <w:footnote w:id="3">
    <w:p w:rsidR="004D7E58" w:rsidRPr="004D7E58" w:rsidRDefault="004D7E58" w:rsidP="00724529">
      <w:pPr>
        <w:pStyle w:val="FootnoteText"/>
        <w:spacing w:line="240" w:lineRule="auto"/>
        <w:ind w:left="0" w:right="0" w:firstLine="0"/>
        <w:rPr>
          <w:sz w:val="24"/>
          <w:szCs w:val="24"/>
        </w:rPr>
      </w:pPr>
      <w:r w:rsidRPr="00DB1596">
        <w:rPr>
          <w:sz w:val="24"/>
          <w:szCs w:val="24"/>
        </w:rPr>
        <w:tab/>
      </w:r>
      <w:r w:rsidRPr="00C830AE">
        <w:rPr>
          <w:rStyle w:val="FootnoteReference"/>
        </w:rPr>
        <w:footnoteRef/>
      </w:r>
      <w:r w:rsidRPr="00DB1596">
        <w:rPr>
          <w:sz w:val="24"/>
          <w:szCs w:val="24"/>
        </w:rPr>
        <w:tab/>
      </w:r>
      <w:r w:rsidRPr="00724529">
        <w:rPr>
          <w:szCs w:val="18"/>
          <w:lang w:val="es-ES_tradnl"/>
        </w:rPr>
        <w:t>A/HRC/21/63 y A/HRC/24/36.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58" w:rsidRPr="004D7E58" w:rsidRDefault="004D7E58">
    <w:pPr>
      <w:pStyle w:val="Header"/>
    </w:pPr>
    <w:r>
      <w:t>A/HRC/RES/24/29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58" w:rsidRPr="004D7E58" w:rsidRDefault="004D7E58" w:rsidP="004D7E58">
    <w:pPr>
      <w:pStyle w:val="Header"/>
      <w:jc w:val="right"/>
    </w:pPr>
    <w:r>
      <w:t>A/HRC/RES/24/29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6A71"/>
    <w:rsid w:val="0008650D"/>
    <w:rsid w:val="000B57E7"/>
    <w:rsid w:val="000F09DF"/>
    <w:rsid w:val="000F0DA4"/>
    <w:rsid w:val="000F61B2"/>
    <w:rsid w:val="0010219A"/>
    <w:rsid w:val="001075E9"/>
    <w:rsid w:val="001414AD"/>
    <w:rsid w:val="00166A71"/>
    <w:rsid w:val="00177CBA"/>
    <w:rsid w:val="00180183"/>
    <w:rsid w:val="00196389"/>
    <w:rsid w:val="001C7A89"/>
    <w:rsid w:val="002A2EFC"/>
    <w:rsid w:val="002D16F0"/>
    <w:rsid w:val="002D5AAC"/>
    <w:rsid w:val="002F5472"/>
    <w:rsid w:val="00301299"/>
    <w:rsid w:val="00313431"/>
    <w:rsid w:val="00322004"/>
    <w:rsid w:val="0032657B"/>
    <w:rsid w:val="003402C2"/>
    <w:rsid w:val="00381C24"/>
    <w:rsid w:val="003958D0"/>
    <w:rsid w:val="003D064D"/>
    <w:rsid w:val="00403A7C"/>
    <w:rsid w:val="0041031F"/>
    <w:rsid w:val="00454E07"/>
    <w:rsid w:val="00497774"/>
    <w:rsid w:val="004B19F2"/>
    <w:rsid w:val="004D7E58"/>
    <w:rsid w:val="004E2655"/>
    <w:rsid w:val="0050108D"/>
    <w:rsid w:val="005016AF"/>
    <w:rsid w:val="005076AF"/>
    <w:rsid w:val="0052159C"/>
    <w:rsid w:val="00553654"/>
    <w:rsid w:val="005567D9"/>
    <w:rsid w:val="00572E19"/>
    <w:rsid w:val="00587EBC"/>
    <w:rsid w:val="005A4166"/>
    <w:rsid w:val="005F0B42"/>
    <w:rsid w:val="0060103D"/>
    <w:rsid w:val="0064421C"/>
    <w:rsid w:val="00687210"/>
    <w:rsid w:val="006F35EE"/>
    <w:rsid w:val="00710CF8"/>
    <w:rsid w:val="00716C6F"/>
    <w:rsid w:val="00724529"/>
    <w:rsid w:val="007464CC"/>
    <w:rsid w:val="00785D0F"/>
    <w:rsid w:val="007A4C7D"/>
    <w:rsid w:val="007D6339"/>
    <w:rsid w:val="007D7810"/>
    <w:rsid w:val="00802199"/>
    <w:rsid w:val="008308A6"/>
    <w:rsid w:val="00830923"/>
    <w:rsid w:val="00834B71"/>
    <w:rsid w:val="0086445C"/>
    <w:rsid w:val="00882271"/>
    <w:rsid w:val="008A08D7"/>
    <w:rsid w:val="00906890"/>
    <w:rsid w:val="00925A30"/>
    <w:rsid w:val="00943EB2"/>
    <w:rsid w:val="00951972"/>
    <w:rsid w:val="009E78C4"/>
    <w:rsid w:val="00A00CB2"/>
    <w:rsid w:val="00A22A94"/>
    <w:rsid w:val="00A40BB6"/>
    <w:rsid w:val="00A500CE"/>
    <w:rsid w:val="00A917B3"/>
    <w:rsid w:val="00AB05F9"/>
    <w:rsid w:val="00AB4B51"/>
    <w:rsid w:val="00AB4EB2"/>
    <w:rsid w:val="00B10CC7"/>
    <w:rsid w:val="00B62458"/>
    <w:rsid w:val="00B6350A"/>
    <w:rsid w:val="00B67135"/>
    <w:rsid w:val="00BC161C"/>
    <w:rsid w:val="00BD33EE"/>
    <w:rsid w:val="00BD6DC9"/>
    <w:rsid w:val="00BD6E50"/>
    <w:rsid w:val="00BE734D"/>
    <w:rsid w:val="00C3730A"/>
    <w:rsid w:val="00C60F0C"/>
    <w:rsid w:val="00C805C9"/>
    <w:rsid w:val="00C82372"/>
    <w:rsid w:val="00C830AE"/>
    <w:rsid w:val="00CA1679"/>
    <w:rsid w:val="00CE34F5"/>
    <w:rsid w:val="00D3151B"/>
    <w:rsid w:val="00D738F9"/>
    <w:rsid w:val="00D90138"/>
    <w:rsid w:val="00D97076"/>
    <w:rsid w:val="00E66A25"/>
    <w:rsid w:val="00E73F76"/>
    <w:rsid w:val="00EF1360"/>
    <w:rsid w:val="00EF3220"/>
    <w:rsid w:val="00EF5F53"/>
    <w:rsid w:val="00F22CAE"/>
    <w:rsid w:val="00F33585"/>
    <w:rsid w:val="00FB6CD8"/>
    <w:rsid w:val="00FD2EF7"/>
    <w:rsid w:val="00FD5789"/>
    <w:rsid w:val="00FE2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5</Pages>
  <Words>2107</Words>
  <Characters>11591</Characters>
  <Application>Microsoft Office Outlook</Application>
  <DocSecurity>4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A/HRC/RES/24/29 - 13-17988</vt:lpstr>
    </vt:vector>
  </TitlesOfParts>
  <Company/>
  <LinksUpToDate>false</LinksUpToDate>
  <CharactersWithSpaces>13671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A/HRC/RES/24/29 - 13-17988</dc:title>
  <dc:subject>FINAL DIRECTO</dc:subject>
  <dc:creator>Ricardo SAENZ</dc:creator>
  <cp:keywords/>
  <dc:description/>
  <cp:lastModifiedBy>María Dolores MARTÍNEZ</cp:lastModifiedBy>
  <cp:revision>2</cp:revision>
  <cp:lastPrinted>2008-01-15T07:58:00Z</cp:lastPrinted>
  <dcterms:created xsi:type="dcterms:W3CDTF">2013-10-30T09:22:00Z</dcterms:created>
  <dcterms:modified xsi:type="dcterms:W3CDTF">2013-10-30T09:22:00Z</dcterms:modified>
</cp:coreProperties>
</file>