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806E07">
        <w:rPr>
          <w:szCs w:val="22"/>
          <w:lang w:eastAsia="en-US"/>
        </w:rPr>
        <w:t>CRPD/C/1/1</w:t>
      </w:r>
      <w:r>
        <w:fldChar w:fldCharType="end"/>
      </w:r>
    </w:p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806E07">
        <w:rPr>
          <w:szCs w:val="22"/>
          <w:lang w:eastAsia="en-US"/>
        </w:rPr>
        <w:t>20 January 2009</w:t>
      </w:r>
      <w:r>
        <w:fldChar w:fldCharType="end"/>
      </w:r>
    </w:p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A54005" w:rsidRDefault="00A54005" w:rsidP="00DE3C1A">
      <w:pPr>
        <w:framePr w:w="4025" w:h="2075" w:hSpace="180" w:wrap="around" w:vAnchor="text" w:hAnchor="page" w:x="852" w:y="-2563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8B562B" w:rsidRPr="005461A1" w:rsidRDefault="008B562B" w:rsidP="008B562B">
      <w:pPr>
        <w:spacing w:before="120" w:after="0" w:line="380" w:lineRule="exact"/>
        <w:jc w:val="left"/>
        <w:rPr>
          <w:rFonts w:hint="cs"/>
          <w:rtl/>
          <w:lang w:eastAsia="en-US"/>
        </w:rPr>
      </w:pPr>
      <w:r w:rsidRPr="005461A1">
        <w:rPr>
          <w:rFonts w:hint="cs"/>
          <w:sz w:val="36"/>
          <w:szCs w:val="36"/>
          <w:rtl/>
          <w:lang w:eastAsia="en-US"/>
        </w:rPr>
        <w:t>ال</w:t>
      </w:r>
      <w:r w:rsidRPr="005461A1">
        <w:rPr>
          <w:sz w:val="36"/>
          <w:szCs w:val="36"/>
          <w:rtl/>
          <w:lang w:eastAsia="en-US"/>
        </w:rPr>
        <w:t>ل</w:t>
      </w:r>
      <w:r w:rsidRPr="005461A1">
        <w:rPr>
          <w:rFonts w:hint="cs"/>
          <w:sz w:val="36"/>
          <w:szCs w:val="36"/>
          <w:rtl/>
          <w:lang w:eastAsia="en-US"/>
        </w:rPr>
        <w:t>جن</w:t>
      </w:r>
      <w:r w:rsidRPr="005461A1">
        <w:rPr>
          <w:sz w:val="36"/>
          <w:szCs w:val="36"/>
          <w:rtl/>
          <w:lang w:eastAsia="en-US"/>
        </w:rPr>
        <w:t xml:space="preserve">ة </w:t>
      </w:r>
      <w:r w:rsidRPr="005461A1">
        <w:rPr>
          <w:rFonts w:hint="cs"/>
          <w:sz w:val="36"/>
          <w:szCs w:val="36"/>
          <w:rtl/>
          <w:lang w:eastAsia="en-US"/>
        </w:rPr>
        <w:t>المعنية بحقوق الأشخاص ذوي الإعاقة</w:t>
      </w:r>
    </w:p>
    <w:p w:rsidR="008B562B" w:rsidRPr="005461A1" w:rsidRDefault="008B562B" w:rsidP="008B562B">
      <w:pPr>
        <w:spacing w:before="0" w:line="380" w:lineRule="exact"/>
        <w:jc w:val="left"/>
        <w:rPr>
          <w:rFonts w:hint="cs"/>
          <w:sz w:val="30"/>
          <w:rtl/>
          <w:lang w:eastAsia="en-US" w:bidi="ar-EG"/>
        </w:rPr>
      </w:pPr>
      <w:r w:rsidRPr="005461A1">
        <w:rPr>
          <w:rFonts w:hint="cs"/>
          <w:sz w:val="30"/>
          <w:rtl/>
          <w:lang w:eastAsia="en-US"/>
        </w:rPr>
        <w:t>الدورة الأولى</w:t>
      </w:r>
      <w:r w:rsidRPr="005461A1">
        <w:rPr>
          <w:rFonts w:hint="cs"/>
          <w:sz w:val="30"/>
          <w:rtl/>
          <w:lang w:eastAsia="en-US"/>
        </w:rPr>
        <w:br/>
        <w:t xml:space="preserve">جنيف، 23-27 شباط/فبراير </w:t>
      </w:r>
      <w:r w:rsidR="00FF7111">
        <w:rPr>
          <w:rFonts w:hint="cs"/>
          <w:sz w:val="30"/>
          <w:rtl/>
          <w:lang w:eastAsia="en-US" w:bidi="ar-EG"/>
        </w:rPr>
        <w:t>2009</w:t>
      </w:r>
    </w:p>
    <w:p w:rsidR="00FF7111" w:rsidRPr="008D7597" w:rsidRDefault="00FF7111" w:rsidP="00FF7111">
      <w:pPr>
        <w:spacing w:line="380" w:lineRule="exact"/>
        <w:jc w:val="center"/>
        <w:rPr>
          <w:rFonts w:hint="cs"/>
          <w:b/>
          <w:bCs/>
          <w:sz w:val="28"/>
          <w:szCs w:val="36"/>
          <w:rtl/>
        </w:rPr>
      </w:pPr>
      <w:r>
        <w:rPr>
          <w:rFonts w:hint="cs"/>
          <w:b/>
          <w:bCs/>
          <w:sz w:val="28"/>
          <w:szCs w:val="36"/>
          <w:rtl/>
        </w:rPr>
        <w:t>جدول الأعمال المؤقت وشروحه</w:t>
      </w:r>
    </w:p>
    <w:p w:rsidR="00FF7111" w:rsidRPr="008D7597" w:rsidRDefault="00FF7111" w:rsidP="00FF7111">
      <w:pPr>
        <w:spacing w:before="0" w:line="38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مذكرة من الأمين العام</w:t>
      </w:r>
      <w:r w:rsidRPr="008D7597">
        <w:rPr>
          <w:rStyle w:val="FootnoteReference"/>
          <w:b/>
          <w:bCs w:val="0"/>
          <w:rtl/>
        </w:rPr>
        <w:footnoteReference w:customMarkFollows="1" w:id="1"/>
        <w:sym w:font="Symbol" w:char="F02A"/>
      </w:r>
    </w:p>
    <w:p w:rsidR="00FF7111" w:rsidRPr="004E0EE2" w:rsidRDefault="00FF7111" w:rsidP="00B71311">
      <w:pPr>
        <w:spacing w:before="0" w:line="380" w:lineRule="exact"/>
        <w:rPr>
          <w:rFonts w:hint="cs"/>
          <w:spacing w:val="0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  <w:t xml:space="preserve">ستعقد الدورة الأولى للجنة </w:t>
      </w:r>
      <w:r w:rsidR="00DA30C2">
        <w:rPr>
          <w:rFonts w:hint="cs"/>
          <w:rtl/>
          <w:lang w:bidi="ar-EG"/>
        </w:rPr>
        <w:t>المعنية ب</w:t>
      </w:r>
      <w:r>
        <w:rPr>
          <w:rFonts w:hint="cs"/>
          <w:rtl/>
        </w:rPr>
        <w:t xml:space="preserve">حقوق الأشخاص ذوي الإعاقة بمكتب الأمم المتحدة </w:t>
      </w:r>
      <w:r w:rsidR="00DA30C2">
        <w:rPr>
          <w:rFonts w:hint="cs"/>
          <w:rtl/>
        </w:rPr>
        <w:t>ب</w:t>
      </w:r>
      <w:r>
        <w:rPr>
          <w:rFonts w:hint="cs"/>
          <w:rtl/>
        </w:rPr>
        <w:t xml:space="preserve">جنيف في الفترة من </w:t>
      </w:r>
      <w:r w:rsidRPr="004E0EE2">
        <w:rPr>
          <w:rFonts w:hint="cs"/>
          <w:spacing w:val="0"/>
          <w:rtl/>
        </w:rPr>
        <w:t xml:space="preserve">23 </w:t>
      </w:r>
      <w:r w:rsidR="00B71311">
        <w:rPr>
          <w:rFonts w:hint="cs"/>
          <w:spacing w:val="0"/>
          <w:rtl/>
        </w:rPr>
        <w:t>إ</w:t>
      </w:r>
      <w:r w:rsidRPr="004E0EE2">
        <w:rPr>
          <w:rFonts w:hint="cs"/>
          <w:spacing w:val="0"/>
          <w:rtl/>
        </w:rPr>
        <w:t xml:space="preserve">لى 27 شباط/فبراير 2009. وستعقد </w:t>
      </w:r>
      <w:r w:rsidR="00DA30C2">
        <w:rPr>
          <w:rFonts w:hint="cs"/>
          <w:spacing w:val="0"/>
          <w:rtl/>
        </w:rPr>
        <w:t>ال</w:t>
      </w:r>
      <w:r w:rsidRPr="004E0EE2">
        <w:rPr>
          <w:rFonts w:hint="cs"/>
          <w:spacing w:val="0"/>
          <w:rtl/>
        </w:rPr>
        <w:t>جلسة</w:t>
      </w:r>
      <w:r w:rsidR="00DA30C2">
        <w:rPr>
          <w:rFonts w:hint="cs"/>
          <w:spacing w:val="0"/>
          <w:rtl/>
        </w:rPr>
        <w:t xml:space="preserve"> الأولى للدورة</w:t>
      </w:r>
      <w:r w:rsidRPr="004E0EE2">
        <w:rPr>
          <w:rFonts w:hint="cs"/>
          <w:spacing w:val="0"/>
          <w:rtl/>
        </w:rPr>
        <w:t xml:space="preserve"> على الساعة العاشرة من صباح يوم الاثنين 23 شباط/فبراير.</w:t>
      </w:r>
    </w:p>
    <w:p w:rsidR="00FF7111" w:rsidRDefault="00FF7111" w:rsidP="00DA30C2">
      <w:pPr>
        <w:spacing w:before="0" w:line="380" w:lineRule="exact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>ووفقاً للمادة 6 من مشروع النظام الداخلي المؤقت، أعد الأمين العام جدول الأعمال المؤقت المرفق للدورة الأولى. وشروح جدول الأعمال المؤقت مرفقة أيضاً.</w:t>
      </w:r>
    </w:p>
    <w:p w:rsidR="00FF7111" w:rsidRDefault="00FF7111" w:rsidP="00DA30C2">
      <w:pPr>
        <w:spacing w:before="0" w:line="380" w:lineRule="exact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  <w:t xml:space="preserve">وعملاً بالمادة 25 من مشروع النظام الداخلي المؤقت، تعقد اجتماعات اللجنة علناً، ما لم تقرر اللجنة خلاف ذلك. </w:t>
      </w:r>
    </w:p>
    <w:p w:rsidR="00FF7111" w:rsidRDefault="00FF7111" w:rsidP="00B71311">
      <w:pPr>
        <w:spacing w:before="0" w:line="380" w:lineRule="exact"/>
        <w:rPr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  <w:t>ويوج</w:t>
      </w:r>
      <w:r w:rsidR="00DA30C2">
        <w:rPr>
          <w:rFonts w:hint="cs"/>
          <w:rtl/>
        </w:rPr>
        <w:t>ّ</w:t>
      </w:r>
      <w:r>
        <w:rPr>
          <w:rFonts w:hint="cs"/>
          <w:rtl/>
        </w:rPr>
        <w:t xml:space="preserve">ه نظر اللجنة، بشكل خاص، إلى شروح بنود جدول الأعمال 1 و4 و5، </w:t>
      </w:r>
      <w:r w:rsidR="00B71311">
        <w:rPr>
          <w:rFonts w:hint="cs"/>
          <w:rtl/>
        </w:rPr>
        <w:t>ال</w:t>
      </w:r>
      <w:r>
        <w:rPr>
          <w:rFonts w:hint="cs"/>
          <w:rtl/>
        </w:rPr>
        <w:t>متعلق</w:t>
      </w:r>
      <w:r w:rsidR="00B71311">
        <w:rPr>
          <w:rFonts w:hint="cs"/>
          <w:rtl/>
        </w:rPr>
        <w:t>ة</w:t>
      </w:r>
      <w:r>
        <w:rPr>
          <w:rFonts w:hint="cs"/>
          <w:rtl/>
        </w:rPr>
        <w:t xml:space="preserve"> بانتخاب أعضاء مكتب اللجنة، ومشروع النظام الداخلي المؤقت، وأساليب عمل اللجنة.</w:t>
      </w:r>
    </w:p>
    <w:p w:rsidR="00FF7111" w:rsidRPr="008D7597" w:rsidRDefault="00FF7111" w:rsidP="00FF7111">
      <w:pPr>
        <w:spacing w:before="0" w:line="380" w:lineRule="exact"/>
        <w:jc w:val="center"/>
        <w:rPr>
          <w:rFonts w:hint="cs"/>
          <w:b/>
          <w:bCs/>
          <w:rtl/>
        </w:rPr>
      </w:pPr>
      <w:r>
        <w:rPr>
          <w:rtl/>
        </w:rPr>
        <w:br w:type="page"/>
      </w:r>
      <w:r>
        <w:rPr>
          <w:rFonts w:hint="cs"/>
          <w:b/>
          <w:bCs/>
          <w:rtl/>
        </w:rPr>
        <w:t>جدول الأعمال المؤقت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  <w:t>انتخاب أعضاء مكتب اللجنة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>إقرار جدول الأعمال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</w:r>
      <w:r w:rsidR="00DA30C2">
        <w:rPr>
          <w:rFonts w:hint="cs"/>
          <w:rtl/>
        </w:rPr>
        <w:t>ال</w:t>
      </w:r>
      <w:r>
        <w:rPr>
          <w:rFonts w:hint="cs"/>
          <w:rtl/>
        </w:rPr>
        <w:t xml:space="preserve">دورة </w:t>
      </w:r>
      <w:r w:rsidR="00DA30C2">
        <w:rPr>
          <w:rFonts w:hint="cs"/>
          <w:rtl/>
        </w:rPr>
        <w:t>ال</w:t>
      </w:r>
      <w:r>
        <w:rPr>
          <w:rFonts w:hint="cs"/>
          <w:rtl/>
        </w:rPr>
        <w:t>توجيهية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  <w:t>مشروع النظام الداخلي المؤقت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  <w:t>أساليب عمل اللجنة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 xml:space="preserve">التعاون مع </w:t>
      </w:r>
      <w:r w:rsidR="00DA30C2">
        <w:rPr>
          <w:rFonts w:hint="cs"/>
          <w:rtl/>
        </w:rPr>
        <w:t xml:space="preserve">سائر </w:t>
      </w:r>
      <w:r>
        <w:rPr>
          <w:rFonts w:hint="cs"/>
          <w:rtl/>
        </w:rPr>
        <w:t xml:space="preserve">هيئات الأمم المتحدة </w:t>
      </w:r>
      <w:r w:rsidR="00DA30C2">
        <w:rPr>
          <w:rFonts w:hint="cs"/>
          <w:rtl/>
        </w:rPr>
        <w:t>ووكالاتها المتخصصة وغيرها من الهيئات المختصة</w:t>
      </w:r>
    </w:p>
    <w:p w:rsidR="00FF7111" w:rsidRDefault="00FF7111" w:rsidP="00DB6993">
      <w:pPr>
        <w:spacing w:before="0" w:after="180" w:line="380" w:lineRule="exact"/>
        <w:rPr>
          <w:rFonts w:hint="cs"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  <w:t>الاجتماعات المقبلة</w:t>
      </w:r>
    </w:p>
    <w:p w:rsidR="00FF7111" w:rsidRDefault="00FF7111" w:rsidP="00DB6993">
      <w:pPr>
        <w:spacing w:before="0" w:after="180" w:line="380" w:lineRule="exact"/>
        <w:rPr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  <w:t>مسائل أخرى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tl/>
        </w:rPr>
        <w:br w:type="page"/>
      </w:r>
      <w:r w:rsidRPr="008D7597">
        <w:rPr>
          <w:rFonts w:hint="cs"/>
          <w:b/>
          <w:bCs/>
          <w:rtl/>
        </w:rPr>
        <w:t>شروح جدول الأعمال المؤقت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 w:rsidRPr="008D7597">
        <w:rPr>
          <w:rFonts w:hint="cs"/>
          <w:b/>
          <w:bCs/>
          <w:rtl/>
        </w:rPr>
        <w:t>البند 1- انتخاب أعضاء مكتب اللجنة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  <w:t>عملاً بالمادة 7 من مشروع النظام الداخلي المؤقت، يكون</w:t>
      </w:r>
      <w:r w:rsidR="00DA30C2">
        <w:rPr>
          <w:rFonts w:hint="cs"/>
          <w:rtl/>
        </w:rPr>
        <w:t xml:space="preserve"> إقرار جدول الأعمال</w:t>
      </w:r>
      <w:r>
        <w:rPr>
          <w:rFonts w:hint="cs"/>
          <w:rtl/>
        </w:rPr>
        <w:t xml:space="preserve"> أول بند </w:t>
      </w:r>
      <w:r w:rsidR="00DA30C2">
        <w:rPr>
          <w:rFonts w:hint="cs"/>
          <w:rtl/>
        </w:rPr>
        <w:t>على جدول الأعمال المؤقت</w:t>
      </w:r>
      <w:r>
        <w:rPr>
          <w:rFonts w:hint="cs"/>
          <w:rtl/>
        </w:rPr>
        <w:t xml:space="preserve">، </w:t>
      </w:r>
      <w:r w:rsidR="00DA30C2">
        <w:rPr>
          <w:rFonts w:hint="cs"/>
          <w:rtl/>
        </w:rPr>
        <w:t xml:space="preserve">باستثناء </w:t>
      </w:r>
      <w:r>
        <w:rPr>
          <w:rFonts w:hint="cs"/>
          <w:rtl/>
        </w:rPr>
        <w:t>انتخاب أعضاء المكتب حيثما ومتى لزم ذلك بموجب المادة 18. وعملاً بالمادة 13</w:t>
      </w:r>
      <w:r w:rsidR="00DA30C2">
        <w:rPr>
          <w:rFonts w:hint="cs"/>
          <w:rtl/>
        </w:rPr>
        <w:t>،</w:t>
      </w:r>
      <w:r>
        <w:rPr>
          <w:rFonts w:hint="cs"/>
          <w:rtl/>
        </w:rPr>
        <w:t xml:space="preserve"> تنتخب اللجنة من بين أعضائها رئيساً وثلاثة نواب للرئيس ومقرراً.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2- إقرار جدول الأعمال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>وفقاً للمادة 8 من مشروع النظام الداخلي المؤقت،</w:t>
      </w:r>
      <w:r w:rsidR="00DA30C2">
        <w:rPr>
          <w:rFonts w:hint="cs"/>
          <w:rtl/>
        </w:rPr>
        <w:t xml:space="preserve"> يجوز</w:t>
      </w:r>
      <w:r>
        <w:rPr>
          <w:rFonts w:hint="cs"/>
          <w:rtl/>
        </w:rPr>
        <w:t xml:space="preserve"> للجنة أن تنقح جدول الأعمال ويجوز لها، عند الاقتضاء، </w:t>
      </w:r>
      <w:r w:rsidR="00DA30C2">
        <w:rPr>
          <w:rFonts w:hint="cs"/>
          <w:rtl/>
        </w:rPr>
        <w:t>أن تضيف أو ترجئ أو تحذف بنوداً</w:t>
      </w:r>
      <w:r w:rsidR="00B71311">
        <w:rPr>
          <w:rFonts w:hint="cs"/>
          <w:rtl/>
        </w:rPr>
        <w:t>.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3- الدورة التوجيهية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</w:r>
      <w:r w:rsidR="00DA30C2">
        <w:rPr>
          <w:rFonts w:hint="cs"/>
          <w:rtl/>
        </w:rPr>
        <w:t>س</w:t>
      </w:r>
      <w:r>
        <w:rPr>
          <w:rFonts w:hint="cs"/>
          <w:rtl/>
        </w:rPr>
        <w:t>توفر الأمانة</w:t>
      </w:r>
      <w:r w:rsidR="00DB6993">
        <w:rPr>
          <w:rFonts w:hint="cs"/>
          <w:rtl/>
        </w:rPr>
        <w:t>، في إطار هذا البند،</w:t>
      </w:r>
      <w:r>
        <w:rPr>
          <w:rFonts w:hint="cs"/>
          <w:rtl/>
        </w:rPr>
        <w:t xml:space="preserve"> دورة توجيهية لأعضاء اللجنة فيما يتعلق بمختلف جوانب عمل اللجنة.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4- مشروع النظام الداخلي المؤقت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  <w:t>ستبدأ اللجنة</w:t>
      </w:r>
      <w:r w:rsidR="00DB6993">
        <w:rPr>
          <w:rFonts w:hint="cs"/>
          <w:rtl/>
        </w:rPr>
        <w:t>، في إطار هذا البند،</w:t>
      </w:r>
      <w:r>
        <w:rPr>
          <w:rFonts w:hint="cs"/>
          <w:rtl/>
        </w:rPr>
        <w:t xml:space="preserve"> مناقشات حول مشروع النظام الداخلي المؤقت كما أعده الأمين العام. </w:t>
      </w:r>
    </w:p>
    <w:p w:rsidR="00FF7111" w:rsidRPr="008D7597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5- أساليب عمل اللجنة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  <w:t>ستبدأ اللجنة</w:t>
      </w:r>
      <w:r w:rsidR="00DB6993">
        <w:rPr>
          <w:rFonts w:hint="cs"/>
          <w:rtl/>
        </w:rPr>
        <w:t>، في إطار هذا البند،</w:t>
      </w:r>
      <w:r>
        <w:rPr>
          <w:rFonts w:hint="cs"/>
          <w:rtl/>
        </w:rPr>
        <w:t xml:space="preserve"> مناقشات حول تنظيم عملها في المستقبل.</w:t>
      </w:r>
    </w:p>
    <w:p w:rsidR="00FF7111" w:rsidRPr="008D7597" w:rsidRDefault="00FF7111" w:rsidP="004E0B75">
      <w:pPr>
        <w:spacing w:before="0" w:line="360" w:lineRule="exact"/>
        <w:ind w:left="2291" w:right="1701" w:hanging="851"/>
        <w:jc w:val="left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6- التعاون مع سائر هيئات الأمم المتحدة</w:t>
      </w:r>
      <w:r w:rsidR="00DB6993">
        <w:rPr>
          <w:rFonts w:hint="cs"/>
          <w:b/>
          <w:bCs/>
          <w:rtl/>
        </w:rPr>
        <w:t xml:space="preserve"> ووكالاتها المتخصصة</w:t>
      </w:r>
      <w:r>
        <w:rPr>
          <w:rFonts w:hint="cs"/>
          <w:b/>
          <w:bCs/>
          <w:rtl/>
        </w:rPr>
        <w:t xml:space="preserve"> </w:t>
      </w:r>
      <w:r w:rsidR="009D4D76">
        <w:rPr>
          <w:b/>
          <w:bCs/>
          <w:rtl/>
        </w:rPr>
        <w:br/>
      </w:r>
      <w:r>
        <w:rPr>
          <w:rFonts w:hint="cs"/>
          <w:b/>
          <w:bCs/>
          <w:rtl/>
        </w:rPr>
        <w:t>وغيرها من الهيئات المختصة</w:t>
      </w:r>
    </w:p>
    <w:p w:rsidR="00FF7111" w:rsidRDefault="00FF7111" w:rsidP="004E0B75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>ستبدأ اللجنة</w:t>
      </w:r>
      <w:r w:rsidR="00DB6993">
        <w:rPr>
          <w:rFonts w:hint="cs"/>
          <w:rtl/>
        </w:rPr>
        <w:t>، في إطار هذا البند،</w:t>
      </w:r>
      <w:r>
        <w:rPr>
          <w:rFonts w:hint="cs"/>
          <w:rtl/>
        </w:rPr>
        <w:t xml:space="preserve"> مناقشات حول كيفية إنشاء آليات فعالة للتعاون مع مختلف الهيئات ذات الصلة بغية </w:t>
      </w:r>
      <w:r w:rsidR="00DB6993">
        <w:rPr>
          <w:rFonts w:hint="cs"/>
          <w:rtl/>
        </w:rPr>
        <w:t>زيادة</w:t>
      </w:r>
      <w:r>
        <w:rPr>
          <w:rFonts w:hint="cs"/>
          <w:rtl/>
        </w:rPr>
        <w:t xml:space="preserve"> تعزيز وتشجيع النهوض بحقوق الأشخاص ذوي الإعاقة وحمايتها. وسوف تجتمع اللجنة مع ممثلي هيئات الأمم المتحدة و</w:t>
      </w:r>
      <w:r w:rsidR="00DB6993">
        <w:rPr>
          <w:rFonts w:hint="cs"/>
          <w:rtl/>
        </w:rPr>
        <w:t>الوكالات المتخصصة و</w:t>
      </w:r>
      <w:r>
        <w:rPr>
          <w:rFonts w:hint="cs"/>
          <w:rtl/>
        </w:rPr>
        <w:t xml:space="preserve">المنظمات </w:t>
      </w:r>
      <w:r w:rsidR="004E0B75">
        <w:rPr>
          <w:rFonts w:hint="cs"/>
          <w:rtl/>
        </w:rPr>
        <w:t xml:space="preserve">غير الحكومية </w:t>
      </w:r>
      <w:r w:rsidR="00DB6993">
        <w:rPr>
          <w:rFonts w:hint="cs"/>
          <w:rtl/>
        </w:rPr>
        <w:t>ذات الصلة</w:t>
      </w:r>
      <w:r>
        <w:rPr>
          <w:rFonts w:hint="cs"/>
          <w:rtl/>
        </w:rPr>
        <w:t>.</w:t>
      </w:r>
    </w:p>
    <w:p w:rsidR="00FF7111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 xml:space="preserve">البند 7- </w:t>
      </w:r>
      <w:r w:rsidR="00DB6993">
        <w:rPr>
          <w:rFonts w:hint="cs"/>
          <w:b/>
          <w:bCs/>
          <w:rtl/>
        </w:rPr>
        <w:t>الاجتماعات المقبلة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Pr="00DC3E93">
        <w:rPr>
          <w:rFonts w:hint="cs"/>
          <w:rtl/>
        </w:rPr>
        <w:t xml:space="preserve">سيتم إبلاغ اللجنة، </w:t>
      </w:r>
      <w:r w:rsidR="00DB6993">
        <w:rPr>
          <w:rFonts w:hint="cs"/>
          <w:rtl/>
        </w:rPr>
        <w:t>في إطار</w:t>
      </w:r>
      <w:r w:rsidRPr="00DC3E93">
        <w:rPr>
          <w:rFonts w:hint="cs"/>
          <w:rtl/>
        </w:rPr>
        <w:t xml:space="preserve"> هذا البند</w:t>
      </w:r>
      <w:r>
        <w:rPr>
          <w:rFonts w:hint="cs"/>
          <w:rtl/>
        </w:rPr>
        <w:t>،</w:t>
      </w:r>
      <w:r w:rsidRPr="00DC3E93">
        <w:rPr>
          <w:rFonts w:hint="cs"/>
          <w:rtl/>
        </w:rPr>
        <w:t xml:space="preserve"> بأية تطورات فيما يتعلق بالجدول الزمني لاجتماعاتها المقبلة</w:t>
      </w:r>
      <w:r>
        <w:rPr>
          <w:rFonts w:hint="cs"/>
          <w:rtl/>
        </w:rPr>
        <w:t>.</w:t>
      </w:r>
    </w:p>
    <w:p w:rsidR="00FF7111" w:rsidRPr="00DC3E93" w:rsidRDefault="00FF7111" w:rsidP="00DB6993">
      <w:pPr>
        <w:spacing w:before="0" w:line="36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البند 8- مسائل أخرى</w:t>
      </w:r>
    </w:p>
    <w:p w:rsidR="00FF7111" w:rsidRDefault="00FF7111" w:rsidP="00DB6993">
      <w:pPr>
        <w:spacing w:before="0" w:line="360" w:lineRule="exact"/>
        <w:rPr>
          <w:rFonts w:hint="cs"/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  <w:t xml:space="preserve">ستناقش اللجنة، في إطار هذا البند، أية مسائل أخرى لها صلة بعملها، حسب اللزوم. </w:t>
      </w:r>
    </w:p>
    <w:p w:rsidR="00FF7111" w:rsidRPr="000957C8" w:rsidRDefault="00DB6993" w:rsidP="00790D7A">
      <w:pPr>
        <w:spacing w:before="0" w:line="360" w:lineRule="exact"/>
        <w:jc w:val="center"/>
      </w:pPr>
      <w:r>
        <w:rPr>
          <w:rFonts w:hint="cs"/>
          <w:rtl/>
        </w:rPr>
        <w:t>- - - - -</w:t>
      </w:r>
    </w:p>
    <w:sectPr w:rsidR="00FF7111" w:rsidRPr="000957C8" w:rsidSect="00FF7111">
      <w:headerReference w:type="even" r:id="rId7"/>
      <w:headerReference w:type="default" r:id="rId8"/>
      <w:headerReference w:type="first" r:id="rId9"/>
      <w:footerReference w:type="first" r:id="rId10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C43" w:rsidRDefault="00FB0C43">
      <w:r>
        <w:separator/>
      </w:r>
    </w:p>
  </w:endnote>
  <w:endnote w:type="continuationSeparator" w:id="0">
    <w:p w:rsidR="00FB0C43" w:rsidRDefault="00FB0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005" w:rsidRDefault="00A54005" w:rsidP="00AC5EAC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</w:t>
    </w:r>
    <w:r w:rsidR="00AC5EAC">
      <w:rPr>
        <w:szCs w:val="22"/>
        <w:lang w:eastAsia="en-US"/>
      </w:rPr>
      <w:t>9</w:t>
    </w:r>
    <w:r>
      <w:rPr>
        <w:szCs w:val="22"/>
        <w:lang w:eastAsia="en-US"/>
      </w:rPr>
      <w:t>-</w:t>
    </w:r>
    <w:r w:rsidR="00FF7111">
      <w:rPr>
        <w:szCs w:val="22"/>
        <w:lang w:eastAsia="en-US"/>
      </w:rPr>
      <w:t>40261    030209    030209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C43" w:rsidRDefault="00FB0C43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FB0C43" w:rsidRDefault="00FB0C43">
      <w:r>
        <w:continuationSeparator/>
      </w:r>
    </w:p>
  </w:footnote>
  <w:footnote w:id="1">
    <w:p w:rsidR="00FF7111" w:rsidRPr="008D7597" w:rsidRDefault="00FF7111" w:rsidP="00FF7111">
      <w:pPr>
        <w:pStyle w:val="FootnoteText"/>
        <w:numPr>
          <w:ilvl w:val="0"/>
          <w:numId w:val="0"/>
        </w:numPr>
        <w:rPr>
          <w:rFonts w:hint="cs"/>
          <w:sz w:val="28"/>
        </w:rPr>
      </w:pPr>
      <w:r>
        <w:rPr>
          <w:rFonts w:hint="cs"/>
          <w:sz w:val="28"/>
          <w:rtl/>
        </w:rPr>
        <w:tab/>
      </w:r>
      <w:r w:rsidRPr="008D7597">
        <w:rPr>
          <w:rStyle w:val="FootnoteReference"/>
          <w:sz w:val="28"/>
          <w:rtl/>
        </w:rPr>
        <w:sym w:font="Symbol" w:char="F02A"/>
      </w:r>
      <w:r w:rsidRPr="008D7597">
        <w:rPr>
          <w:rFonts w:hint="cs"/>
          <w:sz w:val="28"/>
          <w:rtl/>
        </w:rPr>
        <w:tab/>
        <w:t xml:space="preserve">تأخر تقديم </w:t>
      </w:r>
      <w:r>
        <w:rPr>
          <w:rFonts w:hint="cs"/>
          <w:sz w:val="28"/>
          <w:rtl/>
        </w:rPr>
        <w:t>هذه الوثيقة</w:t>
      </w:r>
      <w:r w:rsidRPr="008D7597">
        <w:rPr>
          <w:rFonts w:hint="cs"/>
          <w:sz w:val="28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1507"/>
    </w:tblGrid>
    <w:tr w:rsidR="00FF7111" w:rsidTr="00FF7111">
      <w:tblPrEx>
        <w:tblCellMar>
          <w:top w:w="0" w:type="dxa"/>
          <w:bottom w:w="0" w:type="dxa"/>
        </w:tblCellMar>
      </w:tblPrEx>
      <w:tc>
        <w:tcPr>
          <w:tcW w:w="1507" w:type="dxa"/>
          <w:shd w:val="clear" w:color="auto" w:fill="auto"/>
        </w:tcPr>
        <w:p w:rsidR="00FF7111" w:rsidRDefault="00FF7111" w:rsidP="00FF7111">
          <w:pPr>
            <w:pStyle w:val="Header"/>
            <w:bidi w:val="0"/>
          </w:pPr>
          <w:r>
            <w:t>CRPD/C/1/1</w:t>
          </w:r>
        </w:p>
        <w:p w:rsidR="00FF7111" w:rsidRDefault="00FF7111" w:rsidP="00FF7111">
          <w:pPr>
            <w:pStyle w:val="Header"/>
            <w:bidi w:val="0"/>
          </w:pPr>
          <w: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A67CC">
            <w:rPr>
              <w:noProof/>
            </w:rPr>
            <w:t>2</w:t>
          </w:r>
          <w:r>
            <w:fldChar w:fldCharType="end"/>
          </w:r>
        </w:p>
      </w:tc>
    </w:tr>
  </w:tbl>
  <w:p w:rsidR="00FF7111" w:rsidRPr="00FF7111" w:rsidRDefault="00FF7111" w:rsidP="00FF71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111" w:rsidRDefault="00FF7111" w:rsidP="00FF7111">
    <w:pPr>
      <w:pStyle w:val="Header"/>
      <w:bidi w:val="0"/>
      <w:rPr>
        <w:lang w:bidi="ar-EG"/>
      </w:rPr>
    </w:pPr>
    <w:r>
      <w:rPr>
        <w:lang w:bidi="ar-EG"/>
      </w:rPr>
      <w:t>CRPD/C/1/1</w:t>
    </w:r>
  </w:p>
  <w:p w:rsidR="00FF7111" w:rsidRPr="00FF7111" w:rsidRDefault="00FF7111" w:rsidP="00FF7111">
    <w:pPr>
      <w:pStyle w:val="Header"/>
      <w:bidi w:val="0"/>
      <w:rPr>
        <w:lang w:bidi="ar-EG"/>
      </w:rPr>
    </w:pPr>
    <w:r>
      <w:rPr>
        <w:lang w:bidi="ar-EG"/>
      </w:rPr>
      <w:t xml:space="preserve">Page </w:t>
    </w:r>
    <w:r>
      <w:rPr>
        <w:lang w:bidi="ar-EG"/>
      </w:rPr>
      <w:fldChar w:fldCharType="begin"/>
    </w:r>
    <w:r>
      <w:rPr>
        <w:lang w:bidi="ar-EG"/>
      </w:rPr>
      <w:instrText xml:space="preserve"> PAGE  \* MERGEFORMAT </w:instrText>
    </w:r>
    <w:r>
      <w:rPr>
        <w:lang w:bidi="ar-EG"/>
      </w:rPr>
      <w:fldChar w:fldCharType="separate"/>
    </w:r>
    <w:r w:rsidR="00790D7A">
      <w:rPr>
        <w:noProof/>
        <w:lang w:bidi="ar-EG"/>
      </w:rPr>
      <w:t>3</w:t>
    </w:r>
    <w:r>
      <w:rPr>
        <w:lang w:bidi="ar-EG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005" w:rsidRDefault="00A54005" w:rsidP="008B562B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CR</w:t>
    </w:r>
    <w:r w:rsidR="008B562B">
      <w:rPr>
        <w:rFonts w:ascii="Arial" w:hAnsi="Arial" w:cs="Arial"/>
        <w:b/>
        <w:bCs/>
        <w:sz w:val="72"/>
        <w:szCs w:val="72"/>
        <w:lang w:eastAsia="en-US"/>
      </w:rPr>
      <w:t>P</w:t>
    </w:r>
    <w:r>
      <w:rPr>
        <w:rFonts w:ascii="Arial" w:hAnsi="Arial" w:cs="Arial"/>
        <w:b/>
        <w:bCs/>
        <w:sz w:val="72"/>
        <w:szCs w:val="72"/>
        <w:lang w:eastAsia="en-US"/>
      </w:rPr>
      <w:t>D</w:t>
    </w:r>
  </w:p>
  <w:p w:rsidR="00A54005" w:rsidRDefault="00A54005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A54005" w:rsidRDefault="00A54005" w:rsidP="0031166A">
    <w:pPr>
      <w:pStyle w:val="Header"/>
      <w:bidi w:val="0"/>
      <w:rPr>
        <w:szCs w:val="22"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7389947" r:id="rId2"/>
      </w:pict>
    </w:r>
  </w:p>
  <w:p w:rsidR="00A54005" w:rsidRDefault="00A54005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13.55pt;margin-top:.8pt;width:216.15pt;height:78.4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A54005" w:rsidRPr="008B562B" w:rsidRDefault="00A54005" w:rsidP="008B562B">
                <w:pPr>
                  <w:spacing w:before="0" w:after="0" w:line="600" w:lineRule="exact"/>
                  <w:jc w:val="left"/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</w:pPr>
                <w:r w:rsidRPr="008B562B"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  <w:t xml:space="preserve">اتفاقية </w:t>
                </w:r>
                <w:r w:rsidR="008B562B" w:rsidRPr="008B562B"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  <w:t>حقوق الأشخاص ذوي الإعاقة</w:t>
                </w:r>
              </w:p>
            </w:txbxContent>
          </v:textbox>
          <w10:wrap type="tight" anchorx="page"/>
        </v:shape>
      </w:pict>
    </w:r>
  </w:p>
  <w:p w:rsidR="00A54005" w:rsidRDefault="00A54005">
    <w:pPr>
      <w:pStyle w:val="Header"/>
      <w:bidi w:val="0"/>
      <w:rPr>
        <w:szCs w:val="22"/>
        <w:lang w:eastAsia="en-US"/>
      </w:rPr>
    </w:pPr>
  </w:p>
  <w:p w:rsidR="00A54005" w:rsidRDefault="00A54005">
    <w:pPr>
      <w:pStyle w:val="Header"/>
      <w:bidi w:val="0"/>
      <w:rPr>
        <w:szCs w:val="22"/>
        <w:lang w:eastAsia="en-US"/>
      </w:rPr>
    </w:pPr>
  </w:p>
  <w:p w:rsidR="00A54005" w:rsidRDefault="00A54005">
    <w:pPr>
      <w:pStyle w:val="Header"/>
      <w:bidi w:val="0"/>
      <w:rPr>
        <w:szCs w:val="22"/>
        <w:lang w:eastAsia="en-US"/>
      </w:rPr>
    </w:pPr>
  </w:p>
  <w:p w:rsidR="00A54005" w:rsidRDefault="00A54005">
    <w:pPr>
      <w:pStyle w:val="Header"/>
      <w:bidi w:val="0"/>
      <w:rPr>
        <w:rtl/>
        <w:lang w:eastAsia="en-US"/>
      </w:rPr>
    </w:pPr>
  </w:p>
  <w:p w:rsidR="00A54005" w:rsidRDefault="00A54005">
    <w:pPr>
      <w:pStyle w:val="Header"/>
      <w:bidi w:val="0"/>
      <w:rPr>
        <w:rtl/>
        <w:lang w:eastAsia="en-US"/>
      </w:rPr>
    </w:pPr>
  </w:p>
  <w:p w:rsidR="00A54005" w:rsidRDefault="00A54005" w:rsidP="00C0304A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13"/>
  <w:drawingGridVerticalSpacing w:val="112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E07"/>
    <w:rsid w:val="000D0AB7"/>
    <w:rsid w:val="000E34B4"/>
    <w:rsid w:val="00111E32"/>
    <w:rsid w:val="001D7F7D"/>
    <w:rsid w:val="0031166A"/>
    <w:rsid w:val="00366ACE"/>
    <w:rsid w:val="004E0B75"/>
    <w:rsid w:val="006879A8"/>
    <w:rsid w:val="00790D7A"/>
    <w:rsid w:val="00806E07"/>
    <w:rsid w:val="008A67CC"/>
    <w:rsid w:val="008B562B"/>
    <w:rsid w:val="009D4D76"/>
    <w:rsid w:val="00A54005"/>
    <w:rsid w:val="00AC5EAC"/>
    <w:rsid w:val="00B71311"/>
    <w:rsid w:val="00C0304A"/>
    <w:rsid w:val="00C1601D"/>
    <w:rsid w:val="00DA30C2"/>
    <w:rsid w:val="00DB6993"/>
    <w:rsid w:val="00DE3C1A"/>
    <w:rsid w:val="00E34D17"/>
    <w:rsid w:val="00E449F0"/>
    <w:rsid w:val="00F72F9A"/>
    <w:rsid w:val="00FB0C43"/>
    <w:rsid w:val="00FF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numPr>
        <w:numId w:val="1"/>
      </w:numPr>
      <w:tabs>
        <w:tab w:val="clear" w:pos="737"/>
      </w:tabs>
      <w:spacing w:before="0" w:after="12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2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4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pPr>
      <w:numPr>
        <w:numId w:val="6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7"/>
      </w:numPr>
      <w:jc w:val="both"/>
    </w:pPr>
  </w:style>
  <w:style w:type="paragraph" w:customStyle="1" w:styleId="-">
    <w:name w:val="(و) -"/>
    <w:basedOn w:val="Normal"/>
    <w:pPr>
      <w:numPr>
        <w:numId w:val="5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9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8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pPr>
      <w:spacing w:before="0" w:after="0"/>
      <w:jc w:val="both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Templatex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3</Pages>
  <Words>411</Words>
  <Characters>2182</Characters>
  <Application>Microsoft Office Word</Application>
  <DocSecurity>4</DocSecurity>
  <Lines>29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الجمعية العامة</vt:lpstr>
      <vt:lpstr>الجمعية العامة</vt:lpstr>
    </vt:vector>
  </TitlesOfParts>
  <Company>ONU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gamal</dc:creator>
  <cp:keywords/>
  <dc:description/>
  <cp:lastModifiedBy>فهمي</cp:lastModifiedBy>
  <cp:revision>2</cp:revision>
  <cp:lastPrinted>2009-02-03T14:38:00Z</cp:lastPrinted>
  <dcterms:created xsi:type="dcterms:W3CDTF">2009-02-03T14:39:00Z</dcterms:created>
  <dcterms:modified xsi:type="dcterms:W3CDTF">2009-02-03T14:39:00Z</dcterms:modified>
</cp:coreProperties>
</file>