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81EB1" w:rsidRPr="002C65E3" w14:paraId="53534257" w14:textId="77777777" w:rsidTr="00E56EE3">
        <w:trPr>
          <w:trHeight w:hRule="exact" w:val="851"/>
        </w:trPr>
        <w:tc>
          <w:tcPr>
            <w:tcW w:w="1280" w:type="dxa"/>
            <w:tcBorders>
              <w:bottom w:val="single" w:sz="4" w:space="0" w:color="auto"/>
            </w:tcBorders>
          </w:tcPr>
          <w:p w14:paraId="7A14C53D" w14:textId="77777777" w:rsidR="002D5AAC" w:rsidRPr="002C65E3" w:rsidRDefault="002D5AAC" w:rsidP="00E56EE3"/>
        </w:tc>
        <w:tc>
          <w:tcPr>
            <w:tcW w:w="2273" w:type="dxa"/>
            <w:tcBorders>
              <w:bottom w:val="single" w:sz="4" w:space="0" w:color="auto"/>
            </w:tcBorders>
            <w:vAlign w:val="bottom"/>
          </w:tcPr>
          <w:p w14:paraId="09DFA75B" w14:textId="77777777" w:rsidR="002D5AAC" w:rsidRPr="002C65E3" w:rsidRDefault="006F4911" w:rsidP="00E56EE3">
            <w:pPr>
              <w:spacing w:after="80" w:line="300" w:lineRule="exact"/>
              <w:rPr>
                <w:sz w:val="28"/>
              </w:rPr>
            </w:pPr>
            <w:r w:rsidRPr="002C65E3">
              <w:rPr>
                <w:sz w:val="28"/>
              </w:rPr>
              <w:t>Naciones Unidas</w:t>
            </w:r>
          </w:p>
        </w:tc>
        <w:tc>
          <w:tcPr>
            <w:tcW w:w="6086" w:type="dxa"/>
            <w:gridSpan w:val="2"/>
            <w:tcBorders>
              <w:bottom w:val="single" w:sz="4" w:space="0" w:color="auto"/>
            </w:tcBorders>
            <w:vAlign w:val="bottom"/>
          </w:tcPr>
          <w:p w14:paraId="6423FAA4" w14:textId="77777777" w:rsidR="002D5AAC" w:rsidRPr="002C65E3" w:rsidRDefault="006F4911" w:rsidP="00E56EE3">
            <w:pPr>
              <w:jc w:val="right"/>
            </w:pPr>
            <w:r w:rsidRPr="002C65E3">
              <w:rPr>
                <w:sz w:val="40"/>
              </w:rPr>
              <w:t>CRPD</w:t>
            </w:r>
            <w:r w:rsidR="00935A0B" w:rsidRPr="002C65E3">
              <w:t>/C/CHL/2-4</w:t>
            </w:r>
          </w:p>
        </w:tc>
      </w:tr>
      <w:tr w:rsidR="00E81EB1" w:rsidRPr="002C65E3" w14:paraId="50E5A812" w14:textId="77777777" w:rsidTr="00E56EE3">
        <w:trPr>
          <w:trHeight w:hRule="exact" w:val="2835"/>
        </w:trPr>
        <w:tc>
          <w:tcPr>
            <w:tcW w:w="1280" w:type="dxa"/>
            <w:tcBorders>
              <w:top w:val="single" w:sz="4" w:space="0" w:color="auto"/>
              <w:bottom w:val="single" w:sz="12" w:space="0" w:color="auto"/>
            </w:tcBorders>
          </w:tcPr>
          <w:p w14:paraId="3C24D880" w14:textId="77777777" w:rsidR="002D5AAC" w:rsidRPr="002C65E3" w:rsidRDefault="006F4911" w:rsidP="00E56EE3">
            <w:pPr>
              <w:spacing w:before="120"/>
              <w:jc w:val="center"/>
            </w:pPr>
            <w:r w:rsidRPr="002C65E3">
              <w:rPr>
                <w:noProof/>
                <w:lang w:eastAsia="en-GB"/>
              </w:rPr>
              <w:drawing>
                <wp:inline distT="0" distB="0" distL="0" distR="0" wp14:anchorId="20F9FC26" wp14:editId="314B013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92789E" w14:textId="77777777" w:rsidR="002D5AAC" w:rsidRPr="002C65E3" w:rsidRDefault="006F4911" w:rsidP="00CC3501">
            <w:pPr>
              <w:spacing w:before="120" w:line="360" w:lineRule="exact"/>
              <w:rPr>
                <w:b/>
                <w:sz w:val="34"/>
                <w:szCs w:val="34"/>
              </w:rPr>
            </w:pPr>
            <w:r w:rsidRPr="002C65E3">
              <w:rPr>
                <w:b/>
                <w:sz w:val="34"/>
                <w:szCs w:val="34"/>
              </w:rPr>
              <w:t>Convención sobre los Derechos</w:t>
            </w:r>
            <w:r w:rsidRPr="002C65E3">
              <w:rPr>
                <w:b/>
                <w:sz w:val="34"/>
                <w:szCs w:val="34"/>
              </w:rPr>
              <w:br/>
              <w:t>de las Personas con Discapacidad</w:t>
            </w:r>
          </w:p>
        </w:tc>
        <w:tc>
          <w:tcPr>
            <w:tcW w:w="2819" w:type="dxa"/>
            <w:tcBorders>
              <w:top w:val="single" w:sz="4" w:space="0" w:color="auto"/>
              <w:bottom w:val="single" w:sz="12" w:space="0" w:color="auto"/>
            </w:tcBorders>
          </w:tcPr>
          <w:p w14:paraId="4A2A4899" w14:textId="77777777" w:rsidR="00935A0B" w:rsidRPr="002C65E3" w:rsidRDefault="006F4911" w:rsidP="00935A0B">
            <w:pPr>
              <w:spacing w:before="240" w:line="240" w:lineRule="exact"/>
            </w:pPr>
            <w:r w:rsidRPr="002C65E3">
              <w:t xml:space="preserve">Distr. </w:t>
            </w:r>
            <w:r w:rsidR="006551F6" w:rsidRPr="002C65E3">
              <w:t>general</w:t>
            </w:r>
          </w:p>
          <w:p w14:paraId="532FF185" w14:textId="7F35A5EE" w:rsidR="00935A0B" w:rsidRPr="002C65E3" w:rsidRDefault="00D80D30" w:rsidP="00935A0B">
            <w:r w:rsidRPr="002C65E3">
              <w:t>2</w:t>
            </w:r>
            <w:r w:rsidR="00536B1E" w:rsidRPr="002C65E3">
              <w:t>9</w:t>
            </w:r>
            <w:r w:rsidR="006F4911" w:rsidRPr="002C65E3">
              <w:t xml:space="preserve"> de </w:t>
            </w:r>
            <w:r w:rsidRPr="002C65E3">
              <w:t xml:space="preserve">enero </w:t>
            </w:r>
            <w:r w:rsidR="00E14188" w:rsidRPr="002C65E3">
              <w:t xml:space="preserve">de </w:t>
            </w:r>
            <w:r w:rsidR="006F4911" w:rsidRPr="002C65E3">
              <w:t>202</w:t>
            </w:r>
            <w:r w:rsidRPr="002C65E3">
              <w:t>6</w:t>
            </w:r>
          </w:p>
          <w:p w14:paraId="71515048" w14:textId="77777777" w:rsidR="00935A0B" w:rsidRPr="002C65E3" w:rsidRDefault="00935A0B" w:rsidP="00935A0B"/>
          <w:p w14:paraId="5781D99C" w14:textId="0E58440C" w:rsidR="00935A0B" w:rsidRPr="002C65E3" w:rsidRDefault="006F4911" w:rsidP="00935A0B">
            <w:r w:rsidRPr="002C65E3">
              <w:t xml:space="preserve">Original: </w:t>
            </w:r>
            <w:r w:rsidR="00907713" w:rsidRPr="002C65E3">
              <w:t>e</w:t>
            </w:r>
            <w:r w:rsidRPr="002C65E3">
              <w:t>spañol</w:t>
            </w:r>
          </w:p>
          <w:p w14:paraId="2B860E77" w14:textId="4A3D5BAC" w:rsidR="002D5AAC" w:rsidRPr="002C65E3" w:rsidRDefault="00883133" w:rsidP="00935A0B">
            <w:pPr>
              <w:spacing w:line="240" w:lineRule="exact"/>
            </w:pPr>
            <w:r w:rsidRPr="002C65E3">
              <w:t>Árabe, e</w:t>
            </w:r>
            <w:r w:rsidR="00935A0B" w:rsidRPr="002C65E3">
              <w:t>spañol, francés e inglés únicamente</w:t>
            </w:r>
          </w:p>
        </w:tc>
      </w:tr>
    </w:tbl>
    <w:p w14:paraId="156DA743" w14:textId="77777777" w:rsidR="001A4396" w:rsidRPr="002C65E3" w:rsidRDefault="006F4911" w:rsidP="001A4396">
      <w:pPr>
        <w:spacing w:before="120"/>
        <w:rPr>
          <w:b/>
          <w:sz w:val="24"/>
        </w:rPr>
      </w:pPr>
      <w:r w:rsidRPr="002C65E3">
        <w:rPr>
          <w:b/>
          <w:sz w:val="24"/>
          <w:szCs w:val="24"/>
        </w:rPr>
        <w:t>Comité sobre los Derechos de las Personas con Discapacidad</w:t>
      </w:r>
    </w:p>
    <w:p w14:paraId="2AB67E52" w14:textId="73650838" w:rsidR="001A4396" w:rsidRPr="002C65E3" w:rsidRDefault="006F4911" w:rsidP="00203C19">
      <w:pPr>
        <w:pStyle w:val="HMG"/>
        <w:rPr>
          <w:rStyle w:val="HMGChar"/>
          <w:b/>
        </w:rPr>
      </w:pPr>
      <w:r w:rsidRPr="002C65E3">
        <w:rPr>
          <w:color w:val="000000"/>
        </w:rPr>
        <w:tab/>
      </w:r>
      <w:r w:rsidRPr="002C65E3">
        <w:rPr>
          <w:color w:val="000000"/>
        </w:rPr>
        <w:tab/>
      </w:r>
      <w:bookmarkStart w:id="0" w:name="_Toc124258702"/>
      <w:r w:rsidR="00D46FF5" w:rsidRPr="002C65E3">
        <w:t>Informes periódicos segundo a cuarto combinados</w:t>
      </w:r>
      <w:r w:rsidR="00D46FF5" w:rsidRPr="002C65E3">
        <w:rPr>
          <w:color w:val="000000"/>
        </w:rPr>
        <w:t xml:space="preserve"> </w:t>
      </w:r>
      <w:r w:rsidR="00D46FF5" w:rsidRPr="002C65E3">
        <w:t xml:space="preserve">que Chile debía presentar en </w:t>
      </w:r>
      <w:r w:rsidRPr="002C65E3">
        <w:t>2022</w:t>
      </w:r>
      <w:r w:rsidR="00D46FF5" w:rsidRPr="002C65E3">
        <w:t xml:space="preserve"> </w:t>
      </w:r>
      <w:r w:rsidR="00203C19" w:rsidRPr="002C65E3">
        <w:t xml:space="preserve">en virtud </w:t>
      </w:r>
      <w:r w:rsidR="00E86D58" w:rsidRPr="002C65E3">
        <w:br/>
      </w:r>
      <w:r w:rsidR="00203C19" w:rsidRPr="002C65E3">
        <w:t>del artículo</w:t>
      </w:r>
      <w:r w:rsidR="00E86D58" w:rsidRPr="002C65E3">
        <w:t xml:space="preserve"> </w:t>
      </w:r>
      <w:r w:rsidR="00203C19" w:rsidRPr="002C65E3">
        <w:t xml:space="preserve">35 de la Convención con arreglo </w:t>
      </w:r>
      <w:r w:rsidR="00E86D58" w:rsidRPr="002C65E3">
        <w:br/>
      </w:r>
      <w:r w:rsidR="00203C19" w:rsidRPr="002C65E3">
        <w:t xml:space="preserve">al procedimiento facultativo de presentación </w:t>
      </w:r>
      <w:r w:rsidR="00E86D58" w:rsidRPr="002C65E3">
        <w:br/>
      </w:r>
      <w:r w:rsidR="00203C19" w:rsidRPr="002C65E3">
        <w:t>de informes</w:t>
      </w:r>
      <w:bookmarkEnd w:id="0"/>
      <w:r w:rsidR="004D7FB8" w:rsidRPr="002C65E3">
        <w:rPr>
          <w:rFonts w:eastAsia="Times New Roman"/>
          <w:b w:val="0"/>
          <w:bCs/>
          <w:sz w:val="20"/>
        </w:rPr>
        <w:footnoteReference w:customMarkFollows="1" w:id="1"/>
        <w:t>*</w:t>
      </w:r>
      <w:r w:rsidR="00907713" w:rsidRPr="002C65E3">
        <w:rPr>
          <w:rFonts w:eastAsia="Times New Roman"/>
          <w:b w:val="0"/>
          <w:bCs/>
          <w:sz w:val="20"/>
          <w:vertAlign w:val="superscript"/>
        </w:rPr>
        <w:t>,</w:t>
      </w:r>
      <w:r w:rsidR="004D7FB8" w:rsidRPr="002C65E3">
        <w:rPr>
          <w:rFonts w:eastAsia="Times New Roman"/>
          <w:bCs/>
          <w:sz w:val="20"/>
        </w:rPr>
        <w:t xml:space="preserve"> </w:t>
      </w:r>
      <w:r w:rsidR="004D7FB8" w:rsidRPr="002C65E3">
        <w:rPr>
          <w:rFonts w:eastAsia="Times New Roman"/>
          <w:b w:val="0"/>
          <w:bCs/>
          <w:sz w:val="20"/>
        </w:rPr>
        <w:footnoteReference w:customMarkFollows="1" w:id="2"/>
        <w:t>**</w:t>
      </w:r>
      <w:r w:rsidR="001B5105" w:rsidRPr="002C65E3">
        <w:rPr>
          <w:rFonts w:eastAsia="Times New Roman"/>
          <w:b w:val="0"/>
          <w:bCs/>
          <w:sz w:val="20"/>
          <w:vertAlign w:val="superscript"/>
        </w:rPr>
        <w:t xml:space="preserve">, </w:t>
      </w:r>
      <w:r w:rsidR="00C04A7D" w:rsidRPr="002C65E3">
        <w:rPr>
          <w:rFonts w:eastAsia="Times New Roman"/>
          <w:b w:val="0"/>
          <w:bCs/>
          <w:sz w:val="20"/>
        </w:rPr>
        <w:footnoteReference w:customMarkFollows="1" w:id="3"/>
        <w:t>***</w:t>
      </w:r>
    </w:p>
    <w:p w14:paraId="3618E67B" w14:textId="77777777" w:rsidR="001A4396" w:rsidRPr="002C65E3" w:rsidRDefault="006F4911" w:rsidP="003A3CE4">
      <w:pPr>
        <w:pStyle w:val="SingleTxtG"/>
        <w:jc w:val="right"/>
      </w:pPr>
      <w:r w:rsidRPr="002C65E3">
        <w:t>[</w:t>
      </w:r>
      <w:r w:rsidR="00E31CF9" w:rsidRPr="002C65E3">
        <w:t xml:space="preserve">Fecha de recepción: </w:t>
      </w:r>
      <w:r w:rsidRPr="002C65E3">
        <w:t>29</w:t>
      </w:r>
      <w:r w:rsidR="00E31CF9" w:rsidRPr="002C65E3">
        <w:t xml:space="preserve"> de </w:t>
      </w:r>
      <w:r w:rsidRPr="002C65E3">
        <w:t>diciembre</w:t>
      </w:r>
      <w:r w:rsidR="00E31CF9" w:rsidRPr="002C65E3">
        <w:t xml:space="preserve"> de </w:t>
      </w:r>
      <w:r w:rsidRPr="002C65E3">
        <w:t>2022]</w:t>
      </w:r>
    </w:p>
    <w:p w14:paraId="744EDC97" w14:textId="77777777" w:rsidR="006F4911" w:rsidRPr="002C65E3" w:rsidRDefault="006F4911" w:rsidP="00D82740">
      <w:pPr>
        <w:pStyle w:val="SingleTxtG"/>
      </w:pPr>
      <w:r w:rsidRPr="002C65E3">
        <w:br w:type="page"/>
      </w:r>
    </w:p>
    <w:p w14:paraId="262F5325" w14:textId="72EFEC76" w:rsidR="006F4911" w:rsidRPr="002C65E3" w:rsidRDefault="006B5C8B" w:rsidP="006B5C8B">
      <w:pPr>
        <w:pStyle w:val="H1G"/>
        <w:rPr>
          <w:lang w:eastAsia="en-US"/>
        </w:rPr>
      </w:pPr>
      <w:bookmarkStart w:id="1" w:name="_Toc122692607"/>
      <w:r w:rsidRPr="002C65E3">
        <w:rPr>
          <w:lang w:eastAsia="en-US"/>
        </w:rPr>
        <w:lastRenderedPageBreak/>
        <w:tab/>
      </w:r>
      <w:r w:rsidRPr="002C65E3">
        <w:rPr>
          <w:lang w:eastAsia="en-US"/>
        </w:rPr>
        <w:tab/>
      </w:r>
      <w:r w:rsidR="006F4911" w:rsidRPr="002C65E3">
        <w:rPr>
          <w:lang w:eastAsia="en-US"/>
        </w:rPr>
        <w:t>Abreviaturas y siglas</w:t>
      </w:r>
      <w:bookmarkEnd w:id="1"/>
    </w:p>
    <w:p w14:paraId="7ECE4FF4"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AATT</w:t>
      </w:r>
      <w:r w:rsidRPr="002C65E3">
        <w:rPr>
          <w:lang w:eastAsia="en-US"/>
        </w:rPr>
        <w:tab/>
        <w:t>Ayudas técnicas</w:t>
      </w:r>
    </w:p>
    <w:p w14:paraId="4BDE3A2D"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CAJ</w:t>
      </w:r>
      <w:r w:rsidRPr="002C65E3">
        <w:rPr>
          <w:lang w:eastAsia="en-US"/>
        </w:rPr>
        <w:tab/>
        <w:t>Corporación de Asistencia Judicial</w:t>
      </w:r>
    </w:p>
    <w:p w14:paraId="276AB7FA"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CC</w:t>
      </w:r>
      <w:r w:rsidRPr="002C65E3">
        <w:rPr>
          <w:lang w:eastAsia="en-US"/>
        </w:rPr>
        <w:tab/>
        <w:t>Código Civil</w:t>
      </w:r>
    </w:p>
    <w:p w14:paraId="4420AD50"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CCD</w:t>
      </w:r>
      <w:r w:rsidRPr="002C65E3">
        <w:rPr>
          <w:lang w:eastAsia="en-US"/>
        </w:rPr>
        <w:tab/>
        <w:t>Calificación y Certificación de la Discapacidad</w:t>
      </w:r>
    </w:p>
    <w:p w14:paraId="34A5B87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CDD</w:t>
      </w:r>
      <w:r w:rsidRPr="002C65E3">
        <w:rPr>
          <w:lang w:eastAsia="en-US"/>
        </w:rPr>
        <w:tab/>
        <w:t>Cámara de Diputadas y Diputados</w:t>
      </w:r>
    </w:p>
    <w:p w14:paraId="54A1B3D9"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CDNNA</w:t>
      </w:r>
      <w:r w:rsidRPr="002C65E3">
        <w:rPr>
          <w:lang w:eastAsia="en-US"/>
        </w:rPr>
        <w:tab/>
        <w:t>Convención sobre los Derechos del Niño [, Niña y Adolescente]</w:t>
      </w:r>
    </w:p>
    <w:p w14:paraId="5A7D5BC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CDPD</w:t>
      </w:r>
      <w:r w:rsidRPr="002C65E3">
        <w:rPr>
          <w:lang w:eastAsia="en-US"/>
        </w:rPr>
        <w:tab/>
        <w:t>Convención sobre los Derechos de las Personas con Discapacidad</w:t>
      </w:r>
    </w:p>
    <w:p w14:paraId="1636DA3B"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CdT</w:t>
      </w:r>
      <w:r w:rsidRPr="002C65E3">
        <w:rPr>
          <w:lang w:eastAsia="en-US"/>
        </w:rPr>
        <w:tab/>
        <w:t>Código del Trabajo</w:t>
      </w:r>
    </w:p>
    <w:p w14:paraId="515EC35A"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CGR</w:t>
      </w:r>
      <w:r w:rsidRPr="002C65E3">
        <w:rPr>
          <w:lang w:eastAsia="en-US"/>
        </w:rPr>
        <w:tab/>
        <w:t>Contralor(ía) General de la República</w:t>
      </w:r>
    </w:p>
    <w:p w14:paraId="3B793D3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CIF</w:t>
      </w:r>
      <w:r w:rsidRPr="002C65E3">
        <w:rPr>
          <w:lang w:eastAsia="en-US"/>
        </w:rPr>
        <w:tab/>
        <w:t>Clasificación Internacional del Funcionamiento, de la Discapacidad y de la Salud</w:t>
      </w:r>
    </w:p>
    <w:p w14:paraId="352D776A"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CM</w:t>
      </w:r>
      <w:r w:rsidRPr="002C65E3">
        <w:rPr>
          <w:lang w:eastAsia="en-US"/>
        </w:rPr>
        <w:tab/>
        <w:t>Centro(s) de la Mujer</w:t>
      </w:r>
    </w:p>
    <w:p w14:paraId="2C4AE59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COMPIN</w:t>
      </w:r>
      <w:r w:rsidRPr="002C65E3">
        <w:rPr>
          <w:lang w:eastAsia="en-US"/>
        </w:rPr>
        <w:tab/>
        <w:t>Comisión de Medicina Preventiva e Invalidez</w:t>
      </w:r>
    </w:p>
    <w:p w14:paraId="5056A1A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CONADIS</w:t>
      </w:r>
      <w:r w:rsidRPr="002C65E3">
        <w:rPr>
          <w:lang w:eastAsia="en-US"/>
        </w:rPr>
        <w:tab/>
        <w:t>Colectivo Nacional de Discapacidad</w:t>
      </w:r>
    </w:p>
    <w:p w14:paraId="26846EAB"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CONAPREM</w:t>
      </w:r>
      <w:r w:rsidRPr="002C65E3">
        <w:rPr>
          <w:lang w:eastAsia="en-US"/>
        </w:rPr>
        <w:tab/>
        <w:t>Comisión Nacional de Protección de los Derechos de las Personas con Enfermedades Mentales</w:t>
      </w:r>
    </w:p>
    <w:p w14:paraId="41965848"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COSOC</w:t>
      </w:r>
      <w:r w:rsidRPr="002C65E3">
        <w:rPr>
          <w:lang w:eastAsia="en-US"/>
        </w:rPr>
        <w:tab/>
        <w:t>Consejos de la Sociedad Civil</w:t>
      </w:r>
    </w:p>
    <w:p w14:paraId="3FC5AAE8"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CP</w:t>
      </w:r>
      <w:r w:rsidRPr="002C65E3">
        <w:rPr>
          <w:lang w:eastAsia="en-US"/>
        </w:rPr>
        <w:tab/>
        <w:t>Código Penal</w:t>
      </w:r>
    </w:p>
    <w:p w14:paraId="1D3A5D9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CPP</w:t>
      </w:r>
      <w:r w:rsidRPr="002C65E3">
        <w:rPr>
          <w:lang w:eastAsia="en-US"/>
        </w:rPr>
        <w:tab/>
        <w:t>Código Procesal Penal</w:t>
      </w:r>
    </w:p>
    <w:p w14:paraId="63249B54"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CPR</w:t>
      </w:r>
      <w:r w:rsidRPr="002C65E3">
        <w:rPr>
          <w:lang w:eastAsia="en-US"/>
        </w:rPr>
        <w:tab/>
        <w:t>Constitución Política de la República</w:t>
      </w:r>
    </w:p>
    <w:p w14:paraId="0E67D7EF"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CS</w:t>
      </w:r>
      <w:r w:rsidRPr="002C65E3">
        <w:rPr>
          <w:lang w:eastAsia="en-US"/>
        </w:rPr>
        <w:tab/>
        <w:t>Corte Suprema</w:t>
      </w:r>
    </w:p>
    <w:p w14:paraId="40D3AD50"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DDHH</w:t>
      </w:r>
      <w:r w:rsidRPr="002C65E3">
        <w:rPr>
          <w:lang w:eastAsia="en-US"/>
        </w:rPr>
        <w:tab/>
        <w:t>Derechos Humanos</w:t>
      </w:r>
    </w:p>
    <w:p w14:paraId="13ACA67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DEMRE</w:t>
      </w:r>
      <w:r w:rsidRPr="002C65E3">
        <w:rPr>
          <w:lang w:eastAsia="en-US"/>
        </w:rPr>
        <w:tab/>
        <w:t>Departamento de Evaluación, Medición y Registro Educacional</w:t>
      </w:r>
    </w:p>
    <w:p w14:paraId="617AD2E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DOM</w:t>
      </w:r>
      <w:r w:rsidRPr="002C65E3">
        <w:rPr>
          <w:lang w:eastAsia="en-US"/>
        </w:rPr>
        <w:tab/>
        <w:t>Dirección de Obras Municipales</w:t>
      </w:r>
    </w:p>
    <w:p w14:paraId="3FF91606"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DT</w:t>
      </w:r>
      <w:r w:rsidRPr="002C65E3">
        <w:rPr>
          <w:lang w:eastAsia="en-US"/>
        </w:rPr>
        <w:tab/>
        <w:t>Dirección del Trabajo</w:t>
      </w:r>
    </w:p>
    <w:p w14:paraId="51CEA990"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DUA</w:t>
      </w:r>
      <w:r w:rsidRPr="002C65E3">
        <w:rPr>
          <w:lang w:eastAsia="en-US"/>
        </w:rPr>
        <w:tab/>
        <w:t>Diseño Universal para el Aprendizaje</w:t>
      </w:r>
    </w:p>
    <w:p w14:paraId="004BDACC"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EA</w:t>
      </w:r>
      <w:r w:rsidRPr="002C65E3">
        <w:rPr>
          <w:lang w:eastAsia="en-US"/>
        </w:rPr>
        <w:tab/>
        <w:t>Espectro autista</w:t>
      </w:r>
    </w:p>
    <w:p w14:paraId="791583A5"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ENDIDE</w:t>
      </w:r>
      <w:r w:rsidRPr="002C65E3">
        <w:rPr>
          <w:lang w:eastAsia="en-US"/>
        </w:rPr>
        <w:tab/>
        <w:t>Encuesta Nacional de Discapacidad y Dependencia</w:t>
      </w:r>
    </w:p>
    <w:p w14:paraId="49685258"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EPP</w:t>
      </w:r>
      <w:r w:rsidRPr="002C65E3">
        <w:rPr>
          <w:lang w:eastAsia="en-US"/>
        </w:rPr>
        <w:tab/>
        <w:t>Elementos de protección personal</w:t>
      </w:r>
    </w:p>
    <w:p w14:paraId="422BD681"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FONAPI</w:t>
      </w:r>
      <w:r w:rsidRPr="002C65E3">
        <w:rPr>
          <w:lang w:eastAsia="en-US"/>
        </w:rPr>
        <w:tab/>
        <w:t>Fondo Nacional de Proyectos Inclusivos</w:t>
      </w:r>
    </w:p>
    <w:p w14:paraId="26D0F938"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FONDART</w:t>
      </w:r>
      <w:r w:rsidRPr="002C65E3">
        <w:rPr>
          <w:lang w:eastAsia="en-US"/>
        </w:rPr>
        <w:tab/>
        <w:t>Fondo Nacional de Desarrollo Cultural y las Artes</w:t>
      </w:r>
    </w:p>
    <w:p w14:paraId="39F5917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GRD</w:t>
      </w:r>
      <w:r w:rsidRPr="002C65E3">
        <w:rPr>
          <w:lang w:eastAsia="en-US"/>
        </w:rPr>
        <w:tab/>
        <w:t>Gestión del Riesgo de Desastres</w:t>
      </w:r>
    </w:p>
    <w:p w14:paraId="1CDA5DF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IFE</w:t>
      </w:r>
      <w:r w:rsidRPr="002C65E3">
        <w:rPr>
          <w:lang w:eastAsia="en-US"/>
        </w:rPr>
        <w:tab/>
        <w:t>Ingreso Familiar de Emergencia</w:t>
      </w:r>
    </w:p>
    <w:p w14:paraId="0052CCFB"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INDH</w:t>
      </w:r>
      <w:r w:rsidRPr="002C65E3">
        <w:rPr>
          <w:lang w:eastAsia="en-US"/>
        </w:rPr>
        <w:tab/>
        <w:t>Instituto Nacional de Derechos Humanos</w:t>
      </w:r>
    </w:p>
    <w:p w14:paraId="038E784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IND</w:t>
      </w:r>
      <w:r w:rsidRPr="002C65E3">
        <w:rPr>
          <w:lang w:eastAsia="en-US"/>
        </w:rPr>
        <w:tab/>
        <w:t>Instituto Nacional del Deporte</w:t>
      </w:r>
    </w:p>
    <w:p w14:paraId="0BA8ED0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INE</w:t>
      </w:r>
      <w:r w:rsidRPr="002C65E3">
        <w:rPr>
          <w:lang w:eastAsia="en-US"/>
        </w:rPr>
        <w:tab/>
        <w:t>Instituto Nacional de Estadísticas</w:t>
      </w:r>
    </w:p>
    <w:p w14:paraId="6A99CDFD"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IPS</w:t>
      </w:r>
      <w:r w:rsidRPr="002C65E3">
        <w:rPr>
          <w:lang w:eastAsia="en-US"/>
        </w:rPr>
        <w:tab/>
        <w:t>Instituto de Previsión Social</w:t>
      </w:r>
    </w:p>
    <w:p w14:paraId="29804F85"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JPL</w:t>
      </w:r>
      <w:r w:rsidRPr="002C65E3">
        <w:rPr>
          <w:lang w:eastAsia="en-US"/>
        </w:rPr>
        <w:tab/>
        <w:t>Juzgados de Policía Local</w:t>
      </w:r>
    </w:p>
    <w:p w14:paraId="3A7772FD"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JUNJI</w:t>
      </w:r>
      <w:r w:rsidRPr="002C65E3">
        <w:rPr>
          <w:lang w:eastAsia="en-US"/>
        </w:rPr>
        <w:tab/>
        <w:t>Junta Nacional de Jardines Infantiles</w:t>
      </w:r>
    </w:p>
    <w:p w14:paraId="13832D4D"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lastRenderedPageBreak/>
        <w:t>LSCH</w:t>
      </w:r>
      <w:r w:rsidRPr="002C65E3">
        <w:rPr>
          <w:lang w:eastAsia="en-US"/>
        </w:rPr>
        <w:tab/>
        <w:t>Lengua de señas chilena</w:t>
      </w:r>
    </w:p>
    <w:p w14:paraId="2A6DB13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MBN</w:t>
      </w:r>
      <w:r w:rsidRPr="002C65E3">
        <w:rPr>
          <w:lang w:eastAsia="en-US"/>
        </w:rPr>
        <w:tab/>
        <w:t>Ministerio de Bienes Nacionales</w:t>
      </w:r>
    </w:p>
    <w:p w14:paraId="4D33BD48"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MDSF</w:t>
      </w:r>
      <w:r w:rsidRPr="002C65E3">
        <w:rPr>
          <w:lang w:eastAsia="en-US"/>
        </w:rPr>
        <w:tab/>
        <w:t>Ministerio de Desarrollo Social y Familia</w:t>
      </w:r>
    </w:p>
    <w:p w14:paraId="54F13F2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Mejor Niñez</w:t>
      </w:r>
      <w:r w:rsidRPr="002C65E3">
        <w:rPr>
          <w:lang w:eastAsia="en-US"/>
        </w:rPr>
        <w:tab/>
        <w:t>Servicio Nacional de Protección Especializada a la Niñez y Adolescencia</w:t>
      </w:r>
    </w:p>
    <w:p w14:paraId="460FDC3C"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MINCAP</w:t>
      </w:r>
      <w:r w:rsidRPr="002C65E3">
        <w:rPr>
          <w:lang w:eastAsia="en-US"/>
        </w:rPr>
        <w:tab/>
        <w:t>Ministerio de las Culturas, las Artes y el Patrimonio</w:t>
      </w:r>
    </w:p>
    <w:p w14:paraId="6980BE50"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MINDEP</w:t>
      </w:r>
      <w:r w:rsidRPr="002C65E3">
        <w:rPr>
          <w:lang w:eastAsia="en-US"/>
        </w:rPr>
        <w:tab/>
        <w:t>Ministerio del Deporte</w:t>
      </w:r>
    </w:p>
    <w:p w14:paraId="0B11FF1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MINEDUC</w:t>
      </w:r>
      <w:r w:rsidRPr="002C65E3">
        <w:rPr>
          <w:lang w:eastAsia="en-US"/>
        </w:rPr>
        <w:tab/>
        <w:t>Ministerio de Educación</w:t>
      </w:r>
    </w:p>
    <w:p w14:paraId="4C73209E"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MINJUDH</w:t>
      </w:r>
      <w:r w:rsidRPr="002C65E3">
        <w:rPr>
          <w:lang w:eastAsia="en-US"/>
        </w:rPr>
        <w:tab/>
        <w:t>Ministerio de Justicia y Derechos Humanos</w:t>
      </w:r>
    </w:p>
    <w:p w14:paraId="77B7276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MINSAL</w:t>
      </w:r>
      <w:r w:rsidRPr="002C65E3">
        <w:rPr>
          <w:lang w:eastAsia="en-US"/>
        </w:rPr>
        <w:tab/>
        <w:t>Ministerio de Salud</w:t>
      </w:r>
    </w:p>
    <w:p w14:paraId="486EE09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MINTRAB</w:t>
      </w:r>
      <w:r w:rsidRPr="002C65E3">
        <w:rPr>
          <w:lang w:eastAsia="en-US"/>
        </w:rPr>
        <w:tab/>
        <w:t>Ministerio del Trabajo y Previsión Social</w:t>
      </w:r>
    </w:p>
    <w:p w14:paraId="60AA388C"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MINVU</w:t>
      </w:r>
      <w:r w:rsidRPr="002C65E3">
        <w:rPr>
          <w:lang w:eastAsia="en-US"/>
        </w:rPr>
        <w:tab/>
        <w:t>Ministerio de Vivienda y Urbanismo</w:t>
      </w:r>
    </w:p>
    <w:p w14:paraId="7D48483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MMEG</w:t>
      </w:r>
      <w:r w:rsidRPr="002C65E3">
        <w:rPr>
          <w:lang w:eastAsia="en-US"/>
        </w:rPr>
        <w:tab/>
        <w:t>Ministerio de la Mujer y la Equidad de Género</w:t>
      </w:r>
    </w:p>
    <w:p w14:paraId="5906913C"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MNPT</w:t>
      </w:r>
      <w:r w:rsidRPr="002C65E3">
        <w:rPr>
          <w:lang w:eastAsia="en-US"/>
        </w:rPr>
        <w:tab/>
        <w:t>Mecanismo Nacional de Prevención contra la Tortura y otros Tratos o Penas Crueles, Inhumanos o Degradantes</w:t>
      </w:r>
    </w:p>
    <w:p w14:paraId="6BFE9A5D"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MP</w:t>
      </w:r>
      <w:r w:rsidRPr="002C65E3">
        <w:rPr>
          <w:lang w:eastAsia="en-US"/>
        </w:rPr>
        <w:tab/>
        <w:t>Ministerio Público</w:t>
      </w:r>
    </w:p>
    <w:p w14:paraId="2174CD6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MTT</w:t>
      </w:r>
      <w:r w:rsidRPr="002C65E3">
        <w:rPr>
          <w:lang w:eastAsia="en-US"/>
        </w:rPr>
        <w:tab/>
        <w:t>Ministerio de Transportes y Telecomunicaciones</w:t>
      </w:r>
    </w:p>
    <w:p w14:paraId="18F7FC26"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NNA</w:t>
      </w:r>
      <w:r w:rsidRPr="002C65E3">
        <w:rPr>
          <w:lang w:eastAsia="en-US"/>
        </w:rPr>
        <w:tab/>
        <w:t>Niños, niñas y/o adolescentes</w:t>
      </w:r>
    </w:p>
    <w:p w14:paraId="7C910595"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ODS</w:t>
      </w:r>
      <w:r w:rsidRPr="002C65E3">
        <w:rPr>
          <w:lang w:eastAsia="en-US"/>
        </w:rPr>
        <w:tab/>
        <w:t>Objetivos de Desarrollo Sostenible</w:t>
      </w:r>
    </w:p>
    <w:p w14:paraId="629025C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OG</w:t>
      </w:r>
      <w:r w:rsidRPr="002C65E3">
        <w:rPr>
          <w:lang w:eastAsia="en-US"/>
        </w:rPr>
        <w:tab/>
        <w:t>Observación General</w:t>
      </w:r>
    </w:p>
    <w:p w14:paraId="4F063ED9"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ONEMI</w:t>
      </w:r>
      <w:r w:rsidRPr="002C65E3">
        <w:rPr>
          <w:lang w:eastAsia="en-US"/>
        </w:rPr>
        <w:tab/>
        <w:t>Oficina Nacional de Emergencia</w:t>
      </w:r>
    </w:p>
    <w:p w14:paraId="3DA5F8D4"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PAJ</w:t>
      </w:r>
      <w:r w:rsidRPr="002C65E3">
        <w:rPr>
          <w:lang w:eastAsia="en-US"/>
        </w:rPr>
        <w:tab/>
        <w:t>Programa Acceso a la Justicia</w:t>
      </w:r>
    </w:p>
    <w:p w14:paraId="2347A95F"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PASMI</w:t>
      </w:r>
      <w:r w:rsidRPr="002C65E3">
        <w:rPr>
          <w:lang w:eastAsia="en-US"/>
        </w:rPr>
        <w:tab/>
        <w:t>Programa de Apoyo a la Salud Mental Infantil</w:t>
      </w:r>
    </w:p>
    <w:p w14:paraId="0F39588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PcD</w:t>
      </w:r>
      <w:r w:rsidRPr="002C65E3">
        <w:rPr>
          <w:lang w:eastAsia="en-US"/>
        </w:rPr>
        <w:tab/>
        <w:t>Persona(s) con discapacidad</w:t>
      </w:r>
    </w:p>
    <w:p w14:paraId="26055981"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PDI</w:t>
      </w:r>
      <w:r w:rsidRPr="002C65E3">
        <w:rPr>
          <w:lang w:eastAsia="en-US"/>
        </w:rPr>
        <w:tab/>
        <w:t>Policía de Investigaciones</w:t>
      </w:r>
    </w:p>
    <w:p w14:paraId="36478161"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PdL</w:t>
      </w:r>
      <w:r w:rsidRPr="002C65E3">
        <w:rPr>
          <w:lang w:eastAsia="en-US"/>
        </w:rPr>
        <w:tab/>
        <w:t>Proyecto(s) de Ley</w:t>
      </w:r>
    </w:p>
    <w:p w14:paraId="703B461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PIB</w:t>
      </w:r>
      <w:r w:rsidRPr="002C65E3">
        <w:rPr>
          <w:lang w:eastAsia="en-US"/>
        </w:rPr>
        <w:tab/>
        <w:t>Producto Interno Bruto</w:t>
      </w:r>
    </w:p>
    <w:p w14:paraId="2CFC0698"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PIE</w:t>
      </w:r>
      <w:r w:rsidRPr="002C65E3">
        <w:rPr>
          <w:lang w:eastAsia="en-US"/>
        </w:rPr>
        <w:tab/>
        <w:t>Programa de Integración Escolar</w:t>
      </w:r>
    </w:p>
    <w:p w14:paraId="5B95B7FA"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PJUD</w:t>
      </w:r>
      <w:r w:rsidRPr="002C65E3">
        <w:rPr>
          <w:lang w:eastAsia="en-US"/>
        </w:rPr>
        <w:tab/>
        <w:t>Poder Judicial</w:t>
      </w:r>
    </w:p>
    <w:p w14:paraId="19BFEBF5"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PMG</w:t>
      </w:r>
      <w:r w:rsidRPr="002C65E3">
        <w:rPr>
          <w:lang w:eastAsia="en-US"/>
        </w:rPr>
        <w:tab/>
        <w:t>Programa de Mejoramiento de Gestión</w:t>
      </w:r>
    </w:p>
    <w:p w14:paraId="72CBCC5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PNAU</w:t>
      </w:r>
      <w:r w:rsidRPr="002C65E3">
        <w:rPr>
          <w:lang w:eastAsia="en-US"/>
        </w:rPr>
        <w:tab/>
        <w:t>Plan Nacional de Accesibilidad Universal</w:t>
      </w:r>
    </w:p>
    <w:p w14:paraId="0F6A807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PNCCD</w:t>
      </w:r>
      <w:r w:rsidRPr="002C65E3">
        <w:rPr>
          <w:lang w:eastAsia="en-US"/>
        </w:rPr>
        <w:tab/>
        <w:t>Plan Nacional de Calificación y Certificación de la Discapacidad</w:t>
      </w:r>
    </w:p>
    <w:p w14:paraId="03CE454C"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PNDH</w:t>
      </w:r>
      <w:r w:rsidRPr="002C65E3">
        <w:rPr>
          <w:lang w:eastAsia="en-US"/>
        </w:rPr>
        <w:tab/>
        <w:t>Plan Nacional de Derechos Humanos</w:t>
      </w:r>
    </w:p>
    <w:p w14:paraId="1B452AB6"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REVELO</w:t>
      </w:r>
      <w:r w:rsidRPr="002C65E3">
        <w:rPr>
          <w:lang w:eastAsia="en-US"/>
        </w:rPr>
        <w:tab/>
        <w:t xml:space="preserve">Estrategia Redes Vecinales y Locales para la Autonomía </w:t>
      </w:r>
    </w:p>
    <w:p w14:paraId="4784412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RESI</w:t>
      </w:r>
      <w:r w:rsidRPr="002C65E3">
        <w:rPr>
          <w:lang w:eastAsia="en-US"/>
        </w:rPr>
        <w:tab/>
        <w:t>Red de Educación Superior Inclusiva</w:t>
      </w:r>
    </w:p>
    <w:p w14:paraId="37C3BE5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RLAC</w:t>
      </w:r>
      <w:r w:rsidRPr="002C65E3">
        <w:rPr>
          <w:lang w:eastAsia="en-US"/>
        </w:rPr>
        <w:tab/>
        <w:t>Red Local de Apoyos y Cuidados</w:t>
      </w:r>
    </w:p>
    <w:p w14:paraId="6B692B20"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RM</w:t>
      </w:r>
      <w:r w:rsidRPr="002C65E3">
        <w:rPr>
          <w:lang w:eastAsia="en-US"/>
        </w:rPr>
        <w:tab/>
        <w:t>Región Metropolitana.</w:t>
      </w:r>
    </w:p>
    <w:p w14:paraId="3CA8549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RND</w:t>
      </w:r>
      <w:r w:rsidRPr="002C65E3">
        <w:rPr>
          <w:lang w:eastAsia="en-US"/>
        </w:rPr>
        <w:tab/>
        <w:t>Registro Nacional de la Discapacidad</w:t>
      </w:r>
    </w:p>
    <w:p w14:paraId="20C15F40"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RRHH</w:t>
      </w:r>
      <w:r w:rsidRPr="002C65E3">
        <w:rPr>
          <w:lang w:eastAsia="en-US"/>
        </w:rPr>
        <w:tab/>
        <w:t>Recursos Humanos</w:t>
      </w:r>
    </w:p>
    <w:p w14:paraId="356FD78B"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RRSS</w:t>
      </w:r>
      <w:r w:rsidRPr="002C65E3">
        <w:rPr>
          <w:lang w:eastAsia="en-US"/>
        </w:rPr>
        <w:tab/>
        <w:t>Redes sociales</w:t>
      </w:r>
    </w:p>
    <w:p w14:paraId="1EACB94E"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RSH</w:t>
      </w:r>
      <w:r w:rsidRPr="002C65E3">
        <w:rPr>
          <w:lang w:eastAsia="en-US"/>
        </w:rPr>
        <w:tab/>
        <w:t>Registro Social de Hogares</w:t>
      </w:r>
    </w:p>
    <w:p w14:paraId="634D959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lastRenderedPageBreak/>
        <w:t>SAMU</w:t>
      </w:r>
      <w:r w:rsidRPr="002C65E3">
        <w:rPr>
          <w:lang w:eastAsia="en-US"/>
        </w:rPr>
        <w:tab/>
        <w:t>Servicio de Atención Médica de Urgencia</w:t>
      </w:r>
    </w:p>
    <w:p w14:paraId="32709ACC"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SEGEGOB</w:t>
      </w:r>
      <w:r w:rsidRPr="002C65E3">
        <w:rPr>
          <w:lang w:eastAsia="en-US"/>
        </w:rPr>
        <w:tab/>
        <w:t>Ministerio Secretaría General de Gobierno</w:t>
      </w:r>
    </w:p>
    <w:p w14:paraId="24EF4EE4"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SEGPRES</w:t>
      </w:r>
      <w:r w:rsidRPr="002C65E3">
        <w:rPr>
          <w:lang w:eastAsia="en-US"/>
        </w:rPr>
        <w:tab/>
        <w:t>Ministerio Secretaría General de la Presidencia</w:t>
      </w:r>
    </w:p>
    <w:p w14:paraId="0BB23EF2"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SENADIS</w:t>
      </w:r>
      <w:r w:rsidRPr="002C65E3">
        <w:rPr>
          <w:lang w:eastAsia="en-US"/>
        </w:rPr>
        <w:tab/>
        <w:t>Servicio Nacional de la Discapacidad</w:t>
      </w:r>
    </w:p>
    <w:p w14:paraId="502593A5"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SENAMA</w:t>
      </w:r>
      <w:r w:rsidRPr="002C65E3">
        <w:rPr>
          <w:lang w:eastAsia="en-US"/>
        </w:rPr>
        <w:tab/>
        <w:t>Servicio Nacional del Adulto Mayor</w:t>
      </w:r>
    </w:p>
    <w:p w14:paraId="4C9DF09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SENAME</w:t>
      </w:r>
      <w:r w:rsidRPr="002C65E3">
        <w:rPr>
          <w:lang w:eastAsia="en-US"/>
        </w:rPr>
        <w:tab/>
        <w:t>Servicio Nacional de Menores</w:t>
      </w:r>
    </w:p>
    <w:p w14:paraId="6223ADEA"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SENCE</w:t>
      </w:r>
      <w:r w:rsidRPr="002C65E3">
        <w:rPr>
          <w:lang w:eastAsia="en-US"/>
        </w:rPr>
        <w:tab/>
        <w:t>Servicio Nacional de Capacitación y Empleo</w:t>
      </w:r>
    </w:p>
    <w:p w14:paraId="0DD3DAC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SEREMI</w:t>
      </w:r>
      <w:r w:rsidRPr="002C65E3">
        <w:rPr>
          <w:lang w:eastAsia="en-US"/>
        </w:rPr>
        <w:tab/>
        <w:t>Secretaría Regional Ministerial</w:t>
      </w:r>
    </w:p>
    <w:p w14:paraId="137CC5EF"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SERNAMEG</w:t>
      </w:r>
      <w:r w:rsidRPr="002C65E3">
        <w:rPr>
          <w:lang w:eastAsia="en-US"/>
        </w:rPr>
        <w:tab/>
        <w:t>Servicio Nacional de la Mujer y la Equidad de Género</w:t>
      </w:r>
    </w:p>
    <w:p w14:paraId="34C219CC"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SERVEL</w:t>
      </w:r>
      <w:r w:rsidRPr="002C65E3">
        <w:rPr>
          <w:lang w:eastAsia="en-US"/>
        </w:rPr>
        <w:tab/>
        <w:t>Servicio Electoral</w:t>
      </w:r>
    </w:p>
    <w:p w14:paraId="156474E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SES</w:t>
      </w:r>
      <w:r w:rsidRPr="002C65E3">
        <w:rPr>
          <w:lang w:eastAsia="en-US"/>
        </w:rPr>
        <w:tab/>
        <w:t>Subsecretaría de Evaluación Social</w:t>
      </w:r>
    </w:p>
    <w:p w14:paraId="49E4F0C5"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SML</w:t>
      </w:r>
      <w:r w:rsidRPr="002C65E3">
        <w:rPr>
          <w:lang w:eastAsia="en-US"/>
        </w:rPr>
        <w:tab/>
        <w:t>Servicio Médico Legal</w:t>
      </w:r>
    </w:p>
    <w:p w14:paraId="6EF59A44"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SOFOFA</w:t>
      </w:r>
      <w:r w:rsidRPr="002C65E3">
        <w:rPr>
          <w:lang w:eastAsia="en-US"/>
        </w:rPr>
        <w:tab/>
        <w:t>Sociedad de Fomento Fabril</w:t>
      </w:r>
    </w:p>
    <w:p w14:paraId="5F2C27B3"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SRCeI</w:t>
      </w:r>
      <w:r w:rsidRPr="002C65E3">
        <w:rPr>
          <w:lang w:eastAsia="en-US"/>
        </w:rPr>
        <w:tab/>
        <w:t>Servicio de Registro Civil e Identificación</w:t>
      </w:r>
    </w:p>
    <w:p w14:paraId="3BFBE7C0"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SSP</w:t>
      </w:r>
      <w:r w:rsidRPr="002C65E3">
        <w:rPr>
          <w:lang w:eastAsia="en-US"/>
        </w:rPr>
        <w:tab/>
        <w:t>Subsecretaría de Salud Pública</w:t>
      </w:r>
    </w:p>
    <w:p w14:paraId="49F695E7"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SSS</w:t>
      </w:r>
      <w:r w:rsidRPr="002C65E3">
        <w:rPr>
          <w:lang w:eastAsia="en-US"/>
        </w:rPr>
        <w:tab/>
        <w:t>Subsecretaría de Servicios Sociales</w:t>
      </w:r>
    </w:p>
    <w:p w14:paraId="13E1A101" w14:textId="77777777"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TVI</w:t>
      </w:r>
      <w:r w:rsidRPr="002C65E3">
        <w:rPr>
          <w:lang w:eastAsia="en-US"/>
        </w:rPr>
        <w:tab/>
        <w:t>Tránsito a la vida independiente</w:t>
      </w:r>
    </w:p>
    <w:p w14:paraId="794F5E7A" w14:textId="51EA4DEC" w:rsidR="006B5C8B" w:rsidRPr="002C65E3" w:rsidRDefault="006B5C8B" w:rsidP="00E86D58">
      <w:pPr>
        <w:pStyle w:val="SingleTxtG"/>
        <w:tabs>
          <w:tab w:val="clear" w:pos="1701"/>
          <w:tab w:val="clear" w:pos="2268"/>
          <w:tab w:val="clear" w:pos="2835"/>
        </w:tabs>
        <w:ind w:left="2552" w:hanging="1418"/>
        <w:rPr>
          <w:lang w:eastAsia="en-US"/>
        </w:rPr>
      </w:pPr>
      <w:r w:rsidRPr="002C65E3">
        <w:rPr>
          <w:lang w:eastAsia="en-US"/>
        </w:rPr>
        <w:t>URAVIT</w:t>
      </w:r>
      <w:r w:rsidRPr="002C65E3">
        <w:rPr>
          <w:lang w:eastAsia="en-US"/>
        </w:rPr>
        <w:tab/>
        <w:t>Unidades Regionales de Atención a las Víctimas y Testigos</w:t>
      </w:r>
    </w:p>
    <w:p w14:paraId="420866A9" w14:textId="5757335D" w:rsidR="006B5C8B" w:rsidRPr="002C65E3" w:rsidRDefault="006B5C8B">
      <w:pPr>
        <w:spacing w:line="240" w:lineRule="auto"/>
        <w:rPr>
          <w:lang w:eastAsia="en-US"/>
        </w:rPr>
      </w:pPr>
      <w:r w:rsidRPr="002C65E3">
        <w:rPr>
          <w:lang w:eastAsia="en-US"/>
        </w:rPr>
        <w:br w:type="page"/>
      </w:r>
    </w:p>
    <w:p w14:paraId="6E532431" w14:textId="239DB78D" w:rsidR="006F4911" w:rsidRPr="002C65E3" w:rsidRDefault="006B5C8B" w:rsidP="001776CD">
      <w:pPr>
        <w:pStyle w:val="HChG"/>
      </w:pPr>
      <w:bookmarkStart w:id="2" w:name="_Toc122692608"/>
      <w:r w:rsidRPr="002C65E3">
        <w:lastRenderedPageBreak/>
        <w:tab/>
        <w:t>I.</w:t>
      </w:r>
      <w:r w:rsidRPr="002C65E3">
        <w:tab/>
      </w:r>
      <w:r w:rsidR="006F4911" w:rsidRPr="002C65E3">
        <w:t>Introducción</w:t>
      </w:r>
      <w:bookmarkEnd w:id="2"/>
    </w:p>
    <w:p w14:paraId="06A05D05" w14:textId="1E759832" w:rsidR="006F4911" w:rsidRPr="002C65E3" w:rsidRDefault="00156F70" w:rsidP="001776CD">
      <w:pPr>
        <w:pStyle w:val="SingleTxtG"/>
        <w:rPr>
          <w:lang w:eastAsia="en-US"/>
        </w:rPr>
      </w:pPr>
      <w:r w:rsidRPr="002C65E3">
        <w:rPr>
          <w:lang w:eastAsia="en-US"/>
        </w:rPr>
        <w:t>1.</w:t>
      </w:r>
      <w:r w:rsidRPr="002C65E3">
        <w:rPr>
          <w:lang w:eastAsia="en-US"/>
        </w:rPr>
        <w:tab/>
      </w:r>
      <w:r w:rsidR="006F4911" w:rsidRPr="002C65E3">
        <w:rPr>
          <w:lang w:eastAsia="en-US"/>
        </w:rPr>
        <w:t xml:space="preserve">El Estado de Chile, dando respuesta a la Lista de Cuestiones Previa a la presentación de los informes periódicos segundo a cuarto combinados del Comité, reporta los avances en la implementación de la CDPD. </w:t>
      </w:r>
    </w:p>
    <w:p w14:paraId="511D4DF9" w14:textId="2CCCF69B" w:rsidR="006F4911" w:rsidRPr="002C65E3" w:rsidRDefault="00156F70" w:rsidP="001776CD">
      <w:pPr>
        <w:pStyle w:val="SingleTxtG"/>
        <w:rPr>
          <w:lang w:eastAsia="en-US"/>
        </w:rPr>
      </w:pPr>
      <w:r w:rsidRPr="002C65E3">
        <w:rPr>
          <w:lang w:eastAsia="en-US"/>
        </w:rPr>
        <w:t>2.</w:t>
      </w:r>
      <w:r w:rsidRPr="002C65E3">
        <w:rPr>
          <w:lang w:eastAsia="en-US"/>
        </w:rPr>
        <w:tab/>
      </w:r>
      <w:r w:rsidR="006F4911" w:rsidRPr="002C65E3">
        <w:rPr>
          <w:lang w:eastAsia="en-US"/>
        </w:rPr>
        <w:t>El informe abarca el período entre 2016 y julio de 2022, e involucró a más de 40</w:t>
      </w:r>
      <w:r w:rsidR="001776CD" w:rsidRPr="002C65E3">
        <w:rPr>
          <w:lang w:eastAsia="en-US"/>
        </w:rPr>
        <w:t> </w:t>
      </w:r>
      <w:r w:rsidR="006F4911" w:rsidRPr="002C65E3">
        <w:rPr>
          <w:lang w:eastAsia="en-US"/>
        </w:rPr>
        <w:t xml:space="preserve">reparticiones públicas. En él se destacan avances legislativos, de política pública y hechos relevantes que impactaron el ejercicio de derechos de la ciudadanía en general, y de las PcD en particular. </w:t>
      </w:r>
    </w:p>
    <w:p w14:paraId="6C453C65" w14:textId="68295414" w:rsidR="006F4911" w:rsidRPr="002C65E3" w:rsidRDefault="00156F70" w:rsidP="001776CD">
      <w:pPr>
        <w:pStyle w:val="SingleTxtG"/>
        <w:rPr>
          <w:lang w:eastAsia="en-US"/>
        </w:rPr>
      </w:pPr>
      <w:r w:rsidRPr="002C65E3">
        <w:rPr>
          <w:lang w:eastAsia="en-US"/>
        </w:rPr>
        <w:t>3.</w:t>
      </w:r>
      <w:r w:rsidRPr="002C65E3">
        <w:rPr>
          <w:lang w:eastAsia="en-US"/>
        </w:rPr>
        <w:tab/>
      </w:r>
      <w:r w:rsidR="006F4911" w:rsidRPr="002C65E3">
        <w:rPr>
          <w:lang w:eastAsia="en-US"/>
        </w:rPr>
        <w:t>A nivel legislativo, destacan la publicación de las siguientes leyes: i) Ley N</w:t>
      </w:r>
      <w:r w:rsidR="00405113" w:rsidRPr="002C65E3">
        <w:rPr>
          <w:lang w:eastAsia="en-US"/>
        </w:rPr>
        <w:t>º </w:t>
      </w:r>
      <w:r w:rsidR="006F4911" w:rsidRPr="002C65E3">
        <w:rPr>
          <w:lang w:eastAsia="en-US"/>
        </w:rPr>
        <w:t>21.015 (2017), que incentiva la inclusión laboral de PcD en los organismos del Estado y en empresas privadas; ii) Ley N</w:t>
      </w:r>
      <w:r w:rsidR="00405113" w:rsidRPr="002C65E3">
        <w:rPr>
          <w:lang w:eastAsia="en-US"/>
        </w:rPr>
        <w:t>º </w:t>
      </w:r>
      <w:r w:rsidR="006F4911" w:rsidRPr="002C65E3">
        <w:rPr>
          <w:lang w:eastAsia="en-US"/>
        </w:rPr>
        <w:t>21.168 (2019), que consagra el derecho a la atención preferente en salud para PcD; iii) Ley N</w:t>
      </w:r>
      <w:r w:rsidR="00405113" w:rsidRPr="002C65E3">
        <w:rPr>
          <w:lang w:eastAsia="en-US"/>
        </w:rPr>
        <w:t>º </w:t>
      </w:r>
      <w:r w:rsidR="006F4911" w:rsidRPr="002C65E3">
        <w:rPr>
          <w:lang w:eastAsia="en-US"/>
        </w:rPr>
        <w:t>21.303 (2021), que promueve el uso de la lengua de señas chilena, reconociéndose como la lengua oficial de las personas sordas.; iv) Ley N</w:t>
      </w:r>
      <w:r w:rsidR="00405113" w:rsidRPr="002C65E3">
        <w:rPr>
          <w:lang w:eastAsia="en-US"/>
        </w:rPr>
        <w:t>º </w:t>
      </w:r>
      <w:r w:rsidR="006F4911" w:rsidRPr="002C65E3">
        <w:rPr>
          <w:lang w:eastAsia="en-US"/>
        </w:rPr>
        <w:t>21.331 (2021), que reconoce y protege los derechos de las personas con enfermedad mental o discapacidad psíquica o intelectual; v) Ley N</w:t>
      </w:r>
      <w:r w:rsidR="00405113" w:rsidRPr="002C65E3">
        <w:rPr>
          <w:lang w:eastAsia="en-US"/>
        </w:rPr>
        <w:t>º </w:t>
      </w:r>
      <w:r w:rsidR="006F4911" w:rsidRPr="002C65E3">
        <w:rPr>
          <w:lang w:eastAsia="en-US"/>
        </w:rPr>
        <w:t>21.380 (2021), que reconoce a cuidadores de PcD el derecho a la atención preferente en el ámbito de la salud; y vi) Ley N</w:t>
      </w:r>
      <w:r w:rsidR="00405113" w:rsidRPr="002C65E3">
        <w:rPr>
          <w:lang w:eastAsia="en-US"/>
        </w:rPr>
        <w:t>º </w:t>
      </w:r>
      <w:r w:rsidR="006F4911" w:rsidRPr="002C65E3">
        <w:rPr>
          <w:lang w:eastAsia="en-US"/>
        </w:rPr>
        <w:t xml:space="preserve">21.403 (2022), que reconoce la sordoceguera como discapacidad única. </w:t>
      </w:r>
    </w:p>
    <w:p w14:paraId="372AE0F5" w14:textId="231BE36E" w:rsidR="006F4911" w:rsidRPr="002C65E3" w:rsidRDefault="00156F70" w:rsidP="001776CD">
      <w:pPr>
        <w:pStyle w:val="SingleTxtG"/>
        <w:rPr>
          <w:lang w:eastAsia="en-US"/>
        </w:rPr>
      </w:pPr>
      <w:r w:rsidRPr="002C65E3">
        <w:rPr>
          <w:lang w:eastAsia="en-US"/>
        </w:rPr>
        <w:t>4.</w:t>
      </w:r>
      <w:r w:rsidRPr="002C65E3">
        <w:rPr>
          <w:lang w:eastAsia="en-US"/>
        </w:rPr>
        <w:tab/>
      </w:r>
      <w:r w:rsidR="006F4911" w:rsidRPr="002C65E3">
        <w:rPr>
          <w:lang w:eastAsia="en-US"/>
        </w:rPr>
        <w:t xml:space="preserve">En políticas públicas, destacan los esfuerzos por transversalizar la variable discapacidad dentro del actuar de todos los Poderes del Estado, especialmente, en salud, educación, trabajo, emergencias y desastres, vivienda, seguridad pública, acceso a la justicia, género, deporte y cultura. </w:t>
      </w:r>
    </w:p>
    <w:p w14:paraId="0304F0FF" w14:textId="430974C3" w:rsidR="006F4911" w:rsidRPr="002C65E3" w:rsidRDefault="00156F70" w:rsidP="001776CD">
      <w:pPr>
        <w:pStyle w:val="SingleTxtG"/>
        <w:rPr>
          <w:lang w:eastAsia="en-US"/>
        </w:rPr>
      </w:pPr>
      <w:r w:rsidRPr="002C65E3">
        <w:rPr>
          <w:lang w:eastAsia="en-US"/>
        </w:rPr>
        <w:t>5.</w:t>
      </w:r>
      <w:r w:rsidRPr="002C65E3">
        <w:rPr>
          <w:lang w:eastAsia="en-US"/>
        </w:rPr>
        <w:tab/>
      </w:r>
      <w:r w:rsidR="006F4911" w:rsidRPr="002C65E3">
        <w:rPr>
          <w:lang w:eastAsia="en-US"/>
        </w:rPr>
        <w:t>Asimismo, son relevantes las acciones impulsadas para avanzar hacia un proceso de calificación y certificación de la discapacidad que incorpore el enfoque de DDHH y contemple mejoras en su aplicación. Asimismo, destacan los avances en salud mental con la publicación de la Ley N</w:t>
      </w:r>
      <w:r w:rsidR="00405113" w:rsidRPr="002C65E3">
        <w:rPr>
          <w:lang w:eastAsia="en-US"/>
        </w:rPr>
        <w:t>º </w:t>
      </w:r>
      <w:r w:rsidR="006F4911" w:rsidRPr="002C65E3">
        <w:rPr>
          <w:lang w:eastAsia="en-US"/>
        </w:rPr>
        <w:t>21.331 y el reconocimiento a nivel normativo del derecho de toda persona a otorgar o denegar su voluntad para someterse a cualquier procedimiento o tratamiento vinculado a su atención de salud. En este mismo contexto, desde 2021, se prohíbe expresamente la esterilización forzosa de NNA. También destacan las acciones para minimizar los efectos negativos de la pandemia en las PcD, velando en todo momento por la accesibilidad de la información, garantizando el acceso ininterrumpido a servicios de apoyo, a la salud y a la educación.</w:t>
      </w:r>
    </w:p>
    <w:p w14:paraId="6F9E1FE1" w14:textId="7060C453" w:rsidR="006F4911" w:rsidRPr="002C65E3" w:rsidRDefault="00156F70" w:rsidP="001776CD">
      <w:pPr>
        <w:pStyle w:val="SingleTxtG"/>
        <w:rPr>
          <w:lang w:eastAsia="en-US"/>
        </w:rPr>
      </w:pPr>
      <w:r w:rsidRPr="002C65E3">
        <w:rPr>
          <w:lang w:eastAsia="en-US"/>
        </w:rPr>
        <w:t>6.</w:t>
      </w:r>
      <w:r w:rsidRPr="002C65E3">
        <w:rPr>
          <w:lang w:eastAsia="en-US"/>
        </w:rPr>
        <w:tab/>
      </w:r>
      <w:r w:rsidR="006F4911" w:rsidRPr="002C65E3">
        <w:rPr>
          <w:lang w:eastAsia="en-US"/>
        </w:rPr>
        <w:t>Sin perjuicio de los avances, durante la elaboración de este informe se constataron importantes desafíos para garantizar los derechos de las PcD. Es imperioso continuar reforzando el trabajo intersectorial, para que las políticas, planes, programas e iniciativas consideren a las PcD en todo su ciclo de vida, intersectando además con variables como el género, la nacionalidad, la situación migratoria, la pertenencia a un pueblo originario, la privación de libertad, entre otras. Asimismo, se identificaron falencias en la generación de datos y registros públicos, ya que éstos no siempre consideran la discapacidad como antecedente a consultar, lo que impide contar con información cuantitativa más precisa respecto al impacto de ciertos fenómenos y de políticas públicas u otras iniciativas. Se espera que la ENDIDE, cuyos resultados a la fecha se encuentran pendientes, permita suplir en parte la falta de datos actualizados. Otro gran desafío es avanzar hacia el pleno reconocimiento de la capacidad jurídica de las PcD, eliminando el modelo de sustitución de voluntad aún vigente en Chile, para pasar a un sistema de apoyos y salvaguardias, existiendo PdL en ese sentido.</w:t>
      </w:r>
    </w:p>
    <w:p w14:paraId="2039F241" w14:textId="62BB10E8" w:rsidR="006F4911" w:rsidRPr="002C65E3" w:rsidRDefault="00156F70" w:rsidP="001776CD">
      <w:pPr>
        <w:pStyle w:val="SingleTxtG"/>
        <w:rPr>
          <w:lang w:eastAsia="en-US"/>
        </w:rPr>
      </w:pPr>
      <w:r w:rsidRPr="002C65E3">
        <w:rPr>
          <w:lang w:eastAsia="en-US"/>
        </w:rPr>
        <w:t>7.</w:t>
      </w:r>
      <w:r w:rsidRPr="002C65E3">
        <w:rPr>
          <w:lang w:eastAsia="en-US"/>
        </w:rPr>
        <w:tab/>
      </w:r>
      <w:r w:rsidR="006F4911" w:rsidRPr="002C65E3">
        <w:rPr>
          <w:lang w:eastAsia="en-US"/>
        </w:rPr>
        <w:t>Considerando que los DDHH son un eje central y transversal del programa del nuevo Gobierno, este ciclo de reporte es de la mayor relevancia y un compromiso fundamental dentro de la gestión pública en materia de discapacidad. En este contexto, en octubre de 2022, SENADIS convocó a las PcD, sus organizaciones, familias y a la ciudadanía en general, a complementar este informe con sus observaciones sobre tres temas relevantes</w:t>
      </w:r>
      <w:r w:rsidR="006F4911" w:rsidRPr="002C65E3">
        <w:rPr>
          <w:rStyle w:val="Refdenotaalpie"/>
        </w:rPr>
        <w:footnoteReference w:id="4"/>
      </w:r>
      <w:r w:rsidR="006F4911" w:rsidRPr="002C65E3">
        <w:rPr>
          <w:lang w:eastAsia="en-US"/>
        </w:rPr>
        <w:t xml:space="preserve">: calificación y certificación de la discapacidad, protección de la integridad de las PcD, y discapacidad y COVID-19; las que fueron seleccionadas a partir de las recomendaciones que el CDPD hizo al Estado en 2016 y de la lista de cuestiones remitida en 2020. Asimismo, se efectuaron </w:t>
      </w:r>
      <w:r w:rsidR="006F4911" w:rsidRPr="002C65E3">
        <w:rPr>
          <w:lang w:eastAsia="en-US"/>
        </w:rPr>
        <w:lastRenderedPageBreak/>
        <w:t>jornadas de trabajo con los COSOC regionales para conocer su opinión y percepción sobre el proceso de reporte y sobre las tres temáticas antes mencionadas</w:t>
      </w:r>
      <w:r w:rsidR="006F4911" w:rsidRPr="002C65E3">
        <w:rPr>
          <w:rStyle w:val="Refdenotaalpie"/>
        </w:rPr>
        <w:footnoteReference w:id="5"/>
      </w:r>
      <w:r w:rsidR="006F4911" w:rsidRPr="002C65E3">
        <w:rPr>
          <w:lang w:eastAsia="en-US"/>
        </w:rPr>
        <w:t>. El resultado de este proceso participativo ha sido sistematizado en un documento que se acompaña como Anexo N</w:t>
      </w:r>
      <w:r w:rsidR="00405113" w:rsidRPr="002C65E3">
        <w:rPr>
          <w:lang w:eastAsia="en-US"/>
        </w:rPr>
        <w:t>º </w:t>
      </w:r>
      <w:r w:rsidR="006F4911" w:rsidRPr="002C65E3">
        <w:rPr>
          <w:lang w:eastAsia="en-US"/>
        </w:rPr>
        <w:t xml:space="preserve">8, y cuyo objeto es relevar la visión de la sociedad civil sobre dichas temáticas y complementar la respuesta del Estado sobre las mismas. </w:t>
      </w:r>
    </w:p>
    <w:p w14:paraId="6A0F673A" w14:textId="4965745A" w:rsidR="006F4911" w:rsidRPr="002C65E3" w:rsidRDefault="00156F70" w:rsidP="001776CD">
      <w:pPr>
        <w:pStyle w:val="SingleTxtG"/>
        <w:rPr>
          <w:lang w:eastAsia="en-US"/>
        </w:rPr>
      </w:pPr>
      <w:r w:rsidRPr="002C65E3">
        <w:rPr>
          <w:lang w:eastAsia="en-US"/>
        </w:rPr>
        <w:t>8.</w:t>
      </w:r>
      <w:r w:rsidRPr="002C65E3">
        <w:rPr>
          <w:lang w:eastAsia="en-US"/>
        </w:rPr>
        <w:tab/>
      </w:r>
      <w:r w:rsidR="006F4911" w:rsidRPr="002C65E3">
        <w:rPr>
          <w:lang w:eastAsia="en-US"/>
        </w:rPr>
        <w:t>Todas las cifras mencionadas en el informe son expresadas en pesos chilenos.</w:t>
      </w:r>
    </w:p>
    <w:p w14:paraId="6BF7FE13" w14:textId="338B1BD6" w:rsidR="006F4911" w:rsidRPr="002C65E3" w:rsidRDefault="006B5C8B" w:rsidP="001776CD">
      <w:pPr>
        <w:pStyle w:val="HChG"/>
        <w:rPr>
          <w:lang w:eastAsia="en-US"/>
        </w:rPr>
      </w:pPr>
      <w:bookmarkStart w:id="3" w:name="_Toc122692609"/>
      <w:r w:rsidRPr="002C65E3">
        <w:rPr>
          <w:lang w:eastAsia="en-US"/>
        </w:rPr>
        <w:tab/>
        <w:t>II.</w:t>
      </w:r>
      <w:r w:rsidRPr="002C65E3">
        <w:rPr>
          <w:lang w:eastAsia="en-US"/>
        </w:rPr>
        <w:tab/>
      </w:r>
      <w:r w:rsidR="006F4911" w:rsidRPr="002C65E3">
        <w:rPr>
          <w:lang w:eastAsia="en-US"/>
        </w:rPr>
        <w:t>Propósito y obligaciones generales</w:t>
      </w:r>
      <w:bookmarkEnd w:id="3"/>
      <w:r w:rsidR="006F4911" w:rsidRPr="002C65E3">
        <w:rPr>
          <w:lang w:eastAsia="en-US"/>
        </w:rPr>
        <w:t xml:space="preserve"> </w:t>
      </w:r>
    </w:p>
    <w:p w14:paraId="23DB0F39" w14:textId="25304F78" w:rsidR="006F4911" w:rsidRPr="002C65E3" w:rsidRDefault="00156F70" w:rsidP="001776CD">
      <w:pPr>
        <w:pStyle w:val="SingleTxtG"/>
        <w:rPr>
          <w:lang w:eastAsia="en-US"/>
        </w:rPr>
      </w:pPr>
      <w:r w:rsidRPr="002C65E3">
        <w:rPr>
          <w:lang w:eastAsia="en-US"/>
        </w:rPr>
        <w:t>9.</w:t>
      </w:r>
      <w:r w:rsidRPr="002C65E3">
        <w:rPr>
          <w:lang w:eastAsia="en-US"/>
        </w:rPr>
        <w:tab/>
      </w:r>
      <w:r w:rsidR="006F4911" w:rsidRPr="002C65E3">
        <w:rPr>
          <w:lang w:eastAsia="en-US"/>
        </w:rPr>
        <w:t>En agosto de 2020, se creó la Comisión Permanente de Personas Mayores y Discapacidad en la CDD</w:t>
      </w:r>
      <w:r w:rsidR="006F4911" w:rsidRPr="002C65E3">
        <w:rPr>
          <w:rStyle w:val="Refdenotaalpie"/>
        </w:rPr>
        <w:footnoteReference w:id="6"/>
      </w:r>
      <w:r w:rsidR="006F4911" w:rsidRPr="002C65E3">
        <w:rPr>
          <w:lang w:eastAsia="en-US"/>
        </w:rPr>
        <w:t>, dedicada a tramitación de PdL</w:t>
      </w:r>
      <w:r w:rsidR="006F4911" w:rsidRPr="002C65E3">
        <w:rPr>
          <w:rStyle w:val="Refdenotaalpie"/>
        </w:rPr>
        <w:footnoteReference w:id="7"/>
      </w:r>
      <w:r w:rsidR="006F4911" w:rsidRPr="002C65E3">
        <w:rPr>
          <w:lang w:eastAsia="en-US"/>
        </w:rPr>
        <w:t xml:space="preserve"> relacionados a dichos grupos, permitiendo una revisión más especializada de estas materias.</w:t>
      </w:r>
    </w:p>
    <w:p w14:paraId="25E3BBF9" w14:textId="0EEFEBA8" w:rsidR="006F4911" w:rsidRPr="002C65E3" w:rsidRDefault="00156F70" w:rsidP="001776CD">
      <w:pPr>
        <w:pStyle w:val="SingleTxtG"/>
        <w:rPr>
          <w:lang w:eastAsia="en-US"/>
        </w:rPr>
      </w:pPr>
      <w:r w:rsidRPr="002C65E3">
        <w:rPr>
          <w:lang w:eastAsia="en-US"/>
        </w:rPr>
        <w:t>10.</w:t>
      </w:r>
      <w:r w:rsidRPr="002C65E3">
        <w:rPr>
          <w:lang w:eastAsia="en-US"/>
        </w:rPr>
        <w:tab/>
      </w:r>
      <w:r w:rsidR="006F4911" w:rsidRPr="002C65E3">
        <w:rPr>
          <w:lang w:eastAsia="en-US"/>
        </w:rPr>
        <w:t>SENADIS actúa como referente técnico en la tramitación de iniciativas legales referidas a derechos de las PcD y tiene un rol activo en la tramitación y seguimiento de PdL en este ámbito. Además, participa, en conjunto con el MDSF, en la elaboración de PdL incorporando la perspectiva de inclusión y DDHH</w:t>
      </w:r>
      <w:r w:rsidR="006F4911" w:rsidRPr="002C65E3">
        <w:rPr>
          <w:rStyle w:val="Refdenotaalpie"/>
        </w:rPr>
        <w:footnoteReference w:id="8"/>
      </w:r>
      <w:r w:rsidR="006F4911" w:rsidRPr="002C65E3">
        <w:rPr>
          <w:lang w:eastAsia="en-US"/>
        </w:rPr>
        <w:t xml:space="preserve"> y el uso correcto del lenguaje</w:t>
      </w:r>
      <w:r w:rsidR="006F4911" w:rsidRPr="002C65E3">
        <w:rPr>
          <w:rStyle w:val="Refdenotaalpie"/>
        </w:rPr>
        <w:footnoteReference w:id="9"/>
      </w:r>
      <w:r w:rsidR="006F4911" w:rsidRPr="002C65E3">
        <w:rPr>
          <w:lang w:eastAsia="en-US"/>
        </w:rPr>
        <w:t xml:space="preserve">. </w:t>
      </w:r>
    </w:p>
    <w:p w14:paraId="2CAF1720" w14:textId="4141A8A7" w:rsidR="006F4911" w:rsidRPr="002C65E3" w:rsidRDefault="00156F70" w:rsidP="001776CD">
      <w:pPr>
        <w:pStyle w:val="SingleTxtG"/>
        <w:rPr>
          <w:lang w:eastAsia="en-US"/>
        </w:rPr>
      </w:pPr>
      <w:r w:rsidRPr="002C65E3">
        <w:rPr>
          <w:lang w:eastAsia="en-US"/>
        </w:rPr>
        <w:t>11.</w:t>
      </w:r>
      <w:r w:rsidRPr="002C65E3">
        <w:rPr>
          <w:lang w:eastAsia="en-US"/>
        </w:rPr>
        <w:tab/>
      </w:r>
      <w:r w:rsidR="006F4911" w:rsidRPr="002C65E3">
        <w:rPr>
          <w:lang w:eastAsia="en-US"/>
        </w:rPr>
        <w:t>Sobre calificación y certificación de la discapacidad, MINSAL ha reforzado las Unidades de Discapacidad de COMPIN de las 16 SEREMI de Salud. Cuenta con 27 Unidades de Discapacidad con equipos multidisciplinarios, alcanzando un total de 116 profesionales a nivel nacional para la CCD con presupuesto anual de continuidad. En 2017 se incorporó la certificación de la discapacidad en el Sistema de Gestión de Calidad ISO 9001-2015 de la SSP del MINSAL, entregando una mejora continua al servicio permitiendo cumplir los plazos legales para la CCD, con los protocolos y procedimientos estandarizados según normativa y resultados medibles. Desde 2018, se cuenta con un sistema de registro estadístico institucional que entrega reportes y mide los indicadores por mes, año, región y COMPIN asociados al proceso de CCD, incluyendo las variables sexo, edad, origen de discapacidad, grado de severidad y el número de calificaciones realizadas por entidades calificadoras de discapacidad del territorio.</w:t>
      </w:r>
    </w:p>
    <w:p w14:paraId="5416EE08" w14:textId="7676A916" w:rsidR="006F4911" w:rsidRPr="002C65E3" w:rsidRDefault="00156F70" w:rsidP="001776CD">
      <w:pPr>
        <w:pStyle w:val="SingleTxtG"/>
        <w:rPr>
          <w:lang w:eastAsia="en-US"/>
        </w:rPr>
      </w:pPr>
      <w:r w:rsidRPr="002C65E3">
        <w:rPr>
          <w:lang w:eastAsia="en-US"/>
        </w:rPr>
        <w:t>12.</w:t>
      </w:r>
      <w:r w:rsidRPr="002C65E3">
        <w:rPr>
          <w:lang w:eastAsia="en-US"/>
        </w:rPr>
        <w:tab/>
      </w:r>
      <w:r w:rsidR="006F4911" w:rsidRPr="002C65E3">
        <w:rPr>
          <w:lang w:eastAsia="en-US"/>
        </w:rPr>
        <w:t>Entre 2016 y 2019, las Unidades de Discapacidad de COMPIN realizaron 94 talleres de capacitación sobre Sistema de CCD, formando a 2.000 profesionales para la calificación de la discapacidad a nivel nacional. Del total de certificaciones entre 2018 y 2021, 57</w:t>
      </w:r>
      <w:r w:rsidR="00791BE9" w:rsidRPr="002C65E3">
        <w:rPr>
          <w:lang w:eastAsia="en-US"/>
        </w:rPr>
        <w:t> %</w:t>
      </w:r>
      <w:r w:rsidR="006F4911" w:rsidRPr="002C65E3">
        <w:rPr>
          <w:lang w:eastAsia="en-US"/>
        </w:rPr>
        <w:t xml:space="preserve"> fueron evaluadas por entidades calificadoras del territorio. Durante la pandemia se digitalizó</w:t>
      </w:r>
      <w:r w:rsidR="006F4911" w:rsidRPr="002C65E3">
        <w:rPr>
          <w:rStyle w:val="Refdenotaalpie"/>
        </w:rPr>
        <w:footnoteReference w:id="10"/>
      </w:r>
      <w:r w:rsidR="006F4911" w:rsidRPr="002C65E3">
        <w:rPr>
          <w:lang w:eastAsia="en-US"/>
        </w:rPr>
        <w:t xml:space="preserve"> el trámite de certificación.</w:t>
      </w:r>
      <w:r w:rsidR="00791BE9" w:rsidRPr="002C65E3">
        <w:rPr>
          <w:lang w:eastAsia="en-US"/>
        </w:rPr>
        <w:t xml:space="preserve"> </w:t>
      </w:r>
    </w:p>
    <w:p w14:paraId="0EB686B8" w14:textId="5AC6CA88" w:rsidR="006F4911" w:rsidRPr="002C65E3" w:rsidRDefault="00156F70" w:rsidP="001776CD">
      <w:pPr>
        <w:pStyle w:val="SingleTxtG"/>
        <w:rPr>
          <w:lang w:eastAsia="en-US"/>
        </w:rPr>
      </w:pPr>
      <w:bookmarkStart w:id="4" w:name="_Ref122702975"/>
      <w:r w:rsidRPr="002C65E3">
        <w:rPr>
          <w:lang w:eastAsia="en-US"/>
        </w:rPr>
        <w:t>13.</w:t>
      </w:r>
      <w:r w:rsidRPr="002C65E3">
        <w:rPr>
          <w:lang w:eastAsia="en-US"/>
        </w:rPr>
        <w:tab/>
      </w:r>
      <w:r w:rsidR="006F4911" w:rsidRPr="002C65E3">
        <w:rPr>
          <w:lang w:eastAsia="en-US"/>
        </w:rPr>
        <w:t>SENADIS ha trabajado desde 2019 en el PNCCD, revisando y ajustando el proceso de CCD para mejorar su gestión y promoción. Entre octubre de 2019 y febrero de 2020 se realizó un levantamiento diagnóstico en las 16 regiones de Chile, a través de diálogos participativos, convocando a PcD y representantes de las instituciones a cargo o que participan del proceso de CCD, conformándose 58 mesas de discusión, 30 de la sociedad civil, con representantes de 164 agrupaciones de y para PcD y 575 personas, participando un total de 292 representantes de organizaciones de y para PcD. Se aplicaron 32 entrevistas a distintas agrupaciones de y para PcD y/o PcD sin ninguna adhesión a organizaciones, priorizándose su aplicación en comunas fuera de las capitales regionales</w:t>
      </w:r>
      <w:bookmarkEnd w:id="4"/>
      <w:r w:rsidR="006F4911" w:rsidRPr="002C65E3">
        <w:rPr>
          <w:lang w:eastAsia="en-US"/>
        </w:rPr>
        <w:t xml:space="preserve">. </w:t>
      </w:r>
    </w:p>
    <w:p w14:paraId="0B5B0435" w14:textId="3CC4CF7C" w:rsidR="006F4911" w:rsidRPr="002C65E3" w:rsidRDefault="00156F70" w:rsidP="001776CD">
      <w:pPr>
        <w:pStyle w:val="SingleTxtG"/>
        <w:rPr>
          <w:lang w:eastAsia="en-US"/>
        </w:rPr>
      </w:pPr>
      <w:r w:rsidRPr="002C65E3">
        <w:rPr>
          <w:lang w:eastAsia="en-US"/>
        </w:rPr>
        <w:t>14.</w:t>
      </w:r>
      <w:r w:rsidRPr="002C65E3">
        <w:rPr>
          <w:lang w:eastAsia="en-US"/>
        </w:rPr>
        <w:tab/>
      </w:r>
      <w:r w:rsidR="006F4911" w:rsidRPr="002C65E3">
        <w:rPr>
          <w:lang w:eastAsia="en-US"/>
        </w:rPr>
        <w:t xml:space="preserve">A partir del diagnóstico se inició el diseño e implementación de las líneas estratégicas del PNCCD, siendo uno de los ejes de acción la promoción del proceso, implementando acciones orientadas a la generación de una cultura inclusiva, que instale la temática de discapacidad y elimine las barreras asociadas a la estigmatización y discriminación en el país. </w:t>
      </w:r>
      <w:r w:rsidR="006F4911" w:rsidRPr="002C65E3">
        <w:rPr>
          <w:lang w:eastAsia="en-US"/>
        </w:rPr>
        <w:lastRenderedPageBreak/>
        <w:t>Se elaboraron</w:t>
      </w:r>
      <w:r w:rsidR="006F4911" w:rsidRPr="002C65E3">
        <w:rPr>
          <w:color w:val="1155CC"/>
          <w:lang w:eastAsia="en-US"/>
        </w:rPr>
        <w:t xml:space="preserve"> </w:t>
      </w:r>
      <w:r w:rsidR="006F4911" w:rsidRPr="002C65E3">
        <w:rPr>
          <w:lang w:eastAsia="en-US"/>
        </w:rPr>
        <w:t>16 informes regionales y un informe diagnóstico nacional</w:t>
      </w:r>
      <w:r w:rsidR="006F4911" w:rsidRPr="002C65E3">
        <w:rPr>
          <w:rStyle w:val="Refdenotaalpie"/>
        </w:rPr>
        <w:footnoteReference w:id="11"/>
      </w:r>
      <w:r w:rsidR="006F4911" w:rsidRPr="002C65E3">
        <w:rPr>
          <w:lang w:eastAsia="en-US"/>
        </w:rPr>
        <w:t>. En junio de 2020 se elaboró, junto al Departamento COMPIN Nacional, el Manual de Procedimiento para la</w:t>
      </w:r>
      <w:r w:rsidR="00312616" w:rsidRPr="002C65E3">
        <w:rPr>
          <w:lang w:eastAsia="en-US"/>
        </w:rPr>
        <w:t> </w:t>
      </w:r>
      <w:r w:rsidR="006F4911" w:rsidRPr="002C65E3">
        <w:rPr>
          <w:lang w:eastAsia="en-US"/>
        </w:rPr>
        <w:t>CCD</w:t>
      </w:r>
      <w:r w:rsidR="006F4911" w:rsidRPr="002C65E3">
        <w:rPr>
          <w:rStyle w:val="Refdenotaalpie"/>
        </w:rPr>
        <w:footnoteReference w:id="12"/>
      </w:r>
      <w:r w:rsidR="006F4911" w:rsidRPr="002C65E3">
        <w:rPr>
          <w:lang w:eastAsia="en-US"/>
        </w:rPr>
        <w:t>, cuyo propósito es entregar directrices que permitan estandarizar el proceso de CCD, resguardando los derechos de las PcD y velando por el cumplimiento de la Ley Nº</w:t>
      </w:r>
      <w:r w:rsidR="00405113" w:rsidRPr="002C65E3">
        <w:rPr>
          <w:lang w:eastAsia="en-US"/>
        </w:rPr>
        <w:t> </w:t>
      </w:r>
      <w:r w:rsidR="006F4911" w:rsidRPr="002C65E3">
        <w:rPr>
          <w:lang w:eastAsia="en-US"/>
        </w:rPr>
        <w:t>20.422</w:t>
      </w:r>
      <w:r w:rsidR="006F4911" w:rsidRPr="002C65E3">
        <w:rPr>
          <w:rStyle w:val="Refdenotaalpie"/>
        </w:rPr>
        <w:footnoteReference w:id="13"/>
      </w:r>
      <w:r w:rsidR="006F4911" w:rsidRPr="002C65E3">
        <w:rPr>
          <w:lang w:eastAsia="en-US"/>
        </w:rPr>
        <w:t xml:space="preserve"> y Decreto 47</w:t>
      </w:r>
      <w:r w:rsidR="006F4911" w:rsidRPr="002C65E3">
        <w:rPr>
          <w:rStyle w:val="Refdenotaalpie"/>
        </w:rPr>
        <w:footnoteReference w:id="14"/>
      </w:r>
      <w:r w:rsidR="006F4911" w:rsidRPr="002C65E3">
        <w:rPr>
          <w:lang w:eastAsia="en-US"/>
        </w:rPr>
        <w:t xml:space="preserve">. En octubre de 2021, el Departamento COMPIN Nacional junto a Hospital Digital, ejecutaron </w:t>
      </w:r>
      <w:hyperlink r:id="rId12">
        <w:r w:rsidR="006F4911" w:rsidRPr="002C65E3">
          <w:rPr>
            <w:lang w:eastAsia="en-US"/>
          </w:rPr>
          <w:t>cuatro jornadas</w:t>
        </w:r>
      </w:hyperlink>
      <w:r w:rsidR="006F4911" w:rsidRPr="002C65E3">
        <w:rPr>
          <w:lang w:eastAsia="en-US"/>
        </w:rPr>
        <w:t xml:space="preserve"> de transferencia de conocimiento sobre actualización de la CCD, participando 1.200 personas a nivel nacional. </w:t>
      </w:r>
    </w:p>
    <w:p w14:paraId="3DBD240B" w14:textId="7F57E89D" w:rsidR="006F4911" w:rsidRPr="002C65E3" w:rsidRDefault="00156F70" w:rsidP="001776CD">
      <w:pPr>
        <w:pStyle w:val="SingleTxtG"/>
        <w:rPr>
          <w:lang w:eastAsia="en-US"/>
        </w:rPr>
      </w:pPr>
      <w:r w:rsidRPr="002C65E3">
        <w:rPr>
          <w:lang w:eastAsia="en-US"/>
        </w:rPr>
        <w:t>15.</w:t>
      </w:r>
      <w:r w:rsidRPr="002C65E3">
        <w:rPr>
          <w:lang w:eastAsia="en-US"/>
        </w:rPr>
        <w:tab/>
      </w:r>
      <w:r w:rsidR="006F4911" w:rsidRPr="002C65E3">
        <w:rPr>
          <w:lang w:eastAsia="en-US"/>
        </w:rPr>
        <w:t xml:space="preserve">Como parte de la implementación del PNCCD, durante 2022, se realizaron actividades remotas de capacitación a nivel nacional que permitieron informar e incentivar la inscripción de PcD al RND. Entre abril y agosto de 2022 se realizaron 19 talleres </w:t>
      </w:r>
      <w:r w:rsidR="00791BE9" w:rsidRPr="002C65E3">
        <w:rPr>
          <w:lang w:eastAsia="en-US"/>
        </w:rPr>
        <w:t>“</w:t>
      </w:r>
      <w:r w:rsidR="006F4911" w:rsidRPr="002C65E3">
        <w:rPr>
          <w:lang w:eastAsia="en-US"/>
        </w:rPr>
        <w:t>Mi Decisión, Mi Credencial</w:t>
      </w:r>
      <w:r w:rsidR="00791BE9" w:rsidRPr="002C65E3">
        <w:rPr>
          <w:lang w:eastAsia="en-US"/>
        </w:rPr>
        <w:t>”</w:t>
      </w:r>
      <w:r w:rsidR="006F4911" w:rsidRPr="002C65E3">
        <w:rPr>
          <w:rStyle w:val="Refdenotaalpie"/>
        </w:rPr>
        <w:footnoteReference w:id="15"/>
      </w:r>
      <w:r w:rsidR="006F4911" w:rsidRPr="002C65E3">
        <w:rPr>
          <w:lang w:eastAsia="en-US"/>
        </w:rPr>
        <w:t>, participando aproximadamente 1.000 personas.</w:t>
      </w:r>
    </w:p>
    <w:p w14:paraId="1C1C9C14" w14:textId="6552FFD5" w:rsidR="006F4911" w:rsidRPr="002C65E3" w:rsidRDefault="00156F70" w:rsidP="001776CD">
      <w:pPr>
        <w:pStyle w:val="SingleTxtG"/>
        <w:rPr>
          <w:lang w:eastAsia="en-US"/>
        </w:rPr>
      </w:pPr>
      <w:bookmarkStart w:id="5" w:name="_Ref122703050"/>
      <w:r w:rsidRPr="002C65E3">
        <w:rPr>
          <w:lang w:eastAsia="en-US"/>
        </w:rPr>
        <w:t>16.</w:t>
      </w:r>
      <w:r w:rsidRPr="002C65E3">
        <w:rPr>
          <w:lang w:eastAsia="en-US"/>
        </w:rPr>
        <w:tab/>
      </w:r>
      <w:r w:rsidR="006F4911" w:rsidRPr="002C65E3">
        <w:rPr>
          <w:lang w:eastAsia="en-US"/>
        </w:rPr>
        <w:t>En SENADIS se han organizado diversas consultas ciudadanas: a) 2017: En el marco de la Ley N</w:t>
      </w:r>
      <w:r w:rsidR="00405113" w:rsidRPr="002C65E3">
        <w:rPr>
          <w:lang w:eastAsia="en-US"/>
        </w:rPr>
        <w:t>º </w:t>
      </w:r>
      <w:r w:rsidR="006F4911" w:rsidRPr="002C65E3">
        <w:rPr>
          <w:lang w:eastAsia="en-US"/>
        </w:rPr>
        <w:t>21.015</w:t>
      </w:r>
      <w:r w:rsidR="006F4911" w:rsidRPr="002C65E3">
        <w:rPr>
          <w:rStyle w:val="Refdenotaalpie"/>
        </w:rPr>
        <w:footnoteReference w:id="16"/>
      </w:r>
      <w:r w:rsidR="006F4911" w:rsidRPr="002C65E3">
        <w:rPr>
          <w:lang w:eastAsia="en-US"/>
        </w:rPr>
        <w:t xml:space="preserve"> y sus reglamentos</w:t>
      </w:r>
      <w:r w:rsidR="006F4911" w:rsidRPr="002C65E3">
        <w:rPr>
          <w:rStyle w:val="Refdenotaalpie"/>
        </w:rPr>
        <w:footnoteReference w:id="17"/>
      </w:r>
      <w:r w:rsidR="006F4911" w:rsidRPr="002C65E3">
        <w:rPr>
          <w:lang w:eastAsia="en-US"/>
        </w:rPr>
        <w:t>, se realizó una Consulta Ciudadana a nivel nacional</w:t>
      </w:r>
      <w:r w:rsidR="006F4911" w:rsidRPr="002C65E3">
        <w:rPr>
          <w:rStyle w:val="Refdenotaalpie"/>
        </w:rPr>
        <w:footnoteReference w:id="18"/>
      </w:r>
      <w:r w:rsidR="006F4911" w:rsidRPr="002C65E3">
        <w:rPr>
          <w:lang w:eastAsia="en-US"/>
        </w:rPr>
        <w:t>, con integrantes de organizaciones de y para PcD y Consejeros de SENADIS, tanto presencial como telemática</w:t>
      </w:r>
      <w:r w:rsidR="006F4911" w:rsidRPr="002C65E3">
        <w:rPr>
          <w:rStyle w:val="Refdenotaalpie"/>
        </w:rPr>
        <w:footnoteReference w:id="19"/>
      </w:r>
      <w:r w:rsidR="006F4911" w:rsidRPr="002C65E3">
        <w:rPr>
          <w:lang w:eastAsia="en-US"/>
        </w:rPr>
        <w:t>; b) 2017: Consulta para la renovación de la oferta de AATT</w:t>
      </w:r>
      <w:r w:rsidR="006F4911" w:rsidRPr="002C65E3">
        <w:rPr>
          <w:rStyle w:val="Refdenotaalpie"/>
        </w:rPr>
        <w:footnoteReference w:id="20"/>
      </w:r>
      <w:r w:rsidR="006F4911" w:rsidRPr="002C65E3">
        <w:rPr>
          <w:lang w:eastAsia="en-US"/>
        </w:rPr>
        <w:t>, convocatoria 2018, en la que participaron PcD, familiares, cuidadores y profesionales del área de la discapacidad</w:t>
      </w:r>
      <w:r w:rsidR="006F4911" w:rsidRPr="002C65E3">
        <w:rPr>
          <w:rStyle w:val="Refdenotaalpie"/>
        </w:rPr>
        <w:footnoteReference w:id="21"/>
      </w:r>
      <w:r w:rsidR="006F4911" w:rsidRPr="002C65E3">
        <w:rPr>
          <w:lang w:eastAsia="en-US"/>
        </w:rPr>
        <w:t>; c) 2018: Consulta</w:t>
      </w:r>
      <w:r w:rsidR="006F4911" w:rsidRPr="002C65E3">
        <w:rPr>
          <w:rStyle w:val="Refdenotaalpie"/>
        </w:rPr>
        <w:footnoteReference w:id="22"/>
      </w:r>
      <w:r w:rsidR="006F4911" w:rsidRPr="002C65E3">
        <w:rPr>
          <w:lang w:eastAsia="en-US"/>
        </w:rPr>
        <w:t xml:space="preserve"> referida a la primera convocatoria pública del programa TVI; d) 2021: Consulta para evaluar implementación de la Ley Nº</w:t>
      </w:r>
      <w:r w:rsidR="00405113" w:rsidRPr="002C65E3">
        <w:rPr>
          <w:lang w:eastAsia="en-US"/>
        </w:rPr>
        <w:t> </w:t>
      </w:r>
      <w:r w:rsidR="006F4911" w:rsidRPr="002C65E3">
        <w:rPr>
          <w:lang w:eastAsia="en-US"/>
        </w:rPr>
        <w:t>21.015</w:t>
      </w:r>
      <w:r w:rsidR="006F4911" w:rsidRPr="002C65E3">
        <w:rPr>
          <w:rStyle w:val="Refdenotaalpie"/>
        </w:rPr>
        <w:footnoteReference w:id="23"/>
      </w:r>
      <w:r w:rsidR="006F4911" w:rsidRPr="002C65E3">
        <w:rPr>
          <w:lang w:eastAsia="en-US"/>
        </w:rPr>
        <w:t>, cumpliendo mandato legal de la misma norma, dando como resultado el Informe</w:t>
      </w:r>
      <w:r w:rsidR="006F4911" w:rsidRPr="002C65E3">
        <w:rPr>
          <w:rStyle w:val="Refdenotaalpie"/>
        </w:rPr>
        <w:footnoteReference w:id="24"/>
      </w:r>
      <w:r w:rsidR="006F4911" w:rsidRPr="002C65E3">
        <w:rPr>
          <w:lang w:eastAsia="en-US"/>
        </w:rPr>
        <w:t xml:space="preserve"> (párr.</w:t>
      </w:r>
      <w:r w:rsidR="00776BAA" w:rsidRPr="002C65E3">
        <w:rPr>
          <w:lang w:eastAsia="en-US"/>
        </w:rPr>
        <w:t> 166</w:t>
      </w:r>
      <w:r w:rsidR="006F4911" w:rsidRPr="002C65E3">
        <w:rPr>
          <w:lang w:eastAsia="en-US"/>
        </w:rPr>
        <w:t>). Si bien la variable discapacidad y pueblo indígena no ha sido considerada en el marco de la ejecución de consultas indígenas, la oferta programática de CONADI considera iniciativas y fondos concursables de enfoque productivo y social que estipulan puntaje adicional para personas indígenas en situación socioeconómica desfavorable y con discapacidad.</w:t>
      </w:r>
      <w:bookmarkEnd w:id="5"/>
      <w:r w:rsidR="006F4911" w:rsidRPr="002C65E3">
        <w:rPr>
          <w:lang w:eastAsia="en-US"/>
        </w:rPr>
        <w:t xml:space="preserve"> </w:t>
      </w:r>
    </w:p>
    <w:p w14:paraId="109C7C31" w14:textId="53E8404A" w:rsidR="006F4911" w:rsidRPr="002C65E3" w:rsidRDefault="00156F70" w:rsidP="001776CD">
      <w:pPr>
        <w:pStyle w:val="SingleTxtG"/>
        <w:rPr>
          <w:lang w:eastAsia="en-US"/>
        </w:rPr>
      </w:pPr>
      <w:r w:rsidRPr="002C65E3">
        <w:rPr>
          <w:lang w:eastAsia="en-US"/>
        </w:rPr>
        <w:t>17.</w:t>
      </w:r>
      <w:r w:rsidRPr="002C65E3">
        <w:rPr>
          <w:lang w:eastAsia="en-US"/>
        </w:rPr>
        <w:tab/>
      </w:r>
      <w:r w:rsidR="006F4911" w:rsidRPr="002C65E3">
        <w:rPr>
          <w:lang w:eastAsia="en-US"/>
        </w:rPr>
        <w:t>El MMEG y SERNAMEG cuentan con COSOC, donde participan organizaciones cuyas beneficiarias son mujeres con discapacidad.</w:t>
      </w:r>
    </w:p>
    <w:p w14:paraId="5E551DDE" w14:textId="51DAD9B3" w:rsidR="006F4911" w:rsidRPr="002C65E3" w:rsidRDefault="00156F70" w:rsidP="001776CD">
      <w:pPr>
        <w:pStyle w:val="SingleTxtG"/>
        <w:rPr>
          <w:lang w:eastAsia="en-US"/>
        </w:rPr>
      </w:pPr>
      <w:bookmarkStart w:id="6" w:name="_Ref122703011"/>
      <w:r w:rsidRPr="002C65E3">
        <w:rPr>
          <w:lang w:eastAsia="en-US"/>
        </w:rPr>
        <w:t>18.</w:t>
      </w:r>
      <w:r w:rsidRPr="002C65E3">
        <w:rPr>
          <w:lang w:eastAsia="en-US"/>
        </w:rPr>
        <w:tab/>
      </w:r>
      <w:r w:rsidR="006F4911" w:rsidRPr="002C65E3">
        <w:rPr>
          <w:lang w:eastAsia="en-US"/>
        </w:rPr>
        <w:t xml:space="preserve">Para facilitar la labor de las organizaciones, SENADIS, con la OIT, desarrolla el Programa </w:t>
      </w:r>
      <w:r w:rsidR="00791BE9" w:rsidRPr="002C65E3">
        <w:rPr>
          <w:lang w:eastAsia="en-US"/>
        </w:rPr>
        <w:t>“</w:t>
      </w:r>
      <w:r w:rsidR="006F4911" w:rsidRPr="002C65E3">
        <w:rPr>
          <w:lang w:eastAsia="en-US"/>
        </w:rPr>
        <w:t>Más Inclusión, aprendiendo a incluir</w:t>
      </w:r>
      <w:r w:rsidR="00791BE9" w:rsidRPr="002C65E3">
        <w:rPr>
          <w:lang w:eastAsia="en-US"/>
        </w:rPr>
        <w:t>”</w:t>
      </w:r>
      <w:r w:rsidR="006F4911" w:rsidRPr="002C65E3">
        <w:rPr>
          <w:rStyle w:val="Refdenotaalpie"/>
        </w:rPr>
        <w:footnoteReference w:id="25"/>
      </w:r>
      <w:r w:rsidR="006F4911" w:rsidRPr="002C65E3">
        <w:rPr>
          <w:lang w:eastAsia="en-US"/>
        </w:rPr>
        <w:t xml:space="preserve">, el que busca, mediante el diálogo social, generar competencias de inclusión en actores públicos, sociedad civil en general y sector privado. Durante 2020, se realizó un diagnóstico sobre el panorama de los espacios de incidencia y plataformas de participación ciudadana para la inclusión de PcD, incorporando datos nacionales y experiencias internacionales. Se desarrolló la plataforma https://masinclusion.org/ con diversos recursos de capacitación y se conformaron Mesas en la RM y Maule para elaborar un plan de incidencia incorporando sector público, privado, </w:t>
      </w:r>
      <w:r w:rsidR="006F4911" w:rsidRPr="002C65E3">
        <w:rPr>
          <w:lang w:eastAsia="en-US"/>
        </w:rPr>
        <w:lastRenderedPageBreak/>
        <w:t xml:space="preserve">sociedad civil y sindicatos, diseñando una estrategia comunicacional para difundir y visibilizar el programa. Durante 2021 y 2022 se ha realizado el curso </w:t>
      </w:r>
      <w:r w:rsidR="00791BE9" w:rsidRPr="002C65E3">
        <w:rPr>
          <w:lang w:eastAsia="en-US"/>
        </w:rPr>
        <w:t>“</w:t>
      </w:r>
      <w:r w:rsidR="006F4911" w:rsidRPr="002C65E3">
        <w:rPr>
          <w:lang w:eastAsia="en-US"/>
        </w:rPr>
        <w:t>Desarrollando Habilidades para la Participación y la Asociatividad en favor de la Inclusión para las PcD</w:t>
      </w:r>
      <w:r w:rsidR="00791BE9" w:rsidRPr="002C65E3">
        <w:rPr>
          <w:lang w:eastAsia="en-US"/>
        </w:rPr>
        <w:t>”</w:t>
      </w:r>
      <w:r w:rsidR="006F4911" w:rsidRPr="002C65E3">
        <w:rPr>
          <w:lang w:eastAsia="en-US"/>
        </w:rPr>
        <w:t xml:space="preserve"> que busca entregar herramientas y conocimientos prácticos enfocados al fortalecimiento de los COSOC regionales.</w:t>
      </w:r>
      <w:bookmarkEnd w:id="6"/>
    </w:p>
    <w:p w14:paraId="0267C517" w14:textId="20D90F99" w:rsidR="006F4911" w:rsidRPr="002C65E3" w:rsidRDefault="00227383" w:rsidP="001776CD">
      <w:pPr>
        <w:pStyle w:val="HChG"/>
        <w:rPr>
          <w:lang w:eastAsia="en-US"/>
        </w:rPr>
      </w:pPr>
      <w:bookmarkStart w:id="7" w:name="_Toc122692610"/>
      <w:r w:rsidRPr="002C65E3">
        <w:rPr>
          <w:lang w:eastAsia="en-US"/>
        </w:rPr>
        <w:tab/>
      </w:r>
      <w:r w:rsidR="006F4911" w:rsidRPr="002C65E3">
        <w:rPr>
          <w:lang w:eastAsia="en-US"/>
        </w:rPr>
        <w:t>III.</w:t>
      </w:r>
      <w:r w:rsidRPr="002C65E3">
        <w:rPr>
          <w:lang w:eastAsia="en-US"/>
        </w:rPr>
        <w:tab/>
      </w:r>
      <w:r w:rsidR="006F4911" w:rsidRPr="002C65E3">
        <w:rPr>
          <w:lang w:eastAsia="en-US"/>
        </w:rPr>
        <w:t>Derechos específicos</w:t>
      </w:r>
      <w:bookmarkEnd w:id="7"/>
    </w:p>
    <w:p w14:paraId="6200A4FF" w14:textId="55E41E96" w:rsidR="006F4911" w:rsidRPr="002C65E3" w:rsidRDefault="00227383" w:rsidP="001776CD">
      <w:pPr>
        <w:pStyle w:val="H1G"/>
        <w:rPr>
          <w:lang w:eastAsia="en-US"/>
        </w:rPr>
      </w:pPr>
      <w:bookmarkStart w:id="8" w:name="_Toc122692611"/>
      <w:r w:rsidRPr="002C65E3">
        <w:rPr>
          <w:lang w:eastAsia="en-US"/>
        </w:rPr>
        <w:tab/>
      </w:r>
      <w:r w:rsidRPr="002C65E3">
        <w:rPr>
          <w:lang w:eastAsia="en-US"/>
        </w:rPr>
        <w:tab/>
      </w:r>
      <w:r w:rsidR="006F4911" w:rsidRPr="002C65E3">
        <w:rPr>
          <w:lang w:eastAsia="en-US"/>
        </w:rPr>
        <w:t>Artículo 5</w:t>
      </w:r>
      <w:bookmarkEnd w:id="8"/>
      <w:r w:rsidR="006F4911" w:rsidRPr="002C65E3">
        <w:rPr>
          <w:lang w:eastAsia="en-US"/>
        </w:rPr>
        <w:t xml:space="preserve"> </w:t>
      </w:r>
    </w:p>
    <w:p w14:paraId="4DC6B9D5" w14:textId="16FDB017" w:rsidR="006F4911" w:rsidRPr="002C65E3" w:rsidRDefault="00156F70" w:rsidP="001776CD">
      <w:pPr>
        <w:pStyle w:val="SingleTxtG"/>
        <w:rPr>
          <w:lang w:eastAsia="en-US"/>
        </w:rPr>
      </w:pPr>
      <w:r w:rsidRPr="002C65E3">
        <w:rPr>
          <w:lang w:eastAsia="en-US"/>
        </w:rPr>
        <w:t>19.</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20.609</w:t>
      </w:r>
      <w:r w:rsidR="006F4911" w:rsidRPr="002C65E3">
        <w:rPr>
          <w:rStyle w:val="Refdenotaalpie"/>
        </w:rPr>
        <w:footnoteReference w:id="26"/>
      </w:r>
      <w:r w:rsidR="006F4911" w:rsidRPr="002C65E3">
        <w:rPr>
          <w:lang w:eastAsia="en-US"/>
        </w:rPr>
        <w:t xml:space="preserve"> contempla como categoría de discriminación la discapacidad, estableciendo sancione orientadas a dejar sin efecto el acto discriminatorio o que se realice el acto omitido, fijando, en este último caso, un plazo perentorio prudencial para cumplirlo. Además, esta ley modificó el artículo 12 del CP, agregando la agravante de </w:t>
      </w:r>
      <w:r w:rsidR="00791BE9" w:rsidRPr="002C65E3">
        <w:rPr>
          <w:lang w:eastAsia="en-US"/>
        </w:rPr>
        <w:t>“</w:t>
      </w:r>
      <w:r w:rsidR="006F4911" w:rsidRPr="002C65E3">
        <w:rPr>
          <w:lang w:eastAsia="en-US"/>
        </w:rPr>
        <w:t>Cometer el delito o participar en él motivado por [...] la enfermedad o discapacidad que padezca [la</w:t>
      </w:r>
      <w:r w:rsidR="00575DCD" w:rsidRPr="002C65E3">
        <w:rPr>
          <w:lang w:eastAsia="en-US"/>
        </w:rPr>
        <w:t> </w:t>
      </w:r>
      <w:r w:rsidR="006F4911" w:rsidRPr="002C65E3">
        <w:rPr>
          <w:lang w:eastAsia="en-US"/>
        </w:rPr>
        <w:t>víctima]</w:t>
      </w:r>
      <w:r w:rsidR="00791BE9" w:rsidRPr="002C65E3">
        <w:rPr>
          <w:lang w:eastAsia="en-US"/>
        </w:rPr>
        <w:t>”</w:t>
      </w:r>
      <w:r w:rsidR="006F4911" w:rsidRPr="002C65E3">
        <w:rPr>
          <w:lang w:eastAsia="en-US"/>
        </w:rPr>
        <w:t>.</w:t>
      </w:r>
    </w:p>
    <w:p w14:paraId="5BD40023" w14:textId="72B2814F" w:rsidR="006F4911" w:rsidRPr="002C65E3" w:rsidRDefault="00156F70" w:rsidP="00575DCD">
      <w:pPr>
        <w:pStyle w:val="SingleTxtG"/>
        <w:rPr>
          <w:lang w:eastAsia="en-US"/>
        </w:rPr>
      </w:pPr>
      <w:r w:rsidRPr="002C65E3">
        <w:rPr>
          <w:lang w:eastAsia="en-US"/>
        </w:rPr>
        <w:t>20.</w:t>
      </w:r>
      <w:r w:rsidRPr="002C65E3">
        <w:rPr>
          <w:lang w:eastAsia="en-US"/>
        </w:rPr>
        <w:tab/>
      </w:r>
      <w:r w:rsidR="006F4911" w:rsidRPr="002C65E3">
        <w:rPr>
          <w:lang w:eastAsia="en-US"/>
        </w:rPr>
        <w:t>En materia de recursos, la legislación contempla: a) Acción del artículo 57 de la Ley N</w:t>
      </w:r>
      <w:r w:rsidR="00405113" w:rsidRPr="002C65E3">
        <w:rPr>
          <w:lang w:eastAsia="en-US"/>
        </w:rPr>
        <w:t>º </w:t>
      </w:r>
      <w:r w:rsidR="006F4911" w:rsidRPr="002C65E3">
        <w:rPr>
          <w:lang w:eastAsia="en-US"/>
        </w:rPr>
        <w:t>20.422</w:t>
      </w:r>
      <w:r w:rsidR="006F4911" w:rsidRPr="002C65E3">
        <w:rPr>
          <w:rStyle w:val="Refdenotaalpie"/>
        </w:rPr>
        <w:footnoteReference w:id="27"/>
      </w:r>
      <w:r w:rsidR="006F4911" w:rsidRPr="002C65E3">
        <w:rPr>
          <w:lang w:eastAsia="en-US"/>
        </w:rPr>
        <w:t xml:space="preserve">, donde se encuentran regulados los ajustes </w:t>
      </w:r>
      <w:r w:rsidR="00791BE9" w:rsidRPr="002C65E3">
        <w:rPr>
          <w:lang w:eastAsia="en-US"/>
        </w:rPr>
        <w:t>“</w:t>
      </w:r>
      <w:r w:rsidR="006F4911" w:rsidRPr="002C65E3">
        <w:rPr>
          <w:lang w:eastAsia="en-US"/>
        </w:rPr>
        <w:t>necesarios</w:t>
      </w:r>
      <w:r w:rsidR="00791BE9" w:rsidRPr="002C65E3">
        <w:rPr>
          <w:lang w:eastAsia="en-US"/>
        </w:rPr>
        <w:t>”</w:t>
      </w:r>
      <w:r w:rsidR="006F4911" w:rsidRPr="002C65E3">
        <w:rPr>
          <w:lang w:eastAsia="en-US"/>
        </w:rPr>
        <w:t>; b) Acción de protección (artículo 20 de la CPR</w:t>
      </w:r>
      <w:r w:rsidR="006F4911" w:rsidRPr="002C65E3">
        <w:rPr>
          <w:rStyle w:val="Refdenotaalpie"/>
        </w:rPr>
        <w:footnoteReference w:id="28"/>
      </w:r>
      <w:r w:rsidR="006F4911" w:rsidRPr="002C65E3">
        <w:rPr>
          <w:lang w:eastAsia="en-US"/>
        </w:rPr>
        <w:t>); c) Acción de tutela laboral (artículo 485 y siguientes del CdT</w:t>
      </w:r>
      <w:r w:rsidR="006F4911" w:rsidRPr="002C65E3">
        <w:rPr>
          <w:rStyle w:val="Refdenotaalpie"/>
        </w:rPr>
        <w:footnoteReference w:id="29"/>
      </w:r>
      <w:r w:rsidR="006F4911" w:rsidRPr="002C65E3">
        <w:rPr>
          <w:lang w:eastAsia="en-US"/>
        </w:rPr>
        <w:t xml:space="preserve">). </w:t>
      </w:r>
    </w:p>
    <w:p w14:paraId="6F161DCC" w14:textId="6ED23FC4" w:rsidR="006F4911" w:rsidRPr="002C65E3" w:rsidRDefault="00156F70" w:rsidP="00575DCD">
      <w:pPr>
        <w:pStyle w:val="SingleTxtG"/>
        <w:rPr>
          <w:lang w:eastAsia="en-US"/>
        </w:rPr>
      </w:pPr>
      <w:r w:rsidRPr="002C65E3">
        <w:rPr>
          <w:lang w:eastAsia="en-US"/>
        </w:rPr>
        <w:t>21.</w:t>
      </w:r>
      <w:r w:rsidRPr="002C65E3">
        <w:rPr>
          <w:lang w:eastAsia="en-US"/>
        </w:rPr>
        <w:tab/>
      </w:r>
      <w:r w:rsidR="006F4911" w:rsidRPr="002C65E3">
        <w:rPr>
          <w:lang w:eastAsia="en-US"/>
        </w:rPr>
        <w:t>Con la Ley N</w:t>
      </w:r>
      <w:r w:rsidR="00405113" w:rsidRPr="002C65E3">
        <w:rPr>
          <w:lang w:eastAsia="en-US"/>
        </w:rPr>
        <w:t>º </w:t>
      </w:r>
      <w:r w:rsidR="006F4911" w:rsidRPr="002C65E3">
        <w:rPr>
          <w:lang w:eastAsia="en-US"/>
        </w:rPr>
        <w:t>20.940</w:t>
      </w:r>
      <w:r w:rsidR="006F4911" w:rsidRPr="002C65E3">
        <w:rPr>
          <w:rStyle w:val="Refdenotaalpie"/>
        </w:rPr>
        <w:footnoteReference w:id="30"/>
      </w:r>
      <w:r w:rsidR="006F4911" w:rsidRPr="002C65E3">
        <w:rPr>
          <w:lang w:eastAsia="en-US"/>
        </w:rPr>
        <w:t>, se incorporó en el CdT, la discapacidad como causal de discriminación, pudiendo ser objeto de tutela laboral. La Ley N</w:t>
      </w:r>
      <w:r w:rsidR="00405113" w:rsidRPr="002C65E3">
        <w:rPr>
          <w:lang w:eastAsia="en-US"/>
        </w:rPr>
        <w:t>º </w:t>
      </w:r>
      <w:r w:rsidR="006F4911" w:rsidRPr="002C65E3">
        <w:rPr>
          <w:lang w:eastAsia="en-US"/>
        </w:rPr>
        <w:t>21.015</w:t>
      </w:r>
      <w:r w:rsidR="006F4911" w:rsidRPr="002C65E3">
        <w:rPr>
          <w:rStyle w:val="Refdenotaalpie"/>
        </w:rPr>
        <w:footnoteReference w:id="31"/>
      </w:r>
      <w:r w:rsidR="006F4911" w:rsidRPr="002C65E3">
        <w:rPr>
          <w:lang w:eastAsia="en-US"/>
        </w:rPr>
        <w:t xml:space="preserve"> incorporó en el Estatuto Administrativo del sector público la prohibición de todo acto de discriminación arbitraria que se traduzca en exclusiones o restricciones, tales como aquellas basadas en la discapacidad, y que tengan por objeto anular o alterar la igualdad de oportunidades o trato en el empleo, lo cual, al complementarlo con la Ley N</w:t>
      </w:r>
      <w:r w:rsidR="00405113" w:rsidRPr="002C65E3">
        <w:rPr>
          <w:lang w:eastAsia="en-US"/>
        </w:rPr>
        <w:t>º </w:t>
      </w:r>
      <w:r w:rsidR="006F4911" w:rsidRPr="002C65E3">
        <w:rPr>
          <w:lang w:eastAsia="en-US"/>
        </w:rPr>
        <w:t>21.280</w:t>
      </w:r>
      <w:r w:rsidR="006F4911" w:rsidRPr="002C65E3">
        <w:rPr>
          <w:rStyle w:val="Refdenotaalpie"/>
        </w:rPr>
        <w:footnoteReference w:id="32"/>
      </w:r>
      <w:r w:rsidR="006F4911" w:rsidRPr="002C65E3">
        <w:rPr>
          <w:lang w:eastAsia="en-US"/>
        </w:rPr>
        <w:t xml:space="preserve">, permite iniciar la acción de tutela laboral por funcionarios públicos con discapacidad. </w:t>
      </w:r>
    </w:p>
    <w:p w14:paraId="3E820835" w14:textId="3603D0A6" w:rsidR="006F4911" w:rsidRPr="002C65E3" w:rsidRDefault="00156F70" w:rsidP="00575DCD">
      <w:pPr>
        <w:pStyle w:val="SingleTxtG"/>
        <w:rPr>
          <w:lang w:eastAsia="en-US"/>
        </w:rPr>
      </w:pPr>
      <w:r w:rsidRPr="002C65E3">
        <w:rPr>
          <w:lang w:eastAsia="en-US"/>
        </w:rPr>
        <w:t>22.</w:t>
      </w:r>
      <w:r w:rsidRPr="002C65E3">
        <w:rPr>
          <w:lang w:eastAsia="en-US"/>
        </w:rPr>
        <w:tab/>
      </w:r>
      <w:r w:rsidR="006F4911" w:rsidRPr="002C65E3">
        <w:rPr>
          <w:lang w:eastAsia="en-US"/>
        </w:rPr>
        <w:t xml:space="preserve">No hay un reconocimiento expreso a la discriminación interseccional o múltiple, pero las causas de discriminación contempladas en varios cuerpos normativos utilizan la conjunción </w:t>
      </w:r>
      <w:r w:rsidR="00791BE9" w:rsidRPr="002C65E3">
        <w:rPr>
          <w:lang w:eastAsia="en-US"/>
        </w:rPr>
        <w:t>“</w:t>
      </w:r>
      <w:r w:rsidR="006F4911" w:rsidRPr="002C65E3">
        <w:rPr>
          <w:lang w:eastAsia="en-US"/>
        </w:rPr>
        <w:t>o</w:t>
      </w:r>
      <w:r w:rsidR="00791BE9" w:rsidRPr="002C65E3">
        <w:rPr>
          <w:lang w:eastAsia="en-US"/>
        </w:rPr>
        <w:t>”</w:t>
      </w:r>
      <w:r w:rsidR="006F4911" w:rsidRPr="002C65E3">
        <w:rPr>
          <w:lang w:eastAsia="en-US"/>
        </w:rPr>
        <w:t xml:space="preserve"> para ejemplificar, pudiendo argumentar la intersección de más de una causal. </w:t>
      </w:r>
    </w:p>
    <w:p w14:paraId="1D819EB7" w14:textId="00C3FB03" w:rsidR="006F4911" w:rsidRPr="002C65E3" w:rsidRDefault="00156F70" w:rsidP="00575DCD">
      <w:pPr>
        <w:pStyle w:val="SingleTxtG"/>
        <w:rPr>
          <w:lang w:eastAsia="en-US"/>
        </w:rPr>
      </w:pPr>
      <w:r w:rsidRPr="002C65E3">
        <w:rPr>
          <w:lang w:eastAsia="en-US"/>
        </w:rPr>
        <w:t>23.</w:t>
      </w:r>
      <w:r w:rsidRPr="002C65E3">
        <w:rPr>
          <w:lang w:eastAsia="en-US"/>
        </w:rPr>
        <w:tab/>
      </w:r>
      <w:r w:rsidR="006F4911" w:rsidRPr="002C65E3">
        <w:rPr>
          <w:lang w:eastAsia="en-US"/>
        </w:rPr>
        <w:t>Se encuentra en tramitación PdL Boletín N</w:t>
      </w:r>
      <w:r w:rsidR="00405113" w:rsidRPr="002C65E3">
        <w:rPr>
          <w:lang w:eastAsia="en-US"/>
        </w:rPr>
        <w:t>º </w:t>
      </w:r>
      <w:r w:rsidR="006F4911" w:rsidRPr="002C65E3">
        <w:rPr>
          <w:lang w:eastAsia="en-US"/>
        </w:rPr>
        <w:t>12.748-17</w:t>
      </w:r>
      <w:r w:rsidR="006F4911" w:rsidRPr="002C65E3">
        <w:rPr>
          <w:rStyle w:val="Refdenotaalpie"/>
        </w:rPr>
        <w:footnoteReference w:id="33"/>
      </w:r>
      <w:r w:rsidR="006F4911" w:rsidRPr="002C65E3">
        <w:rPr>
          <w:lang w:eastAsia="en-US"/>
        </w:rPr>
        <w:t xml:space="preserve"> que tiene como objetivos principales erradicar, prevenir, sancionar y reparar toda discriminación en contra de cualquier persona o grupo de personas y promover el principio de igualdad y no discriminación, instaurando un procedimiento judicial especial y rápido respecto de actos de discriminación arbitraria</w:t>
      </w:r>
      <w:r w:rsidR="006F4911" w:rsidRPr="002C65E3">
        <w:rPr>
          <w:rStyle w:val="Refdenotaalpie"/>
        </w:rPr>
        <w:footnoteReference w:id="34"/>
      </w:r>
      <w:r w:rsidR="006F4911" w:rsidRPr="002C65E3">
        <w:rPr>
          <w:lang w:eastAsia="en-US"/>
        </w:rPr>
        <w:t xml:space="preserve">. </w:t>
      </w:r>
    </w:p>
    <w:p w14:paraId="10B29492" w14:textId="10B8E2F2" w:rsidR="006F4911" w:rsidRPr="002C65E3" w:rsidRDefault="00227383" w:rsidP="00575DCD">
      <w:pPr>
        <w:pStyle w:val="H1G"/>
        <w:rPr>
          <w:lang w:eastAsia="en-US"/>
        </w:rPr>
      </w:pPr>
      <w:bookmarkStart w:id="9" w:name="_Toc122692612"/>
      <w:r w:rsidRPr="002C65E3">
        <w:rPr>
          <w:lang w:eastAsia="en-US"/>
        </w:rPr>
        <w:tab/>
      </w:r>
      <w:r w:rsidRPr="002C65E3">
        <w:rPr>
          <w:lang w:eastAsia="en-US"/>
        </w:rPr>
        <w:tab/>
      </w:r>
      <w:r w:rsidR="006F4911" w:rsidRPr="002C65E3">
        <w:rPr>
          <w:lang w:eastAsia="en-US"/>
        </w:rPr>
        <w:t>Artículo 6</w:t>
      </w:r>
      <w:bookmarkEnd w:id="9"/>
      <w:r w:rsidR="006F4911" w:rsidRPr="002C65E3">
        <w:rPr>
          <w:lang w:eastAsia="en-US"/>
        </w:rPr>
        <w:t xml:space="preserve"> </w:t>
      </w:r>
    </w:p>
    <w:p w14:paraId="2DFA6075" w14:textId="758A7624" w:rsidR="006F4911" w:rsidRPr="002C65E3" w:rsidRDefault="00156F70" w:rsidP="00575DCD">
      <w:pPr>
        <w:pStyle w:val="SingleTxtG"/>
        <w:rPr>
          <w:lang w:eastAsia="en-US"/>
        </w:rPr>
      </w:pPr>
      <w:r w:rsidRPr="002C65E3">
        <w:rPr>
          <w:lang w:eastAsia="en-US"/>
        </w:rPr>
        <w:t>24.</w:t>
      </w:r>
      <w:r w:rsidRPr="002C65E3">
        <w:rPr>
          <w:lang w:eastAsia="en-US"/>
        </w:rPr>
        <w:tab/>
      </w:r>
      <w:r w:rsidR="006F4911" w:rsidRPr="002C65E3">
        <w:rPr>
          <w:lang w:eastAsia="en-US"/>
        </w:rPr>
        <w:t>En todos los servicios públicos se cuenta con un PMG sobre Sistema Enfoque de Género, cuyo objeto es que cada repartición pública incorpore este enfoque en la provisión de los servicios y/o productos estratégicos y en sus sistemas de información, a fin de que los mismos identifiquen necesidades y otorguen respuestas diferenciadas a hombres y mujeres.</w:t>
      </w:r>
    </w:p>
    <w:p w14:paraId="795343EA" w14:textId="4611C663" w:rsidR="006F4911" w:rsidRPr="002C65E3" w:rsidRDefault="00156F70" w:rsidP="00575DCD">
      <w:pPr>
        <w:pStyle w:val="SingleTxtG"/>
        <w:rPr>
          <w:lang w:eastAsia="en-US"/>
        </w:rPr>
      </w:pPr>
      <w:r w:rsidRPr="002C65E3">
        <w:rPr>
          <w:lang w:eastAsia="en-US"/>
        </w:rPr>
        <w:t>25.</w:t>
      </w:r>
      <w:r w:rsidRPr="002C65E3">
        <w:rPr>
          <w:lang w:eastAsia="en-US"/>
        </w:rPr>
        <w:tab/>
      </w:r>
      <w:r w:rsidR="006F4911" w:rsidRPr="002C65E3">
        <w:rPr>
          <w:lang w:eastAsia="en-US"/>
        </w:rPr>
        <w:t>En los párrafos</w:t>
      </w:r>
      <w:r w:rsidR="00776BAA" w:rsidRPr="002C65E3">
        <w:rPr>
          <w:lang w:eastAsia="en-US"/>
        </w:rPr>
        <w:t xml:space="preserve"> 50</w:t>
      </w:r>
      <w:r w:rsidR="006F4911" w:rsidRPr="002C65E3">
        <w:rPr>
          <w:lang w:eastAsia="en-US"/>
        </w:rPr>
        <w:t xml:space="preserve"> y siguientes se desarrollan acciones vinculadas con información accesible en situaciones de riesgo y emergencias humanitarias. Asimismo, el párrafo</w:t>
      </w:r>
      <w:r w:rsidR="00776BAA" w:rsidRPr="002C65E3">
        <w:rPr>
          <w:lang w:eastAsia="en-US"/>
        </w:rPr>
        <w:t xml:space="preserve"> 106</w:t>
      </w:r>
      <w:r w:rsidR="006F4911" w:rsidRPr="002C65E3">
        <w:rPr>
          <w:lang w:eastAsia="en-US"/>
        </w:rPr>
        <w:t xml:space="preserve"> se </w:t>
      </w:r>
      <w:r w:rsidR="006F4911" w:rsidRPr="002C65E3">
        <w:rPr>
          <w:lang w:eastAsia="en-US"/>
        </w:rPr>
        <w:lastRenderedPageBreak/>
        <w:t xml:space="preserve">refiere al convenio suscrito entre SERNAMEG y Fundación Nellie Zabel para implementar el CM Sorda. </w:t>
      </w:r>
    </w:p>
    <w:p w14:paraId="0A6158EE" w14:textId="154ABC5B" w:rsidR="006F4911" w:rsidRPr="002C65E3" w:rsidRDefault="00156F70" w:rsidP="00575DCD">
      <w:pPr>
        <w:pStyle w:val="SingleTxtG"/>
        <w:rPr>
          <w:lang w:eastAsia="en-US"/>
        </w:rPr>
      </w:pPr>
      <w:r w:rsidRPr="002C65E3">
        <w:rPr>
          <w:lang w:eastAsia="en-US"/>
        </w:rPr>
        <w:t>26.</w:t>
      </w:r>
      <w:r w:rsidRPr="002C65E3">
        <w:rPr>
          <w:lang w:eastAsia="en-US"/>
        </w:rPr>
        <w:tab/>
      </w:r>
      <w:r w:rsidR="006F4911" w:rsidRPr="002C65E3">
        <w:rPr>
          <w:lang w:eastAsia="en-US"/>
        </w:rPr>
        <w:t>MMEG, SERNAMEG y SENADIS desarrollan anualmente acciones conjuntas, para difundir los derechos de las mujeres con discapacidad, principalmente en el marco del PMG de género y del convenio de colaboración suscrito en 2020 para la promoción y difusión de DDHH de mujeres con discapacidad. Se conformó la mesa de género y discapacidad que, en</w:t>
      </w:r>
      <w:r w:rsidR="00575DCD" w:rsidRPr="002C65E3">
        <w:rPr>
          <w:lang w:eastAsia="en-US"/>
        </w:rPr>
        <w:t> </w:t>
      </w:r>
      <w:r w:rsidR="006F4911" w:rsidRPr="002C65E3">
        <w:rPr>
          <w:lang w:eastAsia="en-US"/>
        </w:rPr>
        <w:t>2021, contó con un plan interno de trabajo anual con acciones específicas. Durante 2020 y 2021, se trabajó especialmente en la elaboración y difusión de la Guía de atención a mujeres con discapacidad víctimas de violencia</w:t>
      </w:r>
      <w:r w:rsidR="006F4911" w:rsidRPr="002C65E3">
        <w:rPr>
          <w:rStyle w:val="Refdenotaalpie"/>
        </w:rPr>
        <w:footnoteReference w:id="35"/>
      </w:r>
      <w:r w:rsidR="006F4911" w:rsidRPr="002C65E3">
        <w:rPr>
          <w:lang w:eastAsia="en-US"/>
        </w:rPr>
        <w:t xml:space="preserve"> y una cartilla con recomendaciones, que fueron difundidas a diversas reparticiones públicas</w:t>
      </w:r>
      <w:r w:rsidR="006F4911" w:rsidRPr="002C65E3">
        <w:rPr>
          <w:rStyle w:val="Refdenotaalpie"/>
        </w:rPr>
        <w:footnoteReference w:id="36"/>
      </w:r>
      <w:r w:rsidR="006F4911" w:rsidRPr="002C65E3">
        <w:rPr>
          <w:lang w:eastAsia="en-US"/>
        </w:rPr>
        <w:t xml:space="preserve">. </w:t>
      </w:r>
    </w:p>
    <w:p w14:paraId="539D4BBF" w14:textId="710195C1" w:rsidR="006F4911" w:rsidRPr="002C65E3" w:rsidRDefault="00156F70" w:rsidP="00575DCD">
      <w:pPr>
        <w:pStyle w:val="SingleTxtG"/>
        <w:rPr>
          <w:lang w:eastAsia="en-US"/>
        </w:rPr>
      </w:pPr>
      <w:bookmarkStart w:id="10" w:name="_Ref122703268"/>
      <w:r w:rsidRPr="002C65E3">
        <w:rPr>
          <w:lang w:eastAsia="en-US"/>
        </w:rPr>
        <w:t>27.</w:t>
      </w:r>
      <w:r w:rsidRPr="002C65E3">
        <w:rPr>
          <w:lang w:eastAsia="en-US"/>
        </w:rPr>
        <w:tab/>
      </w:r>
      <w:r w:rsidR="006F4911" w:rsidRPr="002C65E3">
        <w:rPr>
          <w:lang w:eastAsia="en-US"/>
        </w:rPr>
        <w:t>Respecto al PdL sobre el derecho de las mujeres a una vida libre de violencia (Boletín</w:t>
      </w:r>
      <w:r w:rsidR="00575DCD" w:rsidRPr="002C65E3">
        <w:rPr>
          <w:lang w:eastAsia="en-US"/>
        </w:rPr>
        <w:t> </w:t>
      </w:r>
      <w:r w:rsidR="006F4911" w:rsidRPr="002C65E3">
        <w:rPr>
          <w:lang w:eastAsia="en-US"/>
        </w:rPr>
        <w:t>11.077-07)</w:t>
      </w:r>
      <w:r w:rsidR="006F4911" w:rsidRPr="002C65E3">
        <w:rPr>
          <w:rStyle w:val="Refdenotaalpie"/>
        </w:rPr>
        <w:footnoteReference w:id="37"/>
      </w:r>
      <w:r w:rsidR="006F4911" w:rsidRPr="002C65E3">
        <w:rPr>
          <w:lang w:eastAsia="en-US"/>
        </w:rPr>
        <w:t xml:space="preserve">, el texto establece como objeto de la ley, la prevención, sanción y erradicación de la VCM, incorporando categorías como la etnia, la discapacidad y la situación migratoria, dejando abierta la consideración de </w:t>
      </w:r>
      <w:r w:rsidR="00791BE9" w:rsidRPr="002C65E3">
        <w:rPr>
          <w:lang w:eastAsia="en-US"/>
        </w:rPr>
        <w:t>“</w:t>
      </w:r>
      <w:r w:rsidR="006F4911" w:rsidRPr="002C65E3">
        <w:rPr>
          <w:lang w:eastAsia="en-US"/>
        </w:rPr>
        <w:t>cualquier otra condición</w:t>
      </w:r>
      <w:r w:rsidR="00791BE9" w:rsidRPr="002C65E3">
        <w:rPr>
          <w:lang w:eastAsia="en-US"/>
        </w:rPr>
        <w:t>”</w:t>
      </w:r>
      <w:r w:rsidR="006F4911" w:rsidRPr="002C65E3">
        <w:rPr>
          <w:lang w:eastAsia="en-US"/>
        </w:rPr>
        <w:t>. Se incluye dentro de los tipos de VCM, la violencia simbólica, institucional, política, laboral e indirecta. Además, incorpora modificaciones a la Ley N</w:t>
      </w:r>
      <w:r w:rsidR="00405113" w:rsidRPr="002C65E3">
        <w:rPr>
          <w:lang w:eastAsia="en-US"/>
        </w:rPr>
        <w:t>º </w:t>
      </w:r>
      <w:r w:rsidR="006F4911" w:rsidRPr="002C65E3">
        <w:rPr>
          <w:lang w:eastAsia="en-US"/>
        </w:rPr>
        <w:t>20.066, agregando medidas de protección y asistencia a las PcD, además de la mujer, las personas mayores y la niñez, y hace referencia a la CDPD</w:t>
      </w:r>
      <w:r w:rsidR="006F4911" w:rsidRPr="002C65E3">
        <w:rPr>
          <w:rStyle w:val="Refdenotaalpie"/>
        </w:rPr>
        <w:footnoteReference w:id="38"/>
      </w:r>
      <w:r w:rsidR="006F4911" w:rsidRPr="002C65E3">
        <w:rPr>
          <w:lang w:eastAsia="en-US"/>
        </w:rPr>
        <w:t>.</w:t>
      </w:r>
      <w:bookmarkEnd w:id="10"/>
    </w:p>
    <w:p w14:paraId="546FBB72" w14:textId="0F9FDFFE" w:rsidR="006F4911" w:rsidRPr="002C65E3" w:rsidRDefault="00156F70" w:rsidP="00575DCD">
      <w:pPr>
        <w:pStyle w:val="SingleTxtG"/>
        <w:rPr>
          <w:lang w:eastAsia="en-US"/>
        </w:rPr>
      </w:pPr>
      <w:r w:rsidRPr="002C65E3">
        <w:rPr>
          <w:lang w:eastAsia="en-US"/>
        </w:rPr>
        <w:t>28.</w:t>
      </w:r>
      <w:r w:rsidRPr="002C65E3">
        <w:rPr>
          <w:lang w:eastAsia="en-US"/>
        </w:rPr>
        <w:tab/>
      </w:r>
      <w:r w:rsidR="006F4911" w:rsidRPr="002C65E3">
        <w:rPr>
          <w:lang w:eastAsia="en-US"/>
        </w:rPr>
        <w:t xml:space="preserve">El 9.08.2021 se anunció la Agenda de Mujeres Indígenas, con al menos 20 iniciativas para potenciar su liderazgo, autonomía económica, y autonomía física y libre de violencia. </w:t>
      </w:r>
    </w:p>
    <w:p w14:paraId="5D76F52E" w14:textId="61BA9176" w:rsidR="006F4911" w:rsidRPr="002C65E3" w:rsidRDefault="00567C51" w:rsidP="00575DCD">
      <w:pPr>
        <w:pStyle w:val="H1G"/>
        <w:rPr>
          <w:lang w:eastAsia="en-US"/>
        </w:rPr>
      </w:pPr>
      <w:bookmarkStart w:id="11" w:name="_Toc122692613"/>
      <w:r w:rsidRPr="002C65E3">
        <w:rPr>
          <w:lang w:eastAsia="en-US"/>
        </w:rPr>
        <w:tab/>
      </w:r>
      <w:r w:rsidRPr="002C65E3">
        <w:rPr>
          <w:lang w:eastAsia="en-US"/>
        </w:rPr>
        <w:tab/>
      </w:r>
      <w:r w:rsidR="006F4911" w:rsidRPr="002C65E3">
        <w:rPr>
          <w:lang w:eastAsia="en-US"/>
        </w:rPr>
        <w:t>Artículo 7</w:t>
      </w:r>
      <w:bookmarkEnd w:id="11"/>
      <w:r w:rsidR="006F4911" w:rsidRPr="002C65E3">
        <w:rPr>
          <w:lang w:eastAsia="en-US"/>
        </w:rPr>
        <w:t xml:space="preserve"> </w:t>
      </w:r>
    </w:p>
    <w:p w14:paraId="37A8CDB6" w14:textId="3C2D6B5E" w:rsidR="006F4911" w:rsidRPr="002C65E3" w:rsidRDefault="00156F70" w:rsidP="00575DCD">
      <w:pPr>
        <w:pStyle w:val="SingleTxtG"/>
        <w:rPr>
          <w:lang w:eastAsia="en-US"/>
        </w:rPr>
      </w:pPr>
      <w:r w:rsidRPr="002C65E3">
        <w:rPr>
          <w:lang w:eastAsia="en-US"/>
        </w:rPr>
        <w:t>29.</w:t>
      </w:r>
      <w:r w:rsidRPr="002C65E3">
        <w:rPr>
          <w:lang w:eastAsia="en-US"/>
        </w:rPr>
        <w:tab/>
      </w:r>
      <w:r w:rsidR="006F4911" w:rsidRPr="002C65E3">
        <w:rPr>
          <w:lang w:eastAsia="en-US"/>
        </w:rPr>
        <w:t>El 15.03.2022, se publicó la Ley Nº</w:t>
      </w:r>
      <w:r w:rsidR="00405113" w:rsidRPr="002C65E3">
        <w:rPr>
          <w:lang w:eastAsia="en-US"/>
        </w:rPr>
        <w:t> </w:t>
      </w:r>
      <w:r w:rsidR="006F4911" w:rsidRPr="002C65E3">
        <w:rPr>
          <w:lang w:eastAsia="en-US"/>
        </w:rPr>
        <w:t>21.430</w:t>
      </w:r>
      <w:r w:rsidR="006F4911" w:rsidRPr="002C65E3">
        <w:rPr>
          <w:rStyle w:val="Refdenotaalpie"/>
        </w:rPr>
        <w:footnoteReference w:id="39"/>
      </w:r>
      <w:r w:rsidR="006F4911" w:rsidRPr="002C65E3">
        <w:rPr>
          <w:lang w:eastAsia="en-US"/>
        </w:rPr>
        <w:t>, sobre garantías y protección integral de los derechos de la niñez y adolescencia, que entre sus principios señala: NNA como sujetos de derecho, interés superior, autonomía progresiva, perspectiva de género, y reconoce derechos y garantías.</w:t>
      </w:r>
    </w:p>
    <w:p w14:paraId="61E89D73" w14:textId="59E2783F" w:rsidR="006F4911" w:rsidRPr="002C65E3" w:rsidRDefault="00156F70" w:rsidP="00575DCD">
      <w:pPr>
        <w:pStyle w:val="SingleTxtG"/>
        <w:rPr>
          <w:lang w:eastAsia="en-US"/>
        </w:rPr>
      </w:pPr>
      <w:r w:rsidRPr="002C65E3">
        <w:rPr>
          <w:lang w:eastAsia="en-US"/>
        </w:rPr>
        <w:t>30.</w:t>
      </w:r>
      <w:r w:rsidRPr="002C65E3">
        <w:rPr>
          <w:lang w:eastAsia="en-US"/>
        </w:rPr>
        <w:tab/>
      </w:r>
      <w:r w:rsidR="006F4911" w:rsidRPr="002C65E3">
        <w:rPr>
          <w:lang w:eastAsia="en-US"/>
        </w:rPr>
        <w:t xml:space="preserve">El artículo 8 desarrolla el principio de </w:t>
      </w:r>
      <w:r w:rsidR="00791BE9" w:rsidRPr="002C65E3">
        <w:rPr>
          <w:lang w:eastAsia="en-US"/>
        </w:rPr>
        <w:t>“</w:t>
      </w:r>
      <w:r w:rsidR="006F4911" w:rsidRPr="002C65E3">
        <w:rPr>
          <w:lang w:eastAsia="en-US"/>
        </w:rPr>
        <w:t>igualdad y no discriminación arbitraria</w:t>
      </w:r>
      <w:r w:rsidR="00791BE9" w:rsidRPr="002C65E3">
        <w:rPr>
          <w:lang w:eastAsia="en-US"/>
        </w:rPr>
        <w:t>”</w:t>
      </w:r>
      <w:r w:rsidR="006F4911" w:rsidRPr="002C65E3">
        <w:rPr>
          <w:lang w:eastAsia="en-US"/>
        </w:rPr>
        <w:t xml:space="preserve">, estableciendo que </w:t>
      </w:r>
      <w:r w:rsidR="00791BE9" w:rsidRPr="002C65E3">
        <w:rPr>
          <w:lang w:eastAsia="en-US"/>
        </w:rPr>
        <w:t>“</w:t>
      </w:r>
      <w:r w:rsidR="006F4911" w:rsidRPr="002C65E3">
        <w:rPr>
          <w:lang w:eastAsia="en-US"/>
        </w:rPr>
        <w:t>[l]os [NNA] tienen derecho a la igualdad en el goce, ejercicio y protección de sus derechos, sin discriminación arbitraria, en conformidad con la [CPR], la [CDNNA] y otros tratados internacionales de [DDHH] ratificados por Chile que se encuentren vigentes y la ley</w:t>
      </w:r>
      <w:r w:rsidR="00791BE9" w:rsidRPr="002C65E3">
        <w:rPr>
          <w:lang w:eastAsia="en-US"/>
        </w:rPr>
        <w:t>”.</w:t>
      </w:r>
      <w:r w:rsidR="006F4911" w:rsidRPr="002C65E3">
        <w:rPr>
          <w:lang w:eastAsia="en-US"/>
        </w:rPr>
        <w:t xml:space="preserve"> El artículo prohíbe la discriminación arbitraria en razón de la situación de discapacidad de NNA.</w:t>
      </w:r>
    </w:p>
    <w:p w14:paraId="33ED38EB" w14:textId="69B4D87F" w:rsidR="006F4911" w:rsidRPr="002C65E3" w:rsidRDefault="00156F70" w:rsidP="00575DCD">
      <w:pPr>
        <w:pStyle w:val="SingleTxtG"/>
        <w:rPr>
          <w:lang w:eastAsia="en-US"/>
        </w:rPr>
      </w:pPr>
      <w:r w:rsidRPr="002C65E3">
        <w:rPr>
          <w:lang w:eastAsia="en-US"/>
        </w:rPr>
        <w:t>31.</w:t>
      </w:r>
      <w:r w:rsidRPr="002C65E3">
        <w:rPr>
          <w:lang w:eastAsia="en-US"/>
        </w:rPr>
        <w:tab/>
      </w:r>
      <w:r w:rsidR="006F4911" w:rsidRPr="002C65E3">
        <w:rPr>
          <w:lang w:eastAsia="en-US"/>
        </w:rPr>
        <w:t xml:space="preserve">El artículo 19 consagra el </w:t>
      </w:r>
      <w:r w:rsidR="00791BE9" w:rsidRPr="002C65E3">
        <w:rPr>
          <w:lang w:eastAsia="en-US"/>
        </w:rPr>
        <w:t>“</w:t>
      </w:r>
      <w:r w:rsidR="006F4911" w:rsidRPr="002C65E3">
        <w:rPr>
          <w:lang w:eastAsia="en-US"/>
        </w:rPr>
        <w:t>principio de inclusión</w:t>
      </w:r>
      <w:r w:rsidR="00791BE9" w:rsidRPr="002C65E3">
        <w:rPr>
          <w:lang w:eastAsia="en-US"/>
        </w:rPr>
        <w:t>”</w:t>
      </w:r>
      <w:r w:rsidR="006F4911" w:rsidRPr="002C65E3">
        <w:rPr>
          <w:lang w:eastAsia="en-US"/>
        </w:rPr>
        <w:t xml:space="preserve"> señalando que el Estado debe establecer las medidas necesarias para facilitar la realización personal y la inclusión social y educativa de todos los NNA, especialmente aquellos que, por sus circunstancias físicas y psíquicas o por cualquier otra situación o circunstancia puedan ser susceptibles de recibir un trato discriminatorio.</w:t>
      </w:r>
    </w:p>
    <w:p w14:paraId="2EAD57AE" w14:textId="3CDC7AAF" w:rsidR="006F4911" w:rsidRPr="002C65E3" w:rsidRDefault="00567C51" w:rsidP="00575DCD">
      <w:pPr>
        <w:pStyle w:val="H1G"/>
        <w:rPr>
          <w:lang w:eastAsia="en-US"/>
        </w:rPr>
      </w:pPr>
      <w:bookmarkStart w:id="12" w:name="_Toc122692614"/>
      <w:r w:rsidRPr="002C65E3">
        <w:rPr>
          <w:lang w:eastAsia="en-US"/>
        </w:rPr>
        <w:tab/>
      </w:r>
      <w:r w:rsidRPr="002C65E3">
        <w:rPr>
          <w:lang w:eastAsia="en-US"/>
        </w:rPr>
        <w:tab/>
      </w:r>
      <w:r w:rsidR="006F4911" w:rsidRPr="002C65E3">
        <w:rPr>
          <w:lang w:eastAsia="en-US"/>
        </w:rPr>
        <w:t>Artículo 8</w:t>
      </w:r>
      <w:bookmarkEnd w:id="12"/>
      <w:r w:rsidR="006F4911" w:rsidRPr="002C65E3">
        <w:rPr>
          <w:lang w:eastAsia="en-US"/>
        </w:rPr>
        <w:t xml:space="preserve"> </w:t>
      </w:r>
    </w:p>
    <w:p w14:paraId="4B096C8D" w14:textId="541FDE9E" w:rsidR="006F4911" w:rsidRPr="002C65E3" w:rsidRDefault="00156F70" w:rsidP="00575DCD">
      <w:pPr>
        <w:pStyle w:val="SingleTxtG"/>
        <w:rPr>
          <w:lang w:eastAsia="en-US"/>
        </w:rPr>
      </w:pPr>
      <w:bookmarkStart w:id="13" w:name="_Ref122703015"/>
      <w:r w:rsidRPr="002C65E3">
        <w:rPr>
          <w:lang w:eastAsia="en-US"/>
        </w:rPr>
        <w:t>32.</w:t>
      </w:r>
      <w:r w:rsidRPr="002C65E3">
        <w:rPr>
          <w:lang w:eastAsia="en-US"/>
        </w:rPr>
        <w:tab/>
      </w:r>
      <w:r w:rsidR="006F4911" w:rsidRPr="002C65E3">
        <w:rPr>
          <w:lang w:eastAsia="en-US"/>
        </w:rPr>
        <w:t xml:space="preserve">No existen acciones específicas referidas a PcD indígenas pero se han implementado instancias de formación para fomentar un trato igualitario a PcD, destacando: a) </w:t>
      </w:r>
      <w:r w:rsidR="00791BE9" w:rsidRPr="002C65E3">
        <w:rPr>
          <w:lang w:eastAsia="en-US"/>
        </w:rPr>
        <w:t>“</w:t>
      </w:r>
      <w:r w:rsidR="006F4911" w:rsidRPr="002C65E3">
        <w:rPr>
          <w:lang w:eastAsia="en-US"/>
        </w:rPr>
        <w:t>Preparados para incluir</w:t>
      </w:r>
      <w:r w:rsidR="00791BE9" w:rsidRPr="002C65E3">
        <w:rPr>
          <w:lang w:eastAsia="en-US"/>
        </w:rPr>
        <w:t>”</w:t>
      </w:r>
      <w:r w:rsidR="006F4911" w:rsidRPr="002C65E3">
        <w:rPr>
          <w:rStyle w:val="Refdenotaalpie"/>
        </w:rPr>
        <w:footnoteReference w:id="40"/>
      </w:r>
      <w:r w:rsidR="006F4911" w:rsidRPr="002C65E3">
        <w:rPr>
          <w:lang w:eastAsia="en-US"/>
        </w:rPr>
        <w:t xml:space="preserve">, destinada a capacitar a funcionarias/os públicos del Estado, en temáticas </w:t>
      </w:r>
      <w:r w:rsidR="006F4911" w:rsidRPr="002C65E3">
        <w:rPr>
          <w:lang w:eastAsia="en-US"/>
        </w:rPr>
        <w:lastRenderedPageBreak/>
        <w:t>como</w:t>
      </w:r>
      <w:r w:rsidR="006F4911" w:rsidRPr="002C65E3">
        <w:rPr>
          <w:rStyle w:val="Refdenotaalpie"/>
        </w:rPr>
        <w:footnoteReference w:id="41"/>
      </w:r>
      <w:r w:rsidR="006F4911" w:rsidRPr="002C65E3">
        <w:rPr>
          <w:lang w:eastAsia="en-US"/>
        </w:rPr>
        <w:t xml:space="preserve"> Derecho a la Accesibilidad Universal; Desafíos de los Servicios Públicos; y Normas de Accesibilidad en Edificación y Urbanismo, entre otros; desde el lanzamiento de la plataforma academia.senadis.cl, se han inscrito 5.681 personas en los cursos; b) </w:t>
      </w:r>
      <w:r w:rsidR="00791BE9" w:rsidRPr="002C65E3">
        <w:rPr>
          <w:lang w:eastAsia="en-US"/>
        </w:rPr>
        <w:t>“</w:t>
      </w:r>
      <w:r w:rsidR="006F4911" w:rsidRPr="002C65E3">
        <w:rPr>
          <w:lang w:eastAsia="en-US"/>
        </w:rPr>
        <w:t>Más Inclusión, Aprendiendo a Incluir</w:t>
      </w:r>
      <w:r w:rsidR="00791BE9" w:rsidRPr="002C65E3">
        <w:rPr>
          <w:lang w:eastAsia="en-US"/>
        </w:rPr>
        <w:t>”</w:t>
      </w:r>
      <w:r w:rsidR="006F4911" w:rsidRPr="002C65E3">
        <w:rPr>
          <w:rStyle w:val="Refdenotaalpie"/>
        </w:rPr>
        <w:footnoteReference w:id="42"/>
      </w:r>
      <w:r w:rsidR="006F4911" w:rsidRPr="002C65E3">
        <w:rPr>
          <w:lang w:eastAsia="en-US"/>
        </w:rPr>
        <w:t xml:space="preserve">: Comunidad virtual generada entre SENADIS y la OIT, para brindar recursos formativos; c) </w:t>
      </w:r>
      <w:r w:rsidR="00791BE9" w:rsidRPr="002C65E3">
        <w:rPr>
          <w:lang w:eastAsia="en-US"/>
        </w:rPr>
        <w:t>“</w:t>
      </w:r>
      <w:r w:rsidR="006F4911" w:rsidRPr="002C65E3">
        <w:rPr>
          <w:lang w:eastAsia="en-US"/>
        </w:rPr>
        <w:t>Incluyendo</w:t>
      </w:r>
      <w:r w:rsidR="00791BE9" w:rsidRPr="002C65E3">
        <w:rPr>
          <w:lang w:eastAsia="en-US"/>
        </w:rPr>
        <w:t>”</w:t>
      </w:r>
      <w:r w:rsidR="006F4911" w:rsidRPr="002C65E3">
        <w:rPr>
          <w:rStyle w:val="Refdenotaalpie"/>
        </w:rPr>
        <w:footnoteReference w:id="43"/>
      </w:r>
      <w:r w:rsidR="006F4911" w:rsidRPr="002C65E3">
        <w:rPr>
          <w:lang w:eastAsia="en-US"/>
        </w:rPr>
        <w:t>: Plataforma web de comunicación inclusiva</w:t>
      </w:r>
      <w:r w:rsidR="006F4911" w:rsidRPr="002C65E3">
        <w:rPr>
          <w:rStyle w:val="Refdenotaalpie"/>
        </w:rPr>
        <w:footnoteReference w:id="44"/>
      </w:r>
      <w:r w:rsidR="006F4911" w:rsidRPr="002C65E3">
        <w:rPr>
          <w:lang w:eastAsia="en-US"/>
        </w:rPr>
        <w:t>.</w:t>
      </w:r>
      <w:bookmarkEnd w:id="13"/>
      <w:r w:rsidR="006F4911" w:rsidRPr="002C65E3">
        <w:rPr>
          <w:lang w:eastAsia="en-US"/>
        </w:rPr>
        <w:t xml:space="preserve"> </w:t>
      </w:r>
    </w:p>
    <w:p w14:paraId="43963BDB" w14:textId="357CB896" w:rsidR="006F4911" w:rsidRPr="002C65E3" w:rsidRDefault="00156F70" w:rsidP="00575DCD">
      <w:pPr>
        <w:pStyle w:val="SingleTxtG"/>
        <w:rPr>
          <w:lang w:eastAsia="en-US"/>
        </w:rPr>
      </w:pPr>
      <w:r w:rsidRPr="002C65E3">
        <w:rPr>
          <w:lang w:eastAsia="en-US"/>
        </w:rPr>
        <w:t>33.</w:t>
      </w:r>
      <w:r w:rsidRPr="002C65E3">
        <w:rPr>
          <w:lang w:eastAsia="en-US"/>
        </w:rPr>
        <w:tab/>
      </w:r>
      <w:r w:rsidR="006F4911" w:rsidRPr="002C65E3">
        <w:rPr>
          <w:lang w:eastAsia="en-US"/>
        </w:rPr>
        <w:t>El FONAPI de SENADIS contempla la línea de Comunicación Inclusiva desde una Perspectiva de Derechos, cuyo fin es concientizar, informar y educar sobre derechos de las PcD. Todas estas actividades deben tener medidas de accesibilidad para PcD sensorial y/o intelectual y estar diseñadas desde un enfoque de derechos, acorde a la CDPD y la Ley Nº</w:t>
      </w:r>
      <w:r w:rsidR="00405113" w:rsidRPr="002C65E3">
        <w:rPr>
          <w:lang w:eastAsia="en-US"/>
        </w:rPr>
        <w:t> </w:t>
      </w:r>
      <w:r w:rsidR="006F4911" w:rsidRPr="002C65E3">
        <w:rPr>
          <w:lang w:eastAsia="en-US"/>
        </w:rPr>
        <w:t>20.422</w:t>
      </w:r>
      <w:r w:rsidR="006F4911" w:rsidRPr="002C65E3">
        <w:rPr>
          <w:rStyle w:val="Refdenotaalpie"/>
        </w:rPr>
        <w:footnoteReference w:id="45"/>
      </w:r>
      <w:r w:rsidR="006F4911" w:rsidRPr="002C65E3">
        <w:rPr>
          <w:lang w:eastAsia="en-US"/>
        </w:rPr>
        <w:t>.</w:t>
      </w:r>
    </w:p>
    <w:p w14:paraId="75832A34" w14:textId="3E6D5E48" w:rsidR="006F4911" w:rsidRPr="002C65E3" w:rsidRDefault="00156F70" w:rsidP="00575DCD">
      <w:pPr>
        <w:pStyle w:val="SingleTxtG"/>
        <w:rPr>
          <w:lang w:eastAsia="en-US"/>
        </w:rPr>
      </w:pPr>
      <w:r w:rsidRPr="002C65E3">
        <w:rPr>
          <w:lang w:eastAsia="en-US"/>
        </w:rPr>
        <w:t>34.</w:t>
      </w:r>
      <w:r w:rsidRPr="002C65E3">
        <w:rPr>
          <w:lang w:eastAsia="en-US"/>
        </w:rPr>
        <w:tab/>
      </w:r>
      <w:r w:rsidR="006F4911" w:rsidRPr="002C65E3">
        <w:rPr>
          <w:lang w:eastAsia="en-US"/>
        </w:rPr>
        <w:t>SENADIS ha desarrollado campañas como</w:t>
      </w:r>
      <w:r w:rsidR="006F4911" w:rsidRPr="002C65E3">
        <w:rPr>
          <w:rStyle w:val="Refdenotaalpie"/>
        </w:rPr>
        <w:footnoteReference w:id="46"/>
      </w:r>
      <w:r w:rsidR="006F4911" w:rsidRPr="002C65E3">
        <w:rPr>
          <w:lang w:eastAsia="en-US"/>
        </w:rPr>
        <w:t>: a) Día Internacional de las PcD; b) Promoción del uso correcto del lenguaje en discapacidad y cómo tratar a una PcD; c) Ley N</w:t>
      </w:r>
      <w:r w:rsidR="00405113" w:rsidRPr="002C65E3">
        <w:rPr>
          <w:lang w:eastAsia="en-US"/>
        </w:rPr>
        <w:t>º </w:t>
      </w:r>
      <w:r w:rsidR="006F4911" w:rsidRPr="002C65E3">
        <w:rPr>
          <w:lang w:eastAsia="en-US"/>
        </w:rPr>
        <w:t>21.015; d) Campaña Mundial para el Buen Trato de NNA con Discapacidad en el Mundo</w:t>
      </w:r>
      <w:r w:rsidR="006F4911" w:rsidRPr="002C65E3">
        <w:rPr>
          <w:rStyle w:val="Refdenotaalpie"/>
        </w:rPr>
        <w:footnoteReference w:id="47"/>
      </w:r>
      <w:r w:rsidR="006F4911" w:rsidRPr="002C65E3">
        <w:rPr>
          <w:lang w:eastAsia="en-US"/>
        </w:rPr>
        <w:t xml:space="preserve"> (2019); e) Actívate por la Inclusión (2019); f) Estrategia comunicacional para la difusión del PNCCD (2020); g) Acciones de difusión en el marco de la crisis sanitaria por COVID-19; h) Difusión del Sello Chile Inclusivo; i) Verano Inclusivo (2016, 2017, 2018); j) 10 años de la CDPD (2016); k) Difusión de la oferta programática y temas de interés (2022).</w:t>
      </w:r>
    </w:p>
    <w:p w14:paraId="43F71170" w14:textId="252472A4" w:rsidR="006F4911" w:rsidRPr="002C65E3" w:rsidRDefault="00156F70" w:rsidP="00575DCD">
      <w:pPr>
        <w:pStyle w:val="SingleTxtG"/>
        <w:rPr>
          <w:lang w:eastAsia="en-US"/>
        </w:rPr>
      </w:pPr>
      <w:r w:rsidRPr="002C65E3">
        <w:rPr>
          <w:lang w:eastAsia="en-US"/>
        </w:rPr>
        <w:t>35.</w:t>
      </w:r>
      <w:r w:rsidRPr="002C65E3">
        <w:rPr>
          <w:lang w:eastAsia="en-US"/>
        </w:rPr>
        <w:tab/>
      </w:r>
      <w:r w:rsidR="006F4911" w:rsidRPr="002C65E3">
        <w:rPr>
          <w:lang w:eastAsia="en-US"/>
        </w:rPr>
        <w:t xml:space="preserve">SEGEGOB realizó la campaña comunicacional </w:t>
      </w:r>
      <w:r w:rsidR="00791BE9" w:rsidRPr="002C65E3">
        <w:rPr>
          <w:lang w:eastAsia="en-US"/>
        </w:rPr>
        <w:t>“</w:t>
      </w:r>
      <w:r w:rsidR="006F4911" w:rsidRPr="002C65E3">
        <w:rPr>
          <w:lang w:eastAsia="en-US"/>
        </w:rPr>
        <w:t>Uso Correcto del Lenguaje</w:t>
      </w:r>
      <w:r w:rsidR="00791BE9" w:rsidRPr="002C65E3">
        <w:rPr>
          <w:lang w:eastAsia="en-US"/>
        </w:rPr>
        <w:t>”</w:t>
      </w:r>
      <w:r w:rsidR="006F4911" w:rsidRPr="002C65E3">
        <w:rPr>
          <w:rStyle w:val="Refdenotaalpie"/>
        </w:rPr>
        <w:footnoteReference w:id="48"/>
      </w:r>
      <w:r w:rsidR="006F4911" w:rsidRPr="002C65E3">
        <w:rPr>
          <w:lang w:eastAsia="en-US"/>
        </w:rPr>
        <w:t xml:space="preserve">, que sigue siendo difundida. </w:t>
      </w:r>
    </w:p>
    <w:p w14:paraId="7864DBF6" w14:textId="5A00A4A4" w:rsidR="006F4911" w:rsidRPr="002C65E3" w:rsidRDefault="00156F70" w:rsidP="00575DCD">
      <w:pPr>
        <w:pStyle w:val="SingleTxtG"/>
        <w:rPr>
          <w:lang w:eastAsia="en-US"/>
        </w:rPr>
      </w:pPr>
      <w:r w:rsidRPr="002C65E3">
        <w:rPr>
          <w:lang w:eastAsia="en-US"/>
        </w:rPr>
        <w:t>36.</w:t>
      </w:r>
      <w:r w:rsidRPr="002C65E3">
        <w:rPr>
          <w:lang w:eastAsia="en-US"/>
        </w:rPr>
        <w:tab/>
      </w:r>
      <w:r w:rsidR="006F4911" w:rsidRPr="002C65E3">
        <w:rPr>
          <w:lang w:eastAsia="en-US"/>
        </w:rPr>
        <w:t>SENADIS ha generado instancias de participación para organizaciones de y para PcD, destacando: a) Proceso participativo PNCCD (octubre de 2019 a febrero de 2020), referido en el párrafo</w:t>
      </w:r>
      <w:r w:rsidR="00776BAA" w:rsidRPr="002C65E3">
        <w:rPr>
          <w:lang w:eastAsia="en-US"/>
        </w:rPr>
        <w:t xml:space="preserve"> 13</w:t>
      </w:r>
      <w:r w:rsidR="006F4911" w:rsidRPr="002C65E3">
        <w:rPr>
          <w:lang w:eastAsia="en-US"/>
        </w:rPr>
        <w:t>; b) Difusión de Consejos Regionales de la Sociedad Civil y Consejo Consultivo Nacional de la Discapacidad</w:t>
      </w:r>
      <w:r w:rsidR="006F4911" w:rsidRPr="002C65E3">
        <w:rPr>
          <w:rStyle w:val="Refdenotaalpie"/>
        </w:rPr>
        <w:footnoteReference w:id="49"/>
      </w:r>
      <w:r w:rsidR="006F4911" w:rsidRPr="002C65E3">
        <w:rPr>
          <w:lang w:eastAsia="en-US"/>
        </w:rPr>
        <w:t>; c) Programa PaísDI</w:t>
      </w:r>
      <w:r w:rsidR="006F4911" w:rsidRPr="002C65E3">
        <w:rPr>
          <w:rStyle w:val="Refdenotaalpie"/>
        </w:rPr>
        <w:footnoteReference w:id="50"/>
      </w:r>
      <w:r w:rsidR="006F4911" w:rsidRPr="002C65E3">
        <w:rPr>
          <w:lang w:eastAsia="en-US"/>
        </w:rPr>
        <w:t xml:space="preserve"> (2019), con apoyo de SENADIS</w:t>
      </w:r>
      <w:r w:rsidR="006F4911" w:rsidRPr="002C65E3">
        <w:rPr>
          <w:rStyle w:val="Refdenotaalpie"/>
        </w:rPr>
        <w:footnoteReference w:id="51"/>
      </w:r>
      <w:r w:rsidR="006F4911" w:rsidRPr="002C65E3">
        <w:rPr>
          <w:lang w:eastAsia="en-US"/>
        </w:rPr>
        <w:t>, que busca promover la participación social en discapacidad intelectual, incluyendo a PcD intelectual en calidad de voceros, familiares, profesionales y académicos. Se conformaron mesas y escuelas territoriales en 14 regiones del país. Se creó el sitio web https://paisdi.senadis.cl/ que dio cuenta de las actividades realizadas; d) Programa Más Inclusión-OIT (párrs.</w:t>
      </w:r>
      <w:r w:rsidR="00776BAA" w:rsidRPr="002C65E3">
        <w:rPr>
          <w:lang w:eastAsia="en-US"/>
        </w:rPr>
        <w:t xml:space="preserve"> 18 y 32</w:t>
      </w:r>
      <w:r w:rsidR="006F4911" w:rsidRPr="002C65E3">
        <w:rPr>
          <w:lang w:eastAsia="en-US"/>
        </w:rPr>
        <w:t>); e) Jornada de Encuentro por las protestas sociales de octubre de 2019, que convocó a más de 74 representantes de organizaciones sociales de y para PcD para promover la participación de las PcD y recoger sus recomendaciones para los procesos de diálogos participativos</w:t>
      </w:r>
      <w:r w:rsidR="006F4911" w:rsidRPr="002C65E3">
        <w:rPr>
          <w:rStyle w:val="Refdenotaalpie"/>
        </w:rPr>
        <w:footnoteReference w:id="52"/>
      </w:r>
      <w:r w:rsidR="006F4911" w:rsidRPr="002C65E3">
        <w:rPr>
          <w:lang w:eastAsia="en-US"/>
        </w:rPr>
        <w:t xml:space="preserve">; f) Encuentro Nacional por la Inclusión de las PcD, cuyas conclusiones formaron parte de </w:t>
      </w:r>
      <w:r w:rsidR="00791BE9" w:rsidRPr="002C65E3">
        <w:rPr>
          <w:lang w:eastAsia="en-US"/>
        </w:rPr>
        <w:t>“</w:t>
      </w:r>
      <w:r w:rsidR="006F4911" w:rsidRPr="002C65E3">
        <w:rPr>
          <w:lang w:eastAsia="en-US"/>
        </w:rPr>
        <w:t>El Chile que Queremos</w:t>
      </w:r>
      <w:r w:rsidR="00791BE9" w:rsidRPr="002C65E3">
        <w:rPr>
          <w:lang w:eastAsia="en-US"/>
        </w:rPr>
        <w:t>”</w:t>
      </w:r>
      <w:r w:rsidR="006F4911" w:rsidRPr="002C65E3">
        <w:rPr>
          <w:lang w:eastAsia="en-US"/>
        </w:rPr>
        <w:t xml:space="preserve">, un espacio de diálogo y escucha </w:t>
      </w:r>
      <w:r w:rsidR="006F4911" w:rsidRPr="002C65E3">
        <w:rPr>
          <w:lang w:eastAsia="en-US"/>
        </w:rPr>
        <w:lastRenderedPageBreak/>
        <w:t>social para construir una hoja de ruta que considerara las propuestas de la ciudadanía en la Nueva Agenda Social post octubre 2019</w:t>
      </w:r>
      <w:r w:rsidR="006F4911" w:rsidRPr="002C65E3">
        <w:rPr>
          <w:rStyle w:val="Refdenotaalpie"/>
        </w:rPr>
        <w:footnoteReference w:id="53"/>
      </w:r>
      <w:r w:rsidR="006F4911" w:rsidRPr="002C65E3">
        <w:rPr>
          <w:lang w:eastAsia="en-US"/>
        </w:rPr>
        <w:t xml:space="preserve">; g) En 2020, SENADIS realizó una consulta pública para recoger la percepción sobre la implementación de la </w:t>
      </w:r>
      <w:hyperlink r:id="rId13">
        <w:r w:rsidR="006F4911" w:rsidRPr="002C65E3">
          <w:rPr>
            <w:lang w:eastAsia="en-US"/>
          </w:rPr>
          <w:t>Ley N</w:t>
        </w:r>
        <w:r w:rsidR="00405113" w:rsidRPr="002C65E3">
          <w:rPr>
            <w:lang w:eastAsia="en-US"/>
          </w:rPr>
          <w:t>º </w:t>
        </w:r>
        <w:r w:rsidR="006F4911" w:rsidRPr="002C65E3">
          <w:rPr>
            <w:lang w:eastAsia="en-US"/>
          </w:rPr>
          <w:t>21.015</w:t>
        </w:r>
      </w:hyperlink>
      <w:r w:rsidR="006F4911" w:rsidRPr="002C65E3">
        <w:rPr>
          <w:lang w:eastAsia="en-US"/>
        </w:rPr>
        <w:t xml:space="preserve"> (párr.</w:t>
      </w:r>
      <w:r w:rsidR="00776BAA" w:rsidRPr="002C65E3">
        <w:rPr>
          <w:lang w:eastAsia="en-US"/>
        </w:rPr>
        <w:t xml:space="preserve"> 16</w:t>
      </w:r>
      <w:r w:rsidR="006F4911" w:rsidRPr="002C65E3">
        <w:rPr>
          <w:lang w:eastAsia="en-US"/>
        </w:rPr>
        <w:t xml:space="preserve">); h) En 2022, el Programa de Participación Inclusiva Territorial, se ha enfocado en fortalecer las organizaciones de y para PcD, entregando conocimiento-habilidades para su participación en los mecanismos dispuestos por el Estado y la institucionalidad pública local. </w:t>
      </w:r>
    </w:p>
    <w:p w14:paraId="50576A3F" w14:textId="5B4469AC" w:rsidR="006F4911" w:rsidRPr="002C65E3" w:rsidRDefault="006F4911" w:rsidP="00575DCD">
      <w:pPr>
        <w:pStyle w:val="H1G"/>
        <w:rPr>
          <w:lang w:eastAsia="en-US"/>
        </w:rPr>
      </w:pPr>
      <w:r w:rsidRPr="002C65E3">
        <w:rPr>
          <w:lang w:eastAsia="en-US"/>
        </w:rPr>
        <w:tab/>
      </w:r>
      <w:bookmarkStart w:id="14" w:name="_Toc122692615"/>
      <w:r w:rsidR="00DE4501" w:rsidRPr="002C65E3">
        <w:rPr>
          <w:lang w:eastAsia="en-US"/>
        </w:rPr>
        <w:tab/>
      </w:r>
      <w:r w:rsidR="00DE4501" w:rsidRPr="002C65E3">
        <w:rPr>
          <w:lang w:eastAsia="en-US"/>
        </w:rPr>
        <w:tab/>
      </w:r>
      <w:r w:rsidRPr="002C65E3">
        <w:rPr>
          <w:lang w:eastAsia="en-US"/>
        </w:rPr>
        <w:t>Artículo 9</w:t>
      </w:r>
      <w:bookmarkEnd w:id="14"/>
      <w:r w:rsidRPr="002C65E3">
        <w:rPr>
          <w:lang w:eastAsia="en-US"/>
        </w:rPr>
        <w:t xml:space="preserve"> </w:t>
      </w:r>
    </w:p>
    <w:p w14:paraId="4493D2B8" w14:textId="11A6B167" w:rsidR="006F4911" w:rsidRPr="002C65E3" w:rsidRDefault="00156F70" w:rsidP="00575DCD">
      <w:pPr>
        <w:pStyle w:val="SingleTxtG"/>
        <w:rPr>
          <w:lang w:eastAsia="en-US"/>
        </w:rPr>
      </w:pPr>
      <w:r w:rsidRPr="002C65E3">
        <w:rPr>
          <w:lang w:eastAsia="en-US"/>
        </w:rPr>
        <w:t>37.</w:t>
      </w:r>
      <w:r w:rsidRPr="002C65E3">
        <w:rPr>
          <w:lang w:eastAsia="en-US"/>
        </w:rPr>
        <w:tab/>
      </w:r>
      <w:r w:rsidR="006F4911" w:rsidRPr="002C65E3">
        <w:rPr>
          <w:lang w:eastAsia="en-US"/>
        </w:rPr>
        <w:t xml:space="preserve">SENADIS desarrolló el </w:t>
      </w:r>
      <w:r w:rsidR="00791BE9" w:rsidRPr="002C65E3">
        <w:rPr>
          <w:lang w:eastAsia="en-US"/>
        </w:rPr>
        <w:t>“</w:t>
      </w:r>
      <w:r w:rsidR="006F4911" w:rsidRPr="002C65E3">
        <w:rPr>
          <w:lang w:eastAsia="en-US"/>
        </w:rPr>
        <w:t>Plan Chile Accesible</w:t>
      </w:r>
      <w:r w:rsidR="00791BE9" w:rsidRPr="002C65E3">
        <w:rPr>
          <w:lang w:eastAsia="en-US"/>
        </w:rPr>
        <w:t>”</w:t>
      </w:r>
      <w:r w:rsidR="006F4911" w:rsidRPr="002C65E3">
        <w:rPr>
          <w:lang w:eastAsia="en-US"/>
        </w:rPr>
        <w:t xml:space="preserve">, metodología base para la elaboración de planes </w:t>
      </w:r>
      <w:r w:rsidR="006F4911" w:rsidRPr="002C65E3">
        <w:rPr>
          <w:rFonts w:eastAsia="Times New Roman"/>
          <w:lang w:eastAsia="en-US"/>
        </w:rPr>
        <w:t>territoriales</w:t>
      </w:r>
      <w:r w:rsidR="006F4911" w:rsidRPr="002C65E3">
        <w:rPr>
          <w:lang w:eastAsia="en-US"/>
        </w:rPr>
        <w:t xml:space="preserve"> de accesibilidad. En 2017, SENADIS con MINVU, MOP, MBN y</w:t>
      </w:r>
      <w:r w:rsidR="00312616" w:rsidRPr="002C65E3">
        <w:rPr>
          <w:lang w:eastAsia="en-US"/>
        </w:rPr>
        <w:t> </w:t>
      </w:r>
      <w:r w:rsidR="006F4911" w:rsidRPr="002C65E3">
        <w:rPr>
          <w:lang w:eastAsia="en-US"/>
        </w:rPr>
        <w:t xml:space="preserve">MTT, elaboraron la Guía </w:t>
      </w:r>
      <w:r w:rsidR="00791BE9" w:rsidRPr="002C65E3">
        <w:rPr>
          <w:lang w:eastAsia="en-US"/>
        </w:rPr>
        <w:t>“</w:t>
      </w:r>
      <w:r w:rsidR="006F4911" w:rsidRPr="002C65E3">
        <w:rPr>
          <w:lang w:eastAsia="en-US"/>
        </w:rPr>
        <w:t>Chile Accesible. Bases metodológicas para la gestión de un plan territorial de accesibilidad</w:t>
      </w:r>
      <w:r w:rsidR="00791BE9" w:rsidRPr="002C65E3">
        <w:rPr>
          <w:lang w:eastAsia="en-US"/>
        </w:rPr>
        <w:t>”</w:t>
      </w:r>
      <w:r w:rsidR="006F4911" w:rsidRPr="002C65E3">
        <w:rPr>
          <w:rStyle w:val="Refdenotaalpie"/>
        </w:rPr>
        <w:footnoteReference w:id="54"/>
      </w:r>
      <w:r w:rsidR="006F4911" w:rsidRPr="002C65E3">
        <w:rPr>
          <w:lang w:eastAsia="en-US"/>
        </w:rPr>
        <w:t>.</w:t>
      </w:r>
    </w:p>
    <w:p w14:paraId="7607C2E5" w14:textId="46BB728F" w:rsidR="006F4911" w:rsidRPr="002C65E3" w:rsidRDefault="00156F70" w:rsidP="00575DCD">
      <w:pPr>
        <w:pStyle w:val="SingleTxtG"/>
        <w:rPr>
          <w:lang w:eastAsia="en-US"/>
        </w:rPr>
      </w:pPr>
      <w:r w:rsidRPr="002C65E3">
        <w:rPr>
          <w:lang w:eastAsia="en-US"/>
        </w:rPr>
        <w:t>38.</w:t>
      </w:r>
      <w:r w:rsidRPr="002C65E3">
        <w:rPr>
          <w:lang w:eastAsia="en-US"/>
        </w:rPr>
        <w:tab/>
      </w:r>
      <w:r w:rsidR="006F4911" w:rsidRPr="002C65E3">
        <w:rPr>
          <w:lang w:eastAsia="en-US"/>
        </w:rPr>
        <w:t>En octubre 2021, el Decreto 37</w:t>
      </w:r>
      <w:r w:rsidR="006F4911" w:rsidRPr="002C65E3">
        <w:rPr>
          <w:rStyle w:val="Refdenotaalpie"/>
        </w:rPr>
        <w:footnoteReference w:id="55"/>
      </w:r>
      <w:r w:rsidR="006F4911" w:rsidRPr="002C65E3">
        <w:rPr>
          <w:lang w:eastAsia="en-US"/>
        </w:rPr>
        <w:t xml:space="preserve"> del MDSF, creó la Comisión Asesora Presidencial </w:t>
      </w:r>
      <w:r w:rsidR="00791BE9" w:rsidRPr="002C65E3">
        <w:rPr>
          <w:lang w:eastAsia="en-US"/>
        </w:rPr>
        <w:t>“</w:t>
      </w:r>
      <w:r w:rsidR="006F4911" w:rsidRPr="002C65E3">
        <w:rPr>
          <w:lang w:eastAsia="en-US"/>
        </w:rPr>
        <w:t>Consejo de Accesibilidad Universal para PcD</w:t>
      </w:r>
      <w:r w:rsidR="00791BE9" w:rsidRPr="002C65E3">
        <w:rPr>
          <w:lang w:eastAsia="en-US"/>
        </w:rPr>
        <w:t>”</w:t>
      </w:r>
      <w:r w:rsidR="006F4911" w:rsidRPr="002C65E3">
        <w:rPr>
          <w:rStyle w:val="Refdenotaalpie"/>
        </w:rPr>
        <w:footnoteReference w:id="56"/>
      </w:r>
      <w:r w:rsidR="006F4911" w:rsidRPr="002C65E3">
        <w:rPr>
          <w:lang w:eastAsia="en-US"/>
        </w:rPr>
        <w:t xml:space="preserve">, a fin de elaborar una propuesta de </w:t>
      </w:r>
      <w:r w:rsidR="00791BE9" w:rsidRPr="002C65E3">
        <w:rPr>
          <w:lang w:eastAsia="en-US"/>
        </w:rPr>
        <w:t>“</w:t>
      </w:r>
      <w:r w:rsidR="006F4911" w:rsidRPr="002C65E3">
        <w:rPr>
          <w:lang w:eastAsia="en-US"/>
        </w:rPr>
        <w:t>PNAU a ejecutar entre 2022-2032</w:t>
      </w:r>
      <w:r w:rsidR="00791BE9" w:rsidRPr="002C65E3">
        <w:rPr>
          <w:lang w:eastAsia="en-US"/>
        </w:rPr>
        <w:t>”</w:t>
      </w:r>
      <w:r w:rsidR="006F4911" w:rsidRPr="002C65E3">
        <w:rPr>
          <w:lang w:eastAsia="en-US"/>
        </w:rPr>
        <w:t>, que fue presentado en diciembre de 2021 y anunciado como compromiso presidencial en junio de 2022. El objetivo del PNAU</w:t>
      </w:r>
      <w:r w:rsidR="006F4911" w:rsidRPr="002C65E3">
        <w:rPr>
          <w:rStyle w:val="Refdenotaalpie"/>
        </w:rPr>
        <w:footnoteReference w:id="57"/>
      </w:r>
      <w:r w:rsidR="006F4911" w:rsidRPr="002C65E3">
        <w:rPr>
          <w:lang w:eastAsia="en-US"/>
        </w:rPr>
        <w:t xml:space="preserve"> es mejorar la accesibilidad en entornos físicos, comunicaciones, información y competencias de quienes prestan servicios a la ciudadanía, aplicando los principios del diseño universal. </w:t>
      </w:r>
    </w:p>
    <w:p w14:paraId="22CCB42B" w14:textId="5439C15A" w:rsidR="006F4911" w:rsidRPr="002C65E3" w:rsidRDefault="00156F70" w:rsidP="00575DCD">
      <w:pPr>
        <w:pStyle w:val="SingleTxtG"/>
        <w:rPr>
          <w:lang w:eastAsia="en-US"/>
        </w:rPr>
      </w:pPr>
      <w:r w:rsidRPr="002C65E3">
        <w:rPr>
          <w:lang w:eastAsia="en-US"/>
        </w:rPr>
        <w:t>39.</w:t>
      </w:r>
      <w:r w:rsidRPr="002C65E3">
        <w:rPr>
          <w:lang w:eastAsia="en-US"/>
        </w:rPr>
        <w:tab/>
      </w:r>
      <w:r w:rsidR="006F4911" w:rsidRPr="002C65E3">
        <w:rPr>
          <w:lang w:eastAsia="en-US"/>
        </w:rPr>
        <w:t xml:space="preserve">Por medio del Programa de Accesibilidad en Instituciones Públicas de SENADIS, se han desarrollado cursos para funcionarios públicos sobre accesibilidad en la edificación y espacio público, acceso a la información y las comunicaciones. Ese programa también ha permitido realizar diagnósticos y planes de accesibilidad en edificios públicos a nivel nacional; entre 2021-2022, 180 edificaciones públicas a nivel nacional recibirán informes de accesibilidad. Otros avances en materia de accesibilidad se pueden consultar en el Anexo 3. </w:t>
      </w:r>
    </w:p>
    <w:p w14:paraId="22289B88" w14:textId="0CC21841" w:rsidR="006F4911" w:rsidRPr="002C65E3" w:rsidRDefault="00156F70" w:rsidP="00575DCD">
      <w:pPr>
        <w:pStyle w:val="SingleTxtG"/>
        <w:rPr>
          <w:lang w:eastAsia="en-US"/>
        </w:rPr>
      </w:pPr>
      <w:r w:rsidRPr="002C65E3">
        <w:rPr>
          <w:lang w:eastAsia="en-US"/>
        </w:rPr>
        <w:t>40.</w:t>
      </w:r>
      <w:r w:rsidRPr="002C65E3">
        <w:rPr>
          <w:lang w:eastAsia="en-US"/>
        </w:rPr>
        <w:tab/>
      </w:r>
      <w:r w:rsidR="006F4911" w:rsidRPr="002C65E3">
        <w:rPr>
          <w:lang w:eastAsia="en-US"/>
        </w:rPr>
        <w:t>Sobre las vías para denunciar la falta de accesibilidad, se encuentra la acción del artículo 57 de la Ley Nº</w:t>
      </w:r>
      <w:r w:rsidR="00405113" w:rsidRPr="002C65E3">
        <w:rPr>
          <w:lang w:eastAsia="en-US"/>
        </w:rPr>
        <w:t> </w:t>
      </w:r>
      <w:r w:rsidR="006F4911" w:rsidRPr="002C65E3">
        <w:rPr>
          <w:lang w:eastAsia="en-US"/>
        </w:rPr>
        <w:t>20.422</w:t>
      </w:r>
      <w:r w:rsidR="006F4911" w:rsidRPr="002C65E3">
        <w:rPr>
          <w:rStyle w:val="Refdenotaalpie"/>
        </w:rPr>
        <w:footnoteReference w:id="58"/>
      </w:r>
      <w:r w:rsidR="006F4911" w:rsidRPr="002C65E3">
        <w:rPr>
          <w:lang w:eastAsia="en-US"/>
        </w:rPr>
        <w:t xml:space="preserve"> y, en casos que la falta de accesibilidad sea asociada a discriminación, se puede denunciar por acción antidiscriminación del art. 3 de la Ley N</w:t>
      </w:r>
      <w:r w:rsidR="00405113" w:rsidRPr="002C65E3">
        <w:rPr>
          <w:lang w:eastAsia="en-US"/>
        </w:rPr>
        <w:t>º </w:t>
      </w:r>
      <w:r w:rsidR="006F4911" w:rsidRPr="002C65E3">
        <w:rPr>
          <w:lang w:eastAsia="en-US"/>
        </w:rPr>
        <w:t>20.609</w:t>
      </w:r>
      <w:r w:rsidR="006F4911" w:rsidRPr="002C65E3">
        <w:rPr>
          <w:rStyle w:val="Refdenotaalpie"/>
        </w:rPr>
        <w:footnoteReference w:id="59"/>
      </w:r>
      <w:r w:rsidR="006F4911" w:rsidRPr="002C65E3">
        <w:rPr>
          <w:lang w:eastAsia="en-US"/>
        </w:rPr>
        <w:t xml:space="preserve">. Asimismo, en el </w:t>
      </w:r>
      <w:r w:rsidR="006F4911" w:rsidRPr="002C65E3">
        <w:rPr>
          <w:rFonts w:eastAsia="Times New Roman"/>
          <w:lang w:eastAsia="en-US"/>
        </w:rPr>
        <w:t>artículo</w:t>
      </w:r>
      <w:r w:rsidR="006F4911" w:rsidRPr="002C65E3">
        <w:rPr>
          <w:lang w:eastAsia="en-US"/>
        </w:rPr>
        <w:t xml:space="preserve"> 28 de la Ley N</w:t>
      </w:r>
      <w:r w:rsidR="00405113" w:rsidRPr="002C65E3">
        <w:rPr>
          <w:lang w:eastAsia="en-US"/>
        </w:rPr>
        <w:t>º </w:t>
      </w:r>
      <w:r w:rsidR="006F4911" w:rsidRPr="002C65E3">
        <w:rPr>
          <w:lang w:eastAsia="en-US"/>
        </w:rPr>
        <w:t xml:space="preserve">20.422, se establece la responsabilidad de la DOM de denunciar el incumplimiento de las exigencias de accesibilidad ante el JPL. Las municipalidades, a requerimiento de las DOM, pueden celebrar convenios con personas naturales o jurídicas para colaborar con aquellas en la fiscalización. </w:t>
      </w:r>
    </w:p>
    <w:p w14:paraId="0AE375F1" w14:textId="451D600D" w:rsidR="006F4911" w:rsidRPr="002C65E3" w:rsidRDefault="00156F70" w:rsidP="00575DCD">
      <w:pPr>
        <w:pStyle w:val="SingleTxtG"/>
        <w:rPr>
          <w:lang w:eastAsia="en-US"/>
        </w:rPr>
      </w:pPr>
      <w:r w:rsidRPr="002C65E3">
        <w:rPr>
          <w:lang w:eastAsia="en-US"/>
        </w:rPr>
        <w:t>41.</w:t>
      </w:r>
      <w:r w:rsidRPr="002C65E3">
        <w:rPr>
          <w:lang w:eastAsia="en-US"/>
        </w:rPr>
        <w:tab/>
      </w:r>
      <w:r w:rsidR="006F4911" w:rsidRPr="002C65E3">
        <w:rPr>
          <w:lang w:eastAsia="en-US"/>
        </w:rPr>
        <w:t>Respecto a sanciones, según la Ley N</w:t>
      </w:r>
      <w:r w:rsidR="00405113" w:rsidRPr="002C65E3">
        <w:rPr>
          <w:lang w:eastAsia="en-US"/>
        </w:rPr>
        <w:t>º </w:t>
      </w:r>
      <w:r w:rsidR="006F4911" w:rsidRPr="002C65E3">
        <w:rPr>
          <w:lang w:eastAsia="en-US"/>
        </w:rPr>
        <w:t>20.422, se puede aplicar una multa de</w:t>
      </w:r>
      <w:r w:rsidR="00312616" w:rsidRPr="002C65E3">
        <w:rPr>
          <w:lang w:eastAsia="en-US"/>
        </w:rPr>
        <w:t> </w:t>
      </w:r>
      <w:r w:rsidR="006F4911" w:rsidRPr="002C65E3">
        <w:rPr>
          <w:lang w:eastAsia="en-US"/>
        </w:rPr>
        <w:t>10</w:t>
      </w:r>
      <w:r w:rsidR="00575DCD" w:rsidRPr="002C65E3">
        <w:rPr>
          <w:lang w:eastAsia="en-US"/>
        </w:rPr>
        <w:noBreakHyphen/>
      </w:r>
      <w:r w:rsidR="006F4911" w:rsidRPr="002C65E3">
        <w:rPr>
          <w:lang w:eastAsia="en-US"/>
        </w:rPr>
        <w:t>120</w:t>
      </w:r>
      <w:r w:rsidR="00575DCD" w:rsidRPr="002C65E3">
        <w:rPr>
          <w:lang w:eastAsia="en-US"/>
        </w:rPr>
        <w:t> </w:t>
      </w:r>
      <w:r w:rsidR="006F4911" w:rsidRPr="002C65E3">
        <w:rPr>
          <w:lang w:eastAsia="en-US"/>
        </w:rPr>
        <w:t xml:space="preserve">unidades tributarias mensuales (UTM), duplicable en caso de reincidencia, incluso llegando a decretar el cierre del establecimiento. Estos fondos estarán destinados exclusivamente a programas y acciones en beneficio de las PcD. La sanción de la acción antidiscriminación corresponde a una </w:t>
      </w:r>
      <w:r w:rsidR="006F4911" w:rsidRPr="002C65E3">
        <w:rPr>
          <w:rFonts w:eastAsia="Times New Roman"/>
          <w:lang w:eastAsia="en-US"/>
        </w:rPr>
        <w:t>multa</w:t>
      </w:r>
      <w:r w:rsidR="006F4911" w:rsidRPr="002C65E3">
        <w:rPr>
          <w:lang w:eastAsia="en-US"/>
        </w:rPr>
        <w:t xml:space="preserve"> de 5 a 50 UTM a beneficio fiscal. En ambos casos, el juez puede determinar otras medidas. PJUD no cuenta con datos desagregados que identifiquen específicamente estas acciones judiciales. En 2021, el total de causas ingresadas por ley 20.609 fue 35. En ese mismo año, 28 causas terminaron (4 por sentencia definitiva,</w:t>
      </w:r>
      <w:r w:rsidR="00312616" w:rsidRPr="002C65E3">
        <w:rPr>
          <w:lang w:eastAsia="en-US"/>
        </w:rPr>
        <w:t> </w:t>
      </w:r>
      <w:r w:rsidR="006F4911" w:rsidRPr="002C65E3">
        <w:rPr>
          <w:lang w:eastAsia="en-US"/>
        </w:rPr>
        <w:t>2</w:t>
      </w:r>
      <w:r w:rsidR="00575DCD" w:rsidRPr="002C65E3">
        <w:rPr>
          <w:lang w:eastAsia="en-US"/>
        </w:rPr>
        <w:t> </w:t>
      </w:r>
      <w:r w:rsidR="006F4911" w:rsidRPr="002C65E3">
        <w:rPr>
          <w:lang w:eastAsia="en-US"/>
        </w:rPr>
        <w:t>por avenimiento y, las demás, por otras causas). Los JPL con competencia para conocer de la acción de la Ley N</w:t>
      </w:r>
      <w:r w:rsidR="00405113" w:rsidRPr="002C65E3">
        <w:rPr>
          <w:lang w:eastAsia="en-US"/>
        </w:rPr>
        <w:t>º </w:t>
      </w:r>
      <w:r w:rsidR="006F4911" w:rsidRPr="002C65E3">
        <w:rPr>
          <w:lang w:eastAsia="en-US"/>
        </w:rPr>
        <w:t>20.422 no tienen desagregada la información que permita conocer dichas cifras.</w:t>
      </w:r>
    </w:p>
    <w:p w14:paraId="5330679B" w14:textId="0D292D37" w:rsidR="006F4911" w:rsidRPr="002C65E3" w:rsidRDefault="00156F70" w:rsidP="00575DCD">
      <w:pPr>
        <w:pStyle w:val="SingleTxtG"/>
        <w:rPr>
          <w:lang w:eastAsia="en-US"/>
        </w:rPr>
      </w:pPr>
      <w:bookmarkStart w:id="15" w:name="_Ref122703408"/>
      <w:r w:rsidRPr="002C65E3">
        <w:rPr>
          <w:lang w:eastAsia="en-US"/>
        </w:rPr>
        <w:t>42.</w:t>
      </w:r>
      <w:r w:rsidRPr="002C65E3">
        <w:rPr>
          <w:lang w:eastAsia="en-US"/>
        </w:rPr>
        <w:tab/>
      </w:r>
      <w:r w:rsidR="006F4911" w:rsidRPr="002C65E3">
        <w:rPr>
          <w:lang w:eastAsia="en-US"/>
        </w:rPr>
        <w:t>En cuanto a accesibilidad de la información y comunicaciones, la Ley Nº</w:t>
      </w:r>
      <w:r w:rsidR="00405113" w:rsidRPr="002C65E3">
        <w:rPr>
          <w:lang w:eastAsia="en-US"/>
        </w:rPr>
        <w:t> </w:t>
      </w:r>
      <w:r w:rsidR="006F4911" w:rsidRPr="002C65E3">
        <w:rPr>
          <w:lang w:eastAsia="en-US"/>
        </w:rPr>
        <w:t>20.422</w:t>
      </w:r>
      <w:r w:rsidR="006F4911" w:rsidRPr="002C65E3">
        <w:rPr>
          <w:rStyle w:val="Refdenotaalpie"/>
        </w:rPr>
        <w:footnoteReference w:id="60"/>
      </w:r>
      <w:r w:rsidR="006F4911" w:rsidRPr="002C65E3">
        <w:rPr>
          <w:lang w:eastAsia="en-US"/>
        </w:rPr>
        <w:t xml:space="preserve"> dispone la obligación de aplicar mecanismos de comunicación audiovisual que posibiliten a las PcD auditiva el acceso a su programación en los casos que corresponda. Tratándose de campañas de servicio público, propaganda electoral, debates presidenciales, cadenas nacionales, informativos de la ONEMI y bloques noticiosos transmitidos por situaciones de emergencia o calamidad pública, deben ser transmitidos o emitidos subtitulados y en LSCH.</w:t>
      </w:r>
      <w:bookmarkEnd w:id="15"/>
    </w:p>
    <w:p w14:paraId="030382F9" w14:textId="2EC3AF0E" w:rsidR="006F4911" w:rsidRPr="002C65E3" w:rsidRDefault="00156F70" w:rsidP="00575DCD">
      <w:pPr>
        <w:pStyle w:val="SingleTxtG"/>
        <w:rPr>
          <w:lang w:eastAsia="en-US"/>
        </w:rPr>
      </w:pPr>
      <w:bookmarkStart w:id="16" w:name="_Ref122703383"/>
      <w:bookmarkStart w:id="17" w:name="_Ref122704118"/>
      <w:r w:rsidRPr="002C65E3">
        <w:rPr>
          <w:lang w:eastAsia="en-US"/>
        </w:rPr>
        <w:t>43.</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21.303</w:t>
      </w:r>
      <w:r w:rsidR="006F4911" w:rsidRPr="002C65E3">
        <w:rPr>
          <w:rStyle w:val="Refdenotaalpie"/>
        </w:rPr>
        <w:footnoteReference w:id="61"/>
      </w:r>
      <w:r w:rsidR="006F4911" w:rsidRPr="002C65E3">
        <w:rPr>
          <w:lang w:eastAsia="en-US"/>
        </w:rPr>
        <w:t xml:space="preserve"> (2021) reconoció que la LSCH es la lengua natural, originaria y patrimonio intangible de las personas sordas, y elemento esencial de su cultura e identidad individual y colectiva, estableciendo que es la lengua oficial de las personas sordas. Dispuso que en la enseñanza para los y las estudiantes sordas se debe garantizar el acceso a todos los contenidos del currículo común a través de la LSCH como primera lengua y en español escrito como segunda. La Ley N</w:t>
      </w:r>
      <w:r w:rsidR="00405113" w:rsidRPr="002C65E3">
        <w:rPr>
          <w:lang w:eastAsia="en-US"/>
        </w:rPr>
        <w:t>º </w:t>
      </w:r>
      <w:r w:rsidR="006F4911" w:rsidRPr="002C65E3">
        <w:rPr>
          <w:lang w:eastAsia="en-US"/>
        </w:rPr>
        <w:t>21.398</w:t>
      </w:r>
      <w:r w:rsidR="006F4911" w:rsidRPr="002C65E3">
        <w:rPr>
          <w:rStyle w:val="Refdenotaalpie"/>
        </w:rPr>
        <w:footnoteReference w:id="62"/>
      </w:r>
      <w:r w:rsidR="006F4911" w:rsidRPr="002C65E3">
        <w:rPr>
          <w:lang w:eastAsia="en-US"/>
        </w:rPr>
        <w:t xml:space="preserve"> incorpora obligaciones respecto a formatos accesibles en los contratos que se ofrecen en el contexto de la Ley del Consumidor, con el fin de garantizar su comprensión a las PcD. La Ley N</w:t>
      </w:r>
      <w:r w:rsidR="00405113" w:rsidRPr="002C65E3">
        <w:rPr>
          <w:lang w:eastAsia="en-US"/>
        </w:rPr>
        <w:t>º </w:t>
      </w:r>
      <w:r w:rsidR="006F4911" w:rsidRPr="002C65E3">
        <w:rPr>
          <w:lang w:eastAsia="en-US"/>
        </w:rPr>
        <w:t>21.403</w:t>
      </w:r>
      <w:r w:rsidR="006F4911" w:rsidRPr="002C65E3">
        <w:rPr>
          <w:rStyle w:val="Refdenotaalpie"/>
        </w:rPr>
        <w:footnoteReference w:id="63"/>
      </w:r>
      <w:r w:rsidR="006F4911" w:rsidRPr="002C65E3">
        <w:rPr>
          <w:lang w:eastAsia="en-US"/>
        </w:rPr>
        <w:t xml:space="preserve"> dispone que el Estado reconoce como sistemas de comunicación oficial la dactilología, el sistema braille, técnicas de orientación y movilidad y otros sistemas de comunicación alternativos reconocidos, según reglamento que debe dictarse.</w:t>
      </w:r>
      <w:bookmarkEnd w:id="16"/>
      <w:r w:rsidR="006F4911" w:rsidRPr="002C65E3">
        <w:rPr>
          <w:lang w:eastAsia="en-US"/>
        </w:rPr>
        <w:t xml:space="preserve"> </w:t>
      </w:r>
      <w:bookmarkEnd w:id="17"/>
    </w:p>
    <w:p w14:paraId="38C43FE2" w14:textId="7E4B4959" w:rsidR="006F4911" w:rsidRPr="002C65E3" w:rsidRDefault="00156F70" w:rsidP="00575DCD">
      <w:pPr>
        <w:pStyle w:val="SingleTxtG"/>
        <w:rPr>
          <w:lang w:eastAsia="en-US"/>
        </w:rPr>
      </w:pPr>
      <w:r w:rsidRPr="002C65E3">
        <w:rPr>
          <w:lang w:eastAsia="en-US"/>
        </w:rPr>
        <w:t>44.</w:t>
      </w:r>
      <w:r w:rsidRPr="002C65E3">
        <w:rPr>
          <w:lang w:eastAsia="en-US"/>
        </w:rPr>
        <w:tab/>
      </w:r>
      <w:r w:rsidR="006F4911" w:rsidRPr="002C65E3">
        <w:rPr>
          <w:lang w:eastAsia="en-US"/>
        </w:rPr>
        <w:t>La Comisión de Personas Mayores y Discapacidad de la CDD ha participado en la tramitación de las siguientes normativas: a) PdL que Modifica la Ley N</w:t>
      </w:r>
      <w:r w:rsidR="00405113" w:rsidRPr="002C65E3">
        <w:rPr>
          <w:lang w:eastAsia="en-US"/>
        </w:rPr>
        <w:t>º </w:t>
      </w:r>
      <w:r w:rsidR="006F4911" w:rsidRPr="002C65E3">
        <w:rPr>
          <w:lang w:eastAsia="en-US"/>
        </w:rPr>
        <w:t>20.422, exigiendo la implementación de medidas de accesibilidad en las bibliotecas de establecimientos de educación superior (Boletín N</w:t>
      </w:r>
      <w:r w:rsidR="00405113" w:rsidRPr="002C65E3">
        <w:rPr>
          <w:lang w:eastAsia="en-US"/>
        </w:rPr>
        <w:t>º </w:t>
      </w:r>
      <w:r w:rsidR="006F4911" w:rsidRPr="002C65E3">
        <w:rPr>
          <w:lang w:eastAsia="en-US"/>
        </w:rPr>
        <w:t>11.080-31)</w:t>
      </w:r>
      <w:r w:rsidR="006F4911" w:rsidRPr="002C65E3">
        <w:rPr>
          <w:rStyle w:val="Refdenotaalpie"/>
        </w:rPr>
        <w:footnoteReference w:id="64"/>
      </w:r>
      <w:r w:rsidR="006F4911" w:rsidRPr="002C65E3">
        <w:rPr>
          <w:lang w:eastAsia="en-US"/>
        </w:rPr>
        <w:t>; b) PdL que Modifica la Ley N</w:t>
      </w:r>
      <w:r w:rsidR="00405113" w:rsidRPr="002C65E3">
        <w:rPr>
          <w:lang w:eastAsia="en-US"/>
        </w:rPr>
        <w:t>º </w:t>
      </w:r>
      <w:r w:rsidR="006F4911" w:rsidRPr="002C65E3">
        <w:rPr>
          <w:lang w:eastAsia="en-US"/>
        </w:rPr>
        <w:t>18.838, para facultar al Consejo Nacional de Televisión a velar por la inclusión de la LSCH en programas infantiles, especialmente para PcD auditiva (Boletín N</w:t>
      </w:r>
      <w:r w:rsidR="00405113" w:rsidRPr="002C65E3">
        <w:rPr>
          <w:lang w:eastAsia="en-US"/>
        </w:rPr>
        <w:t>º </w:t>
      </w:r>
      <w:r w:rsidR="006F4911" w:rsidRPr="002C65E3">
        <w:rPr>
          <w:lang w:eastAsia="en-US"/>
        </w:rPr>
        <w:t>13.965-35)</w:t>
      </w:r>
      <w:r w:rsidR="006F4911" w:rsidRPr="002C65E3">
        <w:rPr>
          <w:rStyle w:val="Refdenotaalpie"/>
        </w:rPr>
        <w:footnoteReference w:id="65"/>
      </w:r>
      <w:r w:rsidR="006F4911" w:rsidRPr="002C65E3">
        <w:rPr>
          <w:lang w:eastAsia="en-US"/>
        </w:rPr>
        <w:t>; c) PdL que modifica la Ley N</w:t>
      </w:r>
      <w:r w:rsidR="00405113" w:rsidRPr="002C65E3">
        <w:rPr>
          <w:lang w:eastAsia="en-US"/>
        </w:rPr>
        <w:t>º </w:t>
      </w:r>
      <w:r w:rsidR="006F4911" w:rsidRPr="002C65E3">
        <w:rPr>
          <w:lang w:eastAsia="en-US"/>
        </w:rPr>
        <w:t>20.609, para exigir, a quienes atiendan público en instituciones públicas o privadas, y en las circunstancias que indica, la utilización de mascarillas transparentes para facilitar la comunicación con personas sordas (Boletín N</w:t>
      </w:r>
      <w:r w:rsidR="00405113" w:rsidRPr="002C65E3">
        <w:rPr>
          <w:lang w:eastAsia="en-US"/>
        </w:rPr>
        <w:t>º </w:t>
      </w:r>
      <w:r w:rsidR="006F4911" w:rsidRPr="002C65E3">
        <w:rPr>
          <w:lang w:eastAsia="en-US"/>
        </w:rPr>
        <w:t>14.218-35)</w:t>
      </w:r>
      <w:r w:rsidR="006F4911" w:rsidRPr="002C65E3">
        <w:rPr>
          <w:rStyle w:val="Refdenotaalpie"/>
        </w:rPr>
        <w:footnoteReference w:id="66"/>
      </w:r>
      <w:r w:rsidR="006F4911" w:rsidRPr="002C65E3">
        <w:rPr>
          <w:lang w:eastAsia="en-US"/>
        </w:rPr>
        <w:t>.</w:t>
      </w:r>
    </w:p>
    <w:p w14:paraId="5BD38822" w14:textId="7FB841E9" w:rsidR="006F4911" w:rsidRPr="002C65E3" w:rsidRDefault="00156F70" w:rsidP="00575DCD">
      <w:pPr>
        <w:pStyle w:val="SingleTxtG"/>
        <w:rPr>
          <w:lang w:eastAsia="en-US"/>
        </w:rPr>
      </w:pPr>
      <w:bookmarkStart w:id="18" w:name="_Ref122703447"/>
      <w:r w:rsidRPr="002C65E3">
        <w:rPr>
          <w:lang w:eastAsia="en-US"/>
        </w:rPr>
        <w:t>45.</w:t>
      </w:r>
      <w:r w:rsidRPr="002C65E3">
        <w:rPr>
          <w:lang w:eastAsia="en-US"/>
        </w:rPr>
        <w:tab/>
      </w:r>
      <w:r w:rsidR="006F4911" w:rsidRPr="002C65E3">
        <w:rPr>
          <w:lang w:eastAsia="en-US"/>
        </w:rPr>
        <w:t>En junio de 2015, SEGPRES publicó el Decreto Nº</w:t>
      </w:r>
      <w:r w:rsidR="00405113" w:rsidRPr="002C65E3">
        <w:rPr>
          <w:lang w:eastAsia="en-US"/>
        </w:rPr>
        <w:t> </w:t>
      </w:r>
      <w:r w:rsidR="006F4911" w:rsidRPr="002C65E3">
        <w:rPr>
          <w:lang w:eastAsia="en-US"/>
        </w:rPr>
        <w:t>1</w:t>
      </w:r>
      <w:r w:rsidR="006F4911" w:rsidRPr="002C65E3">
        <w:rPr>
          <w:rStyle w:val="Refdenotaalpie"/>
        </w:rPr>
        <w:footnoteReference w:id="67"/>
      </w:r>
      <w:r w:rsidR="006F4911" w:rsidRPr="002C65E3">
        <w:rPr>
          <w:lang w:eastAsia="en-US"/>
        </w:rPr>
        <w:t>, que aprueba norma técnica sobre sistemas y sitios web de los órganos de la Administración del Estado, estableciendo que deberán garantizar la disponibilidad y la accesibilidad de la información. En concordancia con ello, en enero de 2019, el Gobierno dictó el Instructivo Presidencial de Transformación Digital</w:t>
      </w:r>
      <w:r w:rsidR="006F4911" w:rsidRPr="002C65E3">
        <w:rPr>
          <w:rStyle w:val="Refdenotaalpie"/>
        </w:rPr>
        <w:footnoteReference w:id="68"/>
      </w:r>
      <w:r w:rsidR="006F4911" w:rsidRPr="002C65E3">
        <w:rPr>
          <w:lang w:eastAsia="en-US"/>
        </w:rPr>
        <w:t>, que exige a los servicios públicos adecuarse a las Pautas de Accesibilidad para el Contenido Web (WCAG).</w:t>
      </w:r>
      <w:bookmarkEnd w:id="18"/>
    </w:p>
    <w:p w14:paraId="5D1A78AF" w14:textId="2DC12A1E" w:rsidR="006F4911" w:rsidRPr="002C65E3" w:rsidRDefault="00156F70" w:rsidP="00575DCD">
      <w:pPr>
        <w:pStyle w:val="SingleTxtG"/>
        <w:rPr>
          <w:lang w:eastAsia="en-US"/>
        </w:rPr>
      </w:pPr>
      <w:r w:rsidRPr="002C65E3">
        <w:rPr>
          <w:lang w:eastAsia="en-US"/>
        </w:rPr>
        <w:t>46.</w:t>
      </w:r>
      <w:r w:rsidRPr="002C65E3">
        <w:rPr>
          <w:lang w:eastAsia="en-US"/>
        </w:rPr>
        <w:tab/>
      </w:r>
      <w:r w:rsidR="006F4911" w:rsidRPr="002C65E3">
        <w:rPr>
          <w:lang w:eastAsia="en-US"/>
        </w:rPr>
        <w:t>Desde 2016, MP implementa el servicio de intérprete de LSCH, en videoconferencia, para brindar atención a las personas que acuden a la Fiscalía presencialmente. Debido a la pandemia, desde 2020, la interpretación de LSCH fue ampliada a modalidad remota. Para facilitar la atención a víctimas más vulnerables, desde el 2020 se amplió el horario de atención en días hábiles hasta las 23:59 horas</w:t>
      </w:r>
      <w:r w:rsidR="006F4911" w:rsidRPr="002C65E3">
        <w:rPr>
          <w:rStyle w:val="Refdenotaalpie"/>
        </w:rPr>
        <w:footnoteReference w:id="69"/>
      </w:r>
      <w:r w:rsidR="006F4911" w:rsidRPr="002C65E3">
        <w:rPr>
          <w:lang w:eastAsia="en-US"/>
        </w:rPr>
        <w:t xml:space="preserve">. </w:t>
      </w:r>
    </w:p>
    <w:p w14:paraId="5B94C6D6" w14:textId="6E6D75D0" w:rsidR="006F4911" w:rsidRPr="002C65E3" w:rsidRDefault="00DE4501" w:rsidP="00575DCD">
      <w:pPr>
        <w:pStyle w:val="H1G"/>
        <w:rPr>
          <w:lang w:eastAsia="en-US"/>
        </w:rPr>
      </w:pPr>
      <w:r w:rsidRPr="002C65E3">
        <w:rPr>
          <w:lang w:eastAsia="en-US"/>
        </w:rPr>
        <w:lastRenderedPageBreak/>
        <w:tab/>
      </w:r>
      <w:r w:rsidRPr="002C65E3">
        <w:rPr>
          <w:lang w:eastAsia="en-US"/>
        </w:rPr>
        <w:tab/>
      </w:r>
      <w:r w:rsidR="006F4911" w:rsidRPr="002C65E3">
        <w:rPr>
          <w:lang w:eastAsia="en-US"/>
        </w:rPr>
        <w:t xml:space="preserve">Artículo 11 </w:t>
      </w:r>
    </w:p>
    <w:p w14:paraId="759CE3D8" w14:textId="747E87B7" w:rsidR="006F4911" w:rsidRPr="002C65E3" w:rsidRDefault="00156F70" w:rsidP="00575DCD">
      <w:pPr>
        <w:pStyle w:val="SingleTxtG"/>
        <w:rPr>
          <w:lang w:eastAsia="en-US"/>
        </w:rPr>
      </w:pPr>
      <w:bookmarkStart w:id="19" w:name="_Ref122702933"/>
      <w:r w:rsidRPr="002C65E3">
        <w:rPr>
          <w:lang w:eastAsia="en-US"/>
        </w:rPr>
        <w:t>47.</w:t>
      </w:r>
      <w:r w:rsidRPr="002C65E3">
        <w:rPr>
          <w:lang w:eastAsia="en-US"/>
        </w:rPr>
        <w:tab/>
      </w:r>
      <w:r w:rsidR="006F4911" w:rsidRPr="002C65E3">
        <w:rPr>
          <w:lang w:eastAsia="en-US"/>
        </w:rPr>
        <w:t>En 2019 SENADIS suscribió convenio con la Academia Nacional de Bomberos para diseñar un curso de formación en Rescate Inclusivo con Perspectiva de Discapacidad que está disponible para distintas instituciones de Primera Respuesta (Bomberos, SAMU, Carabineros, PDI, etc.). Además, se crearon 2 aplicaciones para celulares</w:t>
      </w:r>
      <w:r w:rsidR="006F4911" w:rsidRPr="002C65E3">
        <w:rPr>
          <w:rStyle w:val="Refdenotaalpie"/>
        </w:rPr>
        <w:footnoteReference w:id="70"/>
      </w:r>
      <w:r w:rsidR="006F4911" w:rsidRPr="002C65E3">
        <w:rPr>
          <w:lang w:eastAsia="en-US"/>
        </w:rPr>
        <w:t>.</w:t>
      </w:r>
      <w:bookmarkEnd w:id="19"/>
    </w:p>
    <w:p w14:paraId="1EDDC916" w14:textId="6ACA7885" w:rsidR="006F4911" w:rsidRPr="002C65E3" w:rsidRDefault="00156F70" w:rsidP="00575DCD">
      <w:pPr>
        <w:pStyle w:val="SingleTxtG"/>
        <w:rPr>
          <w:lang w:eastAsia="en-US"/>
        </w:rPr>
      </w:pPr>
      <w:r w:rsidRPr="002C65E3">
        <w:rPr>
          <w:lang w:eastAsia="en-US"/>
        </w:rPr>
        <w:t>48.</w:t>
      </w:r>
      <w:r w:rsidRPr="002C65E3">
        <w:rPr>
          <w:lang w:eastAsia="en-US"/>
        </w:rPr>
        <w:tab/>
      </w:r>
      <w:r w:rsidR="006F4911" w:rsidRPr="002C65E3">
        <w:rPr>
          <w:lang w:eastAsia="en-US"/>
        </w:rPr>
        <w:t>Se desarrolló un piloto</w:t>
      </w:r>
      <w:r w:rsidR="006F4911" w:rsidRPr="002C65E3">
        <w:rPr>
          <w:rStyle w:val="Refdenotaalpie"/>
        </w:rPr>
        <w:footnoteReference w:id="71"/>
      </w:r>
      <w:r w:rsidR="006F4911" w:rsidRPr="002C65E3">
        <w:rPr>
          <w:lang w:eastAsia="en-US"/>
        </w:rPr>
        <w:t xml:space="preserve"> en Inclusión para la GRD en Hospitales (INGRID-H), en conjunto con OPS</w:t>
      </w:r>
      <w:r w:rsidR="006F4911" w:rsidRPr="002C65E3">
        <w:rPr>
          <w:rStyle w:val="Refdenotaalpie"/>
        </w:rPr>
        <w:footnoteReference w:id="72"/>
      </w:r>
      <w:r w:rsidR="006F4911" w:rsidRPr="002C65E3">
        <w:rPr>
          <w:lang w:eastAsia="en-US"/>
        </w:rPr>
        <w:t>, en tres Hospitales realizando un taller a fines del 2018, y, durante 2019 y 2020, se desarrollaron acciones de corrección que completaron el proceso</w:t>
      </w:r>
      <w:r w:rsidR="006F4911" w:rsidRPr="002C65E3">
        <w:rPr>
          <w:rStyle w:val="Refdenotaalpie"/>
        </w:rPr>
        <w:footnoteReference w:id="73"/>
      </w:r>
      <w:r w:rsidR="006F4911" w:rsidRPr="002C65E3">
        <w:rPr>
          <w:lang w:eastAsia="en-US"/>
        </w:rPr>
        <w:t xml:space="preserve">. </w:t>
      </w:r>
    </w:p>
    <w:p w14:paraId="3D780EF5" w14:textId="11BCE56A" w:rsidR="006F4911" w:rsidRPr="002C65E3" w:rsidRDefault="00156F70" w:rsidP="00575DCD">
      <w:pPr>
        <w:pStyle w:val="SingleTxtG"/>
        <w:rPr>
          <w:lang w:eastAsia="en-US"/>
        </w:rPr>
      </w:pPr>
      <w:r w:rsidRPr="002C65E3">
        <w:rPr>
          <w:lang w:eastAsia="en-US"/>
        </w:rPr>
        <w:t>49.</w:t>
      </w:r>
      <w:r w:rsidRPr="002C65E3">
        <w:rPr>
          <w:lang w:eastAsia="en-US"/>
        </w:rPr>
        <w:tab/>
      </w:r>
      <w:r w:rsidR="006F4911" w:rsidRPr="002C65E3">
        <w:rPr>
          <w:lang w:eastAsia="en-US"/>
        </w:rPr>
        <w:t>SENADIS elaboró los siguientes documentos: a) Informativo técnico de accesibilidad sobre el DS N</w:t>
      </w:r>
      <w:r w:rsidR="00405113" w:rsidRPr="002C65E3">
        <w:rPr>
          <w:lang w:eastAsia="en-US"/>
        </w:rPr>
        <w:t>º </w:t>
      </w:r>
      <w:r w:rsidR="006F4911" w:rsidRPr="002C65E3">
        <w:rPr>
          <w:lang w:eastAsia="en-US"/>
        </w:rPr>
        <w:t>50 y otras normas relacionadas</w:t>
      </w:r>
      <w:r w:rsidR="006F4911" w:rsidRPr="002C65E3">
        <w:rPr>
          <w:rStyle w:val="Refdenotaalpie"/>
        </w:rPr>
        <w:footnoteReference w:id="74"/>
      </w:r>
      <w:r w:rsidR="006F4911" w:rsidRPr="002C65E3">
        <w:rPr>
          <w:lang w:eastAsia="en-US"/>
        </w:rPr>
        <w:t xml:space="preserve">; b) Instructivo sobre </w:t>
      </w:r>
      <w:r w:rsidR="00791BE9" w:rsidRPr="002C65E3">
        <w:rPr>
          <w:lang w:eastAsia="en-US"/>
        </w:rPr>
        <w:t>“</w:t>
      </w:r>
      <w:r w:rsidR="006F4911" w:rsidRPr="002C65E3">
        <w:rPr>
          <w:lang w:eastAsia="en-US"/>
        </w:rPr>
        <w:t>Recomendaciones Generales para la Atención Inclusiva</w:t>
      </w:r>
      <w:r w:rsidR="00791BE9" w:rsidRPr="002C65E3">
        <w:rPr>
          <w:lang w:eastAsia="en-US"/>
        </w:rPr>
        <w:t>”</w:t>
      </w:r>
      <w:r w:rsidR="006F4911" w:rsidRPr="002C65E3">
        <w:rPr>
          <w:rStyle w:val="Refdenotaalpie"/>
        </w:rPr>
        <w:footnoteReference w:id="75"/>
      </w:r>
      <w:r w:rsidR="006F4911" w:rsidRPr="002C65E3">
        <w:rPr>
          <w:lang w:eastAsia="en-US"/>
        </w:rPr>
        <w:t xml:space="preserve"> y manual </w:t>
      </w:r>
      <w:r w:rsidR="00791BE9" w:rsidRPr="002C65E3">
        <w:rPr>
          <w:lang w:eastAsia="en-US"/>
        </w:rPr>
        <w:t>“</w:t>
      </w:r>
      <w:r w:rsidR="006F4911" w:rsidRPr="002C65E3">
        <w:rPr>
          <w:lang w:eastAsia="en-US"/>
        </w:rPr>
        <w:t>Modelo de Sistema Integral de Información y Atención Ciudadana Inclusiva</w:t>
      </w:r>
      <w:r w:rsidR="00791BE9" w:rsidRPr="002C65E3">
        <w:rPr>
          <w:lang w:eastAsia="en-US"/>
        </w:rPr>
        <w:t>”</w:t>
      </w:r>
      <w:r w:rsidR="006F4911" w:rsidRPr="002C65E3">
        <w:rPr>
          <w:rStyle w:val="Refdenotaalpie"/>
        </w:rPr>
        <w:footnoteReference w:id="76"/>
      </w:r>
      <w:r w:rsidR="006F4911" w:rsidRPr="002C65E3">
        <w:rPr>
          <w:lang w:eastAsia="en-US"/>
        </w:rPr>
        <w:t>. En el contexto de la pandemia por COVID</w:t>
      </w:r>
      <w:r w:rsidR="00575DCD" w:rsidRPr="002C65E3">
        <w:rPr>
          <w:lang w:eastAsia="en-US"/>
        </w:rPr>
        <w:noBreakHyphen/>
      </w:r>
      <w:r w:rsidR="006F4911" w:rsidRPr="002C65E3">
        <w:rPr>
          <w:lang w:eastAsia="en-US"/>
        </w:rPr>
        <w:t>19, junto a MINSAL, se elaboró la evaluación de accesibilidad de las residencias sanitarias a efectos de realizar derivaciones oportunas de PcD con COVID-19.</w:t>
      </w:r>
    </w:p>
    <w:p w14:paraId="41E2AF29" w14:textId="60D4E770" w:rsidR="006F4911" w:rsidRPr="002C65E3" w:rsidRDefault="00156F70" w:rsidP="00575DCD">
      <w:pPr>
        <w:pStyle w:val="SingleTxtG"/>
        <w:rPr>
          <w:lang w:eastAsia="en-US"/>
        </w:rPr>
      </w:pPr>
      <w:r w:rsidRPr="002C65E3">
        <w:rPr>
          <w:lang w:eastAsia="en-US"/>
        </w:rPr>
        <w:t>50.</w:t>
      </w:r>
      <w:r w:rsidRPr="002C65E3">
        <w:rPr>
          <w:lang w:eastAsia="en-US"/>
        </w:rPr>
        <w:tab/>
      </w:r>
      <w:r w:rsidR="006F4911" w:rsidRPr="002C65E3">
        <w:rPr>
          <w:lang w:eastAsia="en-US"/>
        </w:rPr>
        <w:t xml:space="preserve">En materia de capacitación, ONEMI, en colaboración con SENADIS, elaboró el proyecto </w:t>
      </w:r>
      <w:r w:rsidR="00791BE9" w:rsidRPr="002C65E3">
        <w:rPr>
          <w:lang w:eastAsia="en-US"/>
        </w:rPr>
        <w:t>“</w:t>
      </w:r>
      <w:r w:rsidR="006F4911" w:rsidRPr="002C65E3">
        <w:rPr>
          <w:lang w:eastAsia="en-US"/>
        </w:rPr>
        <w:t>Gestión de Riesgo de Desastre al Alcance de Todos</w:t>
      </w:r>
      <w:r w:rsidR="00791BE9" w:rsidRPr="002C65E3">
        <w:rPr>
          <w:lang w:eastAsia="en-US"/>
        </w:rPr>
        <w:t>”</w:t>
      </w:r>
      <w:r w:rsidR="006F4911" w:rsidRPr="002C65E3">
        <w:rPr>
          <w:rStyle w:val="Refdenotaalpie"/>
        </w:rPr>
        <w:footnoteReference w:id="77"/>
      </w:r>
      <w:r w:rsidR="006F4911" w:rsidRPr="002C65E3">
        <w:rPr>
          <w:lang w:eastAsia="en-US"/>
        </w:rPr>
        <w:t xml:space="preserve">, que busca promover el acceso de las PcD a información relacionada con acciones de prevención y preparación frente a emergencias. Además de incorporar LSCH y subtitulado en los videos sobre diversas emergencias, se elaboró un audio con información sobre </w:t>
      </w:r>
      <w:r w:rsidR="00791BE9" w:rsidRPr="002C65E3">
        <w:rPr>
          <w:lang w:eastAsia="en-US"/>
        </w:rPr>
        <w:t>“</w:t>
      </w:r>
      <w:r w:rsidR="006F4911" w:rsidRPr="002C65E3">
        <w:rPr>
          <w:lang w:eastAsia="en-US"/>
        </w:rPr>
        <w:t>Recomendaciones Inclusivas</w:t>
      </w:r>
      <w:r w:rsidR="00791BE9" w:rsidRPr="002C65E3">
        <w:rPr>
          <w:lang w:eastAsia="en-US"/>
        </w:rPr>
        <w:t>”</w:t>
      </w:r>
      <w:r w:rsidR="006F4911" w:rsidRPr="002C65E3">
        <w:rPr>
          <w:rStyle w:val="Refdenotaalpie"/>
        </w:rPr>
        <w:footnoteReference w:id="78"/>
      </w:r>
      <w:r w:rsidR="006F4911" w:rsidRPr="002C65E3">
        <w:rPr>
          <w:lang w:eastAsia="en-US"/>
        </w:rPr>
        <w:t xml:space="preserve">, un video sobre </w:t>
      </w:r>
      <w:r w:rsidR="00791BE9" w:rsidRPr="002C65E3">
        <w:rPr>
          <w:lang w:eastAsia="en-US"/>
        </w:rPr>
        <w:t>“</w:t>
      </w:r>
      <w:r w:rsidR="006F4911" w:rsidRPr="002C65E3">
        <w:rPr>
          <w:lang w:eastAsia="en-US"/>
        </w:rPr>
        <w:t>Recomendaciones inclusivas para PcD</w:t>
      </w:r>
      <w:r w:rsidR="00791BE9" w:rsidRPr="002C65E3">
        <w:rPr>
          <w:lang w:eastAsia="en-US"/>
        </w:rPr>
        <w:t>”</w:t>
      </w:r>
      <w:r w:rsidR="006F4911" w:rsidRPr="002C65E3">
        <w:rPr>
          <w:rStyle w:val="Refdenotaalpie"/>
        </w:rPr>
        <w:footnoteReference w:id="79"/>
      </w:r>
      <w:r w:rsidR="006F4911" w:rsidRPr="002C65E3">
        <w:rPr>
          <w:lang w:eastAsia="en-US"/>
        </w:rPr>
        <w:t xml:space="preserve"> y otro sobre </w:t>
      </w:r>
      <w:r w:rsidR="00791BE9" w:rsidRPr="002C65E3">
        <w:rPr>
          <w:lang w:eastAsia="en-US"/>
        </w:rPr>
        <w:t>“</w:t>
      </w:r>
      <w:r w:rsidR="006F4911" w:rsidRPr="002C65E3">
        <w:rPr>
          <w:lang w:eastAsia="en-US"/>
        </w:rPr>
        <w:t>Recomendaciones para asistir a una persona en situación de discapacidad en emergencias</w:t>
      </w:r>
      <w:r w:rsidR="00791BE9" w:rsidRPr="002C65E3">
        <w:rPr>
          <w:lang w:eastAsia="en-US"/>
        </w:rPr>
        <w:t>”</w:t>
      </w:r>
      <w:r w:rsidR="006F4911" w:rsidRPr="002C65E3">
        <w:rPr>
          <w:rStyle w:val="Refdenotaalpie"/>
        </w:rPr>
        <w:footnoteReference w:id="80"/>
      </w:r>
      <w:r w:rsidR="006F4911" w:rsidRPr="002C65E3">
        <w:rPr>
          <w:lang w:eastAsia="en-US"/>
        </w:rPr>
        <w:t>. Se suscribió un convenio de colaboración para incorporar un intérprete en LSCH en transmisiones oficiales de ONEMI. Además, SENADIS ha colaborado con ONEMI en la revisión de instrumentos para la gestión de albergues municipales y en la capacitación de equipos regionales en la elaboración de Planes Regionales de Emergencia. Asimismo, actualizó la pauta de evaluación para simulacro de sismo de mayor intensidad y tsunami para el sector educación con acciones de preparación inclusiva para PcD.</w:t>
      </w:r>
    </w:p>
    <w:p w14:paraId="30668FC9" w14:textId="063CAD66" w:rsidR="006F4911" w:rsidRPr="002C65E3" w:rsidRDefault="00156F70" w:rsidP="00575DCD">
      <w:pPr>
        <w:pStyle w:val="SingleTxtG"/>
        <w:rPr>
          <w:lang w:eastAsia="en-US"/>
        </w:rPr>
      </w:pPr>
      <w:r w:rsidRPr="002C65E3">
        <w:rPr>
          <w:lang w:eastAsia="en-US"/>
        </w:rPr>
        <w:t>51.</w:t>
      </w:r>
      <w:r w:rsidRPr="002C65E3">
        <w:rPr>
          <w:lang w:eastAsia="en-US"/>
        </w:rPr>
        <w:tab/>
      </w:r>
      <w:r w:rsidR="006F4911" w:rsidRPr="002C65E3">
        <w:rPr>
          <w:lang w:eastAsia="en-US"/>
        </w:rPr>
        <w:t xml:space="preserve">Desde 2019, ONEMI incorporó en la plantilla para la formulación de planes de emergencia, las temáticas transversales de género, discapacidad, NNA y persona mayor, buscando fortalecer la incorporación del enfoque de derechos en la GRD en el país. Además, </w:t>
      </w:r>
      <w:r w:rsidR="006F4911" w:rsidRPr="002C65E3">
        <w:rPr>
          <w:lang w:eastAsia="en-US"/>
        </w:rPr>
        <w:lastRenderedPageBreak/>
        <w:t xml:space="preserve">ONEMI ha ejecutado el proyecto: </w:t>
      </w:r>
      <w:r w:rsidR="00791BE9" w:rsidRPr="002C65E3">
        <w:rPr>
          <w:lang w:eastAsia="en-US"/>
        </w:rPr>
        <w:t>“</w:t>
      </w:r>
      <w:r w:rsidR="006F4911" w:rsidRPr="002C65E3">
        <w:rPr>
          <w:lang w:eastAsia="en-US"/>
        </w:rPr>
        <w:t>Cultura Preventiva al alcance de todos y todas</w:t>
      </w:r>
      <w:r w:rsidR="00791BE9" w:rsidRPr="002C65E3">
        <w:rPr>
          <w:lang w:eastAsia="en-US"/>
        </w:rPr>
        <w:t>”</w:t>
      </w:r>
      <w:r w:rsidR="006F4911" w:rsidRPr="002C65E3">
        <w:rPr>
          <w:rStyle w:val="Refdenotaalpie"/>
        </w:rPr>
        <w:footnoteReference w:id="81"/>
      </w:r>
      <w:r w:rsidR="006F4911" w:rsidRPr="002C65E3">
        <w:rPr>
          <w:lang w:eastAsia="en-US"/>
        </w:rPr>
        <w:t xml:space="preserve">, con recursos del FONAPI. Se elaboró en 2020 la </w:t>
      </w:r>
      <w:r w:rsidR="00791BE9" w:rsidRPr="002C65E3">
        <w:rPr>
          <w:lang w:eastAsia="en-US"/>
        </w:rPr>
        <w:t>“</w:t>
      </w:r>
      <w:r w:rsidR="006F4911" w:rsidRPr="002C65E3">
        <w:rPr>
          <w:lang w:eastAsia="en-US"/>
        </w:rPr>
        <w:t>Guía para la implementación del plan para la reducción del riesgo de desastres en centros de trabajo</w:t>
      </w:r>
      <w:r w:rsidR="00791BE9" w:rsidRPr="002C65E3">
        <w:rPr>
          <w:lang w:eastAsia="en-US"/>
        </w:rPr>
        <w:t>”</w:t>
      </w:r>
      <w:r w:rsidR="006F4911" w:rsidRPr="002C65E3">
        <w:rPr>
          <w:rStyle w:val="Refdenotaalpie"/>
        </w:rPr>
        <w:footnoteReference w:id="82"/>
      </w:r>
      <w:r w:rsidR="006F4911" w:rsidRPr="002C65E3">
        <w:rPr>
          <w:lang w:eastAsia="en-US"/>
        </w:rPr>
        <w:t xml:space="preserve">. </w:t>
      </w:r>
    </w:p>
    <w:p w14:paraId="69A6EE54" w14:textId="253891C3" w:rsidR="006F4911" w:rsidRPr="002C65E3" w:rsidRDefault="00156F70" w:rsidP="00575DCD">
      <w:pPr>
        <w:pStyle w:val="SingleTxtG"/>
        <w:rPr>
          <w:lang w:eastAsia="en-US"/>
        </w:rPr>
      </w:pPr>
      <w:r w:rsidRPr="002C65E3">
        <w:rPr>
          <w:lang w:eastAsia="en-US"/>
        </w:rPr>
        <w:t>52.</w:t>
      </w:r>
      <w:r w:rsidRPr="002C65E3">
        <w:rPr>
          <w:lang w:eastAsia="en-US"/>
        </w:rPr>
        <w:tab/>
      </w:r>
      <w:r w:rsidR="006F4911" w:rsidRPr="002C65E3">
        <w:rPr>
          <w:lang w:eastAsia="en-US"/>
        </w:rPr>
        <w:t>El PNAU considera el abordaje de situaciones de emergencia, requiriendo a los ministerios la definición de medidas, planes, programas y modificaciones normativas que aseguren la accesibilidad universal en los métodos, protocolos, vías y sistemas de seguridad relacionados con diferentes tipos de desastres y emergencias.</w:t>
      </w:r>
    </w:p>
    <w:p w14:paraId="44120453" w14:textId="2449EBF6" w:rsidR="006F4911" w:rsidRPr="002C65E3" w:rsidRDefault="00156F70" w:rsidP="00575DCD">
      <w:pPr>
        <w:pStyle w:val="SingleTxtG"/>
        <w:rPr>
          <w:lang w:eastAsia="en-US"/>
        </w:rPr>
      </w:pPr>
      <w:r w:rsidRPr="002C65E3">
        <w:rPr>
          <w:lang w:eastAsia="en-US"/>
        </w:rPr>
        <w:t>53.</w:t>
      </w:r>
      <w:r w:rsidRPr="002C65E3">
        <w:rPr>
          <w:lang w:eastAsia="en-US"/>
        </w:rPr>
        <w:tab/>
      </w:r>
      <w:r w:rsidR="006F4911" w:rsidRPr="002C65E3">
        <w:rPr>
          <w:lang w:eastAsia="en-US"/>
        </w:rPr>
        <w:t>En marzo de 2021, se publicó el Decreto N</w:t>
      </w:r>
      <w:r w:rsidR="00405113" w:rsidRPr="002C65E3">
        <w:rPr>
          <w:lang w:eastAsia="en-US"/>
        </w:rPr>
        <w:t>º </w:t>
      </w:r>
      <w:r w:rsidR="006F4911" w:rsidRPr="002C65E3">
        <w:rPr>
          <w:lang w:eastAsia="en-US"/>
        </w:rPr>
        <w:t>434</w:t>
      </w:r>
      <w:r w:rsidR="006F4911" w:rsidRPr="002C65E3">
        <w:rPr>
          <w:rStyle w:val="Refdenotaalpie"/>
        </w:rPr>
        <w:footnoteReference w:id="83"/>
      </w:r>
      <w:r w:rsidR="006F4911" w:rsidRPr="002C65E3">
        <w:rPr>
          <w:lang w:eastAsia="en-US"/>
        </w:rPr>
        <w:t xml:space="preserve"> que aprueba la política nacional para la reducción del riesgo de desastres 2020-2030. En agosto de 2021, se publicó la Ley N</w:t>
      </w:r>
      <w:r w:rsidR="00405113" w:rsidRPr="002C65E3">
        <w:rPr>
          <w:lang w:eastAsia="en-US"/>
        </w:rPr>
        <w:t>º </w:t>
      </w:r>
      <w:r w:rsidR="006F4911" w:rsidRPr="002C65E3">
        <w:rPr>
          <w:lang w:eastAsia="en-US"/>
        </w:rPr>
        <w:t>21.364</w:t>
      </w:r>
      <w:r w:rsidR="006F4911" w:rsidRPr="002C65E3">
        <w:rPr>
          <w:rStyle w:val="Refdenotaalpie"/>
        </w:rPr>
        <w:footnoteReference w:id="84"/>
      </w:r>
      <w:r w:rsidR="006F4911" w:rsidRPr="002C65E3">
        <w:rPr>
          <w:lang w:eastAsia="en-US"/>
        </w:rPr>
        <w:t xml:space="preserve"> que establece el Sistema Nacional de Prevención y Respuesta ante Desastres, sustituyendo a ONEMI. Dentro de los principios en la gestión de riesgo de desastres, se establece el de transparencia que hace referencia a un sistema inclusivo, informado y orientado hacia todas las fases del ciclo del riesgo de desastres, que permita el intercambio y diseminación de datos e información, de manera accesible, actualizada y comprensible.</w:t>
      </w:r>
    </w:p>
    <w:p w14:paraId="023CCF01" w14:textId="0D0B5A8F" w:rsidR="006F4911" w:rsidRPr="002C65E3" w:rsidRDefault="00521CF4" w:rsidP="00575DCD">
      <w:pPr>
        <w:pStyle w:val="H23G"/>
        <w:rPr>
          <w:lang w:eastAsia="en-US"/>
        </w:rPr>
      </w:pPr>
      <w:r w:rsidRPr="002C65E3">
        <w:rPr>
          <w:lang w:eastAsia="en-US"/>
        </w:rPr>
        <w:tab/>
      </w:r>
      <w:r w:rsidRPr="002C65E3">
        <w:rPr>
          <w:lang w:eastAsia="en-US"/>
        </w:rPr>
        <w:tab/>
      </w:r>
      <w:r w:rsidR="006F4911" w:rsidRPr="002C65E3">
        <w:rPr>
          <w:lang w:eastAsia="en-US"/>
        </w:rPr>
        <w:t>Información accesible sobre pandemia y prevención</w:t>
      </w:r>
    </w:p>
    <w:p w14:paraId="71DE0D96" w14:textId="3F0D07C9" w:rsidR="006F4911" w:rsidRPr="002C65E3" w:rsidRDefault="00156F70" w:rsidP="00575DCD">
      <w:pPr>
        <w:pStyle w:val="SingleTxtG"/>
        <w:rPr>
          <w:lang w:eastAsia="en-US"/>
        </w:rPr>
      </w:pPr>
      <w:bookmarkStart w:id="20" w:name="_Ref122703089"/>
      <w:r w:rsidRPr="002C65E3">
        <w:rPr>
          <w:lang w:eastAsia="en-US"/>
        </w:rPr>
        <w:t>54.</w:t>
      </w:r>
      <w:r w:rsidRPr="002C65E3">
        <w:rPr>
          <w:lang w:eastAsia="en-US"/>
        </w:rPr>
        <w:tab/>
      </w:r>
      <w:r w:rsidR="006F4911" w:rsidRPr="002C65E3">
        <w:rPr>
          <w:lang w:eastAsia="en-US"/>
        </w:rPr>
        <w:t xml:space="preserve">Durante la pandemia, se puso a disposición de la comunidad el </w:t>
      </w:r>
      <w:hyperlink r:id="rId14">
        <w:r w:rsidR="006F4911" w:rsidRPr="002C65E3">
          <w:rPr>
            <w:lang w:eastAsia="en-US"/>
          </w:rPr>
          <w:t>sitio web</w:t>
        </w:r>
      </w:hyperlink>
      <w:r w:rsidR="006F4911" w:rsidRPr="002C65E3">
        <w:rPr>
          <w:lang w:eastAsia="en-US"/>
        </w:rPr>
        <w:t xml:space="preserve"> accesible https://www.gob.cl/pasoapaso/, para entregar información oficial sobre contagios, camas disponibles, residencias sanitarias, etc. SENADIS convocó a una Mesa Intersectorial </w:t>
      </w:r>
      <w:r w:rsidR="00791BE9" w:rsidRPr="002C65E3">
        <w:rPr>
          <w:lang w:eastAsia="en-US"/>
        </w:rPr>
        <w:t>“</w:t>
      </w:r>
      <w:r w:rsidR="006F4911" w:rsidRPr="002C65E3">
        <w:rPr>
          <w:lang w:eastAsia="en-US"/>
        </w:rPr>
        <w:t>PcD,</w:t>
      </w:r>
      <w:r w:rsidR="00575DCD" w:rsidRPr="002C65E3">
        <w:rPr>
          <w:lang w:eastAsia="en-US"/>
        </w:rPr>
        <w:t> </w:t>
      </w:r>
      <w:r w:rsidR="006F4911" w:rsidRPr="002C65E3">
        <w:rPr>
          <w:lang w:eastAsia="en-US"/>
        </w:rPr>
        <w:t>sus familias y cuidadores, en el marco del COVID-19</w:t>
      </w:r>
      <w:r w:rsidR="00791BE9" w:rsidRPr="002C65E3">
        <w:rPr>
          <w:lang w:eastAsia="en-US"/>
        </w:rPr>
        <w:t>”</w:t>
      </w:r>
      <w:r w:rsidR="006F4911" w:rsidRPr="002C65E3">
        <w:rPr>
          <w:rStyle w:val="Refdenotaalpie"/>
        </w:rPr>
        <w:footnoteReference w:id="85"/>
      </w:r>
      <w:r w:rsidR="006F4911" w:rsidRPr="002C65E3">
        <w:rPr>
          <w:lang w:eastAsia="en-US"/>
        </w:rPr>
        <w:t>, con 21 representantes provenientes de la sociedad civil, Estado, gremios y organismos internacionales, que elaboró un video explicativo</w:t>
      </w:r>
      <w:r w:rsidR="006F4911" w:rsidRPr="002C65E3">
        <w:rPr>
          <w:rStyle w:val="Refdenotaalpie"/>
        </w:rPr>
        <w:footnoteReference w:id="86"/>
      </w:r>
      <w:r w:rsidR="006F4911" w:rsidRPr="002C65E3">
        <w:rPr>
          <w:lang w:eastAsia="en-US"/>
        </w:rPr>
        <w:t xml:space="preserve"> sobre la situación en pandemia y los derechos de las PcD, con subtitulado y LSCH, y el documento en lectura fácil </w:t>
      </w:r>
      <w:r w:rsidR="00791BE9" w:rsidRPr="002C65E3">
        <w:rPr>
          <w:lang w:eastAsia="en-US"/>
        </w:rPr>
        <w:t>“</w:t>
      </w:r>
      <w:r w:rsidR="006F4911" w:rsidRPr="002C65E3">
        <w:rPr>
          <w:lang w:eastAsia="en-US"/>
        </w:rPr>
        <w:t>En esta pandemia por COVID-19, tengo mis derechos</w:t>
      </w:r>
      <w:r w:rsidR="00791BE9" w:rsidRPr="002C65E3">
        <w:rPr>
          <w:lang w:eastAsia="en-US"/>
        </w:rPr>
        <w:t>”</w:t>
      </w:r>
      <w:r w:rsidR="006F4911" w:rsidRPr="002C65E3">
        <w:rPr>
          <w:rStyle w:val="Refdenotaalpie"/>
        </w:rPr>
        <w:footnoteReference w:id="87"/>
      </w:r>
      <w:r w:rsidR="006F4911" w:rsidRPr="002C65E3">
        <w:rPr>
          <w:lang w:eastAsia="en-US"/>
        </w:rPr>
        <w:t>, difundido a todos los Servicios de Salud.</w:t>
      </w:r>
      <w:bookmarkEnd w:id="20"/>
    </w:p>
    <w:p w14:paraId="6EBC247C" w14:textId="255CFF63" w:rsidR="006F4911" w:rsidRPr="002C65E3" w:rsidRDefault="00156F70" w:rsidP="00575DCD">
      <w:pPr>
        <w:pStyle w:val="SingleTxtG"/>
        <w:rPr>
          <w:lang w:eastAsia="en-US"/>
        </w:rPr>
      </w:pPr>
      <w:bookmarkStart w:id="21" w:name="_Ref122703150"/>
      <w:r w:rsidRPr="002C65E3">
        <w:rPr>
          <w:lang w:eastAsia="en-US"/>
        </w:rPr>
        <w:t>55.</w:t>
      </w:r>
      <w:r w:rsidRPr="002C65E3">
        <w:rPr>
          <w:lang w:eastAsia="en-US"/>
        </w:rPr>
        <w:tab/>
      </w:r>
      <w:r w:rsidR="006F4911" w:rsidRPr="002C65E3">
        <w:rPr>
          <w:lang w:eastAsia="en-US"/>
        </w:rPr>
        <w:t>En 2020 se habilitó el fono 800 000 058 Conectados al Cuidar</w:t>
      </w:r>
      <w:r w:rsidR="006F4911" w:rsidRPr="002C65E3">
        <w:rPr>
          <w:rStyle w:val="Refdenotaalpie"/>
        </w:rPr>
        <w:footnoteReference w:id="88"/>
      </w:r>
      <w:r w:rsidR="006F4911" w:rsidRPr="002C65E3">
        <w:rPr>
          <w:lang w:eastAsia="en-US"/>
        </w:rPr>
        <w:t>, línea telefónica gratuita de acompañamiento y orientación para cuidadores informales y PcD, especialmente con dependencia</w:t>
      </w:r>
      <w:r w:rsidR="006F4911" w:rsidRPr="002C65E3">
        <w:rPr>
          <w:rStyle w:val="Refdenotaalpie"/>
        </w:rPr>
        <w:footnoteReference w:id="89"/>
      </w:r>
      <w:r w:rsidR="006F4911" w:rsidRPr="002C65E3">
        <w:rPr>
          <w:lang w:eastAsia="en-US"/>
        </w:rPr>
        <w:t>. La línea cuenta con atención para personas sordas a través de VI-SOR Web</w:t>
      </w:r>
      <w:r w:rsidR="006F4911" w:rsidRPr="002C65E3">
        <w:rPr>
          <w:rStyle w:val="Refdenotaalpie"/>
        </w:rPr>
        <w:footnoteReference w:id="90"/>
      </w:r>
      <w:r w:rsidR="006F4911" w:rsidRPr="002C65E3">
        <w:rPr>
          <w:lang w:eastAsia="en-US"/>
        </w:rPr>
        <w:t xml:space="preserve"> que les permite conectarse por videollamada con un intérprete en LSCH. SENADIS además firmó convenio con LazarilloApp</w:t>
      </w:r>
      <w:r w:rsidR="006F4911" w:rsidRPr="002C65E3">
        <w:rPr>
          <w:rStyle w:val="Refdenotaalpie"/>
        </w:rPr>
        <w:footnoteReference w:id="91"/>
      </w:r>
      <w:r w:rsidR="006F4911" w:rsidRPr="002C65E3">
        <w:rPr>
          <w:lang w:eastAsia="en-US"/>
        </w:rPr>
        <w:t>, para entregar información relevante en el contexto de la emergencia a personas ciegas a través de notificaciones a sus celulares.</w:t>
      </w:r>
      <w:bookmarkEnd w:id="21"/>
    </w:p>
    <w:p w14:paraId="42D096AB" w14:textId="3242C447" w:rsidR="006F4911" w:rsidRPr="002C65E3" w:rsidRDefault="00521CF4" w:rsidP="00575DCD">
      <w:pPr>
        <w:pStyle w:val="H23G"/>
        <w:rPr>
          <w:lang w:eastAsia="en-US"/>
        </w:rPr>
      </w:pPr>
      <w:r w:rsidRPr="002C65E3">
        <w:rPr>
          <w:lang w:eastAsia="en-US"/>
        </w:rPr>
        <w:lastRenderedPageBreak/>
        <w:tab/>
      </w:r>
      <w:r w:rsidRPr="002C65E3">
        <w:rPr>
          <w:lang w:eastAsia="en-US"/>
        </w:rPr>
        <w:tab/>
      </w:r>
      <w:r w:rsidR="006F4911" w:rsidRPr="002C65E3">
        <w:rPr>
          <w:lang w:eastAsia="en-US"/>
        </w:rPr>
        <w:t>Acceso ininterrumpido a los servicios de apoyo, servicios comunitarios, atención domiciliaria</w:t>
      </w:r>
    </w:p>
    <w:p w14:paraId="5730EE12" w14:textId="059AF95C" w:rsidR="006F4911" w:rsidRPr="002C65E3" w:rsidRDefault="00156F70" w:rsidP="00575DCD">
      <w:pPr>
        <w:pStyle w:val="SingleTxtG"/>
        <w:rPr>
          <w:lang w:eastAsia="en-US"/>
        </w:rPr>
      </w:pPr>
      <w:r w:rsidRPr="002C65E3">
        <w:rPr>
          <w:lang w:eastAsia="en-US"/>
        </w:rPr>
        <w:t>56.</w:t>
      </w:r>
      <w:r w:rsidRPr="002C65E3">
        <w:rPr>
          <w:lang w:eastAsia="en-US"/>
        </w:rPr>
        <w:tab/>
      </w:r>
      <w:r w:rsidR="006F4911" w:rsidRPr="002C65E3">
        <w:rPr>
          <w:lang w:eastAsia="en-US"/>
        </w:rPr>
        <w:t>Durante la pandemia, SENADIS mantuvo las convocatorias para financiamiento de AATT</w:t>
      </w:r>
      <w:r w:rsidR="006F4911" w:rsidRPr="002C65E3">
        <w:rPr>
          <w:rStyle w:val="Refdenotaalpie"/>
        </w:rPr>
        <w:footnoteReference w:id="92"/>
      </w:r>
      <w:r w:rsidR="006F4911" w:rsidRPr="002C65E3">
        <w:rPr>
          <w:lang w:eastAsia="en-US"/>
        </w:rPr>
        <w:t>, programa TVI</w:t>
      </w:r>
      <w:r w:rsidR="006F4911" w:rsidRPr="002C65E3">
        <w:rPr>
          <w:rStyle w:val="Refdenotaalpie"/>
        </w:rPr>
        <w:footnoteReference w:id="93"/>
      </w:r>
      <w:r w:rsidR="006F4911" w:rsidRPr="002C65E3">
        <w:rPr>
          <w:lang w:eastAsia="en-US"/>
        </w:rPr>
        <w:t>,</w:t>
      </w:r>
      <w:r w:rsidR="006F4911" w:rsidRPr="002C65E3">
        <w:rPr>
          <w:color w:val="1155CC"/>
          <w:lang w:eastAsia="en-US"/>
        </w:rPr>
        <w:t xml:space="preserve"> </w:t>
      </w:r>
      <w:r w:rsidR="006F4911" w:rsidRPr="002C65E3">
        <w:rPr>
          <w:lang w:eastAsia="en-US"/>
        </w:rPr>
        <w:t>apoyo a estudiantes</w:t>
      </w:r>
      <w:r w:rsidR="006F4911" w:rsidRPr="002C65E3">
        <w:rPr>
          <w:rStyle w:val="Refdenotaalpie"/>
        </w:rPr>
        <w:footnoteReference w:id="94"/>
      </w:r>
      <w:r w:rsidR="006F4911" w:rsidRPr="002C65E3">
        <w:rPr>
          <w:lang w:eastAsia="en-US"/>
        </w:rPr>
        <w:t xml:space="preserve"> y el programa Modelo de Residencias para Adultos con Discapacidad. Ante los contagios de los usuarios de las residencias, a este último programa se le realizó una transferencia adicional por MM 410 para la compra de elementos necesarios ante la emergencia sanitaria y, en marzo de 2020, se elaboró </w:t>
      </w:r>
      <w:r w:rsidR="00791BE9" w:rsidRPr="002C65E3">
        <w:rPr>
          <w:lang w:eastAsia="en-US"/>
        </w:rPr>
        <w:t>“</w:t>
      </w:r>
      <w:r w:rsidR="006F4911" w:rsidRPr="002C65E3">
        <w:rPr>
          <w:lang w:eastAsia="en-US"/>
        </w:rPr>
        <w:t>Protocolo de Recomendaciones para la Prevención y Atención del COVID-19 en Residencias para Adultos con Discapacidad</w:t>
      </w:r>
      <w:r w:rsidR="00791BE9" w:rsidRPr="002C65E3">
        <w:rPr>
          <w:lang w:eastAsia="en-US"/>
        </w:rPr>
        <w:t>”</w:t>
      </w:r>
      <w:r w:rsidR="006F4911" w:rsidRPr="002C65E3">
        <w:rPr>
          <w:rStyle w:val="Refdenotaalpie"/>
        </w:rPr>
        <w:footnoteReference w:id="95"/>
      </w:r>
      <w:r w:rsidR="006F4911" w:rsidRPr="002C65E3">
        <w:rPr>
          <w:lang w:eastAsia="en-US"/>
        </w:rPr>
        <w:t xml:space="preserve">. </w:t>
      </w:r>
    </w:p>
    <w:p w14:paraId="0B29FB1D" w14:textId="5C961B1C" w:rsidR="006F4911" w:rsidRPr="002C65E3" w:rsidRDefault="00156F70" w:rsidP="00575DCD">
      <w:pPr>
        <w:pStyle w:val="SingleTxtG"/>
        <w:rPr>
          <w:lang w:eastAsia="en-US"/>
        </w:rPr>
      </w:pPr>
      <w:r w:rsidRPr="002C65E3">
        <w:rPr>
          <w:lang w:eastAsia="en-US"/>
        </w:rPr>
        <w:t>57.</w:t>
      </w:r>
      <w:r w:rsidRPr="002C65E3">
        <w:rPr>
          <w:lang w:eastAsia="en-US"/>
        </w:rPr>
        <w:tab/>
      </w:r>
      <w:r w:rsidR="006F4911" w:rsidRPr="002C65E3">
        <w:rPr>
          <w:lang w:eastAsia="en-US"/>
        </w:rPr>
        <w:t>Se implementaron Residencias Espejo con nueve residencias como lugares de aislamiento, con 251 cupos, donde se proveyeron servicios básicos de atención y cuidado para enfrentar situaciones de emergencia crítica en las residencias, debido a contagios de COVID-19, y evitar su propagación. Se coordinó con MINSAL el ingreso de PcD a residencias sanitarias, estuvieran o no en situación de dependencia, acompañadas de un cuidador/a si lo requiriesen y, en caso de no contar con uno/a, SENADIS lo proveería. Se creó un componente COVID-19 en REVELO de SENADIS para atender casos de PcD y dependencia cuyo cuidador/a principal fuera hospitalizado y no contara con red de apoyo</w:t>
      </w:r>
      <w:r w:rsidR="006F4911" w:rsidRPr="002C65E3">
        <w:rPr>
          <w:rStyle w:val="Refdenotaalpie"/>
        </w:rPr>
        <w:footnoteReference w:id="96"/>
      </w:r>
      <w:r w:rsidR="006F4911" w:rsidRPr="002C65E3">
        <w:rPr>
          <w:lang w:eastAsia="en-US"/>
        </w:rPr>
        <w:t xml:space="preserve">. </w:t>
      </w:r>
    </w:p>
    <w:p w14:paraId="64934174" w14:textId="6EB11ADA" w:rsidR="006F4911" w:rsidRPr="002C65E3" w:rsidRDefault="00156F70" w:rsidP="00575DCD">
      <w:pPr>
        <w:pStyle w:val="SingleTxtG"/>
        <w:rPr>
          <w:lang w:eastAsia="en-US"/>
        </w:rPr>
      </w:pPr>
      <w:bookmarkStart w:id="22" w:name="_Ref122703629"/>
      <w:r w:rsidRPr="002C65E3">
        <w:rPr>
          <w:lang w:eastAsia="en-US"/>
        </w:rPr>
        <w:t>58.</w:t>
      </w:r>
      <w:r w:rsidRPr="002C65E3">
        <w:rPr>
          <w:lang w:eastAsia="en-US"/>
        </w:rPr>
        <w:tab/>
      </w:r>
      <w:r w:rsidR="006F4911" w:rsidRPr="002C65E3">
        <w:rPr>
          <w:lang w:eastAsia="en-US"/>
        </w:rPr>
        <w:t>En SENADIS, FONAPI adecuó sus líneas de financiamiento focalizándose en proyectos que tuvieran por objetivo el manejo de la pandemia, la compra de EPP y desinfección de ambientes</w:t>
      </w:r>
      <w:r w:rsidR="006F4911" w:rsidRPr="002C65E3">
        <w:rPr>
          <w:rStyle w:val="Refdenotaalpie"/>
        </w:rPr>
        <w:footnoteReference w:id="97"/>
      </w:r>
      <w:r w:rsidR="006F4911" w:rsidRPr="002C65E3">
        <w:rPr>
          <w:lang w:eastAsia="en-US"/>
        </w:rPr>
        <w:t>. El Programa de Apoyos a Estudiantes con Discapacidad en Instituciones de Educación Superior incorporó elementos tecnológicos y servicios de apoyo para que los estudiantes pudieran acceder a la educación a distancia. Se aumentó la cobertura en más de 200 estudiantes con relación al 2019.</w:t>
      </w:r>
      <w:bookmarkEnd w:id="22"/>
    </w:p>
    <w:p w14:paraId="0042E8A5" w14:textId="76211860" w:rsidR="006F4911" w:rsidRPr="002C65E3" w:rsidRDefault="00156F70" w:rsidP="00575DCD">
      <w:pPr>
        <w:pStyle w:val="SingleTxtG"/>
        <w:rPr>
          <w:lang w:eastAsia="en-US"/>
        </w:rPr>
      </w:pPr>
      <w:r w:rsidRPr="002C65E3">
        <w:rPr>
          <w:lang w:eastAsia="en-US"/>
        </w:rPr>
        <w:t>59.</w:t>
      </w:r>
      <w:r w:rsidRPr="002C65E3">
        <w:rPr>
          <w:lang w:eastAsia="en-US"/>
        </w:rPr>
        <w:tab/>
      </w:r>
      <w:r w:rsidR="006F4911" w:rsidRPr="002C65E3">
        <w:rPr>
          <w:lang w:eastAsia="en-US"/>
        </w:rPr>
        <w:t>ONEMI emitió la Guía para la administración de albergues municipales pandemia COVID-19, con la incorporación de temáticas transversales</w:t>
      </w:r>
      <w:r w:rsidR="006F4911" w:rsidRPr="002C65E3">
        <w:rPr>
          <w:rStyle w:val="Refdenotaalpie"/>
        </w:rPr>
        <w:footnoteReference w:id="98"/>
      </w:r>
      <w:r w:rsidR="006F4911" w:rsidRPr="002C65E3">
        <w:rPr>
          <w:lang w:eastAsia="en-US"/>
        </w:rPr>
        <w:t xml:space="preserve">. </w:t>
      </w:r>
    </w:p>
    <w:p w14:paraId="21E3ABD4" w14:textId="60772238" w:rsidR="006F4911" w:rsidRPr="002C65E3" w:rsidRDefault="006E13EC" w:rsidP="00575DCD">
      <w:pPr>
        <w:pStyle w:val="H23G"/>
        <w:rPr>
          <w:lang w:eastAsia="en-US"/>
        </w:rPr>
      </w:pPr>
      <w:r w:rsidRPr="002C65E3">
        <w:rPr>
          <w:lang w:eastAsia="en-US"/>
        </w:rPr>
        <w:tab/>
      </w:r>
      <w:r w:rsidRPr="002C65E3">
        <w:rPr>
          <w:lang w:eastAsia="en-US"/>
        </w:rPr>
        <w:tab/>
      </w:r>
      <w:r w:rsidR="006F4911" w:rsidRPr="002C65E3">
        <w:rPr>
          <w:lang w:eastAsia="en-US"/>
        </w:rPr>
        <w:t>Acceso a salud, apoyo material y psicológico</w:t>
      </w:r>
    </w:p>
    <w:p w14:paraId="3643AC19" w14:textId="3DB8D06F" w:rsidR="006F4911" w:rsidRPr="002C65E3" w:rsidRDefault="00156F70" w:rsidP="00575DCD">
      <w:pPr>
        <w:pStyle w:val="SingleTxtG"/>
        <w:rPr>
          <w:lang w:eastAsia="en-US"/>
        </w:rPr>
      </w:pPr>
      <w:r w:rsidRPr="002C65E3">
        <w:rPr>
          <w:lang w:eastAsia="en-US"/>
        </w:rPr>
        <w:t>60.</w:t>
      </w:r>
      <w:r w:rsidRPr="002C65E3">
        <w:rPr>
          <w:lang w:eastAsia="en-US"/>
        </w:rPr>
        <w:tab/>
      </w:r>
      <w:r w:rsidR="006F4911" w:rsidRPr="002C65E3">
        <w:rPr>
          <w:lang w:eastAsia="en-US"/>
        </w:rPr>
        <w:t xml:space="preserve">En abril de 2020, MINSAL puso a disposición de la red sanitaria, el documento </w:t>
      </w:r>
      <w:r w:rsidR="00791BE9" w:rsidRPr="002C65E3">
        <w:rPr>
          <w:lang w:eastAsia="en-US"/>
        </w:rPr>
        <w:t>“</w:t>
      </w:r>
      <w:r w:rsidR="006F4911" w:rsidRPr="002C65E3">
        <w:rPr>
          <w:lang w:eastAsia="en-US"/>
        </w:rPr>
        <w:t>Recomendaciones para los Comités de Ética Asistencial en el apoyo de toma de decisiones éticas de los equipos de salud, en contexto de pandemia por COVID-19</w:t>
      </w:r>
      <w:r w:rsidR="00791BE9" w:rsidRPr="002C65E3">
        <w:rPr>
          <w:lang w:eastAsia="en-US"/>
        </w:rPr>
        <w:t>”</w:t>
      </w:r>
      <w:r w:rsidR="006F4911" w:rsidRPr="002C65E3">
        <w:rPr>
          <w:rStyle w:val="Refdenotaalpie"/>
        </w:rPr>
        <w:footnoteReference w:id="99"/>
      </w:r>
      <w:r w:rsidR="006F4911" w:rsidRPr="002C65E3">
        <w:rPr>
          <w:lang w:eastAsia="en-US"/>
        </w:rPr>
        <w:t xml:space="preserve">, donde se reconoce expresamente el principio de no discriminación, esencial para garantizar el acceso a ventilación mecánica en igualdad de condiciones. Asimismo, MINSAL elaboró el documento </w:t>
      </w:r>
      <w:r w:rsidR="00791BE9" w:rsidRPr="002C65E3">
        <w:rPr>
          <w:lang w:eastAsia="en-US"/>
        </w:rPr>
        <w:t>“</w:t>
      </w:r>
      <w:r w:rsidR="006F4911" w:rsidRPr="002C65E3">
        <w:rPr>
          <w:highlight w:val="white"/>
          <w:lang w:eastAsia="en-US"/>
        </w:rPr>
        <w:t>Consideraciones especiales en el manejo y tratamiento de las PcD durante la pandemia SARS-</w:t>
      </w:r>
      <w:r w:rsidR="006F4911" w:rsidRPr="002C65E3">
        <w:rPr>
          <w:lang w:eastAsia="en-US"/>
        </w:rPr>
        <w:t>COV</w:t>
      </w:r>
      <w:r w:rsidR="006F4911" w:rsidRPr="002C65E3">
        <w:rPr>
          <w:highlight w:val="white"/>
          <w:lang w:eastAsia="en-US"/>
        </w:rPr>
        <w:t>-2</w:t>
      </w:r>
      <w:r w:rsidR="00791BE9" w:rsidRPr="002C65E3">
        <w:rPr>
          <w:lang w:eastAsia="en-US"/>
        </w:rPr>
        <w:t>”</w:t>
      </w:r>
      <w:r w:rsidR="006F4911" w:rsidRPr="002C65E3">
        <w:rPr>
          <w:rStyle w:val="Refdenotaalpie"/>
        </w:rPr>
        <w:footnoteReference w:id="100"/>
      </w:r>
      <w:r w:rsidR="006F4911" w:rsidRPr="002C65E3">
        <w:rPr>
          <w:highlight w:val="white"/>
          <w:lang w:eastAsia="en-US"/>
        </w:rPr>
        <w:t>, para una adecuada respuesta en la atención en salud</w:t>
      </w:r>
      <w:r w:rsidR="006F4911" w:rsidRPr="002C65E3">
        <w:rPr>
          <w:lang w:eastAsia="en-US"/>
        </w:rPr>
        <w:t>; y la</w:t>
      </w:r>
      <w:r w:rsidR="006F4911" w:rsidRPr="002C65E3">
        <w:rPr>
          <w:highlight w:val="white"/>
          <w:lang w:eastAsia="en-US"/>
        </w:rPr>
        <w:t xml:space="preserve"> Estrategia de </w:t>
      </w:r>
      <w:r w:rsidR="006F4911" w:rsidRPr="002C65E3">
        <w:rPr>
          <w:highlight w:val="white"/>
          <w:lang w:eastAsia="en-US"/>
        </w:rPr>
        <w:lastRenderedPageBreak/>
        <w:t>residencias sanitarias, recomendaciones para el ingreso, seguimiento y egreso de PcD</w:t>
      </w:r>
      <w:r w:rsidR="006F4911" w:rsidRPr="002C65E3">
        <w:rPr>
          <w:rStyle w:val="Refdenotaalpie"/>
        </w:rPr>
        <w:footnoteReference w:id="101"/>
      </w:r>
      <w:r w:rsidR="006F4911" w:rsidRPr="002C65E3">
        <w:rPr>
          <w:lang w:eastAsia="en-US"/>
        </w:rPr>
        <w:t xml:space="preserve">, sin posibilidad de cumplir aislamiento en su domicilio. </w:t>
      </w:r>
    </w:p>
    <w:p w14:paraId="5D2E1944" w14:textId="029C3563" w:rsidR="006F4911" w:rsidRPr="002C65E3" w:rsidRDefault="00156F70" w:rsidP="00575DCD">
      <w:pPr>
        <w:pStyle w:val="SingleTxtG"/>
        <w:rPr>
          <w:lang w:eastAsia="en-US"/>
        </w:rPr>
      </w:pPr>
      <w:r w:rsidRPr="002C65E3">
        <w:rPr>
          <w:lang w:eastAsia="en-US"/>
        </w:rPr>
        <w:t>61.</w:t>
      </w:r>
      <w:r w:rsidRPr="002C65E3">
        <w:rPr>
          <w:lang w:eastAsia="en-US"/>
        </w:rPr>
        <w:tab/>
      </w:r>
      <w:r w:rsidR="006F4911" w:rsidRPr="002C65E3">
        <w:rPr>
          <w:lang w:eastAsia="en-US"/>
        </w:rPr>
        <w:t>Continuaron</w:t>
      </w:r>
      <w:r w:rsidR="006F4911" w:rsidRPr="002C65E3">
        <w:rPr>
          <w:highlight w:val="white"/>
          <w:lang w:eastAsia="en-US"/>
        </w:rPr>
        <w:t xml:space="preserve"> las acciones de atención y provisión de AATT garantizadas por GES, en contexto de </w:t>
      </w:r>
      <w:r w:rsidR="006F4911" w:rsidRPr="002C65E3">
        <w:rPr>
          <w:lang w:eastAsia="en-US"/>
        </w:rPr>
        <w:t>pandemia</w:t>
      </w:r>
      <w:r w:rsidR="006F4911" w:rsidRPr="002C65E3">
        <w:rPr>
          <w:rStyle w:val="Refdenotaalpie"/>
        </w:rPr>
        <w:footnoteReference w:id="102"/>
      </w:r>
      <w:r w:rsidR="006F4911" w:rsidRPr="002C65E3">
        <w:rPr>
          <w:highlight w:val="white"/>
          <w:lang w:eastAsia="en-US"/>
        </w:rPr>
        <w:t>. Se establecieron medidas para la sensibilización y educación</w:t>
      </w:r>
      <w:r w:rsidR="006F4911" w:rsidRPr="002C65E3">
        <w:rPr>
          <w:rStyle w:val="Refdenotaalpie"/>
        </w:rPr>
        <w:footnoteReference w:id="103"/>
      </w:r>
      <w:r w:rsidR="006F4911" w:rsidRPr="002C65E3">
        <w:rPr>
          <w:highlight w:val="white"/>
          <w:lang w:eastAsia="en-US"/>
        </w:rPr>
        <w:t xml:space="preserve"> a la población respecto al COVID-19, a través de cápsulas en video, con intérprete en LSCH y subtítulos.</w:t>
      </w:r>
    </w:p>
    <w:p w14:paraId="4C8C2BE8" w14:textId="5A5B7B76" w:rsidR="006F4911" w:rsidRPr="002C65E3" w:rsidRDefault="00156F70" w:rsidP="00575DCD">
      <w:pPr>
        <w:pStyle w:val="SingleTxtG"/>
        <w:rPr>
          <w:highlight w:val="white"/>
          <w:lang w:eastAsia="en-US"/>
        </w:rPr>
      </w:pPr>
      <w:r w:rsidRPr="002C65E3">
        <w:rPr>
          <w:highlight w:val="white"/>
          <w:lang w:eastAsia="en-US"/>
        </w:rPr>
        <w:t>62.</w:t>
      </w:r>
      <w:r w:rsidRPr="002C65E3">
        <w:rPr>
          <w:highlight w:val="white"/>
          <w:lang w:eastAsia="en-US"/>
        </w:rPr>
        <w:tab/>
      </w:r>
      <w:r w:rsidR="006F4911" w:rsidRPr="002C65E3">
        <w:rPr>
          <w:highlight w:val="white"/>
          <w:lang w:eastAsia="en-US"/>
        </w:rPr>
        <w:t>Se priorizó en el proceso de vacunación</w:t>
      </w:r>
      <w:r w:rsidR="006F4911" w:rsidRPr="002C65E3">
        <w:rPr>
          <w:rStyle w:val="Refdenotaalpie"/>
        </w:rPr>
        <w:footnoteReference w:id="104"/>
      </w:r>
      <w:r w:rsidR="006F4911" w:rsidRPr="002C65E3">
        <w:rPr>
          <w:highlight w:val="white"/>
          <w:lang w:eastAsia="en-US"/>
        </w:rPr>
        <w:t xml:space="preserve"> COVID-19 y de influenza a las PcD psicosocial e intelectual severa, </w:t>
      </w:r>
      <w:r w:rsidR="006F4911" w:rsidRPr="002C65E3">
        <w:rPr>
          <w:lang w:eastAsia="en-US"/>
        </w:rPr>
        <w:t>discapacidad</w:t>
      </w:r>
      <w:r w:rsidR="006F4911" w:rsidRPr="002C65E3">
        <w:rPr>
          <w:highlight w:val="white"/>
          <w:lang w:eastAsia="en-US"/>
        </w:rPr>
        <w:t xml:space="preserve"> psicosocial en viviendas colectivas, en hospitalización y personas con enfermedades mentales severas. En las residencias sanitarias</w:t>
      </w:r>
      <w:r w:rsidR="006F4911" w:rsidRPr="002C65E3">
        <w:rPr>
          <w:rStyle w:val="Refdenotaalpie"/>
        </w:rPr>
        <w:footnoteReference w:id="105"/>
      </w:r>
      <w:r w:rsidR="006F4911" w:rsidRPr="002C65E3">
        <w:rPr>
          <w:highlight w:val="white"/>
          <w:lang w:eastAsia="en-US"/>
        </w:rPr>
        <w:t xml:space="preserve"> se incluyeron lineamientos para la atención de PcD y problemas de salud mental en servicios no segregados. </w:t>
      </w:r>
    </w:p>
    <w:p w14:paraId="387D33D4" w14:textId="2BE8B6A7" w:rsidR="006F4911" w:rsidRPr="002C65E3" w:rsidRDefault="00156F70" w:rsidP="00575DCD">
      <w:pPr>
        <w:pStyle w:val="SingleTxtG"/>
        <w:rPr>
          <w:highlight w:val="white"/>
          <w:lang w:eastAsia="en-US"/>
        </w:rPr>
      </w:pPr>
      <w:r w:rsidRPr="002C65E3">
        <w:rPr>
          <w:highlight w:val="white"/>
          <w:lang w:eastAsia="en-US"/>
        </w:rPr>
        <w:t>63.</w:t>
      </w:r>
      <w:r w:rsidRPr="002C65E3">
        <w:rPr>
          <w:highlight w:val="white"/>
          <w:lang w:eastAsia="en-US"/>
        </w:rPr>
        <w:tab/>
      </w:r>
      <w:r w:rsidR="006F4911" w:rsidRPr="002C65E3">
        <w:rPr>
          <w:lang w:eastAsia="en-US"/>
        </w:rPr>
        <w:t>La Mesa Intersectorial reseñada en el párrafo</w:t>
      </w:r>
      <w:r w:rsidR="00776BAA" w:rsidRPr="002C65E3">
        <w:rPr>
          <w:lang w:eastAsia="en-US"/>
        </w:rPr>
        <w:t xml:space="preserve"> 55</w:t>
      </w:r>
      <w:r w:rsidR="006F4911" w:rsidRPr="002C65E3">
        <w:rPr>
          <w:lang w:eastAsia="en-US"/>
        </w:rPr>
        <w:t xml:space="preserve"> realizó capacitaciones y envió material informativo a los funcionarios de salud de las residencias sanitarias del país sobre cómo atender a PcD. Dentro de dicho material se encuentran las </w:t>
      </w:r>
      <w:r w:rsidR="006F4911" w:rsidRPr="002C65E3">
        <w:rPr>
          <w:highlight w:val="white"/>
          <w:lang w:eastAsia="en-US"/>
        </w:rPr>
        <w:t>Recomendaciones para la atención en salud de las PcD durante la pandemia SARS-COV-2</w:t>
      </w:r>
      <w:r w:rsidR="006F4911" w:rsidRPr="002C65E3">
        <w:rPr>
          <w:rStyle w:val="Refdenotaalpie"/>
        </w:rPr>
        <w:footnoteReference w:id="106"/>
      </w:r>
      <w:r w:rsidR="006F4911" w:rsidRPr="002C65E3">
        <w:rPr>
          <w:lang w:eastAsia="en-US"/>
        </w:rPr>
        <w:t>, difundidas en lectura fácil y con un afiche resumen; y las Recomendaciones y Buenas Prácticas en Salud Mental, Destinadas a Residencias de PcD en tiempos de COVID-19</w:t>
      </w:r>
      <w:r w:rsidR="006F4911" w:rsidRPr="002C65E3">
        <w:rPr>
          <w:rStyle w:val="Refdenotaalpie"/>
        </w:rPr>
        <w:footnoteReference w:id="107"/>
      </w:r>
      <w:r w:rsidR="006F4911" w:rsidRPr="002C65E3">
        <w:rPr>
          <w:lang w:eastAsia="en-US"/>
        </w:rPr>
        <w:t>, que entregan pautas de abordaje para prevención de violencia, resguardo de salud mental y de calidad de vida en residencias y para la implementación de medidas sanitarias por COVID-19, difundidas en un seminario</w:t>
      </w:r>
      <w:r w:rsidR="006F4911" w:rsidRPr="002C65E3">
        <w:rPr>
          <w:rStyle w:val="Refdenotaalpie"/>
        </w:rPr>
        <w:footnoteReference w:id="108"/>
      </w:r>
      <w:r w:rsidR="006F4911" w:rsidRPr="002C65E3">
        <w:rPr>
          <w:lang w:eastAsia="en-US"/>
        </w:rPr>
        <w:t xml:space="preserve"> en línea. </w:t>
      </w:r>
    </w:p>
    <w:p w14:paraId="363A2FF9" w14:textId="2D2D922B" w:rsidR="006F4911" w:rsidRPr="002C65E3" w:rsidRDefault="00156F70" w:rsidP="00575DCD">
      <w:pPr>
        <w:pStyle w:val="SingleTxtG"/>
        <w:rPr>
          <w:highlight w:val="white"/>
          <w:lang w:eastAsia="en-US"/>
        </w:rPr>
      </w:pPr>
      <w:r w:rsidRPr="002C65E3">
        <w:rPr>
          <w:highlight w:val="white"/>
          <w:lang w:eastAsia="en-US"/>
        </w:rPr>
        <w:t>64.</w:t>
      </w:r>
      <w:r w:rsidRPr="002C65E3">
        <w:rPr>
          <w:highlight w:val="white"/>
          <w:lang w:eastAsia="en-US"/>
        </w:rPr>
        <w:tab/>
      </w:r>
      <w:r w:rsidR="006F4911" w:rsidRPr="002C65E3">
        <w:rPr>
          <w:highlight w:val="white"/>
          <w:lang w:eastAsia="en-US"/>
        </w:rPr>
        <w:t xml:space="preserve">MINSAL cuenta con un modelo de protección de la salud mental en la gestión de riesgos y desastres que incluye </w:t>
      </w:r>
      <w:r w:rsidR="006F4911" w:rsidRPr="002C65E3">
        <w:rPr>
          <w:lang w:eastAsia="en-US"/>
        </w:rPr>
        <w:t>recomendaciones</w:t>
      </w:r>
      <w:r w:rsidR="006F4911" w:rsidRPr="002C65E3">
        <w:rPr>
          <w:highlight w:val="white"/>
          <w:lang w:eastAsia="en-US"/>
        </w:rPr>
        <w:t xml:space="preserve"> y estrategias de apoyo material y psicológico</w:t>
      </w:r>
      <w:r w:rsidR="006F4911" w:rsidRPr="002C65E3">
        <w:rPr>
          <w:rStyle w:val="Refdenotaalpie"/>
        </w:rPr>
        <w:footnoteReference w:id="109"/>
      </w:r>
      <w:r w:rsidR="006F4911" w:rsidRPr="002C65E3">
        <w:rPr>
          <w:highlight w:val="white"/>
          <w:lang w:eastAsia="en-US"/>
        </w:rPr>
        <w:t xml:space="preserve"> en situaciones de crisis, desarrollándose recomendaciones específicas</w:t>
      </w:r>
      <w:r w:rsidR="006F4911" w:rsidRPr="002C65E3">
        <w:rPr>
          <w:rStyle w:val="Refdenotaalpie"/>
        </w:rPr>
        <w:footnoteReference w:id="110"/>
      </w:r>
      <w:r w:rsidR="006F4911" w:rsidRPr="002C65E3">
        <w:rPr>
          <w:highlight w:val="white"/>
          <w:lang w:eastAsia="en-US"/>
        </w:rPr>
        <w:t xml:space="preserve"> en contexto de pandemia.</w:t>
      </w:r>
      <w:r w:rsidR="006F4911" w:rsidRPr="002C65E3">
        <w:rPr>
          <w:lang w:eastAsia="en-US"/>
        </w:rPr>
        <w:t xml:space="preserve"> Se desarrollaron los sitios web: https://www.gob.cl/saludablemente/ y https://www.</w:t>
      </w:r>
      <w:r w:rsidR="006F4911" w:rsidRPr="002C65E3">
        <w:rPr>
          <w:highlight w:val="white"/>
          <w:lang w:eastAsia="en-US"/>
        </w:rPr>
        <w:t>hablemosdesaludmental</w:t>
      </w:r>
      <w:r w:rsidR="006F4911" w:rsidRPr="002C65E3">
        <w:rPr>
          <w:lang w:eastAsia="en-US"/>
        </w:rPr>
        <w:t>.cl/</w:t>
      </w:r>
      <w:r w:rsidR="006F4911" w:rsidRPr="002C65E3">
        <w:rPr>
          <w:rStyle w:val="Refdenotaalpie"/>
        </w:rPr>
        <w:footnoteReference w:id="111"/>
      </w:r>
      <w:r w:rsidR="006F4911" w:rsidRPr="002C65E3">
        <w:rPr>
          <w:lang w:eastAsia="en-US"/>
        </w:rPr>
        <w:t xml:space="preserve"> que entregan información y orientación sobre diversos temas, especialmente salud mental en pandemia. Cuentan con videos con subtítulos y LSCH. Se creó la línea Salud Responde</w:t>
      </w:r>
      <w:r w:rsidR="006F4911" w:rsidRPr="002C65E3">
        <w:rPr>
          <w:rStyle w:val="Refdenotaalpie"/>
        </w:rPr>
        <w:footnoteReference w:id="112"/>
      </w:r>
      <w:r w:rsidR="006F4911" w:rsidRPr="002C65E3">
        <w:rPr>
          <w:lang w:eastAsia="en-US"/>
        </w:rPr>
        <w:t>, plataforma multicanal que, a través de su línea telefónica durante las 24 horas del día, informan, orientan, apoyan y educan a sus usuarios sobre temas relacionados con salud. Cuenta con información en LSCH</w:t>
      </w:r>
      <w:r w:rsidR="006F4911" w:rsidRPr="002C65E3">
        <w:rPr>
          <w:rStyle w:val="Refdenotaalpie"/>
        </w:rPr>
        <w:footnoteReference w:id="113"/>
      </w:r>
      <w:r w:rsidR="006F4911" w:rsidRPr="002C65E3">
        <w:rPr>
          <w:lang w:eastAsia="en-US"/>
        </w:rPr>
        <w:t xml:space="preserve"> y atención remota con intérprete.</w:t>
      </w:r>
    </w:p>
    <w:p w14:paraId="714F22C5" w14:textId="43D3BE05" w:rsidR="006F4911" w:rsidRPr="002C65E3" w:rsidRDefault="00156F70" w:rsidP="00575DCD">
      <w:pPr>
        <w:pStyle w:val="SingleTxtG"/>
        <w:rPr>
          <w:highlight w:val="white"/>
          <w:lang w:eastAsia="en-US"/>
        </w:rPr>
      </w:pPr>
      <w:r w:rsidRPr="002C65E3">
        <w:rPr>
          <w:highlight w:val="white"/>
          <w:lang w:eastAsia="en-US"/>
        </w:rPr>
        <w:t>65.</w:t>
      </w:r>
      <w:r w:rsidRPr="002C65E3">
        <w:rPr>
          <w:highlight w:val="white"/>
          <w:lang w:eastAsia="en-US"/>
        </w:rPr>
        <w:tab/>
      </w:r>
      <w:r w:rsidR="006F4911" w:rsidRPr="002C65E3">
        <w:rPr>
          <w:lang w:eastAsia="en-US"/>
        </w:rPr>
        <w:t xml:space="preserve">En pandemia, se realizaron recomendaciones a equipos de hospitalización psiquiátrica sobre medidas para la prevención y tratamiento de COVID-19. Además, MINSAL y los </w:t>
      </w:r>
      <w:r w:rsidR="006F4911" w:rsidRPr="002C65E3">
        <w:rPr>
          <w:lang w:eastAsia="en-US"/>
        </w:rPr>
        <w:lastRenderedPageBreak/>
        <w:t xml:space="preserve">Servicios de Salud visitaron </w:t>
      </w:r>
      <w:r w:rsidR="006F4911" w:rsidRPr="002C65E3">
        <w:rPr>
          <w:highlight w:val="white"/>
          <w:lang w:eastAsia="en-US"/>
        </w:rPr>
        <w:t>periódicamente</w:t>
      </w:r>
      <w:r w:rsidR="006F4911" w:rsidRPr="002C65E3">
        <w:rPr>
          <w:lang w:eastAsia="en-US"/>
        </w:rPr>
        <w:t xml:space="preserve"> las instituciones para asegurar el cumplimiento y coordinación con estrategia de infecciones intrahospitalarias a nivel país. </w:t>
      </w:r>
    </w:p>
    <w:p w14:paraId="03F5CC11" w14:textId="3FE36351" w:rsidR="006F4911" w:rsidRPr="002C65E3" w:rsidRDefault="00156F70" w:rsidP="00575DCD">
      <w:pPr>
        <w:pStyle w:val="SingleTxtG"/>
        <w:rPr>
          <w:highlight w:val="white"/>
          <w:lang w:eastAsia="en-US"/>
        </w:rPr>
      </w:pPr>
      <w:bookmarkStart w:id="23" w:name="_Ref122703503"/>
      <w:r w:rsidRPr="002C65E3">
        <w:rPr>
          <w:highlight w:val="white"/>
          <w:lang w:eastAsia="en-US"/>
        </w:rPr>
        <w:t>66.</w:t>
      </w:r>
      <w:r w:rsidRPr="002C65E3">
        <w:rPr>
          <w:highlight w:val="white"/>
          <w:lang w:eastAsia="en-US"/>
        </w:rPr>
        <w:tab/>
      </w:r>
      <w:r w:rsidR="006F4911" w:rsidRPr="002C65E3">
        <w:rPr>
          <w:lang w:eastAsia="en-US"/>
        </w:rPr>
        <w:t xml:space="preserve">Para las cuarentenas, SENADIS gestionó la incorporación de permisos de desplazamiento para personas en el EA, extendido a discapacidad mental e intelectual; para traslado y permanencia de madre, </w:t>
      </w:r>
      <w:r w:rsidR="006F4911" w:rsidRPr="002C65E3">
        <w:rPr>
          <w:highlight w:val="white"/>
          <w:lang w:eastAsia="en-US"/>
        </w:rPr>
        <w:t>padre</w:t>
      </w:r>
      <w:r w:rsidR="006F4911" w:rsidRPr="002C65E3">
        <w:rPr>
          <w:lang w:eastAsia="en-US"/>
        </w:rPr>
        <w:t xml:space="preserve"> o tutor a establecimientos de salud para visitar a PcD y dependencia, hospitalizadas; permiso para cuidadores de PcD que requieren asistencia. Asimismo, SENADIS con Carabineros elaboraron instructivo sobre casos especiales de PcD en pandemia para flexibilizar la fiscalización de medidas de protección contra el COVID-19, especialmente en uso de mascarilla por personas en el EA y personas con Síndrome de Down.</w:t>
      </w:r>
      <w:bookmarkEnd w:id="23"/>
    </w:p>
    <w:p w14:paraId="07A25C41" w14:textId="3D9D03FB" w:rsidR="006F4911" w:rsidRPr="002C65E3" w:rsidRDefault="006559CF" w:rsidP="00575DCD">
      <w:pPr>
        <w:pStyle w:val="H23G"/>
        <w:rPr>
          <w:lang w:eastAsia="en-US"/>
        </w:rPr>
      </w:pPr>
      <w:r w:rsidRPr="002C65E3">
        <w:rPr>
          <w:lang w:eastAsia="en-US"/>
        </w:rPr>
        <w:tab/>
      </w:r>
      <w:r w:rsidRPr="002C65E3">
        <w:rPr>
          <w:lang w:eastAsia="en-US"/>
        </w:rPr>
        <w:tab/>
      </w:r>
      <w:r w:rsidR="006F4911" w:rsidRPr="002C65E3">
        <w:rPr>
          <w:lang w:eastAsia="en-US"/>
        </w:rPr>
        <w:t xml:space="preserve">Garantizar pensiones y prestaciones sociales </w:t>
      </w:r>
    </w:p>
    <w:p w14:paraId="7AB9E64D" w14:textId="5AC58AEB" w:rsidR="006F4911" w:rsidRPr="002C65E3" w:rsidRDefault="00156F70" w:rsidP="00575DCD">
      <w:pPr>
        <w:pStyle w:val="SingleTxtG"/>
        <w:rPr>
          <w:lang w:eastAsia="en-US"/>
        </w:rPr>
      </w:pPr>
      <w:r w:rsidRPr="002C65E3">
        <w:rPr>
          <w:lang w:eastAsia="en-US"/>
        </w:rPr>
        <w:t>67.</w:t>
      </w:r>
      <w:r w:rsidRPr="002C65E3">
        <w:rPr>
          <w:lang w:eastAsia="en-US"/>
        </w:rPr>
        <w:tab/>
      </w:r>
      <w:r w:rsidR="006F4911" w:rsidRPr="002C65E3">
        <w:rPr>
          <w:lang w:eastAsia="en-US"/>
        </w:rPr>
        <w:t>Se publicó la Ley N</w:t>
      </w:r>
      <w:r w:rsidR="00405113" w:rsidRPr="002C65E3">
        <w:rPr>
          <w:lang w:eastAsia="en-US"/>
        </w:rPr>
        <w:t>º </w:t>
      </w:r>
      <w:r w:rsidR="006F4911" w:rsidRPr="002C65E3">
        <w:rPr>
          <w:lang w:eastAsia="en-US"/>
        </w:rPr>
        <w:t>21.190</w:t>
      </w:r>
      <w:r w:rsidR="006F4911" w:rsidRPr="002C65E3">
        <w:rPr>
          <w:rStyle w:val="Refdenotaalpie"/>
        </w:rPr>
        <w:footnoteReference w:id="114"/>
      </w:r>
      <w:r w:rsidR="006F4911" w:rsidRPr="002C65E3">
        <w:rPr>
          <w:lang w:eastAsia="en-US"/>
        </w:rPr>
        <w:t>, que derogó el artículo 22 de la Ley Nº</w:t>
      </w:r>
      <w:r w:rsidR="00405113" w:rsidRPr="002C65E3">
        <w:rPr>
          <w:lang w:eastAsia="en-US"/>
        </w:rPr>
        <w:t> </w:t>
      </w:r>
      <w:r w:rsidR="006F4911" w:rsidRPr="002C65E3">
        <w:rPr>
          <w:lang w:eastAsia="en-US"/>
        </w:rPr>
        <w:t>20.255</w:t>
      </w:r>
      <w:r w:rsidR="006F4911" w:rsidRPr="002C65E3">
        <w:rPr>
          <w:rStyle w:val="Refdenotaalpie"/>
        </w:rPr>
        <w:footnoteReference w:id="115"/>
      </w:r>
      <w:r w:rsidR="006F4911" w:rsidRPr="002C65E3">
        <w:rPr>
          <w:lang w:eastAsia="en-US"/>
        </w:rPr>
        <w:t>, que contemplaba la pérdida gradual de la pensión básica solidaria de invalidez, de acuerdo a los ingresos que el pensionado percibía, hasta poder perderla por completo si eran superiores a 2 ingresos mínimos mensuales.</w:t>
      </w:r>
      <w:r w:rsidR="00791BE9" w:rsidRPr="002C65E3">
        <w:rPr>
          <w:lang w:eastAsia="en-US"/>
        </w:rPr>
        <w:t xml:space="preserve"> </w:t>
      </w:r>
    </w:p>
    <w:p w14:paraId="48C51D1F" w14:textId="186635BE" w:rsidR="006F4911" w:rsidRPr="002C65E3" w:rsidRDefault="00156F70" w:rsidP="00575DCD">
      <w:pPr>
        <w:pStyle w:val="SingleTxtG"/>
        <w:rPr>
          <w:lang w:eastAsia="en-US"/>
        </w:rPr>
      </w:pPr>
      <w:r w:rsidRPr="002C65E3">
        <w:rPr>
          <w:lang w:eastAsia="en-US"/>
        </w:rPr>
        <w:t>68.</w:t>
      </w:r>
      <w:r w:rsidRPr="002C65E3">
        <w:rPr>
          <w:lang w:eastAsia="en-US"/>
        </w:rPr>
        <w:tab/>
      </w:r>
      <w:r w:rsidR="006F4911" w:rsidRPr="002C65E3">
        <w:rPr>
          <w:lang w:eastAsia="en-US"/>
        </w:rPr>
        <w:t>Desde el MDSF se comenzó a entregar el IFE</w:t>
      </w:r>
      <w:r w:rsidR="006F4911" w:rsidRPr="002C65E3">
        <w:rPr>
          <w:rStyle w:val="Refdenotaalpie"/>
        </w:rPr>
        <w:footnoteReference w:id="116"/>
      </w:r>
      <w:r w:rsidR="006F4911" w:rsidRPr="002C65E3">
        <w:rPr>
          <w:lang w:eastAsia="en-US"/>
        </w:rPr>
        <w:t>. Anteriormente, se había implementado el IFE COVID y el Bono COVID</w:t>
      </w:r>
      <w:r w:rsidR="006F4911" w:rsidRPr="002C65E3">
        <w:rPr>
          <w:rStyle w:val="Refdenotaalpie"/>
        </w:rPr>
        <w:footnoteReference w:id="117"/>
      </w:r>
      <w:r w:rsidR="006F4911" w:rsidRPr="002C65E3">
        <w:rPr>
          <w:lang w:eastAsia="en-US"/>
        </w:rPr>
        <w:t>, apoyos vinculados al avance de las distintas comunas en el Plan Paso a Paso Nos Cuidamos. Estos beneficios se convirtieron en abril del 2021 en el IFE Ampliado. Para el otorgamiento del IFE se tuvo como base, el RSH</w:t>
      </w:r>
      <w:r w:rsidR="006F4911" w:rsidRPr="002C65E3">
        <w:rPr>
          <w:rStyle w:val="Refdenotaalpie"/>
        </w:rPr>
        <w:footnoteReference w:id="118"/>
      </w:r>
      <w:r w:rsidR="006F4911" w:rsidRPr="002C65E3">
        <w:rPr>
          <w:lang w:eastAsia="en-US"/>
        </w:rPr>
        <w:t>, el cual considera para su determinación, la presencia de discapacidad en el solicitante o integrante de su grupo familiar.</w:t>
      </w:r>
    </w:p>
    <w:p w14:paraId="4CFAFF8F" w14:textId="6BF521C5" w:rsidR="006F4911" w:rsidRPr="002C65E3" w:rsidRDefault="00156F70" w:rsidP="00575DCD">
      <w:pPr>
        <w:pStyle w:val="SingleTxtG"/>
        <w:rPr>
          <w:lang w:eastAsia="en-US"/>
        </w:rPr>
      </w:pPr>
      <w:bookmarkStart w:id="24" w:name="_Ref122703689"/>
      <w:r w:rsidRPr="002C65E3">
        <w:rPr>
          <w:lang w:eastAsia="en-US"/>
        </w:rPr>
        <w:t>69.</w:t>
      </w:r>
      <w:r w:rsidRPr="002C65E3">
        <w:rPr>
          <w:lang w:eastAsia="en-US"/>
        </w:rPr>
        <w:tab/>
      </w:r>
      <w:r w:rsidR="006F4911" w:rsidRPr="002C65E3">
        <w:rPr>
          <w:lang w:eastAsia="en-US"/>
        </w:rPr>
        <w:t>Mediante la Ley N</w:t>
      </w:r>
      <w:r w:rsidR="00405113" w:rsidRPr="002C65E3">
        <w:rPr>
          <w:lang w:eastAsia="en-US"/>
        </w:rPr>
        <w:t>º </w:t>
      </w:r>
      <w:r w:rsidR="006F4911" w:rsidRPr="002C65E3">
        <w:rPr>
          <w:lang w:eastAsia="en-US"/>
        </w:rPr>
        <w:t>21.419</w:t>
      </w:r>
      <w:r w:rsidR="006F4911" w:rsidRPr="002C65E3">
        <w:rPr>
          <w:rStyle w:val="Refdenotaalpie"/>
        </w:rPr>
        <w:footnoteReference w:id="119"/>
      </w:r>
      <w:r w:rsidR="006F4911" w:rsidRPr="002C65E3">
        <w:rPr>
          <w:lang w:eastAsia="en-US"/>
        </w:rPr>
        <w:t xml:space="preserve">, se ampliaron los beneficiarios del subsidio de discapacidad mental para menores de 18 años del </w:t>
      </w:r>
      <w:hyperlink r:id="rId15">
        <w:r w:rsidR="006F4911" w:rsidRPr="002C65E3">
          <w:rPr>
            <w:lang w:eastAsia="en-US"/>
          </w:rPr>
          <w:t>artículo 35 de la Ley N</w:t>
        </w:r>
        <w:r w:rsidR="00405113" w:rsidRPr="002C65E3">
          <w:rPr>
            <w:lang w:eastAsia="en-US"/>
          </w:rPr>
          <w:t>º </w:t>
        </w:r>
        <w:r w:rsidR="006F4911" w:rsidRPr="002C65E3">
          <w:rPr>
            <w:lang w:eastAsia="en-US"/>
          </w:rPr>
          <w:t>20.255</w:t>
        </w:r>
      </w:hyperlink>
      <w:r w:rsidR="006F4911" w:rsidRPr="002C65E3">
        <w:rPr>
          <w:lang w:eastAsia="en-US"/>
        </w:rPr>
        <w:t>, para incluir la discapacidad física y sensorial severa</w:t>
      </w:r>
      <w:r w:rsidR="006F4911" w:rsidRPr="002C65E3">
        <w:rPr>
          <w:rStyle w:val="Refdenotaalpie"/>
        </w:rPr>
        <w:footnoteReference w:id="120"/>
      </w:r>
      <w:r w:rsidR="006F4911" w:rsidRPr="002C65E3">
        <w:rPr>
          <w:lang w:eastAsia="en-US"/>
        </w:rPr>
        <w:t>.</w:t>
      </w:r>
      <w:bookmarkEnd w:id="24"/>
    </w:p>
    <w:p w14:paraId="542AEDDC" w14:textId="13338284" w:rsidR="006F4911" w:rsidRPr="002C65E3" w:rsidRDefault="00AB7292" w:rsidP="00575DCD">
      <w:pPr>
        <w:pStyle w:val="H1G"/>
        <w:rPr>
          <w:lang w:eastAsia="en-US"/>
        </w:rPr>
      </w:pPr>
      <w:bookmarkStart w:id="25" w:name="_Toc122692616"/>
      <w:r w:rsidRPr="002C65E3">
        <w:rPr>
          <w:lang w:eastAsia="en-US"/>
        </w:rPr>
        <w:tab/>
      </w:r>
      <w:r w:rsidRPr="002C65E3">
        <w:rPr>
          <w:lang w:eastAsia="en-US"/>
        </w:rPr>
        <w:tab/>
      </w:r>
      <w:r w:rsidR="006F4911" w:rsidRPr="002C65E3">
        <w:rPr>
          <w:lang w:eastAsia="en-US"/>
        </w:rPr>
        <w:t>Artículo 12</w:t>
      </w:r>
      <w:bookmarkEnd w:id="25"/>
      <w:r w:rsidR="006F4911" w:rsidRPr="002C65E3">
        <w:rPr>
          <w:lang w:eastAsia="en-US"/>
        </w:rPr>
        <w:t xml:space="preserve"> </w:t>
      </w:r>
    </w:p>
    <w:p w14:paraId="0DF3F3C1" w14:textId="4124645A" w:rsidR="006F4911" w:rsidRPr="002C65E3" w:rsidRDefault="00156F70" w:rsidP="00575DCD">
      <w:pPr>
        <w:pStyle w:val="SingleTxtG"/>
        <w:rPr>
          <w:lang w:eastAsia="en-US"/>
        </w:rPr>
      </w:pPr>
      <w:bookmarkStart w:id="26" w:name="_Ref122703564"/>
      <w:r w:rsidRPr="002C65E3">
        <w:rPr>
          <w:lang w:eastAsia="en-US"/>
        </w:rPr>
        <w:t>70.</w:t>
      </w:r>
      <w:r w:rsidRPr="002C65E3">
        <w:rPr>
          <w:lang w:eastAsia="en-US"/>
        </w:rPr>
        <w:tab/>
      </w:r>
      <w:r w:rsidR="006F4911" w:rsidRPr="002C65E3">
        <w:rPr>
          <w:lang w:eastAsia="en-US"/>
        </w:rPr>
        <w:t>Se encuentran en tramitación distintos PdL relacionados con la capacidad jurídica, destacando: a) Boletín N</w:t>
      </w:r>
      <w:r w:rsidR="00405113" w:rsidRPr="002C65E3">
        <w:rPr>
          <w:lang w:eastAsia="en-US"/>
        </w:rPr>
        <w:t>º </w:t>
      </w:r>
      <w:r w:rsidR="006F4911" w:rsidRPr="002C65E3">
        <w:rPr>
          <w:lang w:eastAsia="en-US"/>
        </w:rPr>
        <w:t>12.441-17</w:t>
      </w:r>
      <w:r w:rsidR="006F4911" w:rsidRPr="002C65E3">
        <w:rPr>
          <w:rStyle w:val="Refdenotaalpie"/>
        </w:rPr>
        <w:footnoteReference w:id="121"/>
      </w:r>
      <w:r w:rsidR="006F4911" w:rsidRPr="002C65E3">
        <w:rPr>
          <w:lang w:eastAsia="en-US"/>
        </w:rPr>
        <w:t>, que modifica diversos textos legales con el objeto de eliminar la discriminación en contra de PcD intelectual, cognitiva y psicosocial, y consagrar su derecho a la autonomía; b) Boletín N</w:t>
      </w:r>
      <w:r w:rsidR="00405113" w:rsidRPr="002C65E3">
        <w:rPr>
          <w:lang w:eastAsia="en-US"/>
        </w:rPr>
        <w:t>º </w:t>
      </w:r>
      <w:r w:rsidR="006F4911" w:rsidRPr="002C65E3">
        <w:rPr>
          <w:lang w:eastAsia="en-US"/>
        </w:rPr>
        <w:t>12.612-07</w:t>
      </w:r>
      <w:r w:rsidR="006F4911" w:rsidRPr="002C65E3">
        <w:rPr>
          <w:rStyle w:val="Refdenotaalpie"/>
        </w:rPr>
        <w:footnoteReference w:id="122"/>
      </w:r>
      <w:r w:rsidR="006F4911" w:rsidRPr="002C65E3">
        <w:rPr>
          <w:lang w:eastAsia="en-US"/>
        </w:rPr>
        <w:t>, que restringe gradualmente la capacidad de ejercicio de los adultos mayores con deterioro cognitivo; c) Boletín N</w:t>
      </w:r>
      <w:r w:rsidR="00405113" w:rsidRPr="002C65E3">
        <w:rPr>
          <w:lang w:eastAsia="en-US"/>
        </w:rPr>
        <w:t>º </w:t>
      </w:r>
      <w:r w:rsidR="006F4911" w:rsidRPr="002C65E3">
        <w:rPr>
          <w:lang w:eastAsia="en-US"/>
        </w:rPr>
        <w:t>11.240</w:t>
      </w:r>
      <w:r w:rsidR="00575DCD" w:rsidRPr="002C65E3">
        <w:rPr>
          <w:lang w:eastAsia="en-US"/>
        </w:rPr>
        <w:noBreakHyphen/>
      </w:r>
      <w:r w:rsidR="006F4911" w:rsidRPr="002C65E3">
        <w:rPr>
          <w:lang w:eastAsia="en-US"/>
        </w:rPr>
        <w:t>31</w:t>
      </w:r>
      <w:r w:rsidR="006F4911" w:rsidRPr="002C65E3">
        <w:rPr>
          <w:rStyle w:val="Refdenotaalpie"/>
        </w:rPr>
        <w:footnoteReference w:id="123"/>
      </w:r>
      <w:r w:rsidR="006F4911" w:rsidRPr="002C65E3">
        <w:rPr>
          <w:lang w:eastAsia="en-US"/>
        </w:rPr>
        <w:t>, que establece una definición de discapacidad social que comprenda el síndrome de Asperger y otros trastornos del EA.</w:t>
      </w:r>
      <w:bookmarkEnd w:id="26"/>
      <w:r w:rsidR="006F4911" w:rsidRPr="002C65E3">
        <w:rPr>
          <w:lang w:eastAsia="en-US"/>
        </w:rPr>
        <w:t xml:space="preserve"> </w:t>
      </w:r>
    </w:p>
    <w:p w14:paraId="62DAFCFE" w14:textId="45C63CE1" w:rsidR="006F4911" w:rsidRPr="002C65E3" w:rsidRDefault="00156F70" w:rsidP="00575DCD">
      <w:pPr>
        <w:pStyle w:val="SingleTxtG"/>
        <w:rPr>
          <w:lang w:eastAsia="en-US"/>
        </w:rPr>
      </w:pPr>
      <w:r w:rsidRPr="002C65E3">
        <w:rPr>
          <w:lang w:eastAsia="en-US"/>
        </w:rPr>
        <w:t>71.</w:t>
      </w:r>
      <w:r w:rsidRPr="002C65E3">
        <w:rPr>
          <w:lang w:eastAsia="en-US"/>
        </w:rPr>
        <w:tab/>
      </w:r>
      <w:r w:rsidR="006F4911" w:rsidRPr="002C65E3">
        <w:rPr>
          <w:lang w:eastAsia="en-US"/>
        </w:rPr>
        <w:t xml:space="preserve">En el contexto de la adecuación normativa sobre capacidad jurídica, el 2019, SENADIS adjudicó el estudio </w:t>
      </w:r>
      <w:r w:rsidR="00791BE9" w:rsidRPr="002C65E3">
        <w:rPr>
          <w:lang w:eastAsia="en-US"/>
        </w:rPr>
        <w:t>“</w:t>
      </w:r>
      <w:r w:rsidR="006F4911" w:rsidRPr="002C65E3">
        <w:rPr>
          <w:lang w:eastAsia="en-US"/>
        </w:rPr>
        <w:t>Revisión de sistemas de apoyo y salvaguardias para el ejercicio de la capacidad jurídica</w:t>
      </w:r>
      <w:r w:rsidR="00791BE9" w:rsidRPr="002C65E3">
        <w:rPr>
          <w:lang w:eastAsia="en-US"/>
        </w:rPr>
        <w:t>”</w:t>
      </w:r>
      <w:r w:rsidR="006F4911" w:rsidRPr="002C65E3">
        <w:rPr>
          <w:lang w:eastAsia="en-US"/>
        </w:rPr>
        <w:t xml:space="preserve">. Este estudio considera el levantamiento de información cualitativa y cuantitativa que caracteriza a las personas que requieren apoyos para el ejercicio de su capacidad jurídica, identifica los apoyos, los ámbitos en que éstos sean requeridos y establece una regulación que permita implementar gradualmente apoyos y salvaguardias según las necesidades de las PcD para el ejercicio de su capacidad jurídica. El estudio fue concluido en 2021. A ello, se suma el Informe realizado en 2019 por la Fundación Dignitem, </w:t>
      </w:r>
      <w:r w:rsidR="00791BE9" w:rsidRPr="002C65E3">
        <w:rPr>
          <w:lang w:eastAsia="en-US"/>
        </w:rPr>
        <w:t>“</w:t>
      </w:r>
      <w:r w:rsidR="006F4911" w:rsidRPr="002C65E3">
        <w:rPr>
          <w:lang w:eastAsia="en-US"/>
        </w:rPr>
        <w:t>Estudio y Análisis Capacidad Jurídica</w:t>
      </w:r>
      <w:r w:rsidR="00791BE9" w:rsidRPr="002C65E3">
        <w:rPr>
          <w:lang w:eastAsia="en-US"/>
        </w:rPr>
        <w:t>”</w:t>
      </w:r>
      <w:r w:rsidR="006F4911" w:rsidRPr="002C65E3">
        <w:rPr>
          <w:lang w:eastAsia="en-US"/>
        </w:rPr>
        <w:t xml:space="preserve">, referido a la revisión del ante PdL elaborado por el </w:t>
      </w:r>
      <w:r w:rsidR="006F4911" w:rsidRPr="002C65E3">
        <w:rPr>
          <w:lang w:eastAsia="en-US"/>
        </w:rPr>
        <w:lastRenderedPageBreak/>
        <w:t>Poder Ejecutivo en 2017 y el Boletín 12.441-17</w:t>
      </w:r>
      <w:r w:rsidR="006F4911" w:rsidRPr="002C65E3">
        <w:rPr>
          <w:rStyle w:val="Refdenotaalpie"/>
        </w:rPr>
        <w:footnoteReference w:id="124"/>
      </w:r>
      <w:r w:rsidR="006F4911" w:rsidRPr="002C65E3">
        <w:rPr>
          <w:lang w:eastAsia="en-US"/>
        </w:rPr>
        <w:t xml:space="preserve"> del 2019, con observaciones y recomendaciones.</w:t>
      </w:r>
    </w:p>
    <w:p w14:paraId="062879DD" w14:textId="7C92334A" w:rsidR="006F4911" w:rsidRPr="002C65E3" w:rsidRDefault="00156F70" w:rsidP="00575DCD">
      <w:pPr>
        <w:pStyle w:val="SingleTxtG"/>
        <w:rPr>
          <w:lang w:eastAsia="en-US"/>
        </w:rPr>
      </w:pPr>
      <w:r w:rsidRPr="002C65E3">
        <w:rPr>
          <w:lang w:eastAsia="en-US"/>
        </w:rPr>
        <w:t>72.</w:t>
      </w:r>
      <w:r w:rsidRPr="002C65E3">
        <w:rPr>
          <w:lang w:eastAsia="en-US"/>
        </w:rPr>
        <w:tab/>
      </w:r>
      <w:r w:rsidR="006F4911" w:rsidRPr="002C65E3">
        <w:rPr>
          <w:lang w:eastAsia="en-US"/>
        </w:rPr>
        <w:t>Estos informes fueron insumo para el mensaje presidencial, Boletín N</w:t>
      </w:r>
      <w:r w:rsidR="00405113" w:rsidRPr="002C65E3">
        <w:rPr>
          <w:lang w:eastAsia="en-US"/>
        </w:rPr>
        <w:t>º </w:t>
      </w:r>
      <w:r w:rsidR="006F4911" w:rsidRPr="002C65E3">
        <w:rPr>
          <w:lang w:eastAsia="en-US"/>
        </w:rPr>
        <w:t>14.783-07</w:t>
      </w:r>
      <w:r w:rsidR="006F4911" w:rsidRPr="002C65E3">
        <w:rPr>
          <w:rStyle w:val="Refdenotaalpie"/>
        </w:rPr>
        <w:footnoteReference w:id="125"/>
      </w:r>
      <w:r w:rsidR="006F4911" w:rsidRPr="002C65E3">
        <w:rPr>
          <w:lang w:eastAsia="en-US"/>
        </w:rPr>
        <w:t xml:space="preserve">, presentado en enero de 2022 y que pretende modificar el CC, eliminando de la categoría de incapaces absolutos a las personas sordas y sordomudas que no pueden darse a entender claramente, sin perjuicio de mantener la interdicción y la </w:t>
      </w:r>
      <w:r w:rsidR="00791BE9" w:rsidRPr="002C65E3">
        <w:rPr>
          <w:lang w:eastAsia="en-US"/>
        </w:rPr>
        <w:t>“</w:t>
      </w:r>
      <w:r w:rsidR="006F4911" w:rsidRPr="002C65E3">
        <w:rPr>
          <w:lang w:eastAsia="en-US"/>
        </w:rPr>
        <w:t>demencia</w:t>
      </w:r>
      <w:r w:rsidR="00791BE9" w:rsidRPr="002C65E3">
        <w:rPr>
          <w:lang w:eastAsia="en-US"/>
        </w:rPr>
        <w:t>”</w:t>
      </w:r>
      <w:r w:rsidR="006F4911" w:rsidRPr="002C65E3">
        <w:rPr>
          <w:lang w:eastAsia="en-US"/>
        </w:rPr>
        <w:t xml:space="preserve">. La propuesta consagra la improcedencia de equiparar los términos </w:t>
      </w:r>
      <w:r w:rsidR="00791BE9" w:rsidRPr="002C65E3">
        <w:rPr>
          <w:lang w:eastAsia="en-US"/>
        </w:rPr>
        <w:t>“</w:t>
      </w:r>
      <w:r w:rsidR="006F4911" w:rsidRPr="002C65E3">
        <w:rPr>
          <w:lang w:eastAsia="en-US"/>
        </w:rPr>
        <w:t>demencia</w:t>
      </w:r>
      <w:r w:rsidR="00791BE9" w:rsidRPr="002C65E3">
        <w:rPr>
          <w:lang w:eastAsia="en-US"/>
        </w:rPr>
        <w:t>”</w:t>
      </w:r>
      <w:r w:rsidR="006F4911" w:rsidRPr="002C65E3">
        <w:rPr>
          <w:lang w:eastAsia="en-US"/>
        </w:rPr>
        <w:t xml:space="preserve"> y </w:t>
      </w:r>
      <w:r w:rsidR="00791BE9" w:rsidRPr="002C65E3">
        <w:rPr>
          <w:lang w:eastAsia="en-US"/>
        </w:rPr>
        <w:t>“</w:t>
      </w:r>
      <w:r w:rsidR="006F4911" w:rsidRPr="002C65E3">
        <w:rPr>
          <w:lang w:eastAsia="en-US"/>
        </w:rPr>
        <w:t>discapacidad mental</w:t>
      </w:r>
      <w:r w:rsidR="00791BE9" w:rsidRPr="002C65E3">
        <w:rPr>
          <w:lang w:eastAsia="en-US"/>
        </w:rPr>
        <w:t>”</w:t>
      </w:r>
      <w:r w:rsidR="006F4911" w:rsidRPr="002C65E3">
        <w:rPr>
          <w:lang w:eastAsia="en-US"/>
        </w:rPr>
        <w:t>, sea ésta de origen psíquico o intelectual. Además, establece un estatuto de facilitadores para el ejercicio de la capacidad jurídica y de asistentes para el apoyo en la comunicación de PcD física o sensorial, consagrando dos figuras de apoyo para las PcD</w:t>
      </w:r>
      <w:r w:rsidR="006F4911" w:rsidRPr="002C65E3">
        <w:rPr>
          <w:rStyle w:val="Refdenotaalpie"/>
        </w:rPr>
        <w:footnoteReference w:id="126"/>
      </w:r>
      <w:r w:rsidR="006F4911" w:rsidRPr="002C65E3">
        <w:rPr>
          <w:lang w:eastAsia="en-US"/>
        </w:rPr>
        <w:t>.</w:t>
      </w:r>
    </w:p>
    <w:p w14:paraId="59D7C1BD" w14:textId="1960E8F2" w:rsidR="006F4911" w:rsidRPr="002C65E3" w:rsidRDefault="00156F70" w:rsidP="00575DCD">
      <w:pPr>
        <w:pStyle w:val="SingleTxtG"/>
        <w:rPr>
          <w:lang w:eastAsia="en-US"/>
        </w:rPr>
      </w:pPr>
      <w:r w:rsidRPr="002C65E3">
        <w:rPr>
          <w:lang w:eastAsia="en-US"/>
        </w:rPr>
        <w:t>73.</w:t>
      </w:r>
      <w:r w:rsidRPr="002C65E3">
        <w:rPr>
          <w:lang w:eastAsia="en-US"/>
        </w:rPr>
        <w:tab/>
      </w:r>
      <w:r w:rsidR="006F4911" w:rsidRPr="002C65E3">
        <w:rPr>
          <w:lang w:eastAsia="en-US"/>
        </w:rPr>
        <w:t>En cuanto al consentimiento libre e informado, la Ley N</w:t>
      </w:r>
      <w:r w:rsidR="00405113" w:rsidRPr="002C65E3">
        <w:rPr>
          <w:lang w:eastAsia="en-US"/>
        </w:rPr>
        <w:t>º </w:t>
      </w:r>
      <w:r w:rsidR="006F4911" w:rsidRPr="002C65E3">
        <w:rPr>
          <w:lang w:eastAsia="en-US"/>
        </w:rPr>
        <w:t>20.584</w:t>
      </w:r>
      <w:r w:rsidR="006F4911" w:rsidRPr="002C65E3">
        <w:rPr>
          <w:rStyle w:val="Refdenotaalpie"/>
        </w:rPr>
        <w:footnoteReference w:id="127"/>
      </w:r>
      <w:r w:rsidR="006F4911" w:rsidRPr="002C65E3">
        <w:rPr>
          <w:lang w:eastAsia="en-US"/>
        </w:rPr>
        <w:t xml:space="preserve"> establece que toda persona tiene derecho a otorgar o denegar su voluntad para someterse a cualquier procedimiento o tratamiento vinculado a su atención de salud. La Ley N</w:t>
      </w:r>
      <w:r w:rsidR="00405113" w:rsidRPr="002C65E3">
        <w:rPr>
          <w:lang w:eastAsia="en-US"/>
        </w:rPr>
        <w:t>º </w:t>
      </w:r>
      <w:r w:rsidR="006F4911" w:rsidRPr="002C65E3">
        <w:rPr>
          <w:lang w:eastAsia="en-US"/>
        </w:rPr>
        <w:t>21.331</w:t>
      </w:r>
      <w:r w:rsidR="006F4911" w:rsidRPr="002C65E3">
        <w:rPr>
          <w:rStyle w:val="Refdenotaalpie"/>
        </w:rPr>
        <w:footnoteReference w:id="128"/>
      </w:r>
      <w:r w:rsidR="006F4911" w:rsidRPr="002C65E3">
        <w:rPr>
          <w:lang w:eastAsia="en-US"/>
        </w:rPr>
        <w:t xml:space="preserve"> dispone que, para ejercerlo, se deben articular los apoyos para la toma de decisiones, con el objetivo de resguardar su voluntad y preferencias, contemplándose, desde el primer ingreso a un servicio de salud mental, la obligación de integrar a la persona a un plan de consentimiento libre e informado. Por otro lado, asegura a la PcD psíquica o intelectual participar activamente en el plan de tratamiento.</w:t>
      </w:r>
    </w:p>
    <w:p w14:paraId="4530612D" w14:textId="656DD723" w:rsidR="006F4911" w:rsidRPr="002C65E3" w:rsidRDefault="00156F70" w:rsidP="00575DCD">
      <w:pPr>
        <w:pStyle w:val="SingleTxtG"/>
        <w:rPr>
          <w:lang w:eastAsia="en-US"/>
        </w:rPr>
      </w:pPr>
      <w:r w:rsidRPr="002C65E3">
        <w:rPr>
          <w:lang w:eastAsia="en-US"/>
        </w:rPr>
        <w:t>74.</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21.331</w:t>
      </w:r>
      <w:r w:rsidR="006F4911" w:rsidRPr="002C65E3">
        <w:rPr>
          <w:rStyle w:val="Refdenotaalpie"/>
        </w:rPr>
        <w:footnoteReference w:id="129"/>
      </w:r>
      <w:r w:rsidR="006F4911" w:rsidRPr="002C65E3">
        <w:rPr>
          <w:lang w:eastAsia="en-US"/>
        </w:rPr>
        <w:t xml:space="preserve"> también introdujo modificaciones en la Ley N</w:t>
      </w:r>
      <w:r w:rsidR="00405113" w:rsidRPr="002C65E3">
        <w:rPr>
          <w:lang w:eastAsia="en-US"/>
        </w:rPr>
        <w:t>º </w:t>
      </w:r>
      <w:r w:rsidR="006F4911" w:rsidRPr="002C65E3">
        <w:rPr>
          <w:lang w:eastAsia="en-US"/>
        </w:rPr>
        <w:t>20.584, derogando los artículos que regulaban la hospitalización involuntaria, medidas extraordinarias de aislamiento o contención física, farmacológica y tratamientos involuntarios, los cuales, en su caso, pasaron a estar regulados directamente en la Ley N</w:t>
      </w:r>
      <w:r w:rsidR="00405113" w:rsidRPr="002C65E3">
        <w:rPr>
          <w:lang w:eastAsia="en-US"/>
        </w:rPr>
        <w:t>º </w:t>
      </w:r>
      <w:r w:rsidR="006F4911" w:rsidRPr="002C65E3">
        <w:rPr>
          <w:lang w:eastAsia="en-US"/>
        </w:rPr>
        <w:t>21.331, estableciéndose un procedimiento que regla la hospitalización psiquiátrica involuntaria, considerando que afecta el derecho a la libertad de las personas, procediendo sólo cuando no sea posible un tratamiento ambulatorio para la atención de salud mental y que exista una situación real de riesgo cierto e inminente para la vida o la integridad de las persona o de terceros, quedando expresamente excluida la posibilidad de hospitalización por motivos de discapacidad. Además, queda prohibido que una persona hospitalizada involuntariamente, sea sometida a procedimientos o tratamientos irreversibles como la esterilización o psicocirugía.</w:t>
      </w:r>
    </w:p>
    <w:p w14:paraId="6C0CDC4D" w14:textId="3746607C" w:rsidR="006F4911" w:rsidRPr="002C65E3" w:rsidRDefault="00CD10C9" w:rsidP="00575DCD">
      <w:pPr>
        <w:pStyle w:val="H1G"/>
        <w:rPr>
          <w:highlight w:val="white"/>
          <w:lang w:eastAsia="en-US"/>
        </w:rPr>
      </w:pPr>
      <w:bookmarkStart w:id="27" w:name="_Toc122692617"/>
      <w:r w:rsidRPr="002C65E3">
        <w:rPr>
          <w:lang w:eastAsia="en-US"/>
        </w:rPr>
        <w:tab/>
      </w:r>
      <w:r w:rsidRPr="002C65E3">
        <w:rPr>
          <w:lang w:eastAsia="en-US"/>
        </w:rPr>
        <w:tab/>
      </w:r>
      <w:r w:rsidR="006F4911" w:rsidRPr="002C65E3">
        <w:rPr>
          <w:lang w:eastAsia="en-US"/>
        </w:rPr>
        <w:t>Artículo 13</w:t>
      </w:r>
      <w:bookmarkEnd w:id="27"/>
      <w:r w:rsidR="006F4911" w:rsidRPr="002C65E3">
        <w:rPr>
          <w:lang w:eastAsia="en-US"/>
        </w:rPr>
        <w:t xml:space="preserve"> </w:t>
      </w:r>
    </w:p>
    <w:p w14:paraId="446C77D3" w14:textId="5EFD1052" w:rsidR="006F4911" w:rsidRPr="002C65E3" w:rsidRDefault="00156F70" w:rsidP="00575DCD">
      <w:pPr>
        <w:pStyle w:val="SingleTxtG"/>
        <w:rPr>
          <w:lang w:eastAsia="en-US"/>
        </w:rPr>
      </w:pPr>
      <w:r w:rsidRPr="002C65E3">
        <w:rPr>
          <w:lang w:eastAsia="en-US"/>
        </w:rPr>
        <w:t>75.</w:t>
      </w:r>
      <w:r w:rsidRPr="002C65E3">
        <w:rPr>
          <w:lang w:eastAsia="en-US"/>
        </w:rPr>
        <w:tab/>
      </w:r>
      <w:r w:rsidR="006F4911" w:rsidRPr="002C65E3">
        <w:rPr>
          <w:lang w:eastAsia="en-US"/>
        </w:rPr>
        <w:t>En continuidad al convenio de colaboración entre PJUD y SENADIS del año 2013, PJUD, a través de la Corporación Administrativa del Poder Judicial, ha implementado sistemas inclusivos para atención de usuarios y también para las audiencias. Además, ha realizado mejoras en su página web</w:t>
      </w:r>
      <w:r w:rsidR="006F4911" w:rsidRPr="002C65E3">
        <w:rPr>
          <w:rStyle w:val="Refdenotaalpie"/>
        </w:rPr>
        <w:footnoteReference w:id="130"/>
      </w:r>
      <w:r w:rsidR="006F4911" w:rsidRPr="002C65E3">
        <w:rPr>
          <w:lang w:eastAsia="en-US"/>
        </w:rPr>
        <w:t>, facilitando el acceso a la información de las PcD, con un sistema de traducción en línea para esta página y todos los tribunales del país, permitiendo en 2021, atender a 1.595 usuarios. Este sistema está disponible en 213 unidades judiciales y en las 17 jurisdicciones del país. Dentro de las lenguas disponibles se encuentra la LSCH.</w:t>
      </w:r>
    </w:p>
    <w:p w14:paraId="103DAB41" w14:textId="22818CA3" w:rsidR="006F4911" w:rsidRPr="002C65E3" w:rsidRDefault="00156F70" w:rsidP="00575DCD">
      <w:pPr>
        <w:pStyle w:val="SingleTxtG"/>
        <w:rPr>
          <w:lang w:eastAsia="en-US"/>
        </w:rPr>
      </w:pPr>
      <w:r w:rsidRPr="002C65E3">
        <w:rPr>
          <w:lang w:eastAsia="en-US"/>
        </w:rPr>
        <w:t>76.</w:t>
      </w:r>
      <w:r w:rsidRPr="002C65E3">
        <w:rPr>
          <w:lang w:eastAsia="en-US"/>
        </w:rPr>
        <w:tab/>
      </w:r>
      <w:r w:rsidR="006F4911" w:rsidRPr="002C65E3">
        <w:rPr>
          <w:lang w:eastAsia="en-US"/>
        </w:rPr>
        <w:t xml:space="preserve">En algunos tribunales se incorporaron programas para facilitar la labor de PcD (Dragon Speak y Jaws) y se implementó el plan piloto </w:t>
      </w:r>
      <w:r w:rsidR="00791BE9" w:rsidRPr="002C65E3">
        <w:rPr>
          <w:lang w:eastAsia="en-US"/>
        </w:rPr>
        <w:t>“</w:t>
      </w:r>
      <w:r w:rsidR="006F4911" w:rsidRPr="002C65E3">
        <w:rPr>
          <w:lang w:eastAsia="en-US"/>
        </w:rPr>
        <w:t>Proyecto Orientación Inteligente para Personas Ciegas y con Baja Visión en el Centro de Justicia de Santiago (Lazarillo)</w:t>
      </w:r>
      <w:r w:rsidR="00791BE9" w:rsidRPr="002C65E3">
        <w:rPr>
          <w:lang w:eastAsia="en-US"/>
        </w:rPr>
        <w:t>”</w:t>
      </w:r>
      <w:r w:rsidR="006F4911" w:rsidRPr="002C65E3">
        <w:rPr>
          <w:lang w:eastAsia="en-US"/>
        </w:rPr>
        <w:t xml:space="preserve">. Ello ha ido acompañado del diseño e implementación de señalética inclusiva y módulos de auto consulta. Además, se incorporó de manera permanente el uso de una intérprete en LSCH para </w:t>
      </w:r>
      <w:r w:rsidR="006F4911" w:rsidRPr="002C65E3">
        <w:rPr>
          <w:lang w:eastAsia="en-US"/>
        </w:rPr>
        <w:lastRenderedPageBreak/>
        <w:t xml:space="preserve">los discursos del Presidente de la CS en sus actividades oficiales. Por último, se elaboró folletería inclusiva en braille. </w:t>
      </w:r>
    </w:p>
    <w:p w14:paraId="28DF88AC" w14:textId="4C3B859C" w:rsidR="006F4911" w:rsidRPr="002C65E3" w:rsidRDefault="00156F70" w:rsidP="00575DCD">
      <w:pPr>
        <w:pStyle w:val="SingleTxtG"/>
        <w:rPr>
          <w:lang w:eastAsia="en-US"/>
        </w:rPr>
      </w:pPr>
      <w:r w:rsidRPr="002C65E3">
        <w:rPr>
          <w:lang w:eastAsia="en-US"/>
        </w:rPr>
        <w:t>77.</w:t>
      </w:r>
      <w:r w:rsidRPr="002C65E3">
        <w:rPr>
          <w:lang w:eastAsia="en-US"/>
        </w:rPr>
        <w:tab/>
      </w:r>
      <w:r w:rsidR="006F4911" w:rsidRPr="002C65E3">
        <w:rPr>
          <w:lang w:eastAsia="en-US"/>
        </w:rPr>
        <w:t>Se desarrolló un video de los derechos y deberes</w:t>
      </w:r>
      <w:r w:rsidR="006F4911" w:rsidRPr="002C65E3">
        <w:rPr>
          <w:rStyle w:val="Refdenotaalpie"/>
        </w:rPr>
        <w:footnoteReference w:id="131"/>
      </w:r>
      <w:r w:rsidR="006F4911" w:rsidRPr="002C65E3">
        <w:rPr>
          <w:lang w:eastAsia="en-US"/>
        </w:rPr>
        <w:t xml:space="preserve"> de las personas frente a la justicia con LSCH y videos para explicar leyes de uso común</w:t>
      </w:r>
      <w:r w:rsidR="006F4911" w:rsidRPr="002C65E3">
        <w:rPr>
          <w:rStyle w:val="Refdenotaalpie"/>
        </w:rPr>
        <w:footnoteReference w:id="132"/>
      </w:r>
      <w:r w:rsidR="006F4911" w:rsidRPr="002C65E3">
        <w:rPr>
          <w:lang w:eastAsia="en-US"/>
        </w:rPr>
        <w:t>, todos con LSCH y disponible en Youtube</w:t>
      </w:r>
      <w:r w:rsidR="006F4911" w:rsidRPr="002C65E3">
        <w:rPr>
          <w:rStyle w:val="Refdenotaalpie"/>
        </w:rPr>
        <w:footnoteReference w:id="133"/>
      </w:r>
      <w:r w:rsidR="006F4911" w:rsidRPr="002C65E3">
        <w:rPr>
          <w:lang w:eastAsia="en-US"/>
        </w:rPr>
        <w:t>. Se instaló un módulo de autoconsulta de doctrina y jurisprudencia para PcD visual en la Biblioteca de la CS</w:t>
      </w:r>
      <w:r w:rsidR="006F4911" w:rsidRPr="002C65E3">
        <w:rPr>
          <w:rStyle w:val="Refdenotaalpie"/>
        </w:rPr>
        <w:footnoteReference w:id="134"/>
      </w:r>
      <w:r w:rsidR="006F4911" w:rsidRPr="002C65E3">
        <w:rPr>
          <w:lang w:eastAsia="en-US"/>
        </w:rPr>
        <w:t xml:space="preserve">. Se elaboró y difundió en todas las jurisdicciones el </w:t>
      </w:r>
      <w:r w:rsidR="00791BE9" w:rsidRPr="002C65E3">
        <w:rPr>
          <w:lang w:eastAsia="en-US"/>
        </w:rPr>
        <w:t>“</w:t>
      </w:r>
      <w:r w:rsidR="006F4911" w:rsidRPr="002C65E3">
        <w:rPr>
          <w:lang w:eastAsia="en-US"/>
        </w:rPr>
        <w:t>Protocolo Iberoamericano de actuación judicial para mejorar el acceso a la justicia de personas, comunidades y pueblos indígenas</w:t>
      </w:r>
      <w:r w:rsidR="00791BE9" w:rsidRPr="002C65E3">
        <w:rPr>
          <w:lang w:eastAsia="en-US"/>
        </w:rPr>
        <w:t>”</w:t>
      </w:r>
      <w:r w:rsidR="006F4911" w:rsidRPr="002C65E3">
        <w:rPr>
          <w:lang w:eastAsia="en-US"/>
        </w:rPr>
        <w:t>, que dota de herramientas prácticas a los operadores de justicia en general, para garantizar el acceso a la justicia.</w:t>
      </w:r>
    </w:p>
    <w:p w14:paraId="228B00D5" w14:textId="3B69284A" w:rsidR="006F4911" w:rsidRPr="002C65E3" w:rsidRDefault="00156F70" w:rsidP="00575DCD">
      <w:pPr>
        <w:pStyle w:val="SingleTxtG"/>
        <w:rPr>
          <w:lang w:eastAsia="en-US"/>
        </w:rPr>
      </w:pPr>
      <w:r w:rsidRPr="002C65E3">
        <w:rPr>
          <w:lang w:eastAsia="en-US"/>
        </w:rPr>
        <w:t>78.</w:t>
      </w:r>
      <w:r w:rsidRPr="002C65E3">
        <w:rPr>
          <w:lang w:eastAsia="en-US"/>
        </w:rPr>
        <w:tab/>
      </w:r>
      <w:r w:rsidR="006F4911" w:rsidRPr="002C65E3">
        <w:rPr>
          <w:lang w:eastAsia="en-US"/>
        </w:rPr>
        <w:t xml:space="preserve">La Universidad Central, con apoyo de la organización civil mexicana Documenta y SENADIS, elaboró en 2020, la </w:t>
      </w:r>
      <w:r w:rsidR="00791BE9" w:rsidRPr="002C65E3">
        <w:rPr>
          <w:lang w:eastAsia="en-US"/>
        </w:rPr>
        <w:t>“</w:t>
      </w:r>
      <w:r w:rsidR="006F4911" w:rsidRPr="002C65E3">
        <w:rPr>
          <w:lang w:eastAsia="en-US"/>
        </w:rPr>
        <w:t>Guía de principios de actuación para garantizar el acceso a la justicia de las PcD</w:t>
      </w:r>
      <w:r w:rsidR="00791BE9" w:rsidRPr="002C65E3">
        <w:rPr>
          <w:lang w:eastAsia="en-US"/>
        </w:rPr>
        <w:t>”</w:t>
      </w:r>
      <w:r w:rsidR="006F4911" w:rsidRPr="002C65E3">
        <w:rPr>
          <w:rStyle w:val="Refdenotaalpie"/>
        </w:rPr>
        <w:footnoteReference w:id="135"/>
      </w:r>
      <w:r w:rsidR="006F4911" w:rsidRPr="002C65E3">
        <w:rPr>
          <w:lang w:eastAsia="en-US"/>
        </w:rPr>
        <w:t>. Ese mismo año, 90, la CS, SENADIS y la Facultad de Derecho de la Universidad Central, realizaron el Conversatorio Virtual</w:t>
      </w:r>
      <w:r w:rsidR="006F4911" w:rsidRPr="002C65E3">
        <w:rPr>
          <w:rStyle w:val="Refdenotaalpie"/>
        </w:rPr>
        <w:footnoteReference w:id="136"/>
      </w:r>
      <w:r w:rsidR="006F4911" w:rsidRPr="002C65E3">
        <w:rPr>
          <w:lang w:eastAsia="en-US"/>
        </w:rPr>
        <w:t xml:space="preserve"> sobre Acceso a la Justicia y Discapacidad, que contó con la presencia de autoridades judiciales y expertos internacionales.</w:t>
      </w:r>
    </w:p>
    <w:p w14:paraId="49ABB6C2" w14:textId="7D2CD15F" w:rsidR="006F4911" w:rsidRPr="002C65E3" w:rsidRDefault="00156F70" w:rsidP="00575DCD">
      <w:pPr>
        <w:pStyle w:val="SingleTxtG"/>
        <w:rPr>
          <w:lang w:eastAsia="en-US"/>
        </w:rPr>
      </w:pPr>
      <w:r w:rsidRPr="002C65E3">
        <w:rPr>
          <w:lang w:eastAsia="en-US"/>
        </w:rPr>
        <w:t>79.</w:t>
      </w:r>
      <w:r w:rsidRPr="002C65E3">
        <w:rPr>
          <w:lang w:eastAsia="en-US"/>
        </w:rPr>
        <w:tab/>
      </w:r>
      <w:r w:rsidR="006F4911" w:rsidRPr="002C65E3">
        <w:rPr>
          <w:lang w:eastAsia="en-US"/>
        </w:rPr>
        <w:t>A fin de promover los derechos de las PcD en el contexto de las fuerzas del orden, SENADIS participa como expositor en el módulo sobre discapacidad del Curso de Instructores en DDHH</w:t>
      </w:r>
      <w:r w:rsidR="006F4911" w:rsidRPr="002C65E3">
        <w:rPr>
          <w:rStyle w:val="Refdenotaalpie"/>
        </w:rPr>
        <w:footnoteReference w:id="137"/>
      </w:r>
      <w:r w:rsidR="006F4911" w:rsidRPr="002C65E3">
        <w:rPr>
          <w:lang w:eastAsia="en-US"/>
        </w:rPr>
        <w:t xml:space="preserve"> de Carabineros. Además, la PDI ha realizado: a) 2020, Curso </w:t>
      </w:r>
      <w:r w:rsidR="00791BE9" w:rsidRPr="002C65E3">
        <w:rPr>
          <w:lang w:eastAsia="en-US"/>
        </w:rPr>
        <w:t>“</w:t>
      </w:r>
      <w:r w:rsidR="006F4911" w:rsidRPr="002C65E3">
        <w:rPr>
          <w:lang w:eastAsia="en-US"/>
        </w:rPr>
        <w:t>LSCH</w:t>
      </w:r>
      <w:r w:rsidR="00791BE9" w:rsidRPr="002C65E3">
        <w:rPr>
          <w:lang w:eastAsia="en-US"/>
        </w:rPr>
        <w:t>”</w:t>
      </w:r>
      <w:r w:rsidR="006F4911" w:rsidRPr="002C65E3">
        <w:rPr>
          <w:lang w:eastAsia="en-US"/>
        </w:rPr>
        <w:t xml:space="preserve">, impartido por el Centro de Estudios de la Administración del Estado, dependiente de la CGR con un programa de 60 horas cronológicas, para 60 funcionarios a nivel nacional; b) Curso </w:t>
      </w:r>
      <w:r w:rsidR="00791BE9" w:rsidRPr="002C65E3">
        <w:rPr>
          <w:lang w:eastAsia="en-US"/>
        </w:rPr>
        <w:t>“</w:t>
      </w:r>
      <w:r w:rsidR="006F4911" w:rsidRPr="002C65E3">
        <w:rPr>
          <w:lang w:eastAsia="en-US"/>
        </w:rPr>
        <w:t>Discriminación Arbitraria para Funcionarios Públicos</w:t>
      </w:r>
      <w:r w:rsidR="00791BE9" w:rsidRPr="002C65E3">
        <w:rPr>
          <w:lang w:eastAsia="en-US"/>
        </w:rPr>
        <w:t>”</w:t>
      </w:r>
      <w:r w:rsidR="006F4911" w:rsidRPr="002C65E3">
        <w:rPr>
          <w:lang w:eastAsia="en-US"/>
        </w:rPr>
        <w:t>, impartido por el Observatorio de Participación Ciudadana y No Discriminación de SEGEGOB.</w:t>
      </w:r>
    </w:p>
    <w:p w14:paraId="5B8EFFF9" w14:textId="569EB058" w:rsidR="006F4911" w:rsidRPr="002C65E3" w:rsidRDefault="00156F70" w:rsidP="00575DCD">
      <w:pPr>
        <w:pStyle w:val="SingleTxtG"/>
        <w:rPr>
          <w:lang w:eastAsia="en-US"/>
        </w:rPr>
      </w:pPr>
      <w:r w:rsidRPr="002C65E3">
        <w:rPr>
          <w:lang w:eastAsia="en-US"/>
        </w:rPr>
        <w:t>80.</w:t>
      </w:r>
      <w:r w:rsidRPr="002C65E3">
        <w:rPr>
          <w:lang w:eastAsia="en-US"/>
        </w:rPr>
        <w:tab/>
      </w:r>
      <w:r w:rsidR="006F4911" w:rsidRPr="002C65E3">
        <w:rPr>
          <w:lang w:eastAsia="en-US"/>
        </w:rPr>
        <w:t>En relación con el órgano a cargo de la custodia de las personas privadas de libertad, SENADIS ha desarrollado charlas y capacitaciones tanto en cursos de formación, como para oficiales de Gendarmería de Chile</w:t>
      </w:r>
      <w:r w:rsidR="006F4911" w:rsidRPr="002C65E3">
        <w:rPr>
          <w:rStyle w:val="Refdenotaalpie"/>
        </w:rPr>
        <w:footnoteReference w:id="138"/>
      </w:r>
      <w:r w:rsidR="006F4911" w:rsidRPr="002C65E3">
        <w:rPr>
          <w:lang w:eastAsia="en-US"/>
        </w:rPr>
        <w:t>, entre los que destacan: a) Presentación de Estudio</w:t>
      </w:r>
      <w:r w:rsidR="006F4911" w:rsidRPr="002C65E3">
        <w:rPr>
          <w:rStyle w:val="Refdenotaalpie"/>
        </w:rPr>
        <w:footnoteReference w:id="139"/>
      </w:r>
      <w:r w:rsidR="006F4911" w:rsidRPr="002C65E3">
        <w:rPr>
          <w:lang w:eastAsia="en-US"/>
        </w:rPr>
        <w:t xml:space="preserve"> </w:t>
      </w:r>
      <w:r w:rsidR="00791BE9" w:rsidRPr="002C65E3">
        <w:rPr>
          <w:lang w:eastAsia="en-US"/>
        </w:rPr>
        <w:t>“</w:t>
      </w:r>
      <w:r w:rsidR="006F4911" w:rsidRPr="002C65E3">
        <w:rPr>
          <w:lang w:eastAsia="en-US"/>
        </w:rPr>
        <w:t>Condiciones de vida intrapenitenciarias de [PcD] privadas de libertad en penales de la Región Metropolitana</w:t>
      </w:r>
      <w:r w:rsidR="00791BE9" w:rsidRPr="002C65E3">
        <w:rPr>
          <w:lang w:eastAsia="en-US"/>
        </w:rPr>
        <w:t>”</w:t>
      </w:r>
      <w:r w:rsidR="006F4911" w:rsidRPr="002C65E3">
        <w:rPr>
          <w:lang w:eastAsia="en-US"/>
        </w:rPr>
        <w:t>, b) Plan Anual de DDHH de Acciones Regionales 2021</w:t>
      </w:r>
      <w:r w:rsidR="006F4911" w:rsidRPr="002C65E3">
        <w:rPr>
          <w:rStyle w:val="Refdenotaalpie"/>
        </w:rPr>
        <w:footnoteReference w:id="140"/>
      </w:r>
      <w:r w:rsidR="006F4911" w:rsidRPr="002C65E3">
        <w:rPr>
          <w:lang w:eastAsia="en-US"/>
        </w:rPr>
        <w:t>, c)</w:t>
      </w:r>
      <w:r w:rsidR="00BD72DF" w:rsidRPr="002C65E3">
        <w:rPr>
          <w:lang w:eastAsia="en-US"/>
        </w:rPr>
        <w:t> </w:t>
      </w:r>
      <w:r w:rsidR="006F4911" w:rsidRPr="002C65E3">
        <w:rPr>
          <w:lang w:eastAsia="en-US"/>
        </w:rPr>
        <w:t xml:space="preserve">Capacitación en LSCH en la Región de Antofagasta, d) Capacitación en </w:t>
      </w:r>
      <w:r w:rsidR="00791BE9" w:rsidRPr="002C65E3">
        <w:rPr>
          <w:lang w:eastAsia="en-US"/>
        </w:rPr>
        <w:t>“</w:t>
      </w:r>
      <w:r w:rsidR="006F4911" w:rsidRPr="002C65E3">
        <w:rPr>
          <w:lang w:eastAsia="en-US"/>
        </w:rPr>
        <w:t>Fortalecimiento organizacional en materia de DDHH y discapacidad</w:t>
      </w:r>
      <w:r w:rsidR="00791BE9" w:rsidRPr="002C65E3">
        <w:rPr>
          <w:lang w:eastAsia="en-US"/>
        </w:rPr>
        <w:t>”</w:t>
      </w:r>
      <w:r w:rsidR="006F4911" w:rsidRPr="002C65E3">
        <w:rPr>
          <w:lang w:eastAsia="en-US"/>
        </w:rPr>
        <w:t xml:space="preserve"> el 2020, e) Capacitación en LSCH a funcionarios/as, encargados locales de DDHH y OIRS de la región de Los Lagos, f) Proyecto inclusivo de la Línea de financiamiento </w:t>
      </w:r>
      <w:r w:rsidR="00791BE9" w:rsidRPr="002C65E3">
        <w:rPr>
          <w:lang w:eastAsia="en-US"/>
        </w:rPr>
        <w:t>“</w:t>
      </w:r>
      <w:r w:rsidR="006F4911" w:rsidRPr="002C65E3">
        <w:rPr>
          <w:lang w:eastAsia="en-US"/>
        </w:rPr>
        <w:t>Soportes Comunicacionales inclusivos</w:t>
      </w:r>
      <w:r w:rsidR="00791BE9" w:rsidRPr="002C65E3">
        <w:rPr>
          <w:lang w:eastAsia="en-US"/>
        </w:rPr>
        <w:t>”</w:t>
      </w:r>
      <w:r w:rsidR="006F4911" w:rsidRPr="002C65E3">
        <w:rPr>
          <w:lang w:eastAsia="en-US"/>
        </w:rPr>
        <w:t xml:space="preserve"> del FONAPI, adjudicado por la Dirección Regional de Biobío de Gendarmería.</w:t>
      </w:r>
      <w:r w:rsidR="00791BE9" w:rsidRPr="002C65E3">
        <w:rPr>
          <w:lang w:eastAsia="en-US"/>
        </w:rPr>
        <w:t xml:space="preserve"> </w:t>
      </w:r>
      <w:r w:rsidR="006F4911" w:rsidRPr="002C65E3">
        <w:rPr>
          <w:lang w:eastAsia="en-US"/>
        </w:rPr>
        <w:t>Además, se desarrolla la Mesa técnica institucional de discapacidad, la cual es parte del PNDH que compromete al MINJUDH</w:t>
      </w:r>
      <w:r w:rsidR="006F4911" w:rsidRPr="002C65E3">
        <w:rPr>
          <w:rStyle w:val="Refdenotaalpie"/>
        </w:rPr>
        <w:footnoteReference w:id="141"/>
      </w:r>
      <w:r w:rsidR="006F4911" w:rsidRPr="002C65E3">
        <w:rPr>
          <w:lang w:eastAsia="en-US"/>
        </w:rPr>
        <w:t xml:space="preserve">. </w:t>
      </w:r>
    </w:p>
    <w:p w14:paraId="17FEE8F3" w14:textId="4A2922A8" w:rsidR="006F4911" w:rsidRPr="002C65E3" w:rsidRDefault="00156F70" w:rsidP="00D14EF7">
      <w:pPr>
        <w:pStyle w:val="SingleTxtG"/>
        <w:keepNext/>
        <w:keepLines/>
        <w:rPr>
          <w:lang w:eastAsia="en-US"/>
        </w:rPr>
      </w:pPr>
      <w:r w:rsidRPr="002C65E3">
        <w:rPr>
          <w:lang w:eastAsia="en-US"/>
        </w:rPr>
        <w:lastRenderedPageBreak/>
        <w:t>81.</w:t>
      </w:r>
      <w:r w:rsidRPr="002C65E3">
        <w:rPr>
          <w:lang w:eastAsia="en-US"/>
        </w:rPr>
        <w:tab/>
      </w:r>
      <w:r w:rsidR="006F4911" w:rsidRPr="002C65E3">
        <w:rPr>
          <w:lang w:eastAsia="en-US"/>
        </w:rPr>
        <w:t>La Academia Judicial</w:t>
      </w:r>
      <w:r w:rsidR="006F4911" w:rsidRPr="002C65E3">
        <w:rPr>
          <w:rStyle w:val="Refdenotaalpie"/>
        </w:rPr>
        <w:footnoteReference w:id="142"/>
      </w:r>
      <w:r w:rsidR="006F4911" w:rsidRPr="002C65E3">
        <w:rPr>
          <w:lang w:eastAsia="en-US"/>
        </w:rPr>
        <w:t xml:space="preserve"> incorporó cursos sobre acceso a la justicia para PcD</w:t>
      </w:r>
      <w:r w:rsidR="006F4911" w:rsidRPr="002C65E3">
        <w:rPr>
          <w:rStyle w:val="Refdenotaalpie"/>
        </w:rPr>
        <w:footnoteReference w:id="143"/>
      </w:r>
      <w:r w:rsidR="006F4911" w:rsidRPr="002C65E3">
        <w:rPr>
          <w:lang w:eastAsia="en-US"/>
        </w:rPr>
        <w:t xml:space="preserve"> en su programa de formación para jueces y juezas con apoyo de SENADIS</w:t>
      </w:r>
      <w:r w:rsidR="006F4911" w:rsidRPr="002C65E3">
        <w:rPr>
          <w:rStyle w:val="Refdenotaalpie"/>
        </w:rPr>
        <w:footnoteReference w:id="144"/>
      </w:r>
      <w:r w:rsidR="006F4911" w:rsidRPr="002C65E3">
        <w:rPr>
          <w:lang w:eastAsia="en-US"/>
        </w:rPr>
        <w:t>. Se desarrolló una nueva plataforma de capacitación en línea, con más de 100 cursos disponibles y un curso de</w:t>
      </w:r>
      <w:r w:rsidR="00575DCD" w:rsidRPr="002C65E3">
        <w:rPr>
          <w:lang w:eastAsia="en-US"/>
        </w:rPr>
        <w:t> </w:t>
      </w:r>
      <w:r w:rsidR="006F4911" w:rsidRPr="002C65E3">
        <w:rPr>
          <w:lang w:eastAsia="en-US"/>
        </w:rPr>
        <w:t xml:space="preserve">LSCH. </w:t>
      </w:r>
    </w:p>
    <w:p w14:paraId="293B5E90" w14:textId="676F3C33" w:rsidR="006F4911" w:rsidRPr="002C65E3" w:rsidRDefault="00156F70" w:rsidP="00575DCD">
      <w:pPr>
        <w:pStyle w:val="SingleTxtG"/>
        <w:rPr>
          <w:lang w:eastAsia="en-US"/>
        </w:rPr>
      </w:pPr>
      <w:r w:rsidRPr="002C65E3">
        <w:rPr>
          <w:lang w:eastAsia="en-US"/>
        </w:rPr>
        <w:t>82.</w:t>
      </w:r>
      <w:r w:rsidRPr="002C65E3">
        <w:rPr>
          <w:lang w:eastAsia="en-US"/>
        </w:rPr>
        <w:tab/>
      </w:r>
      <w:r w:rsidR="006F4911" w:rsidRPr="002C65E3">
        <w:rPr>
          <w:lang w:eastAsia="en-US"/>
        </w:rPr>
        <w:t>PJUD realizó un proceso interno de sensibilización, sobre cómo abordar la discapacidad, uso correcto del lenguaje inclusivo, a distintos estamentos de la organización. Se han ejecutado mejoras en los procesos de selección y reclutamiento, de manera de permitir la postulación y la realización de pruebas psicológicas y de conocimientos; se estableció la selección preferente de PcD</w:t>
      </w:r>
      <w:r w:rsidR="006F4911" w:rsidRPr="002C65E3">
        <w:rPr>
          <w:rStyle w:val="Refdenotaalpie"/>
        </w:rPr>
        <w:footnoteReference w:id="145"/>
      </w:r>
      <w:r w:rsidR="006F4911" w:rsidRPr="002C65E3">
        <w:rPr>
          <w:lang w:eastAsia="en-US"/>
        </w:rPr>
        <w:t>; se implementó la Ley Nº</w:t>
      </w:r>
      <w:r w:rsidR="00405113" w:rsidRPr="002C65E3">
        <w:rPr>
          <w:lang w:eastAsia="en-US"/>
        </w:rPr>
        <w:t> </w:t>
      </w:r>
      <w:r w:rsidR="006F4911" w:rsidRPr="002C65E3">
        <w:rPr>
          <w:lang w:eastAsia="en-US"/>
        </w:rPr>
        <w:t>20.957</w:t>
      </w:r>
      <w:r w:rsidR="006F4911" w:rsidRPr="002C65E3">
        <w:rPr>
          <w:rStyle w:val="Refdenotaalpie"/>
        </w:rPr>
        <w:footnoteReference w:id="146"/>
      </w:r>
      <w:r w:rsidR="006F4911" w:rsidRPr="002C65E3">
        <w:rPr>
          <w:lang w:eastAsia="en-US"/>
        </w:rPr>
        <w:t>, que permite que PcD puedan ser nombradas en cargos como juez o notario, registrándose 5 casos en el Escalafón Primario</w:t>
      </w:r>
      <w:r w:rsidR="00791BE9" w:rsidRPr="002C65E3">
        <w:rPr>
          <w:lang w:eastAsia="en-US"/>
        </w:rPr>
        <w:t xml:space="preserve"> </w:t>
      </w:r>
      <w:r w:rsidR="006F4911" w:rsidRPr="002C65E3">
        <w:rPr>
          <w:lang w:eastAsia="en-US"/>
        </w:rPr>
        <w:t>y 4 casos de auxiliares de la administración de justicia.</w:t>
      </w:r>
    </w:p>
    <w:p w14:paraId="65A77B33" w14:textId="5724D36F" w:rsidR="006F4911" w:rsidRPr="002C65E3" w:rsidRDefault="00156F70" w:rsidP="00575DCD">
      <w:pPr>
        <w:pStyle w:val="SingleTxtG"/>
        <w:rPr>
          <w:lang w:eastAsia="en-US"/>
        </w:rPr>
      </w:pPr>
      <w:r w:rsidRPr="002C65E3">
        <w:rPr>
          <w:lang w:eastAsia="en-US"/>
        </w:rPr>
        <w:t>83.</w:t>
      </w:r>
      <w:r w:rsidRPr="002C65E3">
        <w:rPr>
          <w:lang w:eastAsia="en-US"/>
        </w:rPr>
        <w:tab/>
      </w:r>
      <w:r w:rsidR="006F4911" w:rsidRPr="002C65E3">
        <w:rPr>
          <w:lang w:eastAsia="en-US"/>
        </w:rPr>
        <w:t xml:space="preserve">MP desde 2017 comenzó la formación y capacitación del personal en materia de inclusión laboral. Se capacitó a profesionales de la División de Personas y Unidad de Planificación y Coordinación Estratégica de la Fiscalía Nacional y se realizó la Jornada Nacional de RRHH. En diciembre de 2017, se aprobó el </w:t>
      </w:r>
      <w:r w:rsidR="00791BE9" w:rsidRPr="002C65E3">
        <w:rPr>
          <w:lang w:eastAsia="en-US"/>
        </w:rPr>
        <w:t>“</w:t>
      </w:r>
      <w:r w:rsidR="006F4911" w:rsidRPr="002C65E3">
        <w:rPr>
          <w:lang w:eastAsia="en-US"/>
        </w:rPr>
        <w:t>Reglamento sobre parámetros y procedimientos para dar cumplimiento a la Ley de Inclusión de [PcD] al mundo laboral</w:t>
      </w:r>
      <w:r w:rsidR="00791BE9" w:rsidRPr="002C65E3">
        <w:rPr>
          <w:lang w:eastAsia="en-US"/>
        </w:rPr>
        <w:t>”</w:t>
      </w:r>
      <w:r w:rsidR="006F4911" w:rsidRPr="002C65E3">
        <w:rPr>
          <w:rStyle w:val="Refdenotaalpie"/>
        </w:rPr>
        <w:footnoteReference w:id="147"/>
      </w:r>
      <w:r w:rsidR="006F4911" w:rsidRPr="002C65E3">
        <w:rPr>
          <w:lang w:eastAsia="en-US"/>
        </w:rPr>
        <w:t>. Se llevaron a cabo prácticas profesionales de PcD con ajustes razonables. En 2018 continuó la formación de profesionales y creación de vínculos institucionales. Se conformó la Mesa de Trabajo de Inclusión y se elaboró el Manual de Inclusión Laboral de PcD.</w:t>
      </w:r>
    </w:p>
    <w:p w14:paraId="652E38E7" w14:textId="11AA2F4F" w:rsidR="006F4911" w:rsidRPr="002C65E3" w:rsidRDefault="00156F70" w:rsidP="00575DCD">
      <w:pPr>
        <w:pStyle w:val="SingleTxtG"/>
        <w:rPr>
          <w:lang w:eastAsia="en-US"/>
        </w:rPr>
      </w:pPr>
      <w:r w:rsidRPr="002C65E3">
        <w:rPr>
          <w:lang w:eastAsia="en-US"/>
        </w:rPr>
        <w:t>84.</w:t>
      </w:r>
      <w:r w:rsidRPr="002C65E3">
        <w:rPr>
          <w:lang w:eastAsia="en-US"/>
        </w:rPr>
        <w:tab/>
      </w:r>
      <w:r w:rsidR="006F4911" w:rsidRPr="002C65E3">
        <w:rPr>
          <w:lang w:eastAsia="en-US"/>
        </w:rPr>
        <w:t>En 2019, MP realizó 19 charlas internas respecto a inclusión de PcD, participando 336</w:t>
      </w:r>
      <w:r w:rsidR="00575DCD" w:rsidRPr="002C65E3">
        <w:rPr>
          <w:lang w:eastAsia="en-US"/>
        </w:rPr>
        <w:t> </w:t>
      </w:r>
      <w:r w:rsidR="006F4911" w:rsidRPr="002C65E3">
        <w:rPr>
          <w:lang w:eastAsia="en-US"/>
        </w:rPr>
        <w:t>fiscales, funcionarios y funcionarias; elaboró instrumentos técnicos y análisis de los puestos de trabajo en relación a los perfiles. Se implementaron ajustes razonables mediante compra de equipamiento. Durante la semana de la inclusión, se enviaron infografías y se realizaron 4 Capacitaciones con el apoyo de SENADIS. Se ejecutaron 15 Talleres de concientización en Fiscalías Regionales</w:t>
      </w:r>
      <w:r w:rsidR="006F4911" w:rsidRPr="002C65E3">
        <w:rPr>
          <w:rStyle w:val="Refdenotaalpie"/>
        </w:rPr>
        <w:footnoteReference w:id="148"/>
      </w:r>
      <w:r w:rsidR="006F4911" w:rsidRPr="002C65E3">
        <w:rPr>
          <w:lang w:eastAsia="en-US"/>
        </w:rPr>
        <w:t>. En 2020, se designó al encargado/a regional de inclusión en cada Fiscalía Regional, como un referente técnico en cada una de las Unidades de Personas que apoye las temáticas asociadas, así como a las PcD contratadas. Se capacitó a un total de 176 fiscales y funcionarias/os</w:t>
      </w:r>
      <w:r w:rsidR="006F4911" w:rsidRPr="002C65E3">
        <w:rPr>
          <w:rStyle w:val="Refdenotaalpie"/>
        </w:rPr>
        <w:footnoteReference w:id="149"/>
      </w:r>
      <w:r w:rsidR="006F4911" w:rsidRPr="002C65E3">
        <w:rPr>
          <w:lang w:eastAsia="en-US"/>
        </w:rPr>
        <w:t xml:space="preserve">. En 2022 se aprobó la Política de Inclusión y Diversidad en MP. </w:t>
      </w:r>
    </w:p>
    <w:p w14:paraId="3949ECE8" w14:textId="34567206" w:rsidR="006F4911" w:rsidRPr="002C65E3" w:rsidRDefault="00156F70" w:rsidP="00575DCD">
      <w:pPr>
        <w:pStyle w:val="SingleTxtG"/>
        <w:rPr>
          <w:lang w:eastAsia="en-US"/>
        </w:rPr>
      </w:pPr>
      <w:r w:rsidRPr="002C65E3">
        <w:rPr>
          <w:lang w:eastAsia="en-US"/>
        </w:rPr>
        <w:t>85.</w:t>
      </w:r>
      <w:r w:rsidRPr="002C65E3">
        <w:rPr>
          <w:lang w:eastAsia="en-US"/>
        </w:rPr>
        <w:tab/>
      </w:r>
      <w:r w:rsidR="006F4911" w:rsidRPr="002C65E3">
        <w:rPr>
          <w:lang w:eastAsia="en-US"/>
        </w:rPr>
        <w:t>Las CAJ, por medio del PAJ, organizan y participan en charlas, seminarios, capacitaciones y en cualquier actividad afín, en donde se den a conocer los derechos de las</w:t>
      </w:r>
      <w:r w:rsidR="00312616" w:rsidRPr="002C65E3">
        <w:rPr>
          <w:lang w:eastAsia="en-US"/>
        </w:rPr>
        <w:t> </w:t>
      </w:r>
      <w:r w:rsidR="006F4911" w:rsidRPr="002C65E3">
        <w:rPr>
          <w:lang w:eastAsia="en-US"/>
        </w:rPr>
        <w:t>PcD, contenidos y/o consagrados en la CDPD y la Ley N</w:t>
      </w:r>
      <w:r w:rsidR="00405113" w:rsidRPr="002C65E3">
        <w:rPr>
          <w:lang w:eastAsia="en-US"/>
        </w:rPr>
        <w:t>º </w:t>
      </w:r>
      <w:r w:rsidR="006F4911" w:rsidRPr="002C65E3">
        <w:rPr>
          <w:lang w:eastAsia="en-US"/>
        </w:rPr>
        <w:t>20.422</w:t>
      </w:r>
      <w:r w:rsidR="006F4911" w:rsidRPr="002C65E3">
        <w:rPr>
          <w:rStyle w:val="Refdenotaalpie"/>
        </w:rPr>
        <w:footnoteReference w:id="150"/>
      </w:r>
      <w:r w:rsidR="006F4911" w:rsidRPr="002C65E3">
        <w:rPr>
          <w:lang w:eastAsia="en-US"/>
        </w:rPr>
        <w:t>. Actualmente, se elabora un protocolo de atención a usuarios con discapacidad. En las CAJ, se incorpora la discapacidad como un criterio de atención prioritaria, preferente y exento de focalización.</w:t>
      </w:r>
    </w:p>
    <w:p w14:paraId="641244D7" w14:textId="07FF937B" w:rsidR="006F4911" w:rsidRPr="002C65E3" w:rsidRDefault="00156F70" w:rsidP="00575DCD">
      <w:pPr>
        <w:pStyle w:val="SingleTxtG"/>
        <w:rPr>
          <w:lang w:eastAsia="en-US"/>
        </w:rPr>
      </w:pPr>
      <w:r w:rsidRPr="002C65E3">
        <w:rPr>
          <w:lang w:eastAsia="en-US"/>
        </w:rPr>
        <w:t>86.</w:t>
      </w:r>
      <w:r w:rsidRPr="002C65E3">
        <w:rPr>
          <w:lang w:eastAsia="en-US"/>
        </w:rPr>
        <w:tab/>
      </w:r>
      <w:r w:rsidR="006F4911" w:rsidRPr="002C65E3">
        <w:rPr>
          <w:lang w:eastAsia="en-US"/>
        </w:rPr>
        <w:t>A continuación, se grafican las cifras referentes a las actividades ejecutadas por las cuatro CAJ:</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4200"/>
        <w:gridCol w:w="759"/>
        <w:gridCol w:w="835"/>
        <w:gridCol w:w="813"/>
        <w:gridCol w:w="763"/>
      </w:tblGrid>
      <w:tr w:rsidR="00D14EF7" w:rsidRPr="002C65E3" w14:paraId="55ECD968" w14:textId="77777777" w:rsidTr="00D14EF7">
        <w:trPr>
          <w:trHeight w:val="240"/>
          <w:tblHeader/>
        </w:trPr>
        <w:tc>
          <w:tcPr>
            <w:tcW w:w="54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BE7CDAA" w14:textId="77777777" w:rsidR="006F4911" w:rsidRPr="002C65E3" w:rsidRDefault="006F4911" w:rsidP="00D14EF7">
            <w:pPr>
              <w:spacing w:before="80" w:after="80" w:line="200" w:lineRule="exact"/>
              <w:rPr>
                <w:rFonts w:eastAsia="Times New Roman"/>
                <w:i/>
                <w:sz w:val="16"/>
                <w:lang w:eastAsia="en-US"/>
              </w:rPr>
            </w:pPr>
            <w:r w:rsidRPr="002C65E3">
              <w:rPr>
                <w:rFonts w:eastAsia="Times New Roman"/>
                <w:i/>
                <w:sz w:val="16"/>
                <w:lang w:eastAsia="en-US"/>
              </w:rPr>
              <w:t>COMPONENTE DEFENSORÍA DERECHOS</w:t>
            </w:r>
          </w:p>
        </w:tc>
        <w:tc>
          <w:tcPr>
            <w:tcW w:w="8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6C9B943"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2018</w:t>
            </w:r>
          </w:p>
        </w:tc>
        <w:tc>
          <w:tcPr>
            <w:tcW w:w="97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3D53C9F"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2019</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836E37"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2020</w:t>
            </w:r>
          </w:p>
        </w:tc>
        <w:tc>
          <w:tcPr>
            <w:tcW w:w="84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B27EE46"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2021</w:t>
            </w:r>
          </w:p>
        </w:tc>
      </w:tr>
      <w:tr w:rsidR="00D14EF7" w:rsidRPr="002C65E3" w14:paraId="7E020D35" w14:textId="77777777" w:rsidTr="00D14EF7">
        <w:trPr>
          <w:trHeight w:val="240"/>
        </w:trPr>
        <w:tc>
          <w:tcPr>
            <w:tcW w:w="5400" w:type="dxa"/>
            <w:tcBorders>
              <w:top w:val="single" w:sz="12" w:space="0" w:color="auto"/>
            </w:tcBorders>
            <w:shd w:val="clear" w:color="auto" w:fill="auto"/>
            <w:tcMar>
              <w:top w:w="0" w:type="dxa"/>
              <w:left w:w="0" w:type="dxa"/>
              <w:bottom w:w="0" w:type="dxa"/>
              <w:right w:w="0" w:type="dxa"/>
            </w:tcMar>
          </w:tcPr>
          <w:p w14:paraId="7A5D4CC9"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Atenciones realizadas</w:t>
            </w:r>
          </w:p>
        </w:tc>
        <w:tc>
          <w:tcPr>
            <w:tcW w:w="870" w:type="dxa"/>
            <w:tcBorders>
              <w:top w:val="single" w:sz="12" w:space="0" w:color="auto"/>
            </w:tcBorders>
            <w:shd w:val="clear" w:color="auto" w:fill="auto"/>
            <w:tcMar>
              <w:top w:w="0" w:type="dxa"/>
              <w:left w:w="0" w:type="dxa"/>
              <w:bottom w:w="0" w:type="dxa"/>
              <w:right w:w="0" w:type="dxa"/>
            </w:tcMar>
            <w:vAlign w:val="bottom"/>
          </w:tcPr>
          <w:p w14:paraId="6857AB56"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1760</w:t>
            </w:r>
          </w:p>
        </w:tc>
        <w:tc>
          <w:tcPr>
            <w:tcW w:w="975" w:type="dxa"/>
            <w:tcBorders>
              <w:top w:val="single" w:sz="12" w:space="0" w:color="auto"/>
            </w:tcBorders>
            <w:shd w:val="clear" w:color="auto" w:fill="auto"/>
            <w:tcMar>
              <w:top w:w="0" w:type="dxa"/>
              <w:left w:w="0" w:type="dxa"/>
              <w:bottom w:w="0" w:type="dxa"/>
              <w:right w:w="0" w:type="dxa"/>
            </w:tcMar>
            <w:vAlign w:val="bottom"/>
          </w:tcPr>
          <w:p w14:paraId="0654E6E0"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1812</w:t>
            </w:r>
          </w:p>
        </w:tc>
        <w:tc>
          <w:tcPr>
            <w:tcW w:w="945" w:type="dxa"/>
            <w:tcBorders>
              <w:top w:val="single" w:sz="12" w:space="0" w:color="auto"/>
            </w:tcBorders>
            <w:shd w:val="clear" w:color="auto" w:fill="auto"/>
            <w:tcMar>
              <w:top w:w="0" w:type="dxa"/>
              <w:left w:w="0" w:type="dxa"/>
              <w:bottom w:w="0" w:type="dxa"/>
              <w:right w:w="0" w:type="dxa"/>
            </w:tcMar>
            <w:vAlign w:val="bottom"/>
          </w:tcPr>
          <w:p w14:paraId="0229D0AF"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1971</w:t>
            </w:r>
          </w:p>
        </w:tc>
        <w:tc>
          <w:tcPr>
            <w:tcW w:w="840" w:type="dxa"/>
            <w:tcBorders>
              <w:top w:val="single" w:sz="12" w:space="0" w:color="auto"/>
            </w:tcBorders>
            <w:shd w:val="clear" w:color="auto" w:fill="auto"/>
            <w:tcMar>
              <w:top w:w="0" w:type="dxa"/>
              <w:left w:w="0" w:type="dxa"/>
              <w:bottom w:w="0" w:type="dxa"/>
              <w:right w:w="0" w:type="dxa"/>
            </w:tcMar>
            <w:vAlign w:val="bottom"/>
          </w:tcPr>
          <w:p w14:paraId="19376A9F"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1869</w:t>
            </w:r>
          </w:p>
        </w:tc>
      </w:tr>
      <w:tr w:rsidR="00D14EF7" w:rsidRPr="002C65E3" w14:paraId="65683267" w14:textId="77777777" w:rsidTr="00D14EF7">
        <w:trPr>
          <w:trHeight w:val="240"/>
        </w:trPr>
        <w:tc>
          <w:tcPr>
            <w:tcW w:w="5400" w:type="dxa"/>
            <w:shd w:val="clear" w:color="auto" w:fill="auto"/>
            <w:tcMar>
              <w:top w:w="0" w:type="dxa"/>
              <w:left w:w="0" w:type="dxa"/>
              <w:bottom w:w="0" w:type="dxa"/>
              <w:right w:w="0" w:type="dxa"/>
            </w:tcMar>
          </w:tcPr>
          <w:p w14:paraId="2FC1AAFB"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Personas capacitadas</w:t>
            </w:r>
          </w:p>
        </w:tc>
        <w:tc>
          <w:tcPr>
            <w:tcW w:w="870" w:type="dxa"/>
            <w:shd w:val="clear" w:color="auto" w:fill="auto"/>
            <w:tcMar>
              <w:top w:w="0" w:type="dxa"/>
              <w:left w:w="0" w:type="dxa"/>
              <w:bottom w:w="0" w:type="dxa"/>
              <w:right w:w="0" w:type="dxa"/>
            </w:tcMar>
            <w:vAlign w:val="bottom"/>
          </w:tcPr>
          <w:p w14:paraId="33C93B6C"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7726</w:t>
            </w:r>
          </w:p>
        </w:tc>
        <w:tc>
          <w:tcPr>
            <w:tcW w:w="975" w:type="dxa"/>
            <w:shd w:val="clear" w:color="auto" w:fill="auto"/>
            <w:tcMar>
              <w:top w:w="0" w:type="dxa"/>
              <w:left w:w="0" w:type="dxa"/>
              <w:bottom w:w="0" w:type="dxa"/>
              <w:right w:w="0" w:type="dxa"/>
            </w:tcMar>
            <w:vAlign w:val="bottom"/>
          </w:tcPr>
          <w:p w14:paraId="49F968B6"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5446</w:t>
            </w:r>
          </w:p>
        </w:tc>
        <w:tc>
          <w:tcPr>
            <w:tcW w:w="945" w:type="dxa"/>
            <w:shd w:val="clear" w:color="auto" w:fill="auto"/>
            <w:tcMar>
              <w:top w:w="0" w:type="dxa"/>
              <w:left w:w="0" w:type="dxa"/>
              <w:bottom w:w="0" w:type="dxa"/>
              <w:right w:w="0" w:type="dxa"/>
            </w:tcMar>
            <w:vAlign w:val="bottom"/>
          </w:tcPr>
          <w:p w14:paraId="0032FD17"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8648</w:t>
            </w:r>
          </w:p>
        </w:tc>
        <w:tc>
          <w:tcPr>
            <w:tcW w:w="840" w:type="dxa"/>
            <w:shd w:val="clear" w:color="auto" w:fill="auto"/>
            <w:tcMar>
              <w:top w:w="0" w:type="dxa"/>
              <w:left w:w="0" w:type="dxa"/>
              <w:bottom w:w="0" w:type="dxa"/>
              <w:right w:w="0" w:type="dxa"/>
            </w:tcMar>
            <w:vAlign w:val="bottom"/>
          </w:tcPr>
          <w:p w14:paraId="3F240F35"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15199</w:t>
            </w:r>
          </w:p>
        </w:tc>
      </w:tr>
      <w:tr w:rsidR="00D14EF7" w:rsidRPr="002C65E3" w14:paraId="73F9AE87" w14:textId="77777777" w:rsidTr="00D14EF7">
        <w:trPr>
          <w:trHeight w:val="240"/>
        </w:trPr>
        <w:tc>
          <w:tcPr>
            <w:tcW w:w="5400" w:type="dxa"/>
            <w:shd w:val="clear" w:color="auto" w:fill="auto"/>
            <w:tcMar>
              <w:top w:w="0" w:type="dxa"/>
              <w:left w:w="0" w:type="dxa"/>
              <w:bottom w:w="0" w:type="dxa"/>
              <w:right w:w="0" w:type="dxa"/>
            </w:tcMar>
          </w:tcPr>
          <w:p w14:paraId="696292F3"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Capacitaciones Sociedad Civil</w:t>
            </w:r>
          </w:p>
        </w:tc>
        <w:tc>
          <w:tcPr>
            <w:tcW w:w="870" w:type="dxa"/>
            <w:shd w:val="clear" w:color="auto" w:fill="auto"/>
            <w:tcMar>
              <w:top w:w="0" w:type="dxa"/>
              <w:left w:w="0" w:type="dxa"/>
              <w:bottom w:w="0" w:type="dxa"/>
              <w:right w:w="0" w:type="dxa"/>
            </w:tcMar>
            <w:vAlign w:val="bottom"/>
          </w:tcPr>
          <w:p w14:paraId="05AC65F3"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255</w:t>
            </w:r>
          </w:p>
        </w:tc>
        <w:tc>
          <w:tcPr>
            <w:tcW w:w="975" w:type="dxa"/>
            <w:shd w:val="clear" w:color="auto" w:fill="auto"/>
            <w:tcMar>
              <w:top w:w="0" w:type="dxa"/>
              <w:left w:w="0" w:type="dxa"/>
              <w:bottom w:w="0" w:type="dxa"/>
              <w:right w:w="0" w:type="dxa"/>
            </w:tcMar>
            <w:vAlign w:val="bottom"/>
          </w:tcPr>
          <w:p w14:paraId="41CFBD72"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199</w:t>
            </w:r>
          </w:p>
        </w:tc>
        <w:tc>
          <w:tcPr>
            <w:tcW w:w="945" w:type="dxa"/>
            <w:shd w:val="clear" w:color="auto" w:fill="auto"/>
            <w:tcMar>
              <w:top w:w="0" w:type="dxa"/>
              <w:left w:w="0" w:type="dxa"/>
              <w:bottom w:w="0" w:type="dxa"/>
              <w:right w:w="0" w:type="dxa"/>
            </w:tcMar>
            <w:vAlign w:val="bottom"/>
          </w:tcPr>
          <w:p w14:paraId="59A391A8"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175</w:t>
            </w:r>
          </w:p>
        </w:tc>
        <w:tc>
          <w:tcPr>
            <w:tcW w:w="840" w:type="dxa"/>
            <w:shd w:val="clear" w:color="auto" w:fill="auto"/>
            <w:tcMar>
              <w:top w:w="0" w:type="dxa"/>
              <w:left w:w="0" w:type="dxa"/>
              <w:bottom w:w="0" w:type="dxa"/>
              <w:right w:w="0" w:type="dxa"/>
            </w:tcMar>
            <w:vAlign w:val="bottom"/>
          </w:tcPr>
          <w:p w14:paraId="7317D2AA"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217</w:t>
            </w:r>
          </w:p>
        </w:tc>
      </w:tr>
      <w:tr w:rsidR="00D14EF7" w:rsidRPr="002C65E3" w14:paraId="1315795F" w14:textId="77777777" w:rsidTr="00D14EF7">
        <w:trPr>
          <w:trHeight w:val="240"/>
        </w:trPr>
        <w:tc>
          <w:tcPr>
            <w:tcW w:w="5400" w:type="dxa"/>
            <w:shd w:val="clear" w:color="auto" w:fill="auto"/>
            <w:tcMar>
              <w:top w:w="0" w:type="dxa"/>
              <w:left w:w="0" w:type="dxa"/>
              <w:bottom w:w="0" w:type="dxa"/>
              <w:right w:w="0" w:type="dxa"/>
            </w:tcMar>
          </w:tcPr>
          <w:p w14:paraId="4CA96B1A"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Capacitaciones Servicios Públicos</w:t>
            </w:r>
          </w:p>
        </w:tc>
        <w:tc>
          <w:tcPr>
            <w:tcW w:w="870" w:type="dxa"/>
            <w:shd w:val="clear" w:color="auto" w:fill="auto"/>
            <w:tcMar>
              <w:top w:w="0" w:type="dxa"/>
              <w:left w:w="0" w:type="dxa"/>
              <w:bottom w:w="0" w:type="dxa"/>
              <w:right w:w="0" w:type="dxa"/>
            </w:tcMar>
            <w:vAlign w:val="bottom"/>
          </w:tcPr>
          <w:p w14:paraId="1A7E9A3E"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134</w:t>
            </w:r>
          </w:p>
        </w:tc>
        <w:tc>
          <w:tcPr>
            <w:tcW w:w="975" w:type="dxa"/>
            <w:shd w:val="clear" w:color="auto" w:fill="auto"/>
            <w:tcMar>
              <w:top w:w="0" w:type="dxa"/>
              <w:left w:w="0" w:type="dxa"/>
              <w:bottom w:w="0" w:type="dxa"/>
              <w:right w:w="0" w:type="dxa"/>
            </w:tcMar>
            <w:vAlign w:val="bottom"/>
          </w:tcPr>
          <w:p w14:paraId="05EFEF2E"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108</w:t>
            </w:r>
          </w:p>
        </w:tc>
        <w:tc>
          <w:tcPr>
            <w:tcW w:w="945" w:type="dxa"/>
            <w:shd w:val="clear" w:color="auto" w:fill="auto"/>
            <w:tcMar>
              <w:top w:w="0" w:type="dxa"/>
              <w:left w:w="0" w:type="dxa"/>
              <w:bottom w:w="0" w:type="dxa"/>
              <w:right w:w="0" w:type="dxa"/>
            </w:tcMar>
            <w:vAlign w:val="bottom"/>
          </w:tcPr>
          <w:p w14:paraId="60B76318"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102</w:t>
            </w:r>
          </w:p>
        </w:tc>
        <w:tc>
          <w:tcPr>
            <w:tcW w:w="840" w:type="dxa"/>
            <w:shd w:val="clear" w:color="auto" w:fill="auto"/>
            <w:tcMar>
              <w:top w:w="0" w:type="dxa"/>
              <w:left w:w="0" w:type="dxa"/>
              <w:bottom w:w="0" w:type="dxa"/>
              <w:right w:w="0" w:type="dxa"/>
            </w:tcMar>
            <w:vAlign w:val="bottom"/>
          </w:tcPr>
          <w:p w14:paraId="76617013"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151</w:t>
            </w:r>
          </w:p>
        </w:tc>
      </w:tr>
      <w:tr w:rsidR="00D14EF7" w:rsidRPr="002C65E3" w14:paraId="18BAFE5B" w14:textId="77777777" w:rsidTr="00D14EF7">
        <w:trPr>
          <w:trHeight w:val="240"/>
        </w:trPr>
        <w:tc>
          <w:tcPr>
            <w:tcW w:w="5400" w:type="dxa"/>
            <w:shd w:val="clear" w:color="auto" w:fill="auto"/>
            <w:tcMar>
              <w:top w:w="0" w:type="dxa"/>
              <w:left w:w="0" w:type="dxa"/>
              <w:bottom w:w="0" w:type="dxa"/>
              <w:right w:w="0" w:type="dxa"/>
            </w:tcMar>
          </w:tcPr>
          <w:p w14:paraId="39DDFDB7"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Funcionarios públicos capacitados</w:t>
            </w:r>
          </w:p>
        </w:tc>
        <w:tc>
          <w:tcPr>
            <w:tcW w:w="870" w:type="dxa"/>
            <w:shd w:val="clear" w:color="auto" w:fill="auto"/>
            <w:tcMar>
              <w:top w:w="0" w:type="dxa"/>
              <w:left w:w="0" w:type="dxa"/>
              <w:bottom w:w="0" w:type="dxa"/>
              <w:right w:w="0" w:type="dxa"/>
            </w:tcMar>
            <w:vAlign w:val="bottom"/>
          </w:tcPr>
          <w:p w14:paraId="145B24E8"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3245</w:t>
            </w:r>
          </w:p>
        </w:tc>
        <w:tc>
          <w:tcPr>
            <w:tcW w:w="975" w:type="dxa"/>
            <w:shd w:val="clear" w:color="auto" w:fill="auto"/>
            <w:tcMar>
              <w:top w:w="0" w:type="dxa"/>
              <w:left w:w="0" w:type="dxa"/>
              <w:bottom w:w="0" w:type="dxa"/>
              <w:right w:w="0" w:type="dxa"/>
            </w:tcMar>
            <w:vAlign w:val="bottom"/>
          </w:tcPr>
          <w:p w14:paraId="07A3A071"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2173</w:t>
            </w:r>
          </w:p>
        </w:tc>
        <w:tc>
          <w:tcPr>
            <w:tcW w:w="945" w:type="dxa"/>
            <w:shd w:val="clear" w:color="auto" w:fill="auto"/>
            <w:tcMar>
              <w:top w:w="0" w:type="dxa"/>
              <w:left w:w="0" w:type="dxa"/>
              <w:bottom w:w="0" w:type="dxa"/>
              <w:right w:w="0" w:type="dxa"/>
            </w:tcMar>
            <w:vAlign w:val="bottom"/>
          </w:tcPr>
          <w:p w14:paraId="2B4EBF75"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1576</w:t>
            </w:r>
          </w:p>
        </w:tc>
        <w:tc>
          <w:tcPr>
            <w:tcW w:w="840" w:type="dxa"/>
            <w:shd w:val="clear" w:color="auto" w:fill="auto"/>
            <w:tcMar>
              <w:top w:w="0" w:type="dxa"/>
              <w:left w:w="0" w:type="dxa"/>
              <w:bottom w:w="0" w:type="dxa"/>
              <w:right w:w="0" w:type="dxa"/>
            </w:tcMar>
            <w:vAlign w:val="bottom"/>
          </w:tcPr>
          <w:p w14:paraId="0713AC05"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3427</w:t>
            </w:r>
          </w:p>
        </w:tc>
      </w:tr>
      <w:tr w:rsidR="00D14EF7" w:rsidRPr="002C65E3" w14:paraId="31C3359E" w14:textId="77777777" w:rsidTr="00D14EF7">
        <w:trPr>
          <w:trHeight w:val="240"/>
        </w:trPr>
        <w:tc>
          <w:tcPr>
            <w:tcW w:w="5400" w:type="dxa"/>
            <w:shd w:val="clear" w:color="auto" w:fill="auto"/>
            <w:tcMar>
              <w:top w:w="0" w:type="dxa"/>
              <w:left w:w="0" w:type="dxa"/>
              <w:bottom w:w="0" w:type="dxa"/>
              <w:right w:w="0" w:type="dxa"/>
            </w:tcMar>
          </w:tcPr>
          <w:p w14:paraId="58BCA7EC"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lastRenderedPageBreak/>
              <w:t>Capacitaciones en las CAJ</w:t>
            </w:r>
          </w:p>
        </w:tc>
        <w:tc>
          <w:tcPr>
            <w:tcW w:w="870" w:type="dxa"/>
            <w:shd w:val="clear" w:color="auto" w:fill="auto"/>
            <w:tcMar>
              <w:top w:w="0" w:type="dxa"/>
              <w:left w:w="0" w:type="dxa"/>
              <w:bottom w:w="0" w:type="dxa"/>
              <w:right w:w="0" w:type="dxa"/>
            </w:tcMar>
            <w:vAlign w:val="bottom"/>
          </w:tcPr>
          <w:p w14:paraId="5882F1C8"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54</w:t>
            </w:r>
          </w:p>
        </w:tc>
        <w:tc>
          <w:tcPr>
            <w:tcW w:w="975" w:type="dxa"/>
            <w:shd w:val="clear" w:color="auto" w:fill="auto"/>
            <w:tcMar>
              <w:top w:w="0" w:type="dxa"/>
              <w:left w:w="0" w:type="dxa"/>
              <w:bottom w:w="0" w:type="dxa"/>
              <w:right w:w="0" w:type="dxa"/>
            </w:tcMar>
            <w:vAlign w:val="bottom"/>
          </w:tcPr>
          <w:p w14:paraId="328278D2"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59</w:t>
            </w:r>
          </w:p>
        </w:tc>
        <w:tc>
          <w:tcPr>
            <w:tcW w:w="945" w:type="dxa"/>
            <w:shd w:val="clear" w:color="auto" w:fill="auto"/>
            <w:tcMar>
              <w:top w:w="0" w:type="dxa"/>
              <w:left w:w="0" w:type="dxa"/>
              <w:bottom w:w="0" w:type="dxa"/>
              <w:right w:w="0" w:type="dxa"/>
            </w:tcMar>
            <w:vAlign w:val="bottom"/>
          </w:tcPr>
          <w:p w14:paraId="5261F118"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56</w:t>
            </w:r>
          </w:p>
        </w:tc>
        <w:tc>
          <w:tcPr>
            <w:tcW w:w="840" w:type="dxa"/>
            <w:shd w:val="clear" w:color="auto" w:fill="auto"/>
            <w:tcMar>
              <w:top w:w="0" w:type="dxa"/>
              <w:left w:w="0" w:type="dxa"/>
              <w:bottom w:w="0" w:type="dxa"/>
              <w:right w:w="0" w:type="dxa"/>
            </w:tcMar>
            <w:vAlign w:val="bottom"/>
          </w:tcPr>
          <w:p w14:paraId="126B19A3"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44</w:t>
            </w:r>
          </w:p>
        </w:tc>
      </w:tr>
      <w:tr w:rsidR="00D14EF7" w:rsidRPr="002C65E3" w14:paraId="19635674" w14:textId="77777777" w:rsidTr="00D14EF7">
        <w:trPr>
          <w:trHeight w:val="240"/>
        </w:trPr>
        <w:tc>
          <w:tcPr>
            <w:tcW w:w="5400" w:type="dxa"/>
            <w:shd w:val="clear" w:color="auto" w:fill="auto"/>
            <w:tcMar>
              <w:top w:w="0" w:type="dxa"/>
              <w:left w:w="0" w:type="dxa"/>
              <w:bottom w:w="0" w:type="dxa"/>
              <w:right w:w="0" w:type="dxa"/>
            </w:tcMar>
          </w:tcPr>
          <w:p w14:paraId="28ECB91B"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Personas capacitadas en las CAJ (funcionarios y practicantes)</w:t>
            </w:r>
          </w:p>
        </w:tc>
        <w:tc>
          <w:tcPr>
            <w:tcW w:w="870" w:type="dxa"/>
            <w:shd w:val="clear" w:color="auto" w:fill="auto"/>
            <w:tcMar>
              <w:top w:w="0" w:type="dxa"/>
              <w:left w:w="0" w:type="dxa"/>
              <w:bottom w:w="0" w:type="dxa"/>
              <w:right w:w="0" w:type="dxa"/>
            </w:tcMar>
            <w:vAlign w:val="bottom"/>
          </w:tcPr>
          <w:p w14:paraId="1C85F7F5"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1606</w:t>
            </w:r>
          </w:p>
        </w:tc>
        <w:tc>
          <w:tcPr>
            <w:tcW w:w="975" w:type="dxa"/>
            <w:shd w:val="clear" w:color="auto" w:fill="auto"/>
            <w:tcMar>
              <w:top w:w="0" w:type="dxa"/>
              <w:left w:w="0" w:type="dxa"/>
              <w:bottom w:w="0" w:type="dxa"/>
              <w:right w:w="0" w:type="dxa"/>
            </w:tcMar>
            <w:vAlign w:val="bottom"/>
          </w:tcPr>
          <w:p w14:paraId="5A863FDA"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1175</w:t>
            </w:r>
          </w:p>
        </w:tc>
        <w:tc>
          <w:tcPr>
            <w:tcW w:w="945" w:type="dxa"/>
            <w:shd w:val="clear" w:color="auto" w:fill="auto"/>
            <w:tcMar>
              <w:top w:w="0" w:type="dxa"/>
              <w:left w:w="0" w:type="dxa"/>
              <w:bottom w:w="0" w:type="dxa"/>
              <w:right w:w="0" w:type="dxa"/>
            </w:tcMar>
            <w:vAlign w:val="bottom"/>
          </w:tcPr>
          <w:p w14:paraId="6B4C83D5"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975</w:t>
            </w:r>
          </w:p>
        </w:tc>
        <w:tc>
          <w:tcPr>
            <w:tcW w:w="840" w:type="dxa"/>
            <w:shd w:val="clear" w:color="auto" w:fill="auto"/>
            <w:tcMar>
              <w:top w:w="0" w:type="dxa"/>
              <w:left w:w="0" w:type="dxa"/>
              <w:bottom w:w="0" w:type="dxa"/>
              <w:right w:w="0" w:type="dxa"/>
            </w:tcMar>
            <w:vAlign w:val="bottom"/>
          </w:tcPr>
          <w:p w14:paraId="716A62F5"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956</w:t>
            </w:r>
          </w:p>
        </w:tc>
      </w:tr>
      <w:tr w:rsidR="00D14EF7" w:rsidRPr="002C65E3" w14:paraId="351CD424" w14:textId="77777777" w:rsidTr="00D14EF7">
        <w:trPr>
          <w:trHeight w:val="240"/>
        </w:trPr>
        <w:tc>
          <w:tcPr>
            <w:tcW w:w="5400" w:type="dxa"/>
            <w:shd w:val="clear" w:color="auto" w:fill="auto"/>
            <w:tcMar>
              <w:top w:w="0" w:type="dxa"/>
              <w:left w:w="0" w:type="dxa"/>
              <w:bottom w:w="0" w:type="dxa"/>
              <w:right w:w="0" w:type="dxa"/>
            </w:tcMar>
          </w:tcPr>
          <w:p w14:paraId="12F866F3"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Casos atendidos sobre vulneración y/o discriminación en razón de la discapacidad</w:t>
            </w:r>
          </w:p>
        </w:tc>
        <w:tc>
          <w:tcPr>
            <w:tcW w:w="870" w:type="dxa"/>
            <w:shd w:val="clear" w:color="auto" w:fill="auto"/>
            <w:tcMar>
              <w:top w:w="0" w:type="dxa"/>
              <w:left w:w="0" w:type="dxa"/>
              <w:bottom w:w="0" w:type="dxa"/>
              <w:right w:w="0" w:type="dxa"/>
            </w:tcMar>
            <w:vAlign w:val="bottom"/>
          </w:tcPr>
          <w:p w14:paraId="5E9244B4"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S/I</w:t>
            </w:r>
          </w:p>
        </w:tc>
        <w:tc>
          <w:tcPr>
            <w:tcW w:w="975" w:type="dxa"/>
            <w:shd w:val="clear" w:color="auto" w:fill="auto"/>
            <w:tcMar>
              <w:top w:w="0" w:type="dxa"/>
              <w:left w:w="0" w:type="dxa"/>
              <w:bottom w:w="0" w:type="dxa"/>
              <w:right w:w="0" w:type="dxa"/>
            </w:tcMar>
            <w:vAlign w:val="bottom"/>
          </w:tcPr>
          <w:p w14:paraId="2C6291B9"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S/I</w:t>
            </w:r>
          </w:p>
        </w:tc>
        <w:tc>
          <w:tcPr>
            <w:tcW w:w="945" w:type="dxa"/>
            <w:shd w:val="clear" w:color="auto" w:fill="auto"/>
            <w:tcMar>
              <w:top w:w="0" w:type="dxa"/>
              <w:left w:w="0" w:type="dxa"/>
              <w:bottom w:w="0" w:type="dxa"/>
              <w:right w:w="0" w:type="dxa"/>
            </w:tcMar>
            <w:vAlign w:val="bottom"/>
          </w:tcPr>
          <w:p w14:paraId="5C7D2200"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223</w:t>
            </w:r>
          </w:p>
        </w:tc>
        <w:tc>
          <w:tcPr>
            <w:tcW w:w="840" w:type="dxa"/>
            <w:shd w:val="clear" w:color="auto" w:fill="auto"/>
            <w:tcMar>
              <w:top w:w="0" w:type="dxa"/>
              <w:left w:w="0" w:type="dxa"/>
              <w:bottom w:w="0" w:type="dxa"/>
              <w:right w:w="0" w:type="dxa"/>
            </w:tcMar>
            <w:vAlign w:val="bottom"/>
          </w:tcPr>
          <w:p w14:paraId="478E31E4"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226</w:t>
            </w:r>
          </w:p>
        </w:tc>
      </w:tr>
      <w:tr w:rsidR="00D14EF7" w:rsidRPr="002C65E3" w14:paraId="5582370B" w14:textId="77777777" w:rsidTr="00D14EF7">
        <w:trPr>
          <w:trHeight w:val="240"/>
        </w:trPr>
        <w:tc>
          <w:tcPr>
            <w:tcW w:w="5400" w:type="dxa"/>
            <w:tcBorders>
              <w:bottom w:val="single" w:sz="12" w:space="0" w:color="auto"/>
            </w:tcBorders>
            <w:shd w:val="clear" w:color="auto" w:fill="auto"/>
            <w:tcMar>
              <w:top w:w="0" w:type="dxa"/>
              <w:left w:w="0" w:type="dxa"/>
              <w:bottom w:w="0" w:type="dxa"/>
              <w:right w:w="0" w:type="dxa"/>
            </w:tcMar>
          </w:tcPr>
          <w:p w14:paraId="2E033A87"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Causas judicializadas</w:t>
            </w:r>
          </w:p>
        </w:tc>
        <w:tc>
          <w:tcPr>
            <w:tcW w:w="870" w:type="dxa"/>
            <w:tcBorders>
              <w:bottom w:val="single" w:sz="12" w:space="0" w:color="auto"/>
            </w:tcBorders>
            <w:shd w:val="clear" w:color="auto" w:fill="auto"/>
            <w:tcMar>
              <w:top w:w="0" w:type="dxa"/>
              <w:left w:w="0" w:type="dxa"/>
              <w:bottom w:w="0" w:type="dxa"/>
              <w:right w:w="0" w:type="dxa"/>
            </w:tcMar>
            <w:vAlign w:val="bottom"/>
          </w:tcPr>
          <w:p w14:paraId="4CE91187"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127</w:t>
            </w:r>
          </w:p>
        </w:tc>
        <w:tc>
          <w:tcPr>
            <w:tcW w:w="975" w:type="dxa"/>
            <w:tcBorders>
              <w:bottom w:val="single" w:sz="12" w:space="0" w:color="auto"/>
            </w:tcBorders>
            <w:shd w:val="clear" w:color="auto" w:fill="auto"/>
            <w:tcMar>
              <w:top w:w="0" w:type="dxa"/>
              <w:left w:w="0" w:type="dxa"/>
              <w:bottom w:w="0" w:type="dxa"/>
              <w:right w:w="0" w:type="dxa"/>
            </w:tcMar>
            <w:vAlign w:val="bottom"/>
          </w:tcPr>
          <w:p w14:paraId="245242A2"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246</w:t>
            </w:r>
          </w:p>
        </w:tc>
        <w:tc>
          <w:tcPr>
            <w:tcW w:w="945" w:type="dxa"/>
            <w:tcBorders>
              <w:bottom w:val="single" w:sz="12" w:space="0" w:color="auto"/>
            </w:tcBorders>
            <w:shd w:val="clear" w:color="auto" w:fill="auto"/>
            <w:tcMar>
              <w:top w:w="0" w:type="dxa"/>
              <w:left w:w="0" w:type="dxa"/>
              <w:bottom w:w="0" w:type="dxa"/>
              <w:right w:w="0" w:type="dxa"/>
            </w:tcMar>
            <w:vAlign w:val="bottom"/>
          </w:tcPr>
          <w:p w14:paraId="02D30B7C"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300</w:t>
            </w:r>
          </w:p>
        </w:tc>
        <w:tc>
          <w:tcPr>
            <w:tcW w:w="840" w:type="dxa"/>
            <w:tcBorders>
              <w:bottom w:val="single" w:sz="12" w:space="0" w:color="auto"/>
            </w:tcBorders>
            <w:shd w:val="clear" w:color="auto" w:fill="auto"/>
            <w:tcMar>
              <w:top w:w="0" w:type="dxa"/>
              <w:left w:w="0" w:type="dxa"/>
              <w:bottom w:w="0" w:type="dxa"/>
              <w:right w:w="0" w:type="dxa"/>
            </w:tcMar>
            <w:vAlign w:val="bottom"/>
          </w:tcPr>
          <w:p w14:paraId="756C4439"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477</w:t>
            </w:r>
          </w:p>
        </w:tc>
      </w:tr>
    </w:tbl>
    <w:p w14:paraId="7F8686F8" w14:textId="28B980DD" w:rsidR="006F4911" w:rsidRPr="002C65E3" w:rsidRDefault="006F4911" w:rsidP="00695F4B">
      <w:pPr>
        <w:pStyle w:val="SingleTxtG"/>
        <w:spacing w:before="120" w:after="240"/>
        <w:ind w:firstLine="170"/>
        <w:jc w:val="left"/>
        <w:rPr>
          <w:sz w:val="18"/>
          <w:szCs w:val="18"/>
          <w:lang w:eastAsia="en-US"/>
        </w:rPr>
      </w:pPr>
      <w:r w:rsidRPr="002C65E3">
        <w:rPr>
          <w:i/>
          <w:iCs/>
          <w:sz w:val="18"/>
          <w:szCs w:val="18"/>
          <w:lang w:eastAsia="en-US"/>
        </w:rPr>
        <w:t>Fuente:</w:t>
      </w:r>
      <w:r w:rsidRPr="002C65E3">
        <w:rPr>
          <w:sz w:val="18"/>
          <w:szCs w:val="18"/>
          <w:lang w:eastAsia="en-US"/>
        </w:rPr>
        <w:t xml:space="preserve"> SENADIS</w:t>
      </w:r>
      <w:r w:rsidR="00E74E62" w:rsidRPr="002C65E3">
        <w:rPr>
          <w:sz w:val="18"/>
          <w:szCs w:val="18"/>
          <w:lang w:eastAsia="en-US"/>
        </w:rPr>
        <w:t>.</w:t>
      </w:r>
    </w:p>
    <w:p w14:paraId="66F4E076" w14:textId="3E5EE3BC" w:rsidR="006F4911" w:rsidRPr="002C65E3" w:rsidRDefault="00156F70" w:rsidP="00695F4B">
      <w:pPr>
        <w:pStyle w:val="SingleTxtG"/>
        <w:rPr>
          <w:lang w:eastAsia="en-US"/>
        </w:rPr>
      </w:pPr>
      <w:r w:rsidRPr="002C65E3">
        <w:rPr>
          <w:lang w:eastAsia="en-US"/>
        </w:rPr>
        <w:t>87.</w:t>
      </w:r>
      <w:r w:rsidRPr="002C65E3">
        <w:rPr>
          <w:lang w:eastAsia="en-US"/>
        </w:rPr>
        <w:tab/>
      </w:r>
      <w:r w:rsidR="006F4911" w:rsidRPr="002C65E3">
        <w:rPr>
          <w:highlight w:val="white"/>
          <w:lang w:eastAsia="en-US"/>
        </w:rPr>
        <w:t>Respecto de los ajustes de procedimiento, desde 2015, SENADIS junto a las CAJ desarrollan el PAJ. Cuenta con abogados que prestan asesoría y patrocinio a PcD víctimas de discriminación y/o vulneraciones de derecho en razón de su discapacidad. El programa proporciona asesoría j</w:t>
      </w:r>
      <w:r w:rsidR="006F4911" w:rsidRPr="002C65E3">
        <w:rPr>
          <w:lang w:eastAsia="en-US"/>
        </w:rPr>
        <w:t>urídica gratuita y especializada a las PcD, resguardando que se respeten sus derechos, el debido proceso, la bilateralidad de la audiencia, la adopción de ajustes razonables e implementación de medidas de accesibilidad. El PAJ cuenta con recursos para contratar intérpretes en LSCH, para atender extrajudicial y judicialmente a las personas sordas. Por su parte, la Ley N</w:t>
      </w:r>
      <w:r w:rsidR="00405113" w:rsidRPr="002C65E3">
        <w:rPr>
          <w:lang w:eastAsia="en-US"/>
        </w:rPr>
        <w:t>º </w:t>
      </w:r>
      <w:r w:rsidR="006F4911" w:rsidRPr="002C65E3">
        <w:rPr>
          <w:lang w:eastAsia="en-US"/>
        </w:rPr>
        <w:t>20.422</w:t>
      </w:r>
      <w:r w:rsidR="006F4911" w:rsidRPr="002C65E3">
        <w:rPr>
          <w:rStyle w:val="Refdenotaalpie"/>
        </w:rPr>
        <w:footnoteReference w:id="151"/>
      </w:r>
      <w:r w:rsidR="006F4911" w:rsidRPr="002C65E3">
        <w:rPr>
          <w:lang w:eastAsia="en-US"/>
        </w:rPr>
        <w:t xml:space="preserve">, contempla que se deben realizar los ajustes </w:t>
      </w:r>
      <w:r w:rsidR="006F4911" w:rsidRPr="002C65E3">
        <w:rPr>
          <w:highlight w:val="white"/>
          <w:lang w:eastAsia="en-US"/>
        </w:rPr>
        <w:t>necesarios</w:t>
      </w:r>
      <w:r w:rsidR="006F4911" w:rsidRPr="002C65E3">
        <w:rPr>
          <w:lang w:eastAsia="en-US"/>
        </w:rPr>
        <w:t xml:space="preserve"> en JPL.</w:t>
      </w:r>
    </w:p>
    <w:p w14:paraId="5B53FF2F" w14:textId="7E22E79F" w:rsidR="006F4911" w:rsidRPr="002C65E3" w:rsidRDefault="00CB7401" w:rsidP="00695F4B">
      <w:pPr>
        <w:pStyle w:val="H1G"/>
        <w:rPr>
          <w:highlight w:val="white"/>
          <w:lang w:eastAsia="en-US"/>
        </w:rPr>
      </w:pPr>
      <w:bookmarkStart w:id="28" w:name="_Toc122692618"/>
      <w:r w:rsidRPr="002C65E3">
        <w:rPr>
          <w:lang w:eastAsia="en-US"/>
        </w:rPr>
        <w:tab/>
      </w:r>
      <w:r w:rsidRPr="002C65E3">
        <w:rPr>
          <w:lang w:eastAsia="en-US"/>
        </w:rPr>
        <w:tab/>
      </w:r>
      <w:r w:rsidR="006F4911" w:rsidRPr="002C65E3">
        <w:rPr>
          <w:lang w:eastAsia="en-US"/>
        </w:rPr>
        <w:t>Artículo 14</w:t>
      </w:r>
      <w:bookmarkEnd w:id="28"/>
      <w:r w:rsidR="006F4911" w:rsidRPr="002C65E3">
        <w:rPr>
          <w:lang w:eastAsia="en-US"/>
        </w:rPr>
        <w:t xml:space="preserve"> </w:t>
      </w:r>
    </w:p>
    <w:p w14:paraId="407192A1" w14:textId="71AFA7FF" w:rsidR="006F4911" w:rsidRPr="002C65E3" w:rsidRDefault="00156F70" w:rsidP="00695F4B">
      <w:pPr>
        <w:pStyle w:val="SingleTxtG"/>
        <w:rPr>
          <w:lang w:eastAsia="en-US"/>
        </w:rPr>
      </w:pPr>
      <w:bookmarkStart w:id="29" w:name="_Ref122703345"/>
      <w:r w:rsidRPr="002C65E3">
        <w:rPr>
          <w:lang w:eastAsia="en-US"/>
        </w:rPr>
        <w:t>88.</w:t>
      </w:r>
      <w:r w:rsidRPr="002C65E3">
        <w:rPr>
          <w:lang w:eastAsia="en-US"/>
        </w:rPr>
        <w:tab/>
      </w:r>
      <w:r w:rsidR="006F4911" w:rsidRPr="002C65E3">
        <w:rPr>
          <w:lang w:eastAsia="en-US"/>
        </w:rPr>
        <w:t>En cuanto al internamiento forzado por motivos de discapacidad contenido en la Ley N</w:t>
      </w:r>
      <w:r w:rsidR="00405113" w:rsidRPr="002C65E3">
        <w:rPr>
          <w:lang w:eastAsia="en-US"/>
        </w:rPr>
        <w:t>º </w:t>
      </w:r>
      <w:r w:rsidR="006F4911" w:rsidRPr="002C65E3">
        <w:rPr>
          <w:lang w:eastAsia="en-US"/>
        </w:rPr>
        <w:t>21.331</w:t>
      </w:r>
      <w:r w:rsidR="006F4911" w:rsidRPr="002C65E3">
        <w:rPr>
          <w:rStyle w:val="Refdenotaalpie"/>
        </w:rPr>
        <w:footnoteReference w:id="152"/>
      </w:r>
      <w:r w:rsidR="006F4911" w:rsidRPr="002C65E3">
        <w:rPr>
          <w:lang w:eastAsia="en-US"/>
        </w:rPr>
        <w:t xml:space="preserve">, se dispone que la hospitalización psiquiátrica es un recurso excepcional y esencialmente transitorio, precisando que </w:t>
      </w:r>
      <w:r w:rsidR="00791BE9" w:rsidRPr="002C65E3">
        <w:rPr>
          <w:lang w:eastAsia="en-US"/>
        </w:rPr>
        <w:t>“</w:t>
      </w:r>
      <w:r w:rsidR="006F4911" w:rsidRPr="002C65E3">
        <w:rPr>
          <w:lang w:eastAsia="en-US"/>
        </w:rPr>
        <w:t>la hospitalización psiquiátrica no podrá indicarse para dar solución a problemas sociales, de vivienda o de cualquier otra índole que no sea principalmente sanitaria</w:t>
      </w:r>
      <w:r w:rsidR="00791BE9" w:rsidRPr="002C65E3">
        <w:rPr>
          <w:lang w:eastAsia="en-US"/>
        </w:rPr>
        <w:t>”</w:t>
      </w:r>
      <w:r w:rsidR="006F4911" w:rsidRPr="002C65E3">
        <w:rPr>
          <w:lang w:eastAsia="en-US"/>
        </w:rPr>
        <w:t>. Asimismo, dispone que la hospitalización involuntaria afecta el derecho a la libertad de las personas, por lo que sólo procederá cuando no sea posible un tratamiento ambulatorio y exista una situación real de riesgo cierto e inminente para la vida o la integridad de la persona o de terceros. De ningún modo la hospitalización psiquiátrica involuntaria puede deberse a la condición de discapacidad de la persona.</w:t>
      </w:r>
      <w:bookmarkEnd w:id="29"/>
    </w:p>
    <w:p w14:paraId="6012FB2F" w14:textId="7F483A2A" w:rsidR="006F4911" w:rsidRPr="002C65E3" w:rsidRDefault="00156F70" w:rsidP="00695F4B">
      <w:pPr>
        <w:pStyle w:val="SingleTxtG"/>
        <w:rPr>
          <w:lang w:eastAsia="en-US"/>
        </w:rPr>
      </w:pPr>
      <w:bookmarkStart w:id="30" w:name="_Ref122703356"/>
      <w:r w:rsidRPr="002C65E3">
        <w:rPr>
          <w:lang w:eastAsia="en-US"/>
        </w:rPr>
        <w:t>89.</w:t>
      </w:r>
      <w:r w:rsidRPr="002C65E3">
        <w:rPr>
          <w:lang w:eastAsia="en-US"/>
        </w:rPr>
        <w:tab/>
      </w:r>
      <w:r w:rsidR="006F4911" w:rsidRPr="002C65E3">
        <w:rPr>
          <w:lang w:eastAsia="en-US"/>
        </w:rPr>
        <w:t>En materia penal, no existe en la actualidad algún PdL referido a las garantías del debido proceso ni</w:t>
      </w:r>
      <w:r w:rsidR="00791BE9" w:rsidRPr="002C65E3">
        <w:rPr>
          <w:lang w:eastAsia="en-US"/>
        </w:rPr>
        <w:t xml:space="preserve"> </w:t>
      </w:r>
      <w:r w:rsidR="006F4911" w:rsidRPr="002C65E3">
        <w:rPr>
          <w:lang w:eastAsia="en-US"/>
        </w:rPr>
        <w:t>modificación de las normas sobre medidas de seguridad aplicables a PcD mental. Sin embargo, en algunos PdL se aborda la discapacidad mental como un elemento relevante: a) Boletín N</w:t>
      </w:r>
      <w:r w:rsidR="00405113" w:rsidRPr="002C65E3">
        <w:rPr>
          <w:lang w:eastAsia="en-US"/>
        </w:rPr>
        <w:t>º </w:t>
      </w:r>
      <w:r w:rsidR="006F4911" w:rsidRPr="002C65E3">
        <w:rPr>
          <w:lang w:eastAsia="en-US"/>
        </w:rPr>
        <w:t>14.233-07</w:t>
      </w:r>
      <w:r w:rsidR="006F4911" w:rsidRPr="002C65E3">
        <w:rPr>
          <w:rStyle w:val="Refdenotaalpie"/>
        </w:rPr>
        <w:footnoteReference w:id="153"/>
      </w:r>
      <w:r w:rsidR="006F4911" w:rsidRPr="002C65E3">
        <w:rPr>
          <w:lang w:eastAsia="en-US"/>
        </w:rPr>
        <w:t xml:space="preserve">, que dispone que no procede la prisión preventiva </w:t>
      </w:r>
      <w:r w:rsidR="00791BE9" w:rsidRPr="002C65E3">
        <w:rPr>
          <w:lang w:eastAsia="en-US"/>
        </w:rPr>
        <w:t>“</w:t>
      </w:r>
      <w:r w:rsidR="006F4911" w:rsidRPr="002C65E3">
        <w:rPr>
          <w:lang w:eastAsia="en-US"/>
        </w:rPr>
        <w:t xml:space="preserve">cuando el imputado </w:t>
      </w:r>
      <w:r w:rsidR="006F4911" w:rsidRPr="002C65E3">
        <w:rPr>
          <w:highlight w:val="white"/>
          <w:lang w:eastAsia="en-US"/>
        </w:rPr>
        <w:t>sufra</w:t>
      </w:r>
      <w:r w:rsidR="006F4911" w:rsidRPr="002C65E3">
        <w:rPr>
          <w:lang w:eastAsia="en-US"/>
        </w:rPr>
        <w:t xml:space="preserve"> de problemas graves de salud física, mental o por la concurrencia de ambas</w:t>
      </w:r>
      <w:r w:rsidR="00791BE9" w:rsidRPr="002C65E3">
        <w:rPr>
          <w:lang w:eastAsia="en-US"/>
        </w:rPr>
        <w:t>”</w:t>
      </w:r>
      <w:r w:rsidR="006F4911" w:rsidRPr="002C65E3">
        <w:rPr>
          <w:lang w:eastAsia="en-US"/>
        </w:rPr>
        <w:t>; b) Boletín N</w:t>
      </w:r>
      <w:r w:rsidR="00405113" w:rsidRPr="002C65E3">
        <w:rPr>
          <w:lang w:eastAsia="en-US"/>
        </w:rPr>
        <w:t>º </w:t>
      </w:r>
      <w:r w:rsidR="006F4911" w:rsidRPr="002C65E3">
        <w:rPr>
          <w:lang w:eastAsia="en-US"/>
        </w:rPr>
        <w:t>13.437-07</w:t>
      </w:r>
      <w:r w:rsidR="006F4911" w:rsidRPr="002C65E3">
        <w:rPr>
          <w:rStyle w:val="Refdenotaalpie"/>
        </w:rPr>
        <w:footnoteReference w:id="154"/>
      </w:r>
      <w:r w:rsidR="006F4911" w:rsidRPr="002C65E3">
        <w:rPr>
          <w:lang w:eastAsia="en-US"/>
        </w:rPr>
        <w:t>, que establece la conmutación de penas privativas de libertad, por la de arresto domiciliario, en favor de personas mayores de 75 años y que sufran patologías graves o se encuentren privadas de razón; c) Boletín N</w:t>
      </w:r>
      <w:r w:rsidR="00405113" w:rsidRPr="002C65E3">
        <w:rPr>
          <w:lang w:eastAsia="en-US"/>
        </w:rPr>
        <w:t>º </w:t>
      </w:r>
      <w:r w:rsidR="006F4911" w:rsidRPr="002C65E3">
        <w:rPr>
          <w:lang w:eastAsia="en-US"/>
        </w:rPr>
        <w:t>12.213-07</w:t>
      </w:r>
      <w:r w:rsidR="006F4911" w:rsidRPr="002C65E3">
        <w:rPr>
          <w:rStyle w:val="Refdenotaalpie"/>
        </w:rPr>
        <w:footnoteReference w:id="155"/>
      </w:r>
      <w:r w:rsidR="006F4911" w:rsidRPr="002C65E3">
        <w:rPr>
          <w:lang w:eastAsia="en-US"/>
        </w:rPr>
        <w:t>, que considera la discapacidad como criterio de discriminación en ejecución de penas.</w:t>
      </w:r>
      <w:bookmarkEnd w:id="30"/>
    </w:p>
    <w:p w14:paraId="533B2BF7" w14:textId="097B0E28" w:rsidR="006F4911" w:rsidRPr="002C65E3" w:rsidRDefault="00CB7401" w:rsidP="00695F4B">
      <w:pPr>
        <w:pStyle w:val="H1G"/>
        <w:rPr>
          <w:highlight w:val="white"/>
          <w:lang w:eastAsia="en-US"/>
        </w:rPr>
      </w:pPr>
      <w:bookmarkStart w:id="31" w:name="_Toc122692619"/>
      <w:r w:rsidRPr="002C65E3">
        <w:rPr>
          <w:lang w:eastAsia="en-US"/>
        </w:rPr>
        <w:tab/>
      </w:r>
      <w:r w:rsidRPr="002C65E3">
        <w:rPr>
          <w:lang w:eastAsia="en-US"/>
        </w:rPr>
        <w:tab/>
      </w:r>
      <w:r w:rsidR="006F4911" w:rsidRPr="002C65E3">
        <w:rPr>
          <w:lang w:eastAsia="en-US"/>
        </w:rPr>
        <w:t>Artículo 15</w:t>
      </w:r>
      <w:bookmarkEnd w:id="31"/>
      <w:r w:rsidR="006F4911" w:rsidRPr="002C65E3">
        <w:rPr>
          <w:lang w:eastAsia="en-US"/>
        </w:rPr>
        <w:t xml:space="preserve"> </w:t>
      </w:r>
    </w:p>
    <w:p w14:paraId="2012802B" w14:textId="12E24460" w:rsidR="006F4911" w:rsidRPr="002C65E3" w:rsidRDefault="00156F70" w:rsidP="00695F4B">
      <w:pPr>
        <w:pStyle w:val="SingleTxtG"/>
        <w:rPr>
          <w:lang w:eastAsia="en-US"/>
        </w:rPr>
      </w:pPr>
      <w:r w:rsidRPr="002C65E3">
        <w:rPr>
          <w:lang w:eastAsia="en-US"/>
        </w:rPr>
        <w:t>90.</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21.331</w:t>
      </w:r>
      <w:r w:rsidR="006F4911" w:rsidRPr="002C65E3">
        <w:rPr>
          <w:rStyle w:val="Refdenotaalpie"/>
        </w:rPr>
        <w:footnoteReference w:id="156"/>
      </w:r>
      <w:r w:rsidR="006F4911" w:rsidRPr="002C65E3">
        <w:rPr>
          <w:lang w:eastAsia="en-US"/>
        </w:rPr>
        <w:t xml:space="preserve"> establece expresamente que en ningún caso se podrá someter a una persona hospitalizada en forma involuntaria a procedimientos o tratamientos irreversibles, tales como esterilización o psicocirugía. Asimismo, regula las prácticas de medidas de contención, priorizando las del tipo emocional y ambiental. Las contenciones física, mecánica, </w:t>
      </w:r>
      <w:r w:rsidR="006F4911" w:rsidRPr="002C65E3">
        <w:rPr>
          <w:highlight w:val="white"/>
          <w:lang w:eastAsia="en-US"/>
        </w:rPr>
        <w:t>farmacológica</w:t>
      </w:r>
      <w:r w:rsidR="006F4911" w:rsidRPr="002C65E3">
        <w:rPr>
          <w:lang w:eastAsia="en-US"/>
        </w:rPr>
        <w:t xml:space="preserve"> y de observación continua en sala individual, sólo pueden aplicarse con indicación terapéutica acreditada por un médico, y durante el tiempo </w:t>
      </w:r>
      <w:r w:rsidR="006F4911" w:rsidRPr="002C65E3">
        <w:rPr>
          <w:lang w:eastAsia="en-US"/>
        </w:rPr>
        <w:lastRenderedPageBreak/>
        <w:t>estrictamente necesario. En ningún caso pueden significar torturas, apremios ilegítimos u otros tratos crueles, inhumanos o degradantes, tipificados como delito en la Ley N</w:t>
      </w:r>
      <w:r w:rsidR="00405113" w:rsidRPr="002C65E3">
        <w:rPr>
          <w:lang w:eastAsia="en-US"/>
        </w:rPr>
        <w:t>º </w:t>
      </w:r>
      <w:r w:rsidR="006F4911" w:rsidRPr="002C65E3">
        <w:rPr>
          <w:lang w:eastAsia="en-US"/>
        </w:rPr>
        <w:t>20.968</w:t>
      </w:r>
      <w:r w:rsidR="006F4911" w:rsidRPr="002C65E3">
        <w:rPr>
          <w:rStyle w:val="Refdenotaalpie"/>
        </w:rPr>
        <w:footnoteReference w:id="157"/>
      </w:r>
      <w:r w:rsidR="006F4911" w:rsidRPr="002C65E3">
        <w:rPr>
          <w:lang w:eastAsia="en-US"/>
        </w:rPr>
        <w:t>. En el caso que se trate de una persona hospitalizada de forma involuntaria, estas medidas deben ser puestas en conocimiento del Tribunal de Familia.</w:t>
      </w:r>
    </w:p>
    <w:p w14:paraId="00CBB882" w14:textId="73EA14C6" w:rsidR="006F4911" w:rsidRPr="002C65E3" w:rsidRDefault="00156F70" w:rsidP="00695F4B">
      <w:pPr>
        <w:pStyle w:val="SingleTxtG"/>
        <w:rPr>
          <w:lang w:eastAsia="en-US"/>
        </w:rPr>
      </w:pPr>
      <w:r w:rsidRPr="002C65E3">
        <w:rPr>
          <w:lang w:eastAsia="en-US"/>
        </w:rPr>
        <w:t>91.</w:t>
      </w:r>
      <w:r w:rsidRPr="002C65E3">
        <w:rPr>
          <w:lang w:eastAsia="en-US"/>
        </w:rPr>
        <w:tab/>
      </w:r>
      <w:r w:rsidR="006F4911" w:rsidRPr="002C65E3">
        <w:rPr>
          <w:lang w:eastAsia="en-US"/>
        </w:rPr>
        <w:t xml:space="preserve">Con relación a mecanismos de presentación de denuncias, rigen las reglas generales del CPP y cualquier persona puede interponerlas ante MP, Carabineros, PDI, Gendarmería o ante cualquier </w:t>
      </w:r>
      <w:r w:rsidR="006F4911" w:rsidRPr="002C65E3">
        <w:rPr>
          <w:highlight w:val="white"/>
          <w:lang w:eastAsia="en-US"/>
        </w:rPr>
        <w:t>tribunal</w:t>
      </w:r>
      <w:r w:rsidR="006F4911" w:rsidRPr="002C65E3">
        <w:rPr>
          <w:lang w:eastAsia="en-US"/>
        </w:rPr>
        <w:t xml:space="preserve"> con competencia criminal</w:t>
      </w:r>
      <w:r w:rsidR="006F4911" w:rsidRPr="002C65E3">
        <w:rPr>
          <w:rStyle w:val="Refdenotaalpie"/>
        </w:rPr>
        <w:footnoteReference w:id="158"/>
      </w:r>
      <w:r w:rsidR="006F4911" w:rsidRPr="002C65E3">
        <w:rPr>
          <w:lang w:eastAsia="en-US"/>
        </w:rPr>
        <w:t xml:space="preserve">. Adicionalmente, el MNPT en contexto de visitas realizadas, ha recibido y/o elaborado algunas denuncias específicas, siendo derivadas al MP y al INDH, las que, hasta la fecha, no dicen relación con PcD. </w:t>
      </w:r>
    </w:p>
    <w:p w14:paraId="22720043" w14:textId="316560C5" w:rsidR="006F4911" w:rsidRPr="002C65E3" w:rsidRDefault="00156F70" w:rsidP="00695F4B">
      <w:pPr>
        <w:pStyle w:val="SingleTxtG"/>
        <w:rPr>
          <w:lang w:eastAsia="en-US"/>
        </w:rPr>
      </w:pPr>
      <w:r w:rsidRPr="002C65E3">
        <w:rPr>
          <w:lang w:eastAsia="en-US"/>
        </w:rPr>
        <w:t>92.</w:t>
      </w:r>
      <w:r w:rsidRPr="002C65E3">
        <w:rPr>
          <w:lang w:eastAsia="en-US"/>
        </w:rPr>
        <w:tab/>
      </w:r>
      <w:r w:rsidR="006F4911" w:rsidRPr="002C65E3">
        <w:rPr>
          <w:lang w:eastAsia="en-US"/>
        </w:rPr>
        <w:t>La Resolución Exenta N</w:t>
      </w:r>
      <w:r w:rsidR="00405113" w:rsidRPr="002C65E3">
        <w:rPr>
          <w:lang w:eastAsia="en-US"/>
        </w:rPr>
        <w:t>º </w:t>
      </w:r>
      <w:r w:rsidR="006F4911" w:rsidRPr="002C65E3">
        <w:rPr>
          <w:lang w:eastAsia="en-US"/>
        </w:rPr>
        <w:t>656/2002</w:t>
      </w:r>
      <w:r w:rsidR="006F4911" w:rsidRPr="002C65E3">
        <w:rPr>
          <w:rStyle w:val="Refdenotaalpie"/>
        </w:rPr>
        <w:footnoteReference w:id="159"/>
      </w:r>
      <w:r w:rsidR="006F4911" w:rsidRPr="002C65E3">
        <w:rPr>
          <w:lang w:eastAsia="en-US"/>
        </w:rPr>
        <w:t>, si bien no ha sido derogada expresamente, sí lo fue tácitamente por la Ley N</w:t>
      </w:r>
      <w:r w:rsidR="00405113" w:rsidRPr="002C65E3">
        <w:rPr>
          <w:lang w:eastAsia="en-US"/>
        </w:rPr>
        <w:t>º </w:t>
      </w:r>
      <w:r w:rsidR="006F4911" w:rsidRPr="002C65E3">
        <w:rPr>
          <w:lang w:eastAsia="en-US"/>
        </w:rPr>
        <w:t>21.331</w:t>
      </w:r>
      <w:r w:rsidR="006F4911" w:rsidRPr="002C65E3">
        <w:rPr>
          <w:rStyle w:val="Refdenotaalpie"/>
        </w:rPr>
        <w:footnoteReference w:id="160"/>
      </w:r>
      <w:r w:rsidR="006F4911" w:rsidRPr="002C65E3">
        <w:rPr>
          <w:lang w:eastAsia="en-US"/>
        </w:rPr>
        <w:t xml:space="preserve"> en aquellos aspectos no conformes con esta última, especialmente su artículo 9 N</w:t>
      </w:r>
      <w:r w:rsidR="00405113" w:rsidRPr="002C65E3">
        <w:rPr>
          <w:lang w:eastAsia="en-US"/>
        </w:rPr>
        <w:t>º </w:t>
      </w:r>
      <w:r w:rsidR="006F4911" w:rsidRPr="002C65E3">
        <w:rPr>
          <w:lang w:eastAsia="en-US"/>
        </w:rPr>
        <w:t>5 que no admite la sustitución de voluntad</w:t>
      </w:r>
      <w:r w:rsidR="006F4911" w:rsidRPr="002C65E3">
        <w:rPr>
          <w:rStyle w:val="Refdenotaalpie"/>
        </w:rPr>
        <w:footnoteReference w:id="161"/>
      </w:r>
      <w:r w:rsidR="006F4911" w:rsidRPr="002C65E3">
        <w:rPr>
          <w:lang w:eastAsia="en-US"/>
        </w:rPr>
        <w:t>, excepto en casos de urgencia del artículo 15 de la</w:t>
      </w:r>
      <w:r w:rsidR="006F4911" w:rsidRPr="002C65E3">
        <w:rPr>
          <w:color w:val="1155CC"/>
          <w:lang w:eastAsia="en-US"/>
        </w:rPr>
        <w:t xml:space="preserve"> </w:t>
      </w:r>
      <w:r w:rsidR="006F4911" w:rsidRPr="002C65E3">
        <w:rPr>
          <w:lang w:eastAsia="en-US"/>
        </w:rPr>
        <w:t>Ley Nº</w:t>
      </w:r>
      <w:r w:rsidR="00405113" w:rsidRPr="002C65E3">
        <w:rPr>
          <w:lang w:eastAsia="en-US"/>
        </w:rPr>
        <w:t> </w:t>
      </w:r>
      <w:r w:rsidR="006F4911" w:rsidRPr="002C65E3">
        <w:rPr>
          <w:lang w:eastAsia="en-US"/>
        </w:rPr>
        <w:t>20.584</w:t>
      </w:r>
      <w:r w:rsidR="006F4911" w:rsidRPr="002C65E3">
        <w:rPr>
          <w:rStyle w:val="Refdenotaalpie"/>
        </w:rPr>
        <w:footnoteReference w:id="162"/>
      </w:r>
      <w:r w:rsidR="006F4911" w:rsidRPr="002C65E3">
        <w:rPr>
          <w:lang w:eastAsia="en-US"/>
        </w:rPr>
        <w:t xml:space="preserve">. </w:t>
      </w:r>
    </w:p>
    <w:p w14:paraId="0A80C430" w14:textId="07A552DA" w:rsidR="006F4911" w:rsidRPr="002C65E3" w:rsidRDefault="00156F70" w:rsidP="00695F4B">
      <w:pPr>
        <w:pStyle w:val="SingleTxtG"/>
        <w:rPr>
          <w:lang w:eastAsia="en-US"/>
        </w:rPr>
      </w:pPr>
      <w:r w:rsidRPr="002C65E3">
        <w:rPr>
          <w:lang w:eastAsia="en-US"/>
        </w:rPr>
        <w:t>93.</w:t>
      </w:r>
      <w:r w:rsidRPr="002C65E3">
        <w:rPr>
          <w:lang w:eastAsia="en-US"/>
        </w:rPr>
        <w:tab/>
      </w:r>
      <w:r w:rsidR="006F4911" w:rsidRPr="002C65E3">
        <w:rPr>
          <w:lang w:eastAsia="en-US"/>
        </w:rPr>
        <w:t>El Plan Nacional de Salud Mental y Psiquiatría 2017-2025</w:t>
      </w:r>
      <w:r w:rsidR="006F4911" w:rsidRPr="002C65E3">
        <w:rPr>
          <w:rStyle w:val="Refdenotaalpie"/>
        </w:rPr>
        <w:footnoteReference w:id="163"/>
      </w:r>
      <w:r w:rsidR="006F4911" w:rsidRPr="002C65E3">
        <w:rPr>
          <w:lang w:eastAsia="en-US"/>
        </w:rPr>
        <w:t xml:space="preserve">, en su Línea de Acción DDHH, plantea entre sus objetivos estratégicos fortalecer la autonomía de CONAPREM, constituyéndose en un órgano de revisión eficiente de acuerdo a los estándares internacionales. </w:t>
      </w:r>
    </w:p>
    <w:p w14:paraId="08F32D1C" w14:textId="1E6AF0D1" w:rsidR="006F4911" w:rsidRPr="002C65E3" w:rsidRDefault="00156F70" w:rsidP="00695F4B">
      <w:pPr>
        <w:pStyle w:val="SingleTxtG"/>
        <w:rPr>
          <w:lang w:eastAsia="en-US"/>
        </w:rPr>
      </w:pPr>
      <w:r w:rsidRPr="002C65E3">
        <w:rPr>
          <w:lang w:eastAsia="en-US"/>
        </w:rPr>
        <w:t>94.</w:t>
      </w:r>
      <w:r w:rsidRPr="002C65E3">
        <w:rPr>
          <w:lang w:eastAsia="en-US"/>
        </w:rPr>
        <w:tab/>
      </w:r>
      <w:r w:rsidR="006F4911" w:rsidRPr="002C65E3">
        <w:rPr>
          <w:lang w:eastAsia="en-US"/>
        </w:rPr>
        <w:t>En el primer informe 2020-2021</w:t>
      </w:r>
      <w:r w:rsidR="006F4911" w:rsidRPr="002C65E3">
        <w:rPr>
          <w:rStyle w:val="Refdenotaalpie"/>
        </w:rPr>
        <w:footnoteReference w:id="164"/>
      </w:r>
      <w:r w:rsidR="006F4911" w:rsidRPr="002C65E3">
        <w:rPr>
          <w:lang w:eastAsia="en-US"/>
        </w:rPr>
        <w:t xml:space="preserve"> del MNPT se recomendó al Poder Ejecutivo sustituir CONAPREM por un organismo independiente de protección y supervisión para prevenir la ocurrencia de malos tratos en establecimientos de salud mental. Por ello, MINSAL está desarrollando y actualizando normas</w:t>
      </w:r>
      <w:r w:rsidR="006F4911" w:rsidRPr="002C65E3">
        <w:rPr>
          <w:rStyle w:val="Refdenotaalpie"/>
        </w:rPr>
        <w:footnoteReference w:id="165"/>
      </w:r>
      <w:r w:rsidR="006F4911" w:rsidRPr="002C65E3">
        <w:rPr>
          <w:lang w:eastAsia="en-US"/>
        </w:rPr>
        <w:t xml:space="preserve"> para generar nuevas versiones con estándares de la nueva ley y de DDHH, incluida una propuesta de Ley Integral de Salud Mental.</w:t>
      </w:r>
    </w:p>
    <w:p w14:paraId="741647D3" w14:textId="52F865EC" w:rsidR="006F4911" w:rsidRPr="002C65E3" w:rsidRDefault="00156F70" w:rsidP="00695F4B">
      <w:pPr>
        <w:pStyle w:val="SingleTxtG"/>
        <w:rPr>
          <w:lang w:eastAsia="en-US"/>
        </w:rPr>
      </w:pPr>
      <w:r w:rsidRPr="002C65E3">
        <w:rPr>
          <w:lang w:eastAsia="en-US"/>
        </w:rPr>
        <w:t>95.</w:t>
      </w:r>
      <w:r w:rsidRPr="002C65E3">
        <w:rPr>
          <w:lang w:eastAsia="en-US"/>
        </w:rPr>
        <w:tab/>
      </w:r>
      <w:r w:rsidR="006F4911" w:rsidRPr="002C65E3">
        <w:rPr>
          <w:lang w:eastAsia="en-US"/>
        </w:rPr>
        <w:t>En cuanto a protocolos sobre derechos de las PcD, MP elaboró el Manual para la Investigación de Casos de Violencia Física y Psíquica por Razones de Género</w:t>
      </w:r>
      <w:r w:rsidR="006F4911" w:rsidRPr="002C65E3">
        <w:rPr>
          <w:rStyle w:val="Refdenotaalpie"/>
        </w:rPr>
        <w:footnoteReference w:id="166"/>
      </w:r>
      <w:r w:rsidR="006F4911" w:rsidRPr="002C65E3">
        <w:rPr>
          <w:lang w:eastAsia="en-US"/>
        </w:rPr>
        <w:t>, el cual considera a las PcD dentro del principio de igualdad y no discriminación</w:t>
      </w:r>
      <w:r w:rsidR="006F4911" w:rsidRPr="002C65E3">
        <w:rPr>
          <w:rStyle w:val="Refdenotaalpie"/>
        </w:rPr>
        <w:footnoteReference w:id="167"/>
      </w:r>
      <w:r w:rsidR="006F4911" w:rsidRPr="002C65E3">
        <w:rPr>
          <w:lang w:eastAsia="en-US"/>
        </w:rPr>
        <w:t>.</w:t>
      </w:r>
    </w:p>
    <w:p w14:paraId="15CE5823" w14:textId="5EB14D89" w:rsidR="006F4911" w:rsidRPr="002C65E3" w:rsidRDefault="00156F70" w:rsidP="00695F4B">
      <w:pPr>
        <w:pStyle w:val="SingleTxtG"/>
        <w:rPr>
          <w:lang w:eastAsia="en-US"/>
        </w:rPr>
      </w:pPr>
      <w:r w:rsidRPr="002C65E3">
        <w:rPr>
          <w:lang w:eastAsia="en-US"/>
        </w:rPr>
        <w:t>96.</w:t>
      </w:r>
      <w:r w:rsidRPr="002C65E3">
        <w:rPr>
          <w:lang w:eastAsia="en-US"/>
        </w:rPr>
        <w:tab/>
      </w:r>
      <w:r w:rsidR="006F4911" w:rsidRPr="002C65E3">
        <w:rPr>
          <w:lang w:eastAsia="en-US"/>
        </w:rPr>
        <w:t>Respecto a víctimas o testigos que se encuentran en alto riesgo o en una situación de especial vulnerabilidad, MP ha establecido que las URAVIT deben brindar atención y protección especializada (incluyendo a PcD); orientación y apoyo para facilitar su participación en el proceso penal; apoyo en diligencias investigativas tales como entrevista videograbada</w:t>
      </w:r>
      <w:r w:rsidR="006F4911" w:rsidRPr="002C65E3">
        <w:rPr>
          <w:rStyle w:val="Refdenotaalpie"/>
        </w:rPr>
        <w:footnoteReference w:id="168"/>
      </w:r>
      <w:r w:rsidR="006F4911" w:rsidRPr="002C65E3">
        <w:rPr>
          <w:lang w:eastAsia="en-US"/>
        </w:rPr>
        <w:t xml:space="preserve">, toma de declaración y asistencia a pericias; coordinación, traslado y permanencia en los casos que requieren atención en salud en una región diferente, coordinación con otros organismos tales como el INDH, CAJ y SENADIS para </w:t>
      </w:r>
      <w:r w:rsidR="006F4911" w:rsidRPr="002C65E3">
        <w:rPr>
          <w:lang w:eastAsia="en-US"/>
        </w:rPr>
        <w:lastRenderedPageBreak/>
        <w:t xml:space="preserve">representación penal, civil y trámites de certificación de discapacidad; reembolso de gastos médicos derivados del delito sufrido; derivación a terapia reparatoria, entre otros. </w:t>
      </w:r>
    </w:p>
    <w:p w14:paraId="2817F6EE" w14:textId="504E1610" w:rsidR="006F4911" w:rsidRPr="002C65E3" w:rsidRDefault="00156F70" w:rsidP="00695F4B">
      <w:pPr>
        <w:pStyle w:val="SingleTxtG"/>
        <w:rPr>
          <w:lang w:eastAsia="en-US"/>
        </w:rPr>
      </w:pPr>
      <w:r w:rsidRPr="002C65E3">
        <w:rPr>
          <w:lang w:eastAsia="en-US"/>
        </w:rPr>
        <w:t>97.</w:t>
      </w:r>
      <w:r w:rsidRPr="002C65E3">
        <w:rPr>
          <w:lang w:eastAsia="en-US"/>
        </w:rPr>
        <w:tab/>
      </w:r>
      <w:r w:rsidR="006F4911" w:rsidRPr="002C65E3">
        <w:rPr>
          <w:lang w:eastAsia="en-US"/>
        </w:rPr>
        <w:t>En 2021, en virtud del convenio entre Carabineros y SENADIS, fue revisada la Circular de Uso de la Fuerza</w:t>
      </w:r>
      <w:r w:rsidR="006F4911" w:rsidRPr="002C65E3">
        <w:rPr>
          <w:rStyle w:val="Refdenotaalpie"/>
        </w:rPr>
        <w:footnoteReference w:id="169"/>
      </w:r>
      <w:r w:rsidR="006F4911" w:rsidRPr="002C65E3">
        <w:rPr>
          <w:lang w:eastAsia="en-US"/>
        </w:rPr>
        <w:t xml:space="preserve">, el Protocolo para el Mantenimiento del Orden Público y la Cartilla de Instrucción para la Intervención Policial con PcD, para mejorar la perspectiva de inclusión y el trato a PcD tanto en la atención en unidades como en las detenciones. </w:t>
      </w:r>
    </w:p>
    <w:p w14:paraId="3A68D57D" w14:textId="148B6B44" w:rsidR="006F4911" w:rsidRPr="002C65E3" w:rsidRDefault="00156F70" w:rsidP="00695F4B">
      <w:pPr>
        <w:pStyle w:val="SingleTxtG"/>
        <w:rPr>
          <w:lang w:eastAsia="en-US"/>
        </w:rPr>
      </w:pPr>
      <w:r w:rsidRPr="002C65E3">
        <w:rPr>
          <w:lang w:eastAsia="en-US"/>
        </w:rPr>
        <w:t>98.</w:t>
      </w:r>
      <w:r w:rsidRPr="002C65E3">
        <w:rPr>
          <w:lang w:eastAsia="en-US"/>
        </w:rPr>
        <w:tab/>
      </w:r>
      <w:r w:rsidR="006F4911" w:rsidRPr="002C65E3">
        <w:rPr>
          <w:lang w:eastAsia="en-US"/>
        </w:rPr>
        <w:t>La PDI ha emitido normativa específica sobre discapacidad: a) Orden N</w:t>
      </w:r>
      <w:r w:rsidR="00405113" w:rsidRPr="002C65E3">
        <w:rPr>
          <w:lang w:eastAsia="en-US"/>
        </w:rPr>
        <w:t>º </w:t>
      </w:r>
      <w:r w:rsidR="006F4911" w:rsidRPr="002C65E3">
        <w:rPr>
          <w:lang w:eastAsia="en-US"/>
        </w:rPr>
        <w:t>51 de</w:t>
      </w:r>
      <w:r w:rsidR="00695F4B" w:rsidRPr="002C65E3">
        <w:rPr>
          <w:lang w:eastAsia="en-US"/>
        </w:rPr>
        <w:t> </w:t>
      </w:r>
      <w:r w:rsidR="006F4911" w:rsidRPr="002C65E3">
        <w:rPr>
          <w:lang w:eastAsia="en-US"/>
        </w:rPr>
        <w:t xml:space="preserve">21.06.18, que crea la comisión </w:t>
      </w:r>
      <w:r w:rsidR="00791BE9" w:rsidRPr="002C65E3">
        <w:rPr>
          <w:lang w:eastAsia="en-US"/>
        </w:rPr>
        <w:t>“</w:t>
      </w:r>
      <w:r w:rsidR="006F4911" w:rsidRPr="002C65E3">
        <w:rPr>
          <w:lang w:eastAsia="en-US"/>
        </w:rPr>
        <w:t>Igualdad de Oportunidades e Inclusión Social de [PcD] en la PDI</w:t>
      </w:r>
      <w:r w:rsidR="00791BE9" w:rsidRPr="002C65E3">
        <w:rPr>
          <w:lang w:eastAsia="en-US"/>
        </w:rPr>
        <w:t>”</w:t>
      </w:r>
      <w:r w:rsidR="006F4911" w:rsidRPr="002C65E3">
        <w:rPr>
          <w:lang w:eastAsia="en-US"/>
        </w:rPr>
        <w:t>; b) Ordenanza General N</w:t>
      </w:r>
      <w:r w:rsidR="00405113" w:rsidRPr="002C65E3">
        <w:rPr>
          <w:lang w:eastAsia="en-US"/>
        </w:rPr>
        <w:t>º </w:t>
      </w:r>
      <w:r w:rsidR="006F4911" w:rsidRPr="002C65E3">
        <w:rPr>
          <w:lang w:eastAsia="en-US"/>
        </w:rPr>
        <w:t>2604</w:t>
      </w:r>
      <w:r w:rsidR="006F4911" w:rsidRPr="002C65E3">
        <w:rPr>
          <w:rStyle w:val="Refdenotaalpie"/>
        </w:rPr>
        <w:footnoteReference w:id="170"/>
      </w:r>
      <w:r w:rsidR="006F4911" w:rsidRPr="002C65E3">
        <w:rPr>
          <w:lang w:eastAsia="en-US"/>
        </w:rPr>
        <w:t xml:space="preserve"> de 2019, aprobó la política de respeto y promoción de los DDHH, la cual considera expresamente el respeto por la diferencia y la aceptación de las PcD como parte de la diversidad y la condición humana; c) Circular N</w:t>
      </w:r>
      <w:r w:rsidR="00405113" w:rsidRPr="002C65E3">
        <w:rPr>
          <w:lang w:eastAsia="en-US"/>
        </w:rPr>
        <w:t>º </w:t>
      </w:r>
      <w:r w:rsidR="006F4911" w:rsidRPr="002C65E3">
        <w:rPr>
          <w:lang w:eastAsia="en-US"/>
        </w:rPr>
        <w:t xml:space="preserve">01 de 07.01.20 de la Inspectoría General de la PDI, que imparte instrucciones al personal institucional respecto a los derechos de las PcD; d) Orden General Nº 2.638 de 11.05.20, que aprobó </w:t>
      </w:r>
      <w:r w:rsidR="00791BE9" w:rsidRPr="002C65E3">
        <w:rPr>
          <w:lang w:eastAsia="en-US"/>
        </w:rPr>
        <w:t>“</w:t>
      </w:r>
      <w:r w:rsidR="006F4911" w:rsidRPr="002C65E3">
        <w:rPr>
          <w:lang w:eastAsia="en-US"/>
        </w:rPr>
        <w:t>Reglamento sobre igualdad de oportunidades e inclusión laboral para [PcD] en la</w:t>
      </w:r>
      <w:r w:rsidR="00695F4B" w:rsidRPr="002C65E3">
        <w:rPr>
          <w:lang w:eastAsia="en-US"/>
        </w:rPr>
        <w:t> </w:t>
      </w:r>
      <w:r w:rsidR="006F4911" w:rsidRPr="002C65E3">
        <w:rPr>
          <w:lang w:eastAsia="en-US"/>
        </w:rPr>
        <w:t>PDI</w:t>
      </w:r>
      <w:r w:rsidR="00791BE9" w:rsidRPr="002C65E3">
        <w:rPr>
          <w:lang w:eastAsia="en-US"/>
        </w:rPr>
        <w:t>”</w:t>
      </w:r>
      <w:r w:rsidR="006F4911" w:rsidRPr="002C65E3">
        <w:rPr>
          <w:lang w:eastAsia="en-US"/>
        </w:rPr>
        <w:t>.</w:t>
      </w:r>
    </w:p>
    <w:p w14:paraId="62D2EBC2" w14:textId="2381E431" w:rsidR="006F4911" w:rsidRPr="002C65E3" w:rsidRDefault="00156F70" w:rsidP="00695F4B">
      <w:pPr>
        <w:pStyle w:val="SingleTxtG"/>
        <w:rPr>
          <w:lang w:eastAsia="en-US"/>
        </w:rPr>
      </w:pPr>
      <w:r w:rsidRPr="002C65E3">
        <w:rPr>
          <w:lang w:eastAsia="en-US"/>
        </w:rPr>
        <w:t>99.</w:t>
      </w:r>
      <w:r w:rsidRPr="002C65E3">
        <w:rPr>
          <w:lang w:eastAsia="en-US"/>
        </w:rPr>
        <w:tab/>
      </w:r>
      <w:r w:rsidR="006F4911" w:rsidRPr="002C65E3">
        <w:rPr>
          <w:lang w:eastAsia="en-US"/>
        </w:rPr>
        <w:t xml:space="preserve">Carabineros tiene a disposición varios mecanismos de denuncia o reclamos por mal actuar policial. Entre ellos, la </w:t>
      </w:r>
      <w:hyperlink r:id="rId16">
        <w:r w:rsidR="006F4911" w:rsidRPr="002C65E3">
          <w:rPr>
            <w:lang w:eastAsia="en-US"/>
          </w:rPr>
          <w:t>Comisaría Virtual</w:t>
        </w:r>
      </w:hyperlink>
      <w:r w:rsidR="006F4911" w:rsidRPr="002C65E3">
        <w:rPr>
          <w:lang w:eastAsia="en-US"/>
        </w:rPr>
        <w:t xml:space="preserve">, que contempla la posibilidad de denunciar anónimamente; el </w:t>
      </w:r>
      <w:hyperlink r:id="rId17">
        <w:r w:rsidR="006F4911" w:rsidRPr="002C65E3">
          <w:rPr>
            <w:lang w:eastAsia="en-US"/>
          </w:rPr>
          <w:t>sitio web</w:t>
        </w:r>
      </w:hyperlink>
      <w:r w:rsidR="006F4911" w:rsidRPr="002C65E3">
        <w:rPr>
          <w:lang w:eastAsia="en-US"/>
        </w:rPr>
        <w:t xml:space="preserve"> institucional; telefónicamente, permitiendo entregar información anónima y desformalizada; y presencialmente en cualquier unidad policial. Asimismo, Carabineros y SENADIS mantienen comunicación directa para obtener información, agilizar los procesos y entregar orientaciones técnicas sobre estos casos. Se elaboró un flujograma para derivaciones de casos de denuncia en contra de funcionarios policiales,</w:t>
      </w:r>
      <w:r w:rsidR="006F4911" w:rsidRPr="002C65E3">
        <w:rPr>
          <w:rFonts w:eastAsia="Arial"/>
          <w:sz w:val="22"/>
          <w:szCs w:val="22"/>
          <w:lang w:eastAsia="en-US"/>
        </w:rPr>
        <w:t xml:space="preserve"> </w:t>
      </w:r>
      <w:r w:rsidR="006F4911" w:rsidRPr="002C65E3">
        <w:rPr>
          <w:lang w:eastAsia="en-US"/>
        </w:rPr>
        <w:t xml:space="preserve">en proceso de actualización. </w:t>
      </w:r>
    </w:p>
    <w:p w14:paraId="50AB5907" w14:textId="6D9C4144" w:rsidR="006F4911" w:rsidRPr="002C65E3" w:rsidRDefault="00156F70" w:rsidP="00695F4B">
      <w:pPr>
        <w:pStyle w:val="SingleTxtG"/>
        <w:rPr>
          <w:lang w:eastAsia="en-US"/>
        </w:rPr>
      </w:pPr>
      <w:bookmarkStart w:id="32" w:name="_lnxbz9" w:colFirst="0" w:colLast="0"/>
      <w:bookmarkEnd w:id="32"/>
      <w:r w:rsidRPr="002C65E3">
        <w:rPr>
          <w:lang w:eastAsia="en-US"/>
        </w:rPr>
        <w:t>100.</w:t>
      </w:r>
      <w:r w:rsidRPr="002C65E3">
        <w:rPr>
          <w:lang w:eastAsia="en-US"/>
        </w:rPr>
        <w:tab/>
      </w:r>
      <w:r w:rsidR="006F4911" w:rsidRPr="002C65E3">
        <w:rPr>
          <w:lang w:eastAsia="en-US"/>
        </w:rPr>
        <w:t>En 2019 la Ley N</w:t>
      </w:r>
      <w:r w:rsidR="00405113" w:rsidRPr="002C65E3">
        <w:rPr>
          <w:lang w:eastAsia="en-US"/>
        </w:rPr>
        <w:t>º </w:t>
      </w:r>
      <w:r w:rsidR="006F4911" w:rsidRPr="002C65E3">
        <w:rPr>
          <w:lang w:eastAsia="en-US"/>
        </w:rPr>
        <w:t>21.154</w:t>
      </w:r>
      <w:r w:rsidR="006F4911" w:rsidRPr="002C65E3">
        <w:rPr>
          <w:rStyle w:val="Refdenotaalpie"/>
        </w:rPr>
        <w:footnoteReference w:id="171"/>
      </w:r>
      <w:r w:rsidR="006F4911" w:rsidRPr="002C65E3">
        <w:rPr>
          <w:lang w:eastAsia="en-US"/>
        </w:rPr>
        <w:t xml:space="preserve"> designó al INDH como MNPT, comenzando sus operaciones el 25.05.2020, año que estuvo centrado en la instalación. Hasta julio de 2022, se han realizado 51 visitas a nivel nacional, en las 5 áreas de trabajo: salud mental; penitenciaria; función policial, personas mayores y niñez y adolescencia. Además, se han realizado 31</w:t>
      </w:r>
      <w:r w:rsidR="00312616" w:rsidRPr="002C65E3">
        <w:rPr>
          <w:lang w:eastAsia="en-US"/>
        </w:rPr>
        <w:t> </w:t>
      </w:r>
      <w:r w:rsidR="006F4911" w:rsidRPr="002C65E3">
        <w:rPr>
          <w:lang w:eastAsia="en-US"/>
        </w:rPr>
        <w:t>actividades de formación en materia de prevención de la tortura y otros malos tratos, principalmente a Gendarmería, Carabineros y PDI.</w:t>
      </w:r>
    </w:p>
    <w:p w14:paraId="58833C6E" w14:textId="17592183" w:rsidR="006F4911" w:rsidRPr="002C65E3" w:rsidRDefault="008328DB" w:rsidP="00695F4B">
      <w:pPr>
        <w:pStyle w:val="H1G"/>
        <w:rPr>
          <w:highlight w:val="white"/>
          <w:lang w:eastAsia="en-US"/>
        </w:rPr>
      </w:pPr>
      <w:bookmarkStart w:id="33" w:name="_Toc122692620"/>
      <w:r w:rsidRPr="002C65E3">
        <w:rPr>
          <w:lang w:eastAsia="en-US"/>
        </w:rPr>
        <w:tab/>
      </w:r>
      <w:r w:rsidRPr="002C65E3">
        <w:rPr>
          <w:lang w:eastAsia="en-US"/>
        </w:rPr>
        <w:tab/>
      </w:r>
      <w:r w:rsidR="006F4911" w:rsidRPr="002C65E3">
        <w:rPr>
          <w:lang w:eastAsia="en-US"/>
        </w:rPr>
        <w:t>Artículo 16</w:t>
      </w:r>
      <w:bookmarkEnd w:id="33"/>
      <w:r w:rsidR="006F4911" w:rsidRPr="002C65E3">
        <w:rPr>
          <w:lang w:eastAsia="en-US"/>
        </w:rPr>
        <w:t xml:space="preserve"> </w:t>
      </w:r>
    </w:p>
    <w:p w14:paraId="3DB22E77" w14:textId="4E80EF3A" w:rsidR="006F4911" w:rsidRPr="002C65E3" w:rsidRDefault="00156F70" w:rsidP="00695F4B">
      <w:pPr>
        <w:pStyle w:val="SingleTxtG"/>
        <w:rPr>
          <w:lang w:eastAsia="en-US"/>
        </w:rPr>
      </w:pPr>
      <w:r w:rsidRPr="002C65E3">
        <w:rPr>
          <w:lang w:eastAsia="en-US"/>
        </w:rPr>
        <w:t>101.</w:t>
      </w:r>
      <w:r w:rsidRPr="002C65E3">
        <w:rPr>
          <w:lang w:eastAsia="en-US"/>
        </w:rPr>
        <w:tab/>
      </w:r>
      <w:r w:rsidR="006F4911" w:rsidRPr="002C65E3">
        <w:rPr>
          <w:lang w:eastAsia="en-US"/>
        </w:rPr>
        <w:t>Como medidas para combatir la violencia, SERNAMEG, mediante el programa Atención, Protección y Reparación en VCM, implementa dispositivos para dar respuesta a mujeres con intersección de otros factores de especial protección. Por ejemplo, los Centro de Atención y Reparación para Mujeres Víctimas/Sobrevivientes de Violencia Sexual son dispositivos especializados que prestan atención reparatoria a mujeres de 18 años y más.</w:t>
      </w:r>
    </w:p>
    <w:p w14:paraId="77AD5149" w14:textId="3667FDD0" w:rsidR="006F4911" w:rsidRPr="002C65E3" w:rsidRDefault="00156F70" w:rsidP="00695F4B">
      <w:pPr>
        <w:pStyle w:val="SingleTxtG"/>
        <w:rPr>
          <w:lang w:eastAsia="en-US"/>
        </w:rPr>
      </w:pPr>
      <w:r w:rsidRPr="002C65E3">
        <w:rPr>
          <w:lang w:eastAsia="en-US"/>
        </w:rPr>
        <w:t>102.</w:t>
      </w:r>
      <w:r w:rsidRPr="002C65E3">
        <w:rPr>
          <w:lang w:eastAsia="en-US"/>
        </w:rPr>
        <w:tab/>
      </w:r>
      <w:r w:rsidR="006F4911" w:rsidRPr="002C65E3">
        <w:rPr>
          <w:lang w:eastAsia="en-US"/>
        </w:rPr>
        <w:t xml:space="preserve">El CM Móvil Intercultural, desde 2013, busca contribuir en el ámbito local para reducir la VCM, especialmente en las relaciones de pareja, implementando un modelo de intervención integral con énfasis en trabajo preventivo, coordinación intersectorial y atención comunitaria, grupal e individual a mujeres víctimas de violencia y que residan en espacios geográficos distantes a la localización de los otros CM, prioritariamente en territorio rural y de mujeres mapuches, donde los CM no tengan cobertura. </w:t>
      </w:r>
    </w:p>
    <w:p w14:paraId="4F14575A" w14:textId="23038F98" w:rsidR="006F4911" w:rsidRPr="002C65E3" w:rsidRDefault="00156F70" w:rsidP="00695F4B">
      <w:pPr>
        <w:pStyle w:val="SingleTxtG"/>
        <w:rPr>
          <w:lang w:eastAsia="en-US"/>
        </w:rPr>
      </w:pPr>
      <w:bookmarkStart w:id="34" w:name="_Ref122702817"/>
      <w:r w:rsidRPr="002C65E3">
        <w:rPr>
          <w:lang w:eastAsia="en-US"/>
        </w:rPr>
        <w:t>103.</w:t>
      </w:r>
      <w:r w:rsidRPr="002C65E3">
        <w:rPr>
          <w:lang w:eastAsia="en-US"/>
        </w:rPr>
        <w:tab/>
      </w:r>
      <w:r w:rsidR="006F4911" w:rsidRPr="002C65E3">
        <w:rPr>
          <w:lang w:eastAsia="en-US"/>
        </w:rPr>
        <w:t>En 2020 SERNAMEG celebró convenio de colaboración con la Fundación Nellie Zabel, cuyo objeto es implementar el CM Sorda</w:t>
      </w:r>
      <w:r w:rsidR="006F4911" w:rsidRPr="002C65E3">
        <w:rPr>
          <w:rStyle w:val="Refdenotaalpie"/>
        </w:rPr>
        <w:footnoteReference w:id="172"/>
      </w:r>
      <w:r w:rsidR="006F4911" w:rsidRPr="002C65E3">
        <w:rPr>
          <w:lang w:eastAsia="en-US"/>
        </w:rPr>
        <w:t xml:space="preserve">, iniciativa piloto con cobertura nacional. Este modelo fusiona la intervención de los CM con la experiencia de trabajo con mujeres sordas de la Fundación, otorgando atención especializada en género y DDHH a mujeres provenientes de todo el país, a través de una modalidad virtual y/o en línea con LSCH u otros </w:t>
      </w:r>
      <w:r w:rsidR="006F4911" w:rsidRPr="002C65E3">
        <w:rPr>
          <w:lang w:eastAsia="en-US"/>
        </w:rPr>
        <w:lastRenderedPageBreak/>
        <w:t>medios alternativos de comunicación, considerando factores como la cultura y comunidad sorda de la que forman parte</w:t>
      </w:r>
      <w:r w:rsidR="006F4911" w:rsidRPr="002C65E3">
        <w:rPr>
          <w:rStyle w:val="Refdenotaalpie"/>
        </w:rPr>
        <w:footnoteReference w:id="173"/>
      </w:r>
      <w:bookmarkEnd w:id="34"/>
      <w:r w:rsidR="00E86D58" w:rsidRPr="002C65E3">
        <w:rPr>
          <w:lang w:eastAsia="en-US"/>
        </w:rPr>
        <w:t>.</w:t>
      </w:r>
    </w:p>
    <w:p w14:paraId="5A67FF05" w14:textId="6D2BDAE9" w:rsidR="006F4911" w:rsidRPr="002C65E3" w:rsidRDefault="00156F70" w:rsidP="00695F4B">
      <w:pPr>
        <w:pStyle w:val="SingleTxtG"/>
        <w:rPr>
          <w:lang w:eastAsia="en-US"/>
        </w:rPr>
      </w:pPr>
      <w:r w:rsidRPr="002C65E3">
        <w:rPr>
          <w:lang w:eastAsia="en-US"/>
        </w:rPr>
        <w:t>104.</w:t>
      </w:r>
      <w:r w:rsidRPr="002C65E3">
        <w:rPr>
          <w:lang w:eastAsia="en-US"/>
        </w:rPr>
        <w:tab/>
      </w:r>
      <w:r w:rsidR="006F4911" w:rsidRPr="002C65E3">
        <w:rPr>
          <w:lang w:eastAsia="en-US"/>
        </w:rPr>
        <w:t>La Mesa Intersectorial descrita en el párrafo</w:t>
      </w:r>
      <w:r w:rsidR="00776BAA" w:rsidRPr="002C65E3">
        <w:rPr>
          <w:lang w:eastAsia="en-US"/>
        </w:rPr>
        <w:t xml:space="preserve"> 55</w:t>
      </w:r>
      <w:r w:rsidR="006F4911" w:rsidRPr="002C65E3">
        <w:rPr>
          <w:lang w:eastAsia="en-US"/>
        </w:rPr>
        <w:t xml:space="preserve"> revisó las recomendaciones del MMEG para mujeres víctimas de violencia doméstica en contexto de confinamiento por COVID-19, remitiendo sugerencias para asegurar la accesibilidad de los dispositivos, espacios e información; capacitación al personal para atención de mujeres y niñas con discapacidad; seguimiento a casos de mujeres y niñas con discapacidad; e incluir dentro del grupo objetivo a mujeres y niñas con discapacidad privadas de libertad o que viven en residencias psiquiátricas, hogares protegidos y otros espacios.</w:t>
      </w:r>
    </w:p>
    <w:p w14:paraId="62AF4F29" w14:textId="2E75FEE9" w:rsidR="006F4911" w:rsidRPr="002C65E3" w:rsidRDefault="00156F70" w:rsidP="00695F4B">
      <w:pPr>
        <w:pStyle w:val="SingleTxtG"/>
        <w:rPr>
          <w:lang w:eastAsia="en-US"/>
        </w:rPr>
      </w:pPr>
      <w:r w:rsidRPr="002C65E3">
        <w:rPr>
          <w:lang w:eastAsia="en-US"/>
        </w:rPr>
        <w:t>105.</w:t>
      </w:r>
      <w:r w:rsidRPr="002C65E3">
        <w:rPr>
          <w:lang w:eastAsia="en-US"/>
        </w:rPr>
        <w:tab/>
      </w:r>
      <w:r w:rsidR="006F4911" w:rsidRPr="002C65E3">
        <w:rPr>
          <w:lang w:eastAsia="en-US"/>
        </w:rPr>
        <w:t>En 2020 se habilitó el fono 800 000 058 Conectados al Cuidar</w:t>
      </w:r>
      <w:r w:rsidR="006F4911" w:rsidRPr="002C65E3">
        <w:rPr>
          <w:rStyle w:val="Refdenotaalpie"/>
        </w:rPr>
        <w:footnoteReference w:id="174"/>
      </w:r>
      <w:r w:rsidR="006F4911" w:rsidRPr="002C65E3">
        <w:rPr>
          <w:lang w:eastAsia="en-US"/>
        </w:rPr>
        <w:t xml:space="preserve"> (párr.</w:t>
      </w:r>
      <w:r w:rsidR="00776BAA" w:rsidRPr="002C65E3">
        <w:rPr>
          <w:lang w:eastAsia="en-US"/>
        </w:rPr>
        <w:t xml:space="preserve"> 56</w:t>
      </w:r>
      <w:r w:rsidR="006F4911" w:rsidRPr="002C65E3">
        <w:rPr>
          <w:lang w:eastAsia="en-US"/>
        </w:rPr>
        <w:t xml:space="preserve">). </w:t>
      </w:r>
    </w:p>
    <w:p w14:paraId="7A7CCAC2" w14:textId="21D58A92" w:rsidR="006F4911" w:rsidRPr="002C65E3" w:rsidRDefault="00156F70" w:rsidP="00695F4B">
      <w:pPr>
        <w:pStyle w:val="SingleTxtG"/>
        <w:rPr>
          <w:lang w:eastAsia="en-US"/>
        </w:rPr>
      </w:pPr>
      <w:r w:rsidRPr="002C65E3">
        <w:rPr>
          <w:lang w:eastAsia="en-US"/>
        </w:rPr>
        <w:t>106.</w:t>
      </w:r>
      <w:r w:rsidRPr="002C65E3">
        <w:rPr>
          <w:lang w:eastAsia="en-US"/>
        </w:rPr>
        <w:tab/>
      </w:r>
      <w:r w:rsidR="006F4911" w:rsidRPr="002C65E3">
        <w:rPr>
          <w:lang w:eastAsia="en-US"/>
        </w:rPr>
        <w:t xml:space="preserve">SERNAMEG durante la crisis sanitaria brindó respuesta institucional a todas las mujeres a través de sus dispositivos de atención frente a la VCM. </w:t>
      </w:r>
    </w:p>
    <w:p w14:paraId="207B5FC7" w14:textId="78F67438" w:rsidR="006F4911" w:rsidRPr="002C65E3" w:rsidRDefault="00156F70" w:rsidP="00695F4B">
      <w:pPr>
        <w:pStyle w:val="SingleTxtG"/>
        <w:rPr>
          <w:lang w:eastAsia="en-US"/>
        </w:rPr>
      </w:pPr>
      <w:r w:rsidRPr="002C65E3">
        <w:rPr>
          <w:lang w:eastAsia="en-US"/>
        </w:rPr>
        <w:t>107.</w:t>
      </w:r>
      <w:r w:rsidRPr="002C65E3">
        <w:rPr>
          <w:lang w:eastAsia="en-US"/>
        </w:rPr>
        <w:tab/>
      </w:r>
      <w:r w:rsidR="006F4911" w:rsidRPr="002C65E3">
        <w:rPr>
          <w:lang w:eastAsia="en-US"/>
        </w:rPr>
        <w:t>Conforme a las recomendaciones emanadas de un estudio</w:t>
      </w:r>
      <w:r w:rsidR="006F4911" w:rsidRPr="002C65E3">
        <w:rPr>
          <w:rStyle w:val="Refdenotaalpie"/>
        </w:rPr>
        <w:footnoteReference w:id="175"/>
      </w:r>
      <w:r w:rsidR="006F4911" w:rsidRPr="002C65E3">
        <w:rPr>
          <w:lang w:eastAsia="en-US"/>
        </w:rPr>
        <w:t xml:space="preserve"> el MP consideró el diseño e implementación de estándares transversales de atención y protección a víctimas vulnerables, entre las cuales se encuentran las PcD que son víctimas de delitos, iniciativa que se espera materializar el 2023.</w:t>
      </w:r>
    </w:p>
    <w:p w14:paraId="38160CF7" w14:textId="46EA1CB2" w:rsidR="006F4911" w:rsidRPr="002C65E3" w:rsidRDefault="00156F70" w:rsidP="00695F4B">
      <w:pPr>
        <w:pStyle w:val="SingleTxtG"/>
        <w:rPr>
          <w:lang w:eastAsia="en-US"/>
        </w:rPr>
      </w:pPr>
      <w:r w:rsidRPr="002C65E3">
        <w:rPr>
          <w:lang w:eastAsia="en-US"/>
        </w:rPr>
        <w:t>108.</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21.430</w:t>
      </w:r>
      <w:r w:rsidR="006F4911" w:rsidRPr="002C65E3">
        <w:rPr>
          <w:rStyle w:val="Refdenotaalpie"/>
        </w:rPr>
        <w:footnoteReference w:id="176"/>
      </w:r>
      <w:r w:rsidR="006F4911" w:rsidRPr="002C65E3">
        <w:rPr>
          <w:lang w:eastAsia="en-US"/>
        </w:rPr>
        <w:t xml:space="preserve"> prohíbe expresamente todo maltrato a NNA, no pudiendo justificarse por circunstancia alguna y tipifica el maltrato corporal relevante y el trato degradante que menoscabe gravemente la dignidad. Establece que la discapacidad de un NNA nunca podrá emplearse como fundamento para negar los derechos, en especial prohíbe toda práctica que tenga por finalidad la desinformación sobre su sexualidad, suspender la entrega de métodos anticonceptivos o la esterilización de NNA con fines contraceptivos.</w:t>
      </w:r>
    </w:p>
    <w:p w14:paraId="40FC37FF" w14:textId="611CF71F" w:rsidR="006F4911" w:rsidRPr="002C65E3" w:rsidRDefault="00156F70" w:rsidP="00695F4B">
      <w:pPr>
        <w:pStyle w:val="SingleTxtG"/>
        <w:rPr>
          <w:lang w:eastAsia="en-US"/>
        </w:rPr>
      </w:pPr>
      <w:r w:rsidRPr="002C65E3">
        <w:rPr>
          <w:lang w:eastAsia="en-US"/>
        </w:rPr>
        <w:t>109.</w:t>
      </w:r>
      <w:r w:rsidRPr="002C65E3">
        <w:rPr>
          <w:lang w:eastAsia="en-US"/>
        </w:rPr>
        <w:tab/>
      </w:r>
      <w:r w:rsidR="006F4911" w:rsidRPr="002C65E3">
        <w:rPr>
          <w:lang w:eastAsia="en-US"/>
        </w:rPr>
        <w:t xml:space="preserve">En 2021 se crea </w:t>
      </w:r>
      <w:r w:rsidR="00791BE9" w:rsidRPr="002C65E3">
        <w:rPr>
          <w:lang w:eastAsia="en-US"/>
        </w:rPr>
        <w:t>“</w:t>
      </w:r>
      <w:r w:rsidR="006F4911" w:rsidRPr="002C65E3">
        <w:rPr>
          <w:lang w:eastAsia="en-US"/>
        </w:rPr>
        <w:t>Mejor Niñez</w:t>
      </w:r>
      <w:r w:rsidR="00791BE9" w:rsidRPr="002C65E3">
        <w:rPr>
          <w:lang w:eastAsia="en-US"/>
        </w:rPr>
        <w:t>”</w:t>
      </w:r>
      <w:r w:rsidR="006F4911" w:rsidRPr="002C65E3">
        <w:rPr>
          <w:rStyle w:val="Refdenotaalpie"/>
        </w:rPr>
        <w:footnoteReference w:id="177"/>
      </w:r>
      <w:r w:rsidR="006F4911" w:rsidRPr="002C65E3">
        <w:rPr>
          <w:lang w:eastAsia="en-US"/>
        </w:rPr>
        <w:t xml:space="preserve">, cuyo objetivo es garantizar la protección especializada de NNA gravemente amenazados o vulnerados en sus derechos; debe respetar y hacer respetar sus derechos fundamentales reconocidos en la CPR, la CDNNA y demás tratados internacionales sobre DDHH ratificados por Chile. </w:t>
      </w:r>
    </w:p>
    <w:p w14:paraId="26FD0A6E" w14:textId="31D8B177" w:rsidR="006F4911" w:rsidRPr="002C65E3" w:rsidRDefault="00156F70" w:rsidP="00695F4B">
      <w:pPr>
        <w:pStyle w:val="SingleTxtG"/>
        <w:rPr>
          <w:lang w:eastAsia="en-US"/>
        </w:rPr>
      </w:pPr>
      <w:r w:rsidRPr="002C65E3">
        <w:rPr>
          <w:lang w:eastAsia="en-US"/>
        </w:rPr>
        <w:t>110.</w:t>
      </w:r>
      <w:r w:rsidRPr="002C65E3">
        <w:rPr>
          <w:lang w:eastAsia="en-US"/>
        </w:rPr>
        <w:tab/>
      </w:r>
      <w:r w:rsidR="006F4911" w:rsidRPr="002C65E3">
        <w:rPr>
          <w:lang w:eastAsia="en-US"/>
        </w:rPr>
        <w:t xml:space="preserve">Entre 2015 y julio de 2020 fueron atendidos 104 NNA con alguna discapacidad en el PAJ. JUNJI, en 2021, actualizó sus protocolos y ahora cuenta con un protocolo de actuación frente a situaciones de maltrato presuntamente constitutivas de delito y aquellas que no. SENAME mejoró los procedimientos, normativas vigentes y protocolos en materias vinculadas al conocimiento de hechos que revistan carácter de delito en contra de NNA en el sistema residencial y familias de acogida. SENADIS ha efectuado coordinaciones con SENAME, Programa Mi Abogado y PAJ para abordar casos concretos. </w:t>
      </w:r>
    </w:p>
    <w:p w14:paraId="5485DACD" w14:textId="4053A395" w:rsidR="006F4911" w:rsidRPr="002C65E3" w:rsidRDefault="00156F70" w:rsidP="00695F4B">
      <w:pPr>
        <w:pStyle w:val="SingleTxtG"/>
        <w:rPr>
          <w:lang w:eastAsia="en-US"/>
        </w:rPr>
      </w:pPr>
      <w:r w:rsidRPr="002C65E3">
        <w:rPr>
          <w:lang w:eastAsia="en-US"/>
        </w:rPr>
        <w:t>111.</w:t>
      </w:r>
      <w:r w:rsidRPr="002C65E3">
        <w:rPr>
          <w:lang w:eastAsia="en-US"/>
        </w:rPr>
        <w:tab/>
      </w:r>
      <w:r w:rsidR="006F4911" w:rsidRPr="002C65E3">
        <w:rPr>
          <w:lang w:eastAsia="en-US"/>
        </w:rPr>
        <w:t>En los últimos años se han publicado distintas leyes que buscan erradicar o combatir todas las formas de VCM y las niñas, incluidas aquellas pertenecientes a pueblos indígenas y con discapacidad. En 2017, la Ley N</w:t>
      </w:r>
      <w:r w:rsidR="00405113" w:rsidRPr="002C65E3">
        <w:rPr>
          <w:lang w:eastAsia="en-US"/>
        </w:rPr>
        <w:t>º </w:t>
      </w:r>
      <w:r w:rsidR="006F4911" w:rsidRPr="002C65E3">
        <w:rPr>
          <w:lang w:eastAsia="en-US"/>
        </w:rPr>
        <w:t>21.013</w:t>
      </w:r>
      <w:r w:rsidR="006F4911" w:rsidRPr="002C65E3">
        <w:rPr>
          <w:rStyle w:val="Refdenotaalpie"/>
        </w:rPr>
        <w:footnoteReference w:id="178"/>
      </w:r>
      <w:r w:rsidR="006F4911" w:rsidRPr="002C65E3">
        <w:rPr>
          <w:lang w:eastAsia="en-US"/>
        </w:rPr>
        <w:t xml:space="preserve"> incorporó el delito de maltrato relevante, sancionando al que, de manera relevante, maltratare corporalmente a un NNA, a una persona </w:t>
      </w:r>
      <w:r w:rsidR="006F4911" w:rsidRPr="002C65E3">
        <w:rPr>
          <w:lang w:eastAsia="en-US"/>
        </w:rPr>
        <w:lastRenderedPageBreak/>
        <w:t>adulta mayor o a una PcD. Lo mismo en el caso que se ejerza algún deber de especial cuidado o protección respecto de alguna de las personas antes mencionadas. En 2019, se publicó la Ley N</w:t>
      </w:r>
      <w:r w:rsidR="00405113" w:rsidRPr="002C65E3">
        <w:rPr>
          <w:lang w:eastAsia="en-US"/>
        </w:rPr>
        <w:t>º </w:t>
      </w:r>
      <w:r w:rsidR="006F4911" w:rsidRPr="002C65E3">
        <w:rPr>
          <w:lang w:eastAsia="en-US"/>
        </w:rPr>
        <w:t>21.160</w:t>
      </w:r>
      <w:r w:rsidR="006F4911" w:rsidRPr="002C65E3">
        <w:rPr>
          <w:rStyle w:val="Refdenotaalpie"/>
        </w:rPr>
        <w:footnoteReference w:id="179"/>
      </w:r>
      <w:r w:rsidR="006F4911" w:rsidRPr="002C65E3">
        <w:rPr>
          <w:lang w:eastAsia="en-US"/>
        </w:rPr>
        <w:t xml:space="preserve"> que declara imprescriptibles los delitos sexuales cometidos contra de NNA. La Ley N</w:t>
      </w:r>
      <w:r w:rsidR="00405113" w:rsidRPr="002C65E3">
        <w:rPr>
          <w:lang w:eastAsia="en-US"/>
        </w:rPr>
        <w:t>º </w:t>
      </w:r>
      <w:r w:rsidR="006F4911" w:rsidRPr="002C65E3">
        <w:rPr>
          <w:lang w:eastAsia="en-US"/>
        </w:rPr>
        <w:t>21.331</w:t>
      </w:r>
      <w:r w:rsidR="006F4911" w:rsidRPr="002C65E3">
        <w:rPr>
          <w:rStyle w:val="Refdenotaalpie"/>
        </w:rPr>
        <w:footnoteReference w:id="180"/>
      </w:r>
      <w:r w:rsidR="006F4911" w:rsidRPr="002C65E3">
        <w:rPr>
          <w:lang w:eastAsia="en-US"/>
        </w:rPr>
        <w:t xml:space="preserve"> prohibió intervenciones irreversibles no consentidas como psicocirugía y esterilización forzada de NNA y resguarda el derecho a una atención en salud sexual y reproductiva integral. En 2022, se publicó la Ley 21.430</w:t>
      </w:r>
      <w:r w:rsidR="006F4911" w:rsidRPr="002C65E3">
        <w:rPr>
          <w:rStyle w:val="Refdenotaalpie"/>
        </w:rPr>
        <w:footnoteReference w:id="181"/>
      </w:r>
      <w:r w:rsidR="006F4911" w:rsidRPr="002C65E3">
        <w:rPr>
          <w:lang w:eastAsia="en-US"/>
        </w:rPr>
        <w:t xml:space="preserve"> que contempla el derecho a la protección contra la violencia.</w:t>
      </w:r>
    </w:p>
    <w:p w14:paraId="2E27D732" w14:textId="3DBABF89" w:rsidR="006F4911" w:rsidRPr="002C65E3" w:rsidRDefault="00156F70" w:rsidP="00695F4B">
      <w:pPr>
        <w:pStyle w:val="SingleTxtG"/>
        <w:rPr>
          <w:lang w:eastAsia="en-US"/>
        </w:rPr>
      </w:pPr>
      <w:r w:rsidRPr="002C65E3">
        <w:rPr>
          <w:lang w:eastAsia="en-US"/>
        </w:rPr>
        <w:t>112.</w:t>
      </w:r>
      <w:r w:rsidRPr="002C65E3">
        <w:rPr>
          <w:lang w:eastAsia="en-US"/>
        </w:rPr>
        <w:tab/>
      </w:r>
      <w:r w:rsidR="006F4911" w:rsidRPr="002C65E3">
        <w:rPr>
          <w:lang w:eastAsia="en-US"/>
        </w:rPr>
        <w:t>Además, está en tramitación el PdL sobre el derecho de las mujeres a una vida libre de violencia (párr.</w:t>
      </w:r>
      <w:r w:rsidR="00776BAA" w:rsidRPr="002C65E3">
        <w:rPr>
          <w:lang w:eastAsia="en-US"/>
        </w:rPr>
        <w:t xml:space="preserve"> 27</w:t>
      </w:r>
      <w:r w:rsidR="006F4911" w:rsidRPr="002C65E3">
        <w:rPr>
          <w:lang w:eastAsia="en-US"/>
        </w:rPr>
        <w:t>).</w:t>
      </w:r>
    </w:p>
    <w:p w14:paraId="49776225" w14:textId="3833B3A6" w:rsidR="006F4911" w:rsidRPr="002C65E3" w:rsidRDefault="00601662" w:rsidP="00E02680">
      <w:pPr>
        <w:pStyle w:val="H1G"/>
        <w:rPr>
          <w:highlight w:val="white"/>
          <w:lang w:eastAsia="en-US"/>
        </w:rPr>
      </w:pPr>
      <w:bookmarkStart w:id="35" w:name="_Toc122692621"/>
      <w:r w:rsidRPr="002C65E3">
        <w:rPr>
          <w:lang w:eastAsia="en-US"/>
        </w:rPr>
        <w:tab/>
      </w:r>
      <w:r w:rsidRPr="002C65E3">
        <w:rPr>
          <w:lang w:eastAsia="en-US"/>
        </w:rPr>
        <w:tab/>
      </w:r>
      <w:r w:rsidR="006F4911" w:rsidRPr="002C65E3">
        <w:rPr>
          <w:lang w:eastAsia="en-US"/>
        </w:rPr>
        <w:t>Artículo 17</w:t>
      </w:r>
      <w:bookmarkEnd w:id="35"/>
    </w:p>
    <w:p w14:paraId="03FCFC23" w14:textId="393F59B3" w:rsidR="006F4911" w:rsidRPr="002C65E3" w:rsidRDefault="00156F70" w:rsidP="00E02680">
      <w:pPr>
        <w:pStyle w:val="SingleTxtG"/>
        <w:rPr>
          <w:lang w:eastAsia="en-US"/>
        </w:rPr>
      </w:pPr>
      <w:r w:rsidRPr="002C65E3">
        <w:rPr>
          <w:lang w:eastAsia="en-US"/>
        </w:rPr>
        <w:t>113.</w:t>
      </w:r>
      <w:r w:rsidRPr="002C65E3">
        <w:rPr>
          <w:lang w:eastAsia="en-US"/>
        </w:rPr>
        <w:tab/>
      </w:r>
      <w:r w:rsidR="006F4911" w:rsidRPr="002C65E3">
        <w:rPr>
          <w:lang w:eastAsia="en-US"/>
        </w:rPr>
        <w:t>La</w:t>
      </w:r>
      <w:r w:rsidR="006F4911" w:rsidRPr="002C65E3">
        <w:rPr>
          <w:color w:val="1155CC"/>
          <w:lang w:eastAsia="en-US"/>
        </w:rPr>
        <w:t xml:space="preserve"> </w:t>
      </w:r>
      <w:r w:rsidR="006F4911" w:rsidRPr="002C65E3">
        <w:rPr>
          <w:lang w:eastAsia="en-US"/>
        </w:rPr>
        <w:t>Ley N</w:t>
      </w:r>
      <w:r w:rsidR="00405113" w:rsidRPr="002C65E3">
        <w:rPr>
          <w:lang w:eastAsia="en-US"/>
        </w:rPr>
        <w:t>º </w:t>
      </w:r>
      <w:r w:rsidR="006F4911" w:rsidRPr="002C65E3">
        <w:rPr>
          <w:lang w:eastAsia="en-US"/>
        </w:rPr>
        <w:t>21.331</w:t>
      </w:r>
      <w:r w:rsidR="006F4911" w:rsidRPr="002C65E3">
        <w:rPr>
          <w:rStyle w:val="Refdenotaalpie"/>
        </w:rPr>
        <w:footnoteReference w:id="182"/>
      </w:r>
      <w:r w:rsidR="006F4911" w:rsidRPr="002C65E3">
        <w:rPr>
          <w:lang w:eastAsia="en-US"/>
        </w:rPr>
        <w:t xml:space="preserve"> reconoce el derecho de las PcD a no ser esterilizadas sin su consentimiento libre e informado, prohibiendo la esterilización de NNA o como medida de control de fertilidad. Cuando la persona no pueda manifestar su voluntad, no sea posible desprender su preferencia o se trate de un NNA, sólo se utilizarán métodos anticonceptivos reversibles. Asimismo, establece que no se podrá someter a una persona hospitalizada en forma involuntaria a procedimientos o tratamientos irreversibles como esterilización o psicocirugía. Se está realizando un proceso de modificación del Reglamento actual sobre hospitalización psiquiátrica (Decreto N</w:t>
      </w:r>
      <w:r w:rsidR="00405113" w:rsidRPr="002C65E3">
        <w:rPr>
          <w:lang w:eastAsia="en-US"/>
        </w:rPr>
        <w:t>º </w:t>
      </w:r>
      <w:r w:rsidR="006F4911" w:rsidRPr="002C65E3">
        <w:rPr>
          <w:lang w:eastAsia="en-US"/>
        </w:rPr>
        <w:t>570</w:t>
      </w:r>
      <w:r w:rsidR="006F4911" w:rsidRPr="002C65E3">
        <w:rPr>
          <w:rStyle w:val="Refdenotaalpie"/>
        </w:rPr>
        <w:footnoteReference w:id="183"/>
      </w:r>
      <w:r w:rsidR="006F4911" w:rsidRPr="002C65E3">
        <w:rPr>
          <w:lang w:eastAsia="en-US"/>
        </w:rPr>
        <w:t>), de acuerdo a los marcos de la Ley 21.331. Al respecto, se definió conducir un proceso de consulta, durante septiembre y octubre de</w:t>
      </w:r>
      <w:r w:rsidR="00E02680" w:rsidRPr="002C65E3">
        <w:rPr>
          <w:lang w:eastAsia="en-US"/>
        </w:rPr>
        <w:t> </w:t>
      </w:r>
      <w:r w:rsidR="006F4911" w:rsidRPr="002C65E3">
        <w:rPr>
          <w:lang w:eastAsia="en-US"/>
        </w:rPr>
        <w:t xml:space="preserve">2022. MINSAL está concluyendo el análisis e incorporación de esta información, para dar paso al trámite de su oficialización, que se espera concretar a comienzos de 2023. </w:t>
      </w:r>
    </w:p>
    <w:p w14:paraId="1B618443" w14:textId="7E24C4DB" w:rsidR="006F4911" w:rsidRPr="002C65E3" w:rsidRDefault="00156F70" w:rsidP="00E02680">
      <w:pPr>
        <w:pStyle w:val="SingleTxtG"/>
        <w:rPr>
          <w:lang w:eastAsia="en-US"/>
        </w:rPr>
      </w:pPr>
      <w:r w:rsidRPr="002C65E3">
        <w:rPr>
          <w:lang w:eastAsia="en-US"/>
        </w:rPr>
        <w:t>114.</w:t>
      </w:r>
      <w:r w:rsidRPr="002C65E3">
        <w:rPr>
          <w:lang w:eastAsia="en-US"/>
        </w:rPr>
        <w:tab/>
      </w:r>
      <w:r w:rsidR="006F4911" w:rsidRPr="002C65E3">
        <w:rPr>
          <w:lang w:eastAsia="en-US"/>
        </w:rPr>
        <w:t>SENADIS, en 2018, realizó un catastro de residencias para PcD y dependencia funcional en el territorio nacional</w:t>
      </w:r>
      <w:r w:rsidR="006F4911" w:rsidRPr="002C65E3">
        <w:rPr>
          <w:rStyle w:val="Refdenotaalpie"/>
        </w:rPr>
        <w:footnoteReference w:id="184"/>
      </w:r>
      <w:r w:rsidR="006F4911" w:rsidRPr="002C65E3">
        <w:rPr>
          <w:lang w:eastAsia="en-US"/>
        </w:rPr>
        <w:t>, con un total de 221 residencias para PcD, pudiendo señalar: a) Estas residencias atienden un total de 3.323 NNA y adultos, de los cuales 2.356</w:t>
      </w:r>
      <w:r w:rsidR="00E02680" w:rsidRPr="002C65E3">
        <w:rPr>
          <w:lang w:eastAsia="en-US"/>
        </w:rPr>
        <w:t> </w:t>
      </w:r>
      <w:r w:rsidR="006F4911" w:rsidRPr="002C65E3">
        <w:rPr>
          <w:lang w:eastAsia="en-US"/>
        </w:rPr>
        <w:t>PcD corresponden a población de entre 18 y 59 años, en régimen diurno residencial y residencial; b) 160 residencias son de carácter mixtas, 36 atienden solo hombres y 25 solo mujeres; c) 205 relacionadas con atención psiquiátrica y 156 con discapacidad mental y/o intelectual, 65</w:t>
      </w:r>
      <w:r w:rsidR="00791BE9" w:rsidRPr="002C65E3">
        <w:rPr>
          <w:lang w:eastAsia="en-US"/>
        </w:rPr>
        <w:t> %</w:t>
      </w:r>
      <w:r w:rsidR="006F4911" w:rsidRPr="002C65E3">
        <w:rPr>
          <w:lang w:eastAsia="en-US"/>
        </w:rPr>
        <w:t xml:space="preserve"> de las residencias atiende usuarios con 3 o más condiciones permanentes; d) 164 atienden usuarios autovalentes. Los usuarios con dependencia severa y postrados representan una proporción menor respecto de otros grados de dependencia.</w:t>
      </w:r>
    </w:p>
    <w:p w14:paraId="071BC500" w14:textId="33ED4B1D" w:rsidR="006F4911" w:rsidRPr="002C65E3" w:rsidRDefault="00156F70" w:rsidP="00E02680">
      <w:pPr>
        <w:pStyle w:val="SingleTxtG"/>
        <w:rPr>
          <w:lang w:eastAsia="en-US"/>
        </w:rPr>
      </w:pPr>
      <w:r w:rsidRPr="002C65E3">
        <w:rPr>
          <w:lang w:eastAsia="en-US"/>
        </w:rPr>
        <w:t>115.</w:t>
      </w:r>
      <w:r w:rsidRPr="002C65E3">
        <w:rPr>
          <w:lang w:eastAsia="en-US"/>
        </w:rPr>
        <w:tab/>
      </w:r>
      <w:r w:rsidR="006F4911" w:rsidRPr="002C65E3">
        <w:rPr>
          <w:lang w:eastAsia="en-US"/>
        </w:rPr>
        <w:t>En 2018, SENADIS realizó el estudio Modelos de Gestión, Protocolos de Cuidado y Estándares para Residencias para la Atención de PcD Institucionalizadas</w:t>
      </w:r>
      <w:r w:rsidR="006F4911" w:rsidRPr="002C65E3">
        <w:rPr>
          <w:rStyle w:val="Refdenotaalpie"/>
        </w:rPr>
        <w:footnoteReference w:id="185"/>
      </w:r>
      <w:r w:rsidR="006F4911" w:rsidRPr="002C65E3">
        <w:rPr>
          <w:lang w:eastAsia="en-US"/>
        </w:rPr>
        <w:t>. En total, se encuestaron 420 PcD residentes entre 18 y 59 años, arrojando algunos datos: 73</w:t>
      </w:r>
      <w:r w:rsidR="00791BE9" w:rsidRPr="002C65E3">
        <w:rPr>
          <w:lang w:eastAsia="en-US"/>
        </w:rPr>
        <w:t> %</w:t>
      </w:r>
      <w:r w:rsidR="006F4911" w:rsidRPr="002C65E3">
        <w:rPr>
          <w:lang w:eastAsia="en-US"/>
        </w:rPr>
        <w:t xml:space="preserve"> tiene entre</w:t>
      </w:r>
      <w:r w:rsidR="00E02680" w:rsidRPr="002C65E3">
        <w:rPr>
          <w:lang w:eastAsia="en-US"/>
        </w:rPr>
        <w:t> </w:t>
      </w:r>
      <w:r w:rsidR="006F4911" w:rsidRPr="002C65E3">
        <w:rPr>
          <w:lang w:eastAsia="en-US"/>
        </w:rPr>
        <w:t>30 y 59 años, 27</w:t>
      </w:r>
      <w:r w:rsidR="00791BE9" w:rsidRPr="002C65E3">
        <w:rPr>
          <w:lang w:eastAsia="en-US"/>
        </w:rPr>
        <w:t> %</w:t>
      </w:r>
      <w:r w:rsidR="006F4911" w:rsidRPr="002C65E3">
        <w:rPr>
          <w:lang w:eastAsia="en-US"/>
        </w:rPr>
        <w:t xml:space="preserve"> tiene entre 18 y 29 años; 67,5</w:t>
      </w:r>
      <w:r w:rsidR="00791BE9" w:rsidRPr="002C65E3">
        <w:rPr>
          <w:lang w:eastAsia="en-US"/>
        </w:rPr>
        <w:t> %</w:t>
      </w:r>
      <w:r w:rsidR="006F4911" w:rsidRPr="002C65E3">
        <w:rPr>
          <w:lang w:eastAsia="en-US"/>
        </w:rPr>
        <w:t xml:space="preserve"> de las personas entre 18 a 29 años son hombres y 61,6</w:t>
      </w:r>
      <w:r w:rsidR="00791BE9" w:rsidRPr="002C65E3">
        <w:rPr>
          <w:lang w:eastAsia="en-US"/>
        </w:rPr>
        <w:t> %</w:t>
      </w:r>
      <w:r w:rsidR="006F4911" w:rsidRPr="002C65E3">
        <w:rPr>
          <w:lang w:eastAsia="en-US"/>
        </w:rPr>
        <w:t xml:space="preserve"> entre 30 y 59 años; 98,1</w:t>
      </w:r>
      <w:r w:rsidR="00791BE9" w:rsidRPr="002C65E3">
        <w:rPr>
          <w:lang w:eastAsia="en-US"/>
        </w:rPr>
        <w:t> %</w:t>
      </w:r>
      <w:r w:rsidR="006F4911" w:rsidRPr="002C65E3">
        <w:rPr>
          <w:lang w:eastAsia="en-US"/>
        </w:rPr>
        <w:t xml:space="preserve"> es soltero; 98,1</w:t>
      </w:r>
      <w:r w:rsidR="00791BE9" w:rsidRPr="002C65E3">
        <w:rPr>
          <w:lang w:eastAsia="en-US"/>
        </w:rPr>
        <w:t> %</w:t>
      </w:r>
      <w:r w:rsidR="006F4911" w:rsidRPr="002C65E3">
        <w:rPr>
          <w:lang w:eastAsia="en-US"/>
        </w:rPr>
        <w:t xml:space="preserve"> se encuentra inscrita en el RND; 92</w:t>
      </w:r>
      <w:r w:rsidR="00791BE9" w:rsidRPr="002C65E3">
        <w:rPr>
          <w:lang w:eastAsia="en-US"/>
        </w:rPr>
        <w:t> %</w:t>
      </w:r>
      <w:r w:rsidR="006F4911" w:rsidRPr="002C65E3">
        <w:rPr>
          <w:lang w:eastAsia="en-US"/>
        </w:rPr>
        <w:t xml:space="preserve"> no sabe leer ni escribir, un 5</w:t>
      </w:r>
      <w:r w:rsidR="00791BE9" w:rsidRPr="002C65E3">
        <w:rPr>
          <w:lang w:eastAsia="en-US"/>
        </w:rPr>
        <w:t> %</w:t>
      </w:r>
      <w:r w:rsidR="006F4911" w:rsidRPr="002C65E3">
        <w:rPr>
          <w:lang w:eastAsia="en-US"/>
        </w:rPr>
        <w:t xml:space="preserve"> sí; 34,3</w:t>
      </w:r>
      <w:r w:rsidR="00791BE9" w:rsidRPr="002C65E3">
        <w:rPr>
          <w:lang w:eastAsia="en-US"/>
        </w:rPr>
        <w:t> %</w:t>
      </w:r>
      <w:r w:rsidR="006F4911" w:rsidRPr="002C65E3">
        <w:rPr>
          <w:lang w:eastAsia="en-US"/>
        </w:rPr>
        <w:t xml:space="preserve"> ingresó a la residencia entre 1990 y</w:t>
      </w:r>
      <w:r w:rsidR="00E02680" w:rsidRPr="002C65E3">
        <w:rPr>
          <w:lang w:eastAsia="en-US"/>
        </w:rPr>
        <w:t> </w:t>
      </w:r>
      <w:r w:rsidR="006F4911" w:rsidRPr="002C65E3">
        <w:rPr>
          <w:lang w:eastAsia="en-US"/>
        </w:rPr>
        <w:t>1999, 19,5</w:t>
      </w:r>
      <w:r w:rsidR="00791BE9" w:rsidRPr="002C65E3">
        <w:rPr>
          <w:lang w:eastAsia="en-US"/>
        </w:rPr>
        <w:t> %</w:t>
      </w:r>
      <w:r w:rsidR="006F4911" w:rsidRPr="002C65E3">
        <w:rPr>
          <w:lang w:eastAsia="en-US"/>
        </w:rPr>
        <w:t xml:space="preserve"> de los residentes ingresaron a la residencia entre 1980 y 1989, un 11</w:t>
      </w:r>
      <w:r w:rsidR="00791BE9" w:rsidRPr="002C65E3">
        <w:rPr>
          <w:lang w:eastAsia="en-US"/>
        </w:rPr>
        <w:t> %</w:t>
      </w:r>
      <w:r w:rsidR="006F4911" w:rsidRPr="002C65E3">
        <w:rPr>
          <w:lang w:eastAsia="en-US"/>
        </w:rPr>
        <w:t xml:space="preserve"> de los residentes ingresaron entre 1970 y 1979, un 19,3</w:t>
      </w:r>
      <w:r w:rsidR="00791BE9" w:rsidRPr="002C65E3">
        <w:rPr>
          <w:lang w:eastAsia="en-US"/>
        </w:rPr>
        <w:t> %</w:t>
      </w:r>
      <w:r w:rsidR="006F4911" w:rsidRPr="002C65E3">
        <w:rPr>
          <w:lang w:eastAsia="en-US"/>
        </w:rPr>
        <w:t xml:space="preserve"> de los residentes ingresó a la residencia entre 2000 y 2018; el 41</w:t>
      </w:r>
      <w:r w:rsidR="00791BE9" w:rsidRPr="002C65E3">
        <w:rPr>
          <w:lang w:eastAsia="en-US"/>
        </w:rPr>
        <w:t> %</w:t>
      </w:r>
      <w:r w:rsidR="006F4911" w:rsidRPr="002C65E3">
        <w:rPr>
          <w:lang w:eastAsia="en-US"/>
        </w:rPr>
        <w:t xml:space="preserve"> de los residentes reportó que su ingreso se debió a que el/la(s) persona(s) a cargo no podían satisfacer sus necesidades físicas y psicológicas básicas, el</w:t>
      </w:r>
      <w:r w:rsidR="00E02680" w:rsidRPr="002C65E3">
        <w:rPr>
          <w:lang w:eastAsia="en-US"/>
        </w:rPr>
        <w:t> </w:t>
      </w:r>
      <w:r w:rsidR="006F4911" w:rsidRPr="002C65E3">
        <w:rPr>
          <w:lang w:eastAsia="en-US"/>
        </w:rPr>
        <w:t>32,8</w:t>
      </w:r>
      <w:r w:rsidR="00791BE9" w:rsidRPr="002C65E3">
        <w:rPr>
          <w:lang w:eastAsia="en-US"/>
        </w:rPr>
        <w:t> %</w:t>
      </w:r>
      <w:r w:rsidR="006F4911" w:rsidRPr="002C65E3">
        <w:rPr>
          <w:lang w:eastAsia="en-US"/>
        </w:rPr>
        <w:t xml:space="preserve"> reportó que fue derivado por otra organización y el 23,9</w:t>
      </w:r>
      <w:r w:rsidR="00791BE9" w:rsidRPr="002C65E3">
        <w:rPr>
          <w:lang w:eastAsia="en-US"/>
        </w:rPr>
        <w:t> %</w:t>
      </w:r>
      <w:r w:rsidR="006F4911" w:rsidRPr="002C65E3">
        <w:rPr>
          <w:lang w:eastAsia="en-US"/>
        </w:rPr>
        <w:t xml:space="preserve"> que ingresó por situación de abandono, la mayoría de los residentes ingresó por orden de tribunales; sólo un</w:t>
      </w:r>
      <w:r w:rsidR="00E02680" w:rsidRPr="002C65E3">
        <w:rPr>
          <w:lang w:eastAsia="en-US"/>
        </w:rPr>
        <w:t> </w:t>
      </w:r>
      <w:r w:rsidR="006F4911" w:rsidRPr="002C65E3">
        <w:rPr>
          <w:lang w:eastAsia="en-US"/>
        </w:rPr>
        <w:t>22</w:t>
      </w:r>
      <w:r w:rsidR="00791BE9" w:rsidRPr="002C65E3">
        <w:rPr>
          <w:lang w:eastAsia="en-US"/>
        </w:rPr>
        <w:t> %</w:t>
      </w:r>
      <w:r w:rsidR="006F4911" w:rsidRPr="002C65E3">
        <w:rPr>
          <w:lang w:eastAsia="en-US"/>
        </w:rPr>
        <w:t xml:space="preserve"> tiene contacto con su familia de forma regular, al menos una vez al mes; 75,4</w:t>
      </w:r>
      <w:r w:rsidR="00791BE9" w:rsidRPr="002C65E3">
        <w:rPr>
          <w:lang w:eastAsia="en-US"/>
        </w:rPr>
        <w:t> %</w:t>
      </w:r>
      <w:r w:rsidR="006F4911" w:rsidRPr="002C65E3">
        <w:rPr>
          <w:lang w:eastAsia="en-US"/>
        </w:rPr>
        <w:t xml:space="preserve"> de los residentes está en situación de dependencia funcional severa.</w:t>
      </w:r>
    </w:p>
    <w:p w14:paraId="4F614F7D" w14:textId="6941585D" w:rsidR="006F4911" w:rsidRPr="002C65E3" w:rsidRDefault="00156F70" w:rsidP="00E02680">
      <w:pPr>
        <w:pStyle w:val="SingleTxtG"/>
        <w:rPr>
          <w:lang w:eastAsia="en-US"/>
        </w:rPr>
      </w:pPr>
      <w:r w:rsidRPr="002C65E3">
        <w:rPr>
          <w:lang w:eastAsia="en-US"/>
        </w:rPr>
        <w:lastRenderedPageBreak/>
        <w:t>116.</w:t>
      </w:r>
      <w:r w:rsidRPr="002C65E3">
        <w:rPr>
          <w:lang w:eastAsia="en-US"/>
        </w:rPr>
        <w:tab/>
      </w:r>
      <w:r w:rsidR="006F4911" w:rsidRPr="002C65E3">
        <w:rPr>
          <w:lang w:eastAsia="en-US"/>
        </w:rPr>
        <w:t>El programa Modelos Residenciales para Adultos con Discapacidad de SENADIS, hasta 2021, mantenía convenios con 27 residencias, con 1.088 personas beneficiarias, 459</w:t>
      </w:r>
      <w:r w:rsidR="00E02680" w:rsidRPr="002C65E3">
        <w:rPr>
          <w:lang w:eastAsia="en-US"/>
        </w:rPr>
        <w:t> </w:t>
      </w:r>
      <w:r w:rsidR="006F4911" w:rsidRPr="002C65E3">
        <w:rPr>
          <w:lang w:eastAsia="en-US"/>
        </w:rPr>
        <w:t>mujeres y 629 hombres, entre 18 y 59 años de edad, en 8 regiones del país.</w:t>
      </w:r>
    </w:p>
    <w:p w14:paraId="63335AFB" w14:textId="180D22EA" w:rsidR="006F4911" w:rsidRPr="002C65E3" w:rsidRDefault="00156F70" w:rsidP="00E02680">
      <w:pPr>
        <w:pStyle w:val="SingleTxtG"/>
        <w:rPr>
          <w:lang w:eastAsia="en-US"/>
        </w:rPr>
      </w:pPr>
      <w:r w:rsidRPr="002C65E3">
        <w:rPr>
          <w:lang w:eastAsia="en-US"/>
        </w:rPr>
        <w:t>117.</w:t>
      </w:r>
      <w:r w:rsidRPr="002C65E3">
        <w:rPr>
          <w:lang w:eastAsia="en-US"/>
        </w:rPr>
        <w:tab/>
      </w:r>
      <w:r w:rsidR="006F4911" w:rsidRPr="002C65E3">
        <w:rPr>
          <w:lang w:eastAsia="en-US"/>
        </w:rPr>
        <w:t xml:space="preserve">MINSAL mantiene 1.840 personas en hogares y residencias protegidas orientadas a la vida en comunidad y alrededor de 650 personas en unidades de mediana estadía, larga estadía y unidades de cumplimiento de condena forense psiquiátricas a nivel nacional. </w:t>
      </w:r>
    </w:p>
    <w:p w14:paraId="44363097" w14:textId="4E7F0DFE" w:rsidR="006F4911" w:rsidRPr="002C65E3" w:rsidRDefault="00156F70" w:rsidP="00E02680">
      <w:pPr>
        <w:pStyle w:val="SingleTxtG"/>
        <w:rPr>
          <w:lang w:eastAsia="en-US"/>
        </w:rPr>
      </w:pPr>
      <w:bookmarkStart w:id="36" w:name="_Ref122703707"/>
      <w:r w:rsidRPr="002C65E3">
        <w:rPr>
          <w:lang w:eastAsia="en-US"/>
        </w:rPr>
        <w:t>118.</w:t>
      </w:r>
      <w:r w:rsidRPr="002C65E3">
        <w:rPr>
          <w:lang w:eastAsia="en-US"/>
        </w:rPr>
        <w:tab/>
      </w:r>
      <w:r w:rsidR="006F4911" w:rsidRPr="002C65E3">
        <w:rPr>
          <w:lang w:eastAsia="en-US"/>
        </w:rPr>
        <w:t>Las medidas para prevención y tratamiento de COVID-19 para PcD institucionalizadas fueron reseñadas en párrafos</w:t>
      </w:r>
      <w:r w:rsidR="00776BAA" w:rsidRPr="002C65E3">
        <w:rPr>
          <w:lang w:eastAsia="en-US"/>
        </w:rPr>
        <w:t xml:space="preserve"> 55</w:t>
      </w:r>
      <w:r w:rsidR="006F4911" w:rsidRPr="002C65E3">
        <w:rPr>
          <w:lang w:eastAsia="en-US"/>
        </w:rPr>
        <w:t xml:space="preserve"> y siguientes. En cuanto a datos de PcD en residencias que contrajeron COVID-19, desde SENADIS, entre el 29.12.2020 y el 14.11.2021 hubo 104 contagios y 5 fallecimientos. En cuanto a la vacunación, 1.167</w:t>
      </w:r>
      <w:r w:rsidR="00312616" w:rsidRPr="002C65E3">
        <w:rPr>
          <w:lang w:eastAsia="en-US"/>
        </w:rPr>
        <w:t> </w:t>
      </w:r>
      <w:r w:rsidR="006F4911" w:rsidRPr="002C65E3">
        <w:rPr>
          <w:lang w:eastAsia="en-US"/>
        </w:rPr>
        <w:t>residentes accedieron a la primera dosis, 1.162 residentes a la segunda y 518 residentes a la tercera.</w:t>
      </w:r>
      <w:bookmarkEnd w:id="36"/>
      <w:r w:rsidR="006F4911" w:rsidRPr="002C65E3">
        <w:rPr>
          <w:lang w:eastAsia="en-US"/>
        </w:rPr>
        <w:t xml:space="preserve"> </w:t>
      </w:r>
    </w:p>
    <w:p w14:paraId="6DF2EFCA" w14:textId="174DBA0E" w:rsidR="006F4911" w:rsidRPr="002C65E3" w:rsidRDefault="00601662" w:rsidP="00E02680">
      <w:pPr>
        <w:pStyle w:val="H1G"/>
        <w:rPr>
          <w:lang w:eastAsia="en-US"/>
        </w:rPr>
      </w:pPr>
      <w:bookmarkStart w:id="37" w:name="_Toc122692622"/>
      <w:r w:rsidRPr="002C65E3">
        <w:rPr>
          <w:lang w:eastAsia="en-US"/>
        </w:rPr>
        <w:tab/>
      </w:r>
      <w:r w:rsidRPr="002C65E3">
        <w:rPr>
          <w:lang w:eastAsia="en-US"/>
        </w:rPr>
        <w:tab/>
      </w:r>
      <w:r w:rsidR="006F4911" w:rsidRPr="002C65E3">
        <w:rPr>
          <w:lang w:eastAsia="en-US"/>
        </w:rPr>
        <w:t>Artículo 18</w:t>
      </w:r>
      <w:bookmarkEnd w:id="37"/>
      <w:r w:rsidR="006F4911" w:rsidRPr="002C65E3">
        <w:rPr>
          <w:lang w:eastAsia="en-US"/>
        </w:rPr>
        <w:t xml:space="preserve"> </w:t>
      </w:r>
    </w:p>
    <w:p w14:paraId="1BE5F78B" w14:textId="77AEB48E" w:rsidR="006F4911" w:rsidRPr="002C65E3" w:rsidRDefault="00156F70" w:rsidP="00E02680">
      <w:pPr>
        <w:pStyle w:val="SingleTxtG"/>
        <w:rPr>
          <w:lang w:eastAsia="en-US"/>
        </w:rPr>
      </w:pPr>
      <w:r w:rsidRPr="002C65E3">
        <w:rPr>
          <w:lang w:eastAsia="en-US"/>
        </w:rPr>
        <w:t>119.</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21.430</w:t>
      </w:r>
      <w:r w:rsidR="006F4911" w:rsidRPr="002C65E3">
        <w:rPr>
          <w:rStyle w:val="Refdenotaalpie"/>
        </w:rPr>
        <w:footnoteReference w:id="186"/>
      </w:r>
      <w:r w:rsidR="006F4911" w:rsidRPr="002C65E3">
        <w:rPr>
          <w:lang w:eastAsia="en-US"/>
        </w:rPr>
        <w:t>, mandata al SRCeI disponer procedimientos sencillos y rápidos que permitan la inscripción de nacimiento de recién nacidos, su identificación oportuna y la de su nacionalidad, con independencia de su estatus migratorio o el de sus padres y/o madres. Esta ley estableció un marco para que el Estado adopte las medidas para la defensa y protección de los derechos de NNA, considerando los grupos de especial protección, incluidos NNA con discapacidad y pertenecientes a pueblos indígenas, prohibiendo la discriminación por tales motivos.</w:t>
      </w:r>
    </w:p>
    <w:p w14:paraId="60565D58" w14:textId="1EC48C93" w:rsidR="006F4911" w:rsidRPr="002C65E3" w:rsidRDefault="00156F70" w:rsidP="00E02680">
      <w:pPr>
        <w:pStyle w:val="SingleTxtG"/>
        <w:rPr>
          <w:lang w:eastAsia="en-US"/>
        </w:rPr>
      </w:pPr>
      <w:r w:rsidRPr="002C65E3">
        <w:rPr>
          <w:lang w:eastAsia="en-US"/>
        </w:rPr>
        <w:t>120.</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19.477</w:t>
      </w:r>
      <w:r w:rsidR="006F4911" w:rsidRPr="002C65E3">
        <w:rPr>
          <w:rStyle w:val="Refdenotaalpie"/>
        </w:rPr>
        <w:footnoteReference w:id="187"/>
      </w:r>
      <w:r w:rsidR="006F4911" w:rsidRPr="002C65E3">
        <w:rPr>
          <w:lang w:eastAsia="en-US"/>
        </w:rPr>
        <w:t xml:space="preserve"> permite al SRCeI crear Suboficinas, en el SML, en hospitales u otras entidades de salud. Las Suboficinas abiertas en un hospital tienen entre sus funciones registrar los nacimientos que ocurran dentro del establecimiento. La Ley N</w:t>
      </w:r>
      <w:r w:rsidR="00405113" w:rsidRPr="002C65E3">
        <w:rPr>
          <w:lang w:eastAsia="en-US"/>
        </w:rPr>
        <w:t>º </w:t>
      </w:r>
      <w:r w:rsidR="006F4911" w:rsidRPr="002C65E3">
        <w:rPr>
          <w:lang w:eastAsia="en-US"/>
        </w:rPr>
        <w:t>19.253</w:t>
      </w:r>
      <w:r w:rsidR="006F4911" w:rsidRPr="002C65E3">
        <w:rPr>
          <w:rStyle w:val="Refdenotaalpie"/>
        </w:rPr>
        <w:footnoteReference w:id="188"/>
      </w:r>
      <w:r w:rsidR="006F4911" w:rsidRPr="002C65E3">
        <w:rPr>
          <w:lang w:eastAsia="en-US"/>
        </w:rPr>
        <w:t>, establece la obligatoriedad del SRCeI de anotar los nombres y apellidos de las personas indígenas en la forma como lo expresan sus padres y con las normas de transcripción fonética que ellos indiquen.</w:t>
      </w:r>
    </w:p>
    <w:p w14:paraId="6C47EE9B" w14:textId="4358DA4C" w:rsidR="006F4911" w:rsidRPr="002C65E3" w:rsidRDefault="00156F70" w:rsidP="00E02680">
      <w:pPr>
        <w:pStyle w:val="SingleTxtG"/>
        <w:rPr>
          <w:lang w:eastAsia="en-US"/>
        </w:rPr>
      </w:pPr>
      <w:r w:rsidRPr="002C65E3">
        <w:rPr>
          <w:lang w:eastAsia="en-US"/>
        </w:rPr>
        <w:t>121.</w:t>
      </w:r>
      <w:r w:rsidRPr="002C65E3">
        <w:rPr>
          <w:lang w:eastAsia="en-US"/>
        </w:rPr>
        <w:tab/>
      </w:r>
      <w:r w:rsidR="006F4911" w:rsidRPr="002C65E3">
        <w:rPr>
          <w:lang w:eastAsia="en-US"/>
        </w:rPr>
        <w:t>En 2012, se firmó el convenio interinstitucional entre MINSAL, SRCeI e INE para la construcción de las estadísticas vitales del país. Desde 2013 se aprueba la norma general técnica Nº 160</w:t>
      </w:r>
      <w:r w:rsidR="006F4911" w:rsidRPr="002C65E3">
        <w:rPr>
          <w:rStyle w:val="Refdenotaalpie"/>
        </w:rPr>
        <w:footnoteReference w:id="189"/>
      </w:r>
      <w:r w:rsidR="006F4911" w:rsidRPr="002C65E3">
        <w:rPr>
          <w:lang w:eastAsia="en-US"/>
        </w:rPr>
        <w:t>, que aborda el sistema de información perinatal. En 2016, se publica la Norma Técnica Nº 820</w:t>
      </w:r>
      <w:r w:rsidR="006F4911" w:rsidRPr="002C65E3">
        <w:rPr>
          <w:rStyle w:val="Refdenotaalpie"/>
        </w:rPr>
        <w:footnoteReference w:id="190"/>
      </w:r>
      <w:r w:rsidR="006F4911" w:rsidRPr="002C65E3">
        <w:rPr>
          <w:lang w:eastAsia="en-US"/>
        </w:rPr>
        <w:t xml:space="preserve"> sobre estándares de información en salud, la cual plantea dentro de los estándares mínimos obligatorios la variable de pueblos originarios.</w:t>
      </w:r>
    </w:p>
    <w:p w14:paraId="1E9990E5" w14:textId="2C214E96" w:rsidR="006F4911" w:rsidRPr="002C65E3" w:rsidRDefault="00601662" w:rsidP="00E02680">
      <w:pPr>
        <w:pStyle w:val="H1G"/>
        <w:rPr>
          <w:lang w:eastAsia="en-US"/>
        </w:rPr>
      </w:pPr>
      <w:bookmarkStart w:id="38" w:name="_Toc122692623"/>
      <w:r w:rsidRPr="002C65E3">
        <w:rPr>
          <w:lang w:eastAsia="en-US"/>
        </w:rPr>
        <w:tab/>
      </w:r>
      <w:r w:rsidRPr="002C65E3">
        <w:rPr>
          <w:lang w:eastAsia="en-US"/>
        </w:rPr>
        <w:tab/>
      </w:r>
      <w:r w:rsidR="006F4911" w:rsidRPr="002C65E3">
        <w:rPr>
          <w:lang w:eastAsia="en-US"/>
        </w:rPr>
        <w:t>Artículo 19</w:t>
      </w:r>
      <w:bookmarkEnd w:id="38"/>
    </w:p>
    <w:p w14:paraId="045859EB" w14:textId="030DCC07" w:rsidR="006F4911" w:rsidRPr="002C65E3" w:rsidRDefault="00156F70" w:rsidP="00E02680">
      <w:pPr>
        <w:pStyle w:val="SingleTxtG"/>
        <w:rPr>
          <w:lang w:eastAsia="en-US"/>
        </w:rPr>
      </w:pPr>
      <w:r w:rsidRPr="002C65E3">
        <w:rPr>
          <w:lang w:eastAsia="en-US"/>
        </w:rPr>
        <w:t>122.</w:t>
      </w:r>
      <w:r w:rsidRPr="002C65E3">
        <w:rPr>
          <w:lang w:eastAsia="en-US"/>
        </w:rPr>
        <w:tab/>
      </w:r>
      <w:r w:rsidR="006F4911" w:rsidRPr="002C65E3">
        <w:rPr>
          <w:lang w:eastAsia="en-US"/>
        </w:rPr>
        <w:t>En la línea del derecho a la vida independiente, en 2019 SENADIS ejecutó REVELO en modalidad piloto en tres comunas, dos urbanas y una rural. Su fin fue contribuir al mejoramiento de la calidad de vida e inclusión social de PcD, dependencia y vulnerabilidad social, de 18 años y más, pertenecientes al 40</w:t>
      </w:r>
      <w:r w:rsidR="00791BE9" w:rsidRPr="002C65E3">
        <w:rPr>
          <w:lang w:eastAsia="en-US"/>
        </w:rPr>
        <w:t> %</w:t>
      </w:r>
      <w:r w:rsidR="006F4911" w:rsidRPr="002C65E3">
        <w:rPr>
          <w:lang w:eastAsia="en-US"/>
        </w:rPr>
        <w:t xml:space="preserve"> más vulnerable y sus cuidadores; busca la vinculación social de ellas con su comunidad. Como resultado, el programa fue ampliado a tres territorios más y se integró como parte de la Estrategia de Desarrollo Local Inclusivo de SENADIS</w:t>
      </w:r>
      <w:r w:rsidR="006F4911" w:rsidRPr="002C65E3">
        <w:rPr>
          <w:rStyle w:val="Refdenotaalpie"/>
        </w:rPr>
        <w:footnoteReference w:id="191"/>
      </w:r>
      <w:r w:rsidR="00E86D58" w:rsidRPr="002C65E3">
        <w:rPr>
          <w:lang w:eastAsia="en-US"/>
        </w:rPr>
        <w:t>.</w:t>
      </w:r>
    </w:p>
    <w:p w14:paraId="4C7E2CBD" w14:textId="42604A43" w:rsidR="006F4911" w:rsidRPr="002C65E3" w:rsidRDefault="00156F70" w:rsidP="00E02680">
      <w:pPr>
        <w:pStyle w:val="SingleTxtG"/>
        <w:rPr>
          <w:lang w:eastAsia="en-US"/>
        </w:rPr>
      </w:pPr>
      <w:r w:rsidRPr="002C65E3">
        <w:rPr>
          <w:lang w:eastAsia="en-US"/>
        </w:rPr>
        <w:t>123.</w:t>
      </w:r>
      <w:r w:rsidRPr="002C65E3">
        <w:rPr>
          <w:lang w:eastAsia="en-US"/>
        </w:rPr>
        <w:tab/>
      </w:r>
      <w:r w:rsidR="006F4911" w:rsidRPr="002C65E3">
        <w:rPr>
          <w:lang w:eastAsia="en-US"/>
        </w:rPr>
        <w:t xml:space="preserve">El TVI de SENADIS se implementó a nivel nacional, en sus tres modalidades de financiamiento: individual, colectiva y de capacitación, dando respuesta al proceso de transición a la vida independiente y el apoyo comunitario de las PcD. A 2021, se encontraban </w:t>
      </w:r>
      <w:r w:rsidR="006F4911" w:rsidRPr="002C65E3">
        <w:rPr>
          <w:lang w:eastAsia="en-US"/>
        </w:rPr>
        <w:lastRenderedPageBreak/>
        <w:t xml:space="preserve">en ejecución 168 proyectos individuales y 44 colectivos que entregan los cuatros componentes del programa: servicios de apoyo y cuidados, servicios de intermediación, adaptaciones del entorno y capacitación. En 2017, se difundió por SENADIS el documento </w:t>
      </w:r>
      <w:r w:rsidR="00791BE9" w:rsidRPr="002C65E3">
        <w:rPr>
          <w:lang w:eastAsia="en-US"/>
        </w:rPr>
        <w:t>“</w:t>
      </w:r>
      <w:r w:rsidR="006F4911" w:rsidRPr="002C65E3">
        <w:rPr>
          <w:lang w:eastAsia="en-US"/>
        </w:rPr>
        <w:t>Buenas Prácticas en materias de Servicios de Apoyo para la Vida Independiente</w:t>
      </w:r>
      <w:r w:rsidR="00791BE9" w:rsidRPr="002C65E3">
        <w:rPr>
          <w:lang w:eastAsia="en-US"/>
        </w:rPr>
        <w:t>”</w:t>
      </w:r>
      <w:r w:rsidR="006F4911" w:rsidRPr="002C65E3">
        <w:rPr>
          <w:rStyle w:val="Refdenotaalpie"/>
        </w:rPr>
        <w:footnoteReference w:id="192"/>
      </w:r>
      <w:r w:rsidR="006F4911" w:rsidRPr="002C65E3">
        <w:rPr>
          <w:lang w:eastAsia="en-US"/>
        </w:rPr>
        <w:t>, una compilación de experiencias desde SENADIS.</w:t>
      </w:r>
    </w:p>
    <w:p w14:paraId="1F873A7C" w14:textId="2D76D1ED" w:rsidR="006F4911" w:rsidRPr="002C65E3" w:rsidRDefault="00156F70" w:rsidP="00E02680">
      <w:pPr>
        <w:pStyle w:val="SingleTxtG"/>
        <w:rPr>
          <w:lang w:eastAsia="en-US"/>
        </w:rPr>
      </w:pPr>
      <w:r w:rsidRPr="002C65E3">
        <w:rPr>
          <w:lang w:eastAsia="en-US"/>
        </w:rPr>
        <w:t>124.</w:t>
      </w:r>
      <w:r w:rsidRPr="002C65E3">
        <w:rPr>
          <w:lang w:eastAsia="en-US"/>
        </w:rPr>
        <w:tab/>
      </w:r>
      <w:r w:rsidR="006F4911" w:rsidRPr="002C65E3">
        <w:rPr>
          <w:lang w:eastAsia="en-US"/>
        </w:rPr>
        <w:t>Chilevalora</w:t>
      </w:r>
      <w:r w:rsidR="006F4911" w:rsidRPr="002C65E3">
        <w:rPr>
          <w:rStyle w:val="Refdenotaalpie"/>
        </w:rPr>
        <w:footnoteReference w:id="193"/>
      </w:r>
      <w:r w:rsidR="006F4911" w:rsidRPr="002C65E3">
        <w:rPr>
          <w:lang w:eastAsia="en-US"/>
        </w:rPr>
        <w:t xml:space="preserve"> levantó el perfil de asistentes y cuidadores/as de enfermos, que consiste en otorgar servicios de cuidados primarios a personas en situación de dependencia y vulneración de derechos, según necesidades diagnosticadas y normativa vigente. A su vez, SENADIS a través de convenio con el SRCeI, realiza la evaluación de los requisitos para la inscripción de personas naturales como servicios de apoyo o asistencia.</w:t>
      </w:r>
    </w:p>
    <w:p w14:paraId="21DB6923" w14:textId="044D8869" w:rsidR="006F4911" w:rsidRPr="002C65E3" w:rsidRDefault="00156F70" w:rsidP="00E02680">
      <w:pPr>
        <w:pStyle w:val="SingleTxtG"/>
        <w:rPr>
          <w:lang w:eastAsia="en-US"/>
        </w:rPr>
      </w:pPr>
      <w:r w:rsidRPr="002C65E3">
        <w:rPr>
          <w:lang w:eastAsia="en-US"/>
        </w:rPr>
        <w:t>125.</w:t>
      </w:r>
      <w:r w:rsidRPr="002C65E3">
        <w:rPr>
          <w:lang w:eastAsia="en-US"/>
        </w:rPr>
        <w:tab/>
      </w:r>
      <w:r w:rsidR="006F4911" w:rsidRPr="002C65E3">
        <w:rPr>
          <w:lang w:eastAsia="en-US"/>
        </w:rPr>
        <w:t>MINVU ha implementado un diseño accesible en los programas urbanos</w:t>
      </w:r>
      <w:r w:rsidR="006F4911" w:rsidRPr="002C65E3">
        <w:rPr>
          <w:rStyle w:val="Refdenotaalpie"/>
        </w:rPr>
        <w:footnoteReference w:id="194"/>
      </w:r>
      <w:r w:rsidR="006F4911" w:rsidRPr="002C65E3">
        <w:rPr>
          <w:lang w:eastAsia="en-US"/>
        </w:rPr>
        <w:t xml:space="preserve">. Se han implementado pilotos del Plan de Accesibilidad Universal </w:t>
      </w:r>
      <w:r w:rsidR="00791BE9" w:rsidRPr="002C65E3">
        <w:rPr>
          <w:lang w:eastAsia="en-US"/>
        </w:rPr>
        <w:t>“</w:t>
      </w:r>
      <w:r w:rsidR="006F4911" w:rsidRPr="002C65E3">
        <w:rPr>
          <w:lang w:eastAsia="en-US"/>
        </w:rPr>
        <w:t>Ciudad Inclusiva</w:t>
      </w:r>
      <w:r w:rsidR="00791BE9" w:rsidRPr="002C65E3">
        <w:rPr>
          <w:lang w:eastAsia="en-US"/>
        </w:rPr>
        <w:t>”</w:t>
      </w:r>
      <w:r w:rsidR="006F4911" w:rsidRPr="002C65E3">
        <w:rPr>
          <w:lang w:eastAsia="en-US"/>
        </w:rPr>
        <w:t xml:space="preserve"> en diversas ciudades. En 2018, se elaboró la Guía de Soluciones Accesibles para Espacios Públicos y Viviendas para PcD</w:t>
      </w:r>
      <w:r w:rsidR="006F4911" w:rsidRPr="002C65E3">
        <w:rPr>
          <w:rStyle w:val="Refdenotaalpie"/>
        </w:rPr>
        <w:footnoteReference w:id="195"/>
      </w:r>
      <w:r w:rsidR="006F4911" w:rsidRPr="002C65E3">
        <w:rPr>
          <w:lang w:eastAsia="en-US"/>
        </w:rPr>
        <w:t>.</w:t>
      </w:r>
    </w:p>
    <w:p w14:paraId="795D1F21" w14:textId="59BF1D40" w:rsidR="006F4911" w:rsidRPr="002C65E3" w:rsidRDefault="00156F70" w:rsidP="00E02680">
      <w:pPr>
        <w:pStyle w:val="SingleTxtG"/>
        <w:rPr>
          <w:lang w:eastAsia="en-US"/>
        </w:rPr>
      </w:pPr>
      <w:r w:rsidRPr="002C65E3">
        <w:rPr>
          <w:lang w:eastAsia="en-US"/>
        </w:rPr>
        <w:t>126.</w:t>
      </w:r>
      <w:r w:rsidRPr="002C65E3">
        <w:rPr>
          <w:lang w:eastAsia="en-US"/>
        </w:rPr>
        <w:tab/>
      </w:r>
      <w:r w:rsidR="006F4911" w:rsidRPr="002C65E3">
        <w:rPr>
          <w:lang w:eastAsia="en-US"/>
        </w:rPr>
        <w:t>En materia de desinstitucionalización, desde MINSAL se encuentran rediseñando el Programa Nacional de Hogares y Residencias Protegidas, que implica cambios significativos a la Ley N</w:t>
      </w:r>
      <w:r w:rsidR="00405113" w:rsidRPr="002C65E3">
        <w:rPr>
          <w:lang w:eastAsia="en-US"/>
        </w:rPr>
        <w:t>º </w:t>
      </w:r>
      <w:r w:rsidR="006F4911" w:rsidRPr="002C65E3">
        <w:rPr>
          <w:lang w:eastAsia="en-US"/>
        </w:rPr>
        <w:t>21.331</w:t>
      </w:r>
      <w:r w:rsidR="006F4911" w:rsidRPr="002C65E3">
        <w:rPr>
          <w:rStyle w:val="Refdenotaalpie"/>
        </w:rPr>
        <w:footnoteReference w:id="196"/>
      </w:r>
      <w:r w:rsidR="006F4911" w:rsidRPr="002C65E3">
        <w:rPr>
          <w:lang w:eastAsia="en-US"/>
        </w:rPr>
        <w:t>. Con el Servicio de Salud Aconcagua, se trabaja un piloto que permitiría desinstitucionalizar alrededor de 30 personas que llevan entre 30-40 años viviendo en el Hospital Psiquiátrico Philippe Pinel de Putaendo. El Plan Nacional de Salud Mental y su Plan de Acción, mantiene medidas orientadas a la desinstitucionalización con metas asociadas para los años 2022-2025.</w:t>
      </w:r>
    </w:p>
    <w:p w14:paraId="048036C5" w14:textId="79461818" w:rsidR="006F4911" w:rsidRPr="002C65E3" w:rsidRDefault="00156F70" w:rsidP="00E02680">
      <w:pPr>
        <w:pStyle w:val="SingleTxtG"/>
        <w:rPr>
          <w:lang w:eastAsia="en-US"/>
        </w:rPr>
      </w:pPr>
      <w:r w:rsidRPr="002C65E3">
        <w:rPr>
          <w:lang w:eastAsia="en-US"/>
        </w:rPr>
        <w:t>127.</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21.430</w:t>
      </w:r>
      <w:r w:rsidR="006F4911" w:rsidRPr="002C65E3">
        <w:rPr>
          <w:rStyle w:val="Refdenotaalpie"/>
        </w:rPr>
        <w:footnoteReference w:id="197"/>
      </w:r>
      <w:r w:rsidR="006F4911" w:rsidRPr="002C65E3">
        <w:rPr>
          <w:lang w:eastAsia="en-US"/>
        </w:rPr>
        <w:t xml:space="preserve"> dispone que todo NNA tiene derecho a ejercer su libertad personal y su autonomía según lo permita su edad, madurez y grado de desarrollo. En consecuencia, la aplicación de la internación provisoria será excepcional. Además, señala expresamente que la situación de discapacidad de un NNA nunca podrá emplearse como fundamento para negar los derechos consagrados en esta ley. </w:t>
      </w:r>
    </w:p>
    <w:p w14:paraId="45C1C7C2" w14:textId="78D56AFB" w:rsidR="006F4911" w:rsidRPr="002C65E3" w:rsidRDefault="00156F70" w:rsidP="00E02680">
      <w:pPr>
        <w:pStyle w:val="SingleTxtG"/>
        <w:rPr>
          <w:lang w:eastAsia="en-US"/>
        </w:rPr>
      </w:pPr>
      <w:r w:rsidRPr="002C65E3">
        <w:rPr>
          <w:lang w:eastAsia="en-US"/>
        </w:rPr>
        <w:t>128.</w:t>
      </w:r>
      <w:r w:rsidRPr="002C65E3">
        <w:rPr>
          <w:lang w:eastAsia="en-US"/>
        </w:rPr>
        <w:tab/>
      </w:r>
      <w:r w:rsidR="006F4911" w:rsidRPr="002C65E3">
        <w:rPr>
          <w:lang w:eastAsia="en-US"/>
        </w:rPr>
        <w:t>Los párrafos</w:t>
      </w:r>
      <w:r w:rsidR="00776BAA" w:rsidRPr="002C65E3">
        <w:rPr>
          <w:lang w:eastAsia="en-US"/>
        </w:rPr>
        <w:t xml:space="preserve"> 89-90</w:t>
      </w:r>
      <w:r w:rsidR="006F4911" w:rsidRPr="002C65E3">
        <w:rPr>
          <w:lang w:eastAsia="en-US"/>
        </w:rPr>
        <w:t xml:space="preserve"> se refieren al internamiento forzado por motivos de discapacidad. </w:t>
      </w:r>
    </w:p>
    <w:p w14:paraId="36192D0D" w14:textId="3A2C60B2" w:rsidR="006F4911" w:rsidRPr="002C65E3" w:rsidRDefault="007A755F" w:rsidP="00E02680">
      <w:pPr>
        <w:pStyle w:val="H1G"/>
        <w:rPr>
          <w:lang w:eastAsia="en-US"/>
        </w:rPr>
      </w:pPr>
      <w:bookmarkStart w:id="39" w:name="_Toc122692624"/>
      <w:r w:rsidRPr="002C65E3">
        <w:rPr>
          <w:lang w:eastAsia="en-US"/>
        </w:rPr>
        <w:tab/>
      </w:r>
      <w:r w:rsidRPr="002C65E3">
        <w:rPr>
          <w:lang w:eastAsia="en-US"/>
        </w:rPr>
        <w:tab/>
      </w:r>
      <w:r w:rsidR="006F4911" w:rsidRPr="002C65E3">
        <w:rPr>
          <w:lang w:eastAsia="en-US"/>
        </w:rPr>
        <w:t>Artículo 21</w:t>
      </w:r>
      <w:bookmarkEnd w:id="39"/>
    </w:p>
    <w:p w14:paraId="7EE221D0" w14:textId="44D912E1" w:rsidR="006F4911" w:rsidRPr="002C65E3" w:rsidRDefault="00156F70" w:rsidP="00E02680">
      <w:pPr>
        <w:pStyle w:val="SingleTxtG"/>
        <w:rPr>
          <w:lang w:eastAsia="en-US"/>
        </w:rPr>
      </w:pPr>
      <w:r w:rsidRPr="002C65E3">
        <w:rPr>
          <w:lang w:eastAsia="en-US"/>
        </w:rPr>
        <w:t>129.</w:t>
      </w:r>
      <w:r w:rsidRPr="002C65E3">
        <w:rPr>
          <w:lang w:eastAsia="en-US"/>
        </w:rPr>
        <w:tab/>
      </w:r>
      <w:r w:rsidR="006F4911" w:rsidRPr="002C65E3">
        <w:rPr>
          <w:lang w:eastAsia="en-US"/>
        </w:rPr>
        <w:t>El párrafo</w:t>
      </w:r>
      <w:r w:rsidR="00776BAA" w:rsidRPr="002C65E3">
        <w:rPr>
          <w:lang w:eastAsia="en-US"/>
        </w:rPr>
        <w:t xml:space="preserve"> 44</w:t>
      </w:r>
      <w:r w:rsidR="006F4911" w:rsidRPr="002C65E3">
        <w:rPr>
          <w:lang w:eastAsia="en-US"/>
        </w:rPr>
        <w:t xml:space="preserve"> se refiere a la Ley N</w:t>
      </w:r>
      <w:r w:rsidR="00405113" w:rsidRPr="002C65E3">
        <w:rPr>
          <w:lang w:eastAsia="en-US"/>
        </w:rPr>
        <w:t>º </w:t>
      </w:r>
      <w:r w:rsidR="006F4911" w:rsidRPr="002C65E3">
        <w:rPr>
          <w:lang w:eastAsia="en-US"/>
        </w:rPr>
        <w:t xml:space="preserve">21.303. El Estado se obliga a promover, respetar y a hacer respetar los derechos culturales y lingüísticos de las personas sordas, asegurando el acceso a servicios públicos y privados, a la educación, al mercado laboral, la salud y demás ámbitos de la vida en sociedad en LSCH. </w:t>
      </w:r>
    </w:p>
    <w:p w14:paraId="44381D73" w14:textId="12835CDA" w:rsidR="006F4911" w:rsidRPr="002C65E3" w:rsidRDefault="00156F70" w:rsidP="00E02680">
      <w:pPr>
        <w:pStyle w:val="SingleTxtG"/>
        <w:rPr>
          <w:lang w:eastAsia="en-US"/>
        </w:rPr>
      </w:pPr>
      <w:r w:rsidRPr="002C65E3">
        <w:rPr>
          <w:lang w:eastAsia="en-US"/>
        </w:rPr>
        <w:t>130.</w:t>
      </w:r>
      <w:r w:rsidRPr="002C65E3">
        <w:rPr>
          <w:lang w:eastAsia="en-US"/>
        </w:rPr>
        <w:tab/>
      </w:r>
      <w:r w:rsidR="006F4911" w:rsidRPr="002C65E3">
        <w:rPr>
          <w:lang w:eastAsia="en-US"/>
        </w:rPr>
        <w:t>Sobre los sistemas de comunicación y la accesibilidad de la información pública en medios de comunicación, véase el párrafo</w:t>
      </w:r>
      <w:r w:rsidR="00776BAA" w:rsidRPr="002C65E3">
        <w:rPr>
          <w:lang w:eastAsia="en-US"/>
        </w:rPr>
        <w:t xml:space="preserve"> 43</w:t>
      </w:r>
      <w:r w:rsidR="006F4911" w:rsidRPr="002C65E3">
        <w:rPr>
          <w:lang w:eastAsia="en-US"/>
        </w:rPr>
        <w:t>.</w:t>
      </w:r>
    </w:p>
    <w:p w14:paraId="37CEAC67" w14:textId="567CD2E4" w:rsidR="006F4911" w:rsidRPr="002C65E3" w:rsidRDefault="00156F70" w:rsidP="00E02680">
      <w:pPr>
        <w:pStyle w:val="SingleTxtG"/>
        <w:rPr>
          <w:lang w:eastAsia="en-US"/>
        </w:rPr>
      </w:pPr>
      <w:r w:rsidRPr="002C65E3">
        <w:rPr>
          <w:lang w:eastAsia="en-US"/>
        </w:rPr>
        <w:t>131.</w:t>
      </w:r>
      <w:r w:rsidRPr="002C65E3">
        <w:rPr>
          <w:lang w:eastAsia="en-US"/>
        </w:rPr>
        <w:tab/>
      </w:r>
      <w:r w:rsidR="006F4911" w:rsidRPr="002C65E3">
        <w:rPr>
          <w:lang w:eastAsia="en-US"/>
        </w:rPr>
        <w:t>La accesibilidad web de los sitios del Estado, se encuentra regulada mediante la Resolución Exenta N</w:t>
      </w:r>
      <w:r w:rsidR="00405113" w:rsidRPr="002C65E3">
        <w:rPr>
          <w:lang w:eastAsia="en-US"/>
        </w:rPr>
        <w:t>º </w:t>
      </w:r>
      <w:r w:rsidR="006F4911" w:rsidRPr="002C65E3">
        <w:rPr>
          <w:lang w:eastAsia="en-US"/>
        </w:rPr>
        <w:t>1773</w:t>
      </w:r>
      <w:r w:rsidR="006F4911" w:rsidRPr="002C65E3">
        <w:rPr>
          <w:rStyle w:val="Refdenotaalpie"/>
        </w:rPr>
        <w:footnoteReference w:id="198"/>
      </w:r>
      <w:r w:rsidR="006F4911" w:rsidRPr="002C65E3">
        <w:rPr>
          <w:lang w:eastAsia="en-US"/>
        </w:rPr>
        <w:t>, de 2016 del MTT, que instruye diseño y ejecución de planes de transformación de sitios web accesibles, y por el Decreto N</w:t>
      </w:r>
      <w:r w:rsidR="00405113" w:rsidRPr="002C65E3">
        <w:rPr>
          <w:lang w:eastAsia="en-US"/>
        </w:rPr>
        <w:t>º </w:t>
      </w:r>
      <w:r w:rsidR="006F4911" w:rsidRPr="002C65E3">
        <w:rPr>
          <w:lang w:eastAsia="en-US"/>
        </w:rPr>
        <w:t>1</w:t>
      </w:r>
      <w:r w:rsidR="006F4911" w:rsidRPr="002C65E3">
        <w:rPr>
          <w:rStyle w:val="Refdenotaalpie"/>
        </w:rPr>
        <w:footnoteReference w:id="199"/>
      </w:r>
      <w:r w:rsidR="006F4911" w:rsidRPr="002C65E3">
        <w:rPr>
          <w:lang w:eastAsia="en-US"/>
        </w:rPr>
        <w:t>, de SEGPRES (párr.</w:t>
      </w:r>
      <w:r w:rsidR="00776BAA" w:rsidRPr="002C65E3">
        <w:rPr>
          <w:lang w:eastAsia="en-US"/>
        </w:rPr>
        <w:t xml:space="preserve"> 46</w:t>
      </w:r>
      <w:r w:rsidR="006F4911" w:rsidRPr="002C65E3">
        <w:rPr>
          <w:lang w:eastAsia="en-US"/>
        </w:rPr>
        <w:t xml:space="preserve">). </w:t>
      </w:r>
    </w:p>
    <w:p w14:paraId="0EB8CD47" w14:textId="7A0FB0DE" w:rsidR="006F4911" w:rsidRPr="002C65E3" w:rsidRDefault="00156F70" w:rsidP="00E02680">
      <w:pPr>
        <w:pStyle w:val="SingleTxtG"/>
        <w:rPr>
          <w:lang w:eastAsia="en-US"/>
        </w:rPr>
      </w:pPr>
      <w:r w:rsidRPr="002C65E3">
        <w:rPr>
          <w:lang w:eastAsia="en-US"/>
        </w:rPr>
        <w:t>132.</w:t>
      </w:r>
      <w:r w:rsidRPr="002C65E3">
        <w:rPr>
          <w:lang w:eastAsia="en-US"/>
        </w:rPr>
        <w:tab/>
      </w:r>
      <w:r w:rsidR="006F4911" w:rsidRPr="002C65E3">
        <w:rPr>
          <w:lang w:eastAsia="en-US"/>
        </w:rPr>
        <w:t xml:space="preserve">Se han realizado diversas acciones para profesionalizar a los intérpretes de LSCH y garantizar su disponibilidad en los establecimientos educacionales e instituciones de educación superior. En 2018, se conformó el Organismo Sectorial de Competencias </w:t>
      </w:r>
      <w:r w:rsidR="006F4911" w:rsidRPr="002C65E3">
        <w:rPr>
          <w:lang w:eastAsia="en-US"/>
        </w:rPr>
        <w:lastRenderedPageBreak/>
        <w:t>Laborales de LSCH</w:t>
      </w:r>
      <w:r w:rsidR="006F4911" w:rsidRPr="002C65E3">
        <w:rPr>
          <w:rStyle w:val="Refdenotaalpie"/>
        </w:rPr>
        <w:footnoteReference w:id="200"/>
      </w:r>
      <w:r w:rsidR="006F4911" w:rsidRPr="002C65E3">
        <w:rPr>
          <w:lang w:eastAsia="en-US"/>
        </w:rPr>
        <w:t>, que levantó dos perfiles laborales: Instructores Sordos de LSCH y cultura sorda</w:t>
      </w:r>
      <w:r w:rsidR="006F4911" w:rsidRPr="002C65E3">
        <w:rPr>
          <w:rStyle w:val="Refdenotaalpie"/>
        </w:rPr>
        <w:footnoteReference w:id="201"/>
      </w:r>
      <w:r w:rsidR="006F4911" w:rsidRPr="002C65E3">
        <w:rPr>
          <w:lang w:eastAsia="en-US"/>
        </w:rPr>
        <w:t xml:space="preserve"> y Co-Educadores Sordos de LSCH y cultura sorda</w:t>
      </w:r>
      <w:r w:rsidR="006F4911" w:rsidRPr="002C65E3">
        <w:rPr>
          <w:rStyle w:val="Refdenotaalpie"/>
        </w:rPr>
        <w:footnoteReference w:id="202"/>
      </w:r>
      <w:r w:rsidR="006F4911" w:rsidRPr="002C65E3">
        <w:rPr>
          <w:lang w:eastAsia="en-US"/>
        </w:rPr>
        <w:t>. Complementariamente, se construyeron dos planes formativos a partir de los estándares definidos en los perfiles ocupacionales desarrollados: Herramientas metodológicas para el instructor sordo de LSCH y Cultura Sorda</w:t>
      </w:r>
      <w:r w:rsidR="006F4911" w:rsidRPr="002C65E3">
        <w:rPr>
          <w:rStyle w:val="Refdenotaalpie"/>
        </w:rPr>
        <w:footnoteReference w:id="203"/>
      </w:r>
      <w:r w:rsidR="006F4911" w:rsidRPr="002C65E3">
        <w:rPr>
          <w:lang w:eastAsia="en-US"/>
        </w:rPr>
        <w:t>; Herramientas metodológicas para el co</w:t>
      </w:r>
      <w:r w:rsidR="00E02680" w:rsidRPr="002C65E3">
        <w:rPr>
          <w:lang w:eastAsia="en-US"/>
        </w:rPr>
        <w:noBreakHyphen/>
      </w:r>
      <w:r w:rsidR="006F4911" w:rsidRPr="002C65E3">
        <w:rPr>
          <w:lang w:eastAsia="en-US"/>
        </w:rPr>
        <w:t>educador sordo de LSCH</w:t>
      </w:r>
      <w:r w:rsidR="006F4911" w:rsidRPr="002C65E3">
        <w:rPr>
          <w:rStyle w:val="Refdenotaalpie"/>
        </w:rPr>
        <w:footnoteReference w:id="204"/>
      </w:r>
      <w:r w:rsidR="006F4911" w:rsidRPr="002C65E3">
        <w:rPr>
          <w:lang w:eastAsia="en-US"/>
        </w:rPr>
        <w:t xml:space="preserve">. </w:t>
      </w:r>
    </w:p>
    <w:p w14:paraId="62A7D8CF" w14:textId="768BEA65" w:rsidR="006F4911" w:rsidRPr="002C65E3" w:rsidRDefault="00156F70" w:rsidP="00E02680">
      <w:pPr>
        <w:pStyle w:val="SingleTxtG"/>
        <w:rPr>
          <w:lang w:eastAsia="en-US"/>
        </w:rPr>
      </w:pPr>
      <w:r w:rsidRPr="002C65E3">
        <w:rPr>
          <w:lang w:eastAsia="en-US"/>
        </w:rPr>
        <w:t>133.</w:t>
      </w:r>
      <w:r w:rsidRPr="002C65E3">
        <w:rPr>
          <w:lang w:eastAsia="en-US"/>
        </w:rPr>
        <w:tab/>
      </w:r>
      <w:r w:rsidR="006F4911" w:rsidRPr="002C65E3">
        <w:rPr>
          <w:lang w:eastAsia="en-US"/>
        </w:rPr>
        <w:t>En 2020, MINEDUC realizó un ciclo de reuniones de trabajo con universidades de diferentes regiones para levantar una propuesta de carrera para intérprete de LSCH, logrando, en 2022, una propuesta preliminar que contempla una malla curricular para una carrera de pregrado de 8 semestres.</w:t>
      </w:r>
    </w:p>
    <w:p w14:paraId="5C3569FE" w14:textId="5F1CFFBD" w:rsidR="006F4911" w:rsidRPr="002C65E3" w:rsidRDefault="00156F70" w:rsidP="00E02680">
      <w:pPr>
        <w:pStyle w:val="SingleTxtG"/>
        <w:rPr>
          <w:lang w:eastAsia="en-US"/>
        </w:rPr>
      </w:pPr>
      <w:r w:rsidRPr="002C65E3">
        <w:rPr>
          <w:lang w:eastAsia="en-US"/>
        </w:rPr>
        <w:t>134.</w:t>
      </w:r>
      <w:r w:rsidRPr="002C65E3">
        <w:rPr>
          <w:lang w:eastAsia="en-US"/>
        </w:rPr>
        <w:tab/>
      </w:r>
      <w:r w:rsidR="006F4911" w:rsidRPr="002C65E3">
        <w:rPr>
          <w:lang w:eastAsia="en-US"/>
        </w:rPr>
        <w:t>Desde 2014 a la fecha, se ha incrementado el número de intérpretes de LSCH en establecimientos educacionales del país.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00" w:firstRow="0" w:lastRow="0" w:firstColumn="0" w:lastColumn="0" w:noHBand="0" w:noVBand="1"/>
      </w:tblPr>
      <w:tblGrid>
        <w:gridCol w:w="2212"/>
        <w:gridCol w:w="624"/>
        <w:gridCol w:w="662"/>
        <w:gridCol w:w="642"/>
        <w:gridCol w:w="642"/>
        <w:gridCol w:w="632"/>
        <w:gridCol w:w="662"/>
        <w:gridCol w:w="632"/>
        <w:gridCol w:w="662"/>
      </w:tblGrid>
      <w:tr w:rsidR="00D14EF7" w:rsidRPr="002C65E3" w14:paraId="61D17291" w14:textId="77777777" w:rsidTr="00D14EF7">
        <w:trPr>
          <w:trHeight w:val="240"/>
          <w:tblHeader/>
        </w:trPr>
        <w:tc>
          <w:tcPr>
            <w:tcW w:w="2895" w:type="dxa"/>
            <w:shd w:val="clear" w:color="auto" w:fill="auto"/>
            <w:tcMar>
              <w:top w:w="0" w:type="dxa"/>
              <w:left w:w="0" w:type="dxa"/>
              <w:bottom w:w="0" w:type="dxa"/>
              <w:right w:w="0" w:type="dxa"/>
            </w:tcMar>
            <w:vAlign w:val="bottom"/>
          </w:tcPr>
          <w:p w14:paraId="08302B97" w14:textId="77777777" w:rsidR="006F4911" w:rsidRPr="002C65E3" w:rsidRDefault="006F4911" w:rsidP="00D14EF7">
            <w:pPr>
              <w:spacing w:before="80" w:after="80" w:line="200" w:lineRule="exact"/>
              <w:rPr>
                <w:rFonts w:eastAsia="Times New Roman"/>
                <w:i/>
                <w:sz w:val="16"/>
                <w:lang w:eastAsia="en-US"/>
              </w:rPr>
            </w:pPr>
            <w:r w:rsidRPr="002C65E3">
              <w:rPr>
                <w:rFonts w:eastAsia="Times New Roman"/>
                <w:i/>
                <w:sz w:val="16"/>
                <w:lang w:eastAsia="en-US"/>
              </w:rPr>
              <w:t>Cantidad de Profesionales</w:t>
            </w:r>
          </w:p>
        </w:tc>
        <w:tc>
          <w:tcPr>
            <w:tcW w:w="720" w:type="dxa"/>
            <w:shd w:val="clear" w:color="auto" w:fill="auto"/>
            <w:tcMar>
              <w:top w:w="0" w:type="dxa"/>
              <w:left w:w="0" w:type="dxa"/>
              <w:bottom w:w="0" w:type="dxa"/>
              <w:right w:w="0" w:type="dxa"/>
            </w:tcMar>
            <w:vAlign w:val="bottom"/>
          </w:tcPr>
          <w:p w14:paraId="3B04EC10"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2014</w:t>
            </w:r>
          </w:p>
        </w:tc>
        <w:tc>
          <w:tcPr>
            <w:tcW w:w="780" w:type="dxa"/>
            <w:shd w:val="clear" w:color="auto" w:fill="auto"/>
            <w:tcMar>
              <w:top w:w="0" w:type="dxa"/>
              <w:left w:w="0" w:type="dxa"/>
              <w:bottom w:w="0" w:type="dxa"/>
              <w:right w:w="0" w:type="dxa"/>
            </w:tcMar>
            <w:vAlign w:val="bottom"/>
          </w:tcPr>
          <w:p w14:paraId="46E10218"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2015</w:t>
            </w:r>
          </w:p>
        </w:tc>
        <w:tc>
          <w:tcPr>
            <w:tcW w:w="750" w:type="dxa"/>
            <w:shd w:val="clear" w:color="auto" w:fill="auto"/>
            <w:tcMar>
              <w:top w:w="0" w:type="dxa"/>
              <w:left w:w="0" w:type="dxa"/>
              <w:bottom w:w="0" w:type="dxa"/>
              <w:right w:w="0" w:type="dxa"/>
            </w:tcMar>
            <w:vAlign w:val="bottom"/>
          </w:tcPr>
          <w:p w14:paraId="411A3C38"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2016</w:t>
            </w:r>
          </w:p>
        </w:tc>
        <w:tc>
          <w:tcPr>
            <w:tcW w:w="750" w:type="dxa"/>
            <w:shd w:val="clear" w:color="auto" w:fill="auto"/>
            <w:tcMar>
              <w:top w:w="0" w:type="dxa"/>
              <w:left w:w="0" w:type="dxa"/>
              <w:bottom w:w="0" w:type="dxa"/>
              <w:right w:w="0" w:type="dxa"/>
            </w:tcMar>
            <w:vAlign w:val="bottom"/>
          </w:tcPr>
          <w:p w14:paraId="26850098"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2017</w:t>
            </w:r>
          </w:p>
        </w:tc>
        <w:tc>
          <w:tcPr>
            <w:tcW w:w="735" w:type="dxa"/>
            <w:shd w:val="clear" w:color="auto" w:fill="auto"/>
            <w:tcMar>
              <w:top w:w="0" w:type="dxa"/>
              <w:left w:w="0" w:type="dxa"/>
              <w:bottom w:w="0" w:type="dxa"/>
              <w:right w:w="0" w:type="dxa"/>
            </w:tcMar>
            <w:vAlign w:val="bottom"/>
          </w:tcPr>
          <w:p w14:paraId="57748F4C"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2018</w:t>
            </w:r>
          </w:p>
        </w:tc>
        <w:tc>
          <w:tcPr>
            <w:tcW w:w="780" w:type="dxa"/>
            <w:shd w:val="clear" w:color="auto" w:fill="auto"/>
            <w:tcMar>
              <w:top w:w="0" w:type="dxa"/>
              <w:left w:w="0" w:type="dxa"/>
              <w:bottom w:w="0" w:type="dxa"/>
              <w:right w:w="0" w:type="dxa"/>
            </w:tcMar>
            <w:vAlign w:val="bottom"/>
          </w:tcPr>
          <w:p w14:paraId="2DAA4CC6"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2019</w:t>
            </w:r>
          </w:p>
        </w:tc>
        <w:tc>
          <w:tcPr>
            <w:tcW w:w="735" w:type="dxa"/>
            <w:shd w:val="clear" w:color="auto" w:fill="auto"/>
            <w:tcMar>
              <w:top w:w="0" w:type="dxa"/>
              <w:left w:w="0" w:type="dxa"/>
              <w:bottom w:w="0" w:type="dxa"/>
              <w:right w:w="0" w:type="dxa"/>
            </w:tcMar>
            <w:vAlign w:val="bottom"/>
          </w:tcPr>
          <w:p w14:paraId="79500C90"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2020</w:t>
            </w:r>
          </w:p>
        </w:tc>
        <w:tc>
          <w:tcPr>
            <w:tcW w:w="780" w:type="dxa"/>
            <w:shd w:val="clear" w:color="auto" w:fill="auto"/>
            <w:tcMar>
              <w:top w:w="0" w:type="dxa"/>
              <w:left w:w="0" w:type="dxa"/>
              <w:bottom w:w="0" w:type="dxa"/>
              <w:right w:w="0" w:type="dxa"/>
            </w:tcMar>
            <w:vAlign w:val="bottom"/>
          </w:tcPr>
          <w:p w14:paraId="0EFED8D7" w14:textId="77777777" w:rsidR="006F4911" w:rsidRPr="002C65E3" w:rsidRDefault="006F4911" w:rsidP="00D14EF7">
            <w:pPr>
              <w:spacing w:before="80" w:after="80" w:line="200" w:lineRule="exact"/>
              <w:ind w:left="85" w:right="28"/>
              <w:jc w:val="right"/>
              <w:rPr>
                <w:rFonts w:eastAsia="Times New Roman"/>
                <w:i/>
                <w:sz w:val="16"/>
                <w:lang w:eastAsia="en-US"/>
              </w:rPr>
            </w:pPr>
            <w:r w:rsidRPr="002C65E3">
              <w:rPr>
                <w:rFonts w:eastAsia="Times New Roman"/>
                <w:i/>
                <w:sz w:val="16"/>
                <w:lang w:eastAsia="en-US"/>
              </w:rPr>
              <w:t>2021</w:t>
            </w:r>
          </w:p>
        </w:tc>
      </w:tr>
      <w:tr w:rsidR="00D14EF7" w:rsidRPr="002C65E3" w14:paraId="374DC7FA" w14:textId="77777777" w:rsidTr="00D14EF7">
        <w:trPr>
          <w:trHeight w:val="240"/>
        </w:trPr>
        <w:tc>
          <w:tcPr>
            <w:tcW w:w="2895" w:type="dxa"/>
            <w:shd w:val="clear" w:color="auto" w:fill="auto"/>
            <w:tcMar>
              <w:top w:w="0" w:type="dxa"/>
              <w:left w:w="0" w:type="dxa"/>
              <w:bottom w:w="0" w:type="dxa"/>
              <w:right w:w="0" w:type="dxa"/>
            </w:tcMar>
          </w:tcPr>
          <w:p w14:paraId="3B2502F0"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Intérprete de LSCH</w:t>
            </w:r>
          </w:p>
        </w:tc>
        <w:tc>
          <w:tcPr>
            <w:tcW w:w="720" w:type="dxa"/>
            <w:shd w:val="clear" w:color="auto" w:fill="auto"/>
            <w:tcMar>
              <w:top w:w="0" w:type="dxa"/>
              <w:left w:w="0" w:type="dxa"/>
              <w:bottom w:w="0" w:type="dxa"/>
              <w:right w:w="0" w:type="dxa"/>
            </w:tcMar>
            <w:vAlign w:val="bottom"/>
          </w:tcPr>
          <w:p w14:paraId="15EE77FF"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131</w:t>
            </w:r>
          </w:p>
        </w:tc>
        <w:tc>
          <w:tcPr>
            <w:tcW w:w="780" w:type="dxa"/>
            <w:shd w:val="clear" w:color="auto" w:fill="auto"/>
            <w:tcMar>
              <w:top w:w="0" w:type="dxa"/>
              <w:left w:w="0" w:type="dxa"/>
              <w:bottom w:w="0" w:type="dxa"/>
              <w:right w:w="0" w:type="dxa"/>
            </w:tcMar>
            <w:vAlign w:val="bottom"/>
          </w:tcPr>
          <w:p w14:paraId="787E3E0F"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167</w:t>
            </w:r>
          </w:p>
        </w:tc>
        <w:tc>
          <w:tcPr>
            <w:tcW w:w="750" w:type="dxa"/>
            <w:shd w:val="clear" w:color="auto" w:fill="auto"/>
            <w:tcMar>
              <w:top w:w="0" w:type="dxa"/>
              <w:left w:w="0" w:type="dxa"/>
              <w:bottom w:w="0" w:type="dxa"/>
              <w:right w:w="0" w:type="dxa"/>
            </w:tcMar>
            <w:vAlign w:val="bottom"/>
          </w:tcPr>
          <w:p w14:paraId="1E1FD025"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199</w:t>
            </w:r>
          </w:p>
        </w:tc>
        <w:tc>
          <w:tcPr>
            <w:tcW w:w="750" w:type="dxa"/>
            <w:shd w:val="clear" w:color="auto" w:fill="auto"/>
            <w:tcMar>
              <w:top w:w="0" w:type="dxa"/>
              <w:left w:w="0" w:type="dxa"/>
              <w:bottom w:w="0" w:type="dxa"/>
              <w:right w:w="0" w:type="dxa"/>
            </w:tcMar>
            <w:vAlign w:val="bottom"/>
          </w:tcPr>
          <w:p w14:paraId="4580D74F"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216</w:t>
            </w:r>
          </w:p>
        </w:tc>
        <w:tc>
          <w:tcPr>
            <w:tcW w:w="735" w:type="dxa"/>
            <w:shd w:val="clear" w:color="auto" w:fill="auto"/>
            <w:tcMar>
              <w:top w:w="0" w:type="dxa"/>
              <w:left w:w="0" w:type="dxa"/>
              <w:bottom w:w="0" w:type="dxa"/>
              <w:right w:w="0" w:type="dxa"/>
            </w:tcMar>
            <w:vAlign w:val="bottom"/>
          </w:tcPr>
          <w:p w14:paraId="7AD0D08E"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227</w:t>
            </w:r>
          </w:p>
        </w:tc>
        <w:tc>
          <w:tcPr>
            <w:tcW w:w="780" w:type="dxa"/>
            <w:shd w:val="clear" w:color="auto" w:fill="auto"/>
            <w:tcMar>
              <w:top w:w="0" w:type="dxa"/>
              <w:left w:w="0" w:type="dxa"/>
              <w:bottom w:w="0" w:type="dxa"/>
              <w:right w:w="0" w:type="dxa"/>
            </w:tcMar>
            <w:vAlign w:val="bottom"/>
          </w:tcPr>
          <w:p w14:paraId="37DDD624"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259</w:t>
            </w:r>
          </w:p>
        </w:tc>
        <w:tc>
          <w:tcPr>
            <w:tcW w:w="735" w:type="dxa"/>
            <w:shd w:val="clear" w:color="auto" w:fill="auto"/>
            <w:tcMar>
              <w:top w:w="0" w:type="dxa"/>
              <w:left w:w="0" w:type="dxa"/>
              <w:bottom w:w="0" w:type="dxa"/>
              <w:right w:w="0" w:type="dxa"/>
            </w:tcMar>
            <w:vAlign w:val="bottom"/>
          </w:tcPr>
          <w:p w14:paraId="546CF4F9"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237</w:t>
            </w:r>
          </w:p>
        </w:tc>
        <w:tc>
          <w:tcPr>
            <w:tcW w:w="780" w:type="dxa"/>
            <w:shd w:val="clear" w:color="auto" w:fill="auto"/>
            <w:tcMar>
              <w:top w:w="0" w:type="dxa"/>
              <w:left w:w="0" w:type="dxa"/>
              <w:bottom w:w="0" w:type="dxa"/>
              <w:right w:w="0" w:type="dxa"/>
            </w:tcMar>
            <w:vAlign w:val="bottom"/>
          </w:tcPr>
          <w:p w14:paraId="72FEE2C0" w14:textId="77777777" w:rsidR="006F4911" w:rsidRPr="002C65E3" w:rsidRDefault="006F4911" w:rsidP="00D14EF7">
            <w:pPr>
              <w:spacing w:before="40" w:after="40" w:line="220" w:lineRule="exact"/>
              <w:ind w:left="85" w:right="28"/>
              <w:jc w:val="right"/>
              <w:rPr>
                <w:rFonts w:eastAsia="Times New Roman"/>
                <w:sz w:val="18"/>
                <w:lang w:eastAsia="en-US"/>
              </w:rPr>
            </w:pPr>
            <w:r w:rsidRPr="002C65E3">
              <w:rPr>
                <w:rFonts w:eastAsia="Times New Roman"/>
                <w:sz w:val="18"/>
                <w:lang w:eastAsia="en-US"/>
              </w:rPr>
              <w:t>235</w:t>
            </w:r>
          </w:p>
        </w:tc>
      </w:tr>
    </w:tbl>
    <w:p w14:paraId="3DFD8EC6" w14:textId="77777777" w:rsidR="006F4911" w:rsidRPr="002C65E3" w:rsidRDefault="006F4911" w:rsidP="00E02680">
      <w:pPr>
        <w:pStyle w:val="SingleTxtG"/>
        <w:spacing w:before="120" w:after="240"/>
        <w:ind w:firstLine="170"/>
        <w:rPr>
          <w:sz w:val="18"/>
          <w:szCs w:val="18"/>
          <w:lang w:eastAsia="en-US"/>
        </w:rPr>
      </w:pPr>
      <w:r w:rsidRPr="002C65E3">
        <w:rPr>
          <w:i/>
          <w:iCs/>
          <w:sz w:val="18"/>
          <w:szCs w:val="18"/>
          <w:lang w:eastAsia="en-US"/>
        </w:rPr>
        <w:t>Fuente:</w:t>
      </w:r>
      <w:r w:rsidRPr="002C65E3">
        <w:rPr>
          <w:sz w:val="18"/>
          <w:szCs w:val="18"/>
          <w:lang w:eastAsia="en-US"/>
        </w:rPr>
        <w:t xml:space="preserve"> Informe Técnico PIE, Operaciones PIE.</w:t>
      </w:r>
    </w:p>
    <w:p w14:paraId="435B0A4F" w14:textId="2ADAA2A4" w:rsidR="006F4911" w:rsidRPr="002C65E3" w:rsidRDefault="00156F70" w:rsidP="00D14EF7">
      <w:pPr>
        <w:pStyle w:val="SingleTxtG"/>
        <w:rPr>
          <w:lang w:eastAsia="en-US"/>
        </w:rPr>
      </w:pPr>
      <w:r w:rsidRPr="002C65E3">
        <w:rPr>
          <w:lang w:eastAsia="en-US"/>
        </w:rPr>
        <w:t>135.</w:t>
      </w:r>
      <w:r w:rsidRPr="002C65E3">
        <w:rPr>
          <w:lang w:eastAsia="en-US"/>
        </w:rPr>
        <w:tab/>
      </w:r>
      <w:r w:rsidR="006F4911" w:rsidRPr="002C65E3">
        <w:rPr>
          <w:lang w:eastAsia="en-US"/>
        </w:rPr>
        <w:t>Adicionalmente a las medidas señaladas en los párrafos</w:t>
      </w:r>
      <w:r w:rsidR="00776BAA" w:rsidRPr="002C65E3">
        <w:rPr>
          <w:lang w:eastAsia="en-US"/>
        </w:rPr>
        <w:t xml:space="preserve"> 55-67</w:t>
      </w:r>
      <w:r w:rsidR="006F4911" w:rsidRPr="002C65E3">
        <w:rPr>
          <w:lang w:eastAsia="en-US"/>
        </w:rPr>
        <w:t xml:space="preserve">, MINSAL, SENADIS y organizaciones de la sociedad civil, elaboraron en lenguaje amigable, información sobre el coronavirus y su prevención; la cuarentena, aduanas y permisos sanitarios; y recomendaciones para PcD, sus familias y cuidadores. Asimismo, cápsulas educativas accesibles en LSCH y subtitulado: </w:t>
      </w:r>
      <w:r w:rsidR="00791BE9" w:rsidRPr="002C65E3">
        <w:rPr>
          <w:lang w:eastAsia="en-US"/>
        </w:rPr>
        <w:t>“</w:t>
      </w:r>
      <w:r w:rsidR="006F4911" w:rsidRPr="002C65E3">
        <w:rPr>
          <w:lang w:eastAsia="en-US"/>
        </w:rPr>
        <w:t>Cuidado de pacientes en el hogar</w:t>
      </w:r>
      <w:r w:rsidR="00791BE9" w:rsidRPr="002C65E3">
        <w:rPr>
          <w:lang w:eastAsia="en-US"/>
        </w:rPr>
        <w:t>”</w:t>
      </w:r>
      <w:r w:rsidR="006F4911" w:rsidRPr="002C65E3">
        <w:rPr>
          <w:rStyle w:val="Refdenotaalpie"/>
        </w:rPr>
        <w:footnoteReference w:id="205"/>
      </w:r>
      <w:r w:rsidR="006F4911" w:rsidRPr="002C65E3">
        <w:rPr>
          <w:lang w:eastAsia="en-US"/>
        </w:rPr>
        <w:t xml:space="preserve">, </w:t>
      </w:r>
      <w:r w:rsidR="00791BE9" w:rsidRPr="002C65E3">
        <w:rPr>
          <w:lang w:eastAsia="en-US"/>
        </w:rPr>
        <w:t>“</w:t>
      </w:r>
      <w:r w:rsidR="006F4911" w:rsidRPr="002C65E3">
        <w:rPr>
          <w:lang w:eastAsia="en-US"/>
        </w:rPr>
        <w:t>Síntomas</w:t>
      </w:r>
      <w:r w:rsidR="00791BE9" w:rsidRPr="002C65E3">
        <w:rPr>
          <w:lang w:eastAsia="en-US"/>
        </w:rPr>
        <w:t>”</w:t>
      </w:r>
      <w:r w:rsidR="006F4911" w:rsidRPr="002C65E3">
        <w:rPr>
          <w:rStyle w:val="Refdenotaalpie"/>
        </w:rPr>
        <w:footnoteReference w:id="206"/>
      </w:r>
      <w:r w:rsidR="006F4911" w:rsidRPr="002C65E3">
        <w:rPr>
          <w:rFonts w:asciiTheme="majorBidi" w:eastAsia="Arial" w:hAnsiTheme="majorBidi" w:cstheme="majorBidi"/>
          <w:lang w:eastAsia="en-US"/>
        </w:rPr>
        <w:t>,</w:t>
      </w:r>
      <w:r w:rsidR="006F4911" w:rsidRPr="002C65E3">
        <w:rPr>
          <w:lang w:eastAsia="en-US"/>
        </w:rPr>
        <w:t xml:space="preserve"> </w:t>
      </w:r>
      <w:r w:rsidR="00791BE9" w:rsidRPr="002C65E3">
        <w:rPr>
          <w:lang w:eastAsia="en-US"/>
        </w:rPr>
        <w:t>“</w:t>
      </w:r>
      <w:r w:rsidR="006F4911" w:rsidRPr="002C65E3">
        <w:rPr>
          <w:lang w:eastAsia="en-US"/>
        </w:rPr>
        <w:t>Cómo prevenirlo</w:t>
      </w:r>
      <w:r w:rsidR="00791BE9" w:rsidRPr="002C65E3">
        <w:rPr>
          <w:lang w:eastAsia="en-US"/>
        </w:rPr>
        <w:t>”</w:t>
      </w:r>
      <w:r w:rsidR="006F4911" w:rsidRPr="002C65E3">
        <w:rPr>
          <w:rStyle w:val="Refdenotaalpie"/>
        </w:rPr>
        <w:footnoteReference w:id="207"/>
      </w:r>
      <w:r w:rsidR="006F4911" w:rsidRPr="002C65E3">
        <w:rPr>
          <w:lang w:eastAsia="en-US"/>
        </w:rPr>
        <w:t xml:space="preserve">, </w:t>
      </w:r>
      <w:r w:rsidR="00791BE9" w:rsidRPr="002C65E3">
        <w:rPr>
          <w:lang w:eastAsia="en-US"/>
        </w:rPr>
        <w:t>“</w:t>
      </w:r>
      <w:r w:rsidR="006F4911" w:rsidRPr="002C65E3">
        <w:rPr>
          <w:lang w:eastAsia="en-US"/>
        </w:rPr>
        <w:t>Cuarentena coronavirus</w:t>
      </w:r>
      <w:r w:rsidR="00791BE9" w:rsidRPr="002C65E3">
        <w:rPr>
          <w:lang w:eastAsia="en-US"/>
        </w:rPr>
        <w:t>”</w:t>
      </w:r>
      <w:r w:rsidR="006F4911" w:rsidRPr="002C65E3">
        <w:rPr>
          <w:rStyle w:val="Refdenotaalpie"/>
        </w:rPr>
        <w:footnoteReference w:id="208"/>
      </w:r>
      <w:r w:rsidR="006F4911" w:rsidRPr="002C65E3">
        <w:rPr>
          <w:lang w:eastAsia="en-US"/>
        </w:rPr>
        <w:t xml:space="preserve">, </w:t>
      </w:r>
      <w:r w:rsidR="00791BE9" w:rsidRPr="002C65E3">
        <w:rPr>
          <w:lang w:eastAsia="en-US"/>
        </w:rPr>
        <w:t>“</w:t>
      </w:r>
      <w:r w:rsidR="006F4911" w:rsidRPr="002C65E3">
        <w:rPr>
          <w:lang w:eastAsia="en-US"/>
        </w:rPr>
        <w:t>Aislamiento domiciliario 1</w:t>
      </w:r>
      <w:r w:rsidR="00791BE9" w:rsidRPr="002C65E3">
        <w:rPr>
          <w:lang w:eastAsia="en-US"/>
        </w:rPr>
        <w:t>”</w:t>
      </w:r>
      <w:r w:rsidR="006F4911" w:rsidRPr="002C65E3">
        <w:rPr>
          <w:rStyle w:val="Refdenotaalpie"/>
        </w:rPr>
        <w:footnoteReference w:id="209"/>
      </w:r>
      <w:r w:rsidR="006F4911" w:rsidRPr="002C65E3">
        <w:rPr>
          <w:lang w:eastAsia="en-US"/>
        </w:rPr>
        <w:t xml:space="preserve">, </w:t>
      </w:r>
      <w:r w:rsidR="00791BE9" w:rsidRPr="002C65E3">
        <w:rPr>
          <w:lang w:eastAsia="en-US"/>
        </w:rPr>
        <w:t>“</w:t>
      </w:r>
      <w:r w:rsidR="006F4911" w:rsidRPr="002C65E3">
        <w:rPr>
          <w:lang w:eastAsia="en-US"/>
        </w:rPr>
        <w:t>Aislamiento domiciliario 2</w:t>
      </w:r>
      <w:r w:rsidR="00791BE9" w:rsidRPr="002C65E3">
        <w:rPr>
          <w:lang w:eastAsia="en-US"/>
        </w:rPr>
        <w:t>”</w:t>
      </w:r>
      <w:r w:rsidR="006F4911" w:rsidRPr="002C65E3">
        <w:rPr>
          <w:rStyle w:val="Refdenotaalpie"/>
        </w:rPr>
        <w:footnoteReference w:id="210"/>
      </w:r>
      <w:r w:rsidR="006F4911" w:rsidRPr="002C65E3">
        <w:rPr>
          <w:lang w:eastAsia="en-US"/>
        </w:rPr>
        <w:t xml:space="preserve"> </w:t>
      </w:r>
      <w:r w:rsidR="00791BE9" w:rsidRPr="002C65E3">
        <w:rPr>
          <w:lang w:eastAsia="en-US"/>
        </w:rPr>
        <w:t>“</w:t>
      </w:r>
      <w:r w:rsidR="006F4911" w:rsidRPr="002C65E3">
        <w:rPr>
          <w:lang w:eastAsia="en-US"/>
        </w:rPr>
        <w:t>C</w:t>
      </w:r>
      <w:hyperlink r:id="rId18">
        <w:r w:rsidR="006F4911" w:rsidRPr="002C65E3">
          <w:rPr>
            <w:lang w:eastAsia="en-US"/>
          </w:rPr>
          <w:t>ómo prevenimos el COVID-19</w:t>
        </w:r>
      </w:hyperlink>
      <w:r w:rsidR="00BD72DF" w:rsidRPr="002C65E3">
        <w:rPr>
          <w:lang w:eastAsia="en-US"/>
        </w:rPr>
        <w:t>”</w:t>
      </w:r>
      <w:r w:rsidR="006F4911" w:rsidRPr="002C65E3">
        <w:rPr>
          <w:rStyle w:val="Refdenotaalpie"/>
        </w:rPr>
        <w:footnoteReference w:id="211"/>
      </w:r>
      <w:r w:rsidR="006F4911" w:rsidRPr="002C65E3">
        <w:rPr>
          <w:lang w:eastAsia="en-US"/>
        </w:rPr>
        <w:t xml:space="preserve">, </w:t>
      </w:r>
      <w:r w:rsidR="00791BE9" w:rsidRPr="002C65E3">
        <w:rPr>
          <w:lang w:eastAsia="en-US"/>
        </w:rPr>
        <w:t>“</w:t>
      </w:r>
      <w:r w:rsidR="006F4911" w:rsidRPr="002C65E3">
        <w:rPr>
          <w:lang w:eastAsia="en-US"/>
        </w:rPr>
        <w:t>Aprende del COVID</w:t>
      </w:r>
      <w:r w:rsidR="00BD72DF" w:rsidRPr="002C65E3">
        <w:rPr>
          <w:lang w:eastAsia="en-US"/>
        </w:rPr>
        <w:noBreakHyphen/>
      </w:r>
      <w:r w:rsidR="006F4911" w:rsidRPr="002C65E3">
        <w:rPr>
          <w:lang w:eastAsia="en-US"/>
        </w:rPr>
        <w:t>19 y sus síntomas</w:t>
      </w:r>
      <w:r w:rsidR="00791BE9" w:rsidRPr="002C65E3">
        <w:rPr>
          <w:lang w:eastAsia="en-US"/>
        </w:rPr>
        <w:t>”</w:t>
      </w:r>
      <w:r w:rsidR="006F4911" w:rsidRPr="002C65E3">
        <w:rPr>
          <w:rStyle w:val="Refdenotaalpie"/>
        </w:rPr>
        <w:footnoteReference w:id="212"/>
      </w:r>
      <w:r w:rsidR="006F4911" w:rsidRPr="002C65E3">
        <w:rPr>
          <w:lang w:eastAsia="en-US"/>
        </w:rPr>
        <w:t xml:space="preserve">, </w:t>
      </w:r>
      <w:r w:rsidR="00791BE9" w:rsidRPr="002C65E3">
        <w:rPr>
          <w:lang w:eastAsia="en-US"/>
        </w:rPr>
        <w:t>“</w:t>
      </w:r>
      <w:r w:rsidR="006F4911" w:rsidRPr="002C65E3">
        <w:rPr>
          <w:lang w:eastAsia="en-US"/>
        </w:rPr>
        <w:t>Residencias sanitarias</w:t>
      </w:r>
      <w:r w:rsidR="00791BE9" w:rsidRPr="002C65E3">
        <w:rPr>
          <w:lang w:eastAsia="en-US"/>
        </w:rPr>
        <w:t>”</w:t>
      </w:r>
      <w:r w:rsidR="006F4911" w:rsidRPr="002C65E3">
        <w:rPr>
          <w:rStyle w:val="Refdenotaalpie"/>
        </w:rPr>
        <w:footnoteReference w:id="213"/>
      </w:r>
      <w:r w:rsidR="006F4911" w:rsidRPr="002C65E3">
        <w:rPr>
          <w:lang w:eastAsia="en-US"/>
        </w:rPr>
        <w:t xml:space="preserve">, entre otros. </w:t>
      </w:r>
    </w:p>
    <w:p w14:paraId="16A76460" w14:textId="43E2CC36" w:rsidR="006F4911" w:rsidRPr="002C65E3" w:rsidRDefault="006F4911" w:rsidP="00D14EF7">
      <w:pPr>
        <w:pStyle w:val="H1G"/>
        <w:rPr>
          <w:lang w:eastAsia="en-US"/>
        </w:rPr>
      </w:pPr>
      <w:r w:rsidRPr="002C65E3">
        <w:rPr>
          <w:lang w:eastAsia="en-US"/>
        </w:rPr>
        <w:tab/>
      </w:r>
      <w:bookmarkStart w:id="40" w:name="_Toc122692625"/>
      <w:r w:rsidR="00E32FEA" w:rsidRPr="002C65E3">
        <w:rPr>
          <w:lang w:eastAsia="en-US"/>
        </w:rPr>
        <w:tab/>
      </w:r>
      <w:r w:rsidR="00E32FEA" w:rsidRPr="002C65E3">
        <w:rPr>
          <w:lang w:eastAsia="en-US"/>
        </w:rPr>
        <w:tab/>
      </w:r>
      <w:r w:rsidRPr="002C65E3">
        <w:rPr>
          <w:lang w:eastAsia="en-US"/>
        </w:rPr>
        <w:t>Artículo 23</w:t>
      </w:r>
      <w:bookmarkEnd w:id="40"/>
      <w:r w:rsidRPr="002C65E3">
        <w:rPr>
          <w:lang w:eastAsia="en-US"/>
        </w:rPr>
        <w:t xml:space="preserve"> </w:t>
      </w:r>
    </w:p>
    <w:p w14:paraId="2EC26B07" w14:textId="5D9E2571" w:rsidR="006F4911" w:rsidRPr="002C65E3" w:rsidRDefault="00156F70" w:rsidP="00D14EF7">
      <w:pPr>
        <w:pStyle w:val="SingleTxtG"/>
        <w:rPr>
          <w:lang w:eastAsia="en-US"/>
        </w:rPr>
      </w:pPr>
      <w:r w:rsidRPr="002C65E3">
        <w:rPr>
          <w:lang w:eastAsia="en-US"/>
        </w:rPr>
        <w:t>136.</w:t>
      </w:r>
      <w:r w:rsidRPr="002C65E3">
        <w:rPr>
          <w:lang w:eastAsia="en-US"/>
        </w:rPr>
        <w:tab/>
      </w:r>
      <w:r w:rsidR="006F4911" w:rsidRPr="002C65E3">
        <w:rPr>
          <w:lang w:eastAsia="en-US"/>
        </w:rPr>
        <w:t>Si bien a la fecha no hay modificaciones al CC, existen PdL sobre capacidad jurídica. Destacan los referidos en los párrafos</w:t>
      </w:r>
      <w:r w:rsidR="00776BAA" w:rsidRPr="002C65E3">
        <w:rPr>
          <w:lang w:eastAsia="en-US"/>
        </w:rPr>
        <w:t xml:space="preserve"> 71</w:t>
      </w:r>
      <w:r w:rsidR="006F4911" w:rsidRPr="002C65E3">
        <w:rPr>
          <w:lang w:eastAsia="en-US"/>
        </w:rPr>
        <w:t xml:space="preserve"> y siguientes. Por ejemplo, el Boletín N</w:t>
      </w:r>
      <w:r w:rsidR="00405113" w:rsidRPr="002C65E3">
        <w:rPr>
          <w:lang w:eastAsia="en-US"/>
        </w:rPr>
        <w:t>º </w:t>
      </w:r>
      <w:r w:rsidR="006F4911" w:rsidRPr="002C65E3">
        <w:rPr>
          <w:lang w:eastAsia="en-US"/>
        </w:rPr>
        <w:t>12.441</w:t>
      </w:r>
      <w:r w:rsidR="00312616" w:rsidRPr="002C65E3">
        <w:rPr>
          <w:lang w:eastAsia="en-US"/>
        </w:rPr>
        <w:noBreakHyphen/>
      </w:r>
      <w:r w:rsidR="006F4911" w:rsidRPr="002C65E3">
        <w:rPr>
          <w:lang w:eastAsia="en-US"/>
        </w:rPr>
        <w:t>17</w:t>
      </w:r>
      <w:r w:rsidR="006F4911" w:rsidRPr="002C65E3">
        <w:rPr>
          <w:rStyle w:val="Refdenotaalpie"/>
        </w:rPr>
        <w:footnoteReference w:id="214"/>
      </w:r>
      <w:r w:rsidR="006F4911" w:rsidRPr="002C65E3">
        <w:rPr>
          <w:lang w:eastAsia="en-US"/>
        </w:rPr>
        <w:t xml:space="preserve"> propone suprimir la incapacidad respecto de </w:t>
      </w:r>
      <w:r w:rsidR="00791BE9" w:rsidRPr="002C65E3">
        <w:rPr>
          <w:lang w:eastAsia="en-US"/>
        </w:rPr>
        <w:t>“</w:t>
      </w:r>
      <w:r w:rsidR="006F4911" w:rsidRPr="002C65E3">
        <w:rPr>
          <w:lang w:eastAsia="en-US"/>
        </w:rPr>
        <w:t>ciegos</w:t>
      </w:r>
      <w:r w:rsidR="00791BE9" w:rsidRPr="002C65E3">
        <w:rPr>
          <w:lang w:eastAsia="en-US"/>
        </w:rPr>
        <w:t>”</w:t>
      </w:r>
      <w:r w:rsidR="006F4911" w:rsidRPr="002C65E3">
        <w:rPr>
          <w:lang w:eastAsia="en-US"/>
        </w:rPr>
        <w:t xml:space="preserve">, </w:t>
      </w:r>
      <w:r w:rsidR="00791BE9" w:rsidRPr="002C65E3">
        <w:rPr>
          <w:lang w:eastAsia="en-US"/>
        </w:rPr>
        <w:t>“</w:t>
      </w:r>
      <w:r w:rsidR="006F4911" w:rsidRPr="002C65E3">
        <w:rPr>
          <w:lang w:eastAsia="en-US"/>
        </w:rPr>
        <w:t>mudos</w:t>
      </w:r>
      <w:r w:rsidR="00791BE9" w:rsidRPr="002C65E3">
        <w:rPr>
          <w:lang w:eastAsia="en-US"/>
        </w:rPr>
        <w:t>”</w:t>
      </w:r>
      <w:r w:rsidR="006F4911" w:rsidRPr="002C65E3">
        <w:rPr>
          <w:lang w:eastAsia="en-US"/>
        </w:rPr>
        <w:t xml:space="preserve"> y </w:t>
      </w:r>
      <w:r w:rsidR="00791BE9" w:rsidRPr="002C65E3">
        <w:rPr>
          <w:lang w:eastAsia="en-US"/>
        </w:rPr>
        <w:t>“</w:t>
      </w:r>
      <w:r w:rsidR="006F4911" w:rsidRPr="002C65E3">
        <w:rPr>
          <w:lang w:eastAsia="en-US"/>
        </w:rPr>
        <w:t>dementes, aunque no estén bajo interdicción</w:t>
      </w:r>
      <w:r w:rsidR="00791BE9" w:rsidRPr="002C65E3">
        <w:rPr>
          <w:lang w:eastAsia="en-US"/>
        </w:rPr>
        <w:t>”</w:t>
      </w:r>
      <w:r w:rsidR="006F4911" w:rsidRPr="002C65E3">
        <w:rPr>
          <w:lang w:eastAsia="en-US"/>
        </w:rPr>
        <w:t xml:space="preserve"> para ejercer tutela o curatela. Además, suprime las inhabilidades de PcD para contraer matrimonio</w:t>
      </w:r>
      <w:r w:rsidR="006F4911" w:rsidRPr="002C65E3">
        <w:rPr>
          <w:rStyle w:val="Refdenotaalpie"/>
        </w:rPr>
        <w:footnoteReference w:id="215"/>
      </w:r>
      <w:r w:rsidR="006F4911" w:rsidRPr="002C65E3">
        <w:rPr>
          <w:lang w:eastAsia="en-US"/>
        </w:rPr>
        <w:t>.</w:t>
      </w:r>
    </w:p>
    <w:p w14:paraId="7390AF33" w14:textId="2B440E66" w:rsidR="006F4911" w:rsidRPr="002C65E3" w:rsidRDefault="00156F70" w:rsidP="00D14EF7">
      <w:pPr>
        <w:pStyle w:val="SingleTxtG"/>
        <w:rPr>
          <w:lang w:eastAsia="en-US"/>
        </w:rPr>
      </w:pPr>
      <w:r w:rsidRPr="002C65E3">
        <w:rPr>
          <w:lang w:eastAsia="en-US"/>
        </w:rPr>
        <w:lastRenderedPageBreak/>
        <w:t>137.</w:t>
      </w:r>
      <w:r w:rsidRPr="002C65E3">
        <w:rPr>
          <w:lang w:eastAsia="en-US"/>
        </w:rPr>
        <w:tab/>
      </w:r>
      <w:r w:rsidR="006F4911" w:rsidRPr="002C65E3">
        <w:rPr>
          <w:lang w:eastAsia="en-US"/>
        </w:rPr>
        <w:t>El PdL de reforma integral al sistema de adopción en Chile (Boletín N</w:t>
      </w:r>
      <w:r w:rsidR="00405113" w:rsidRPr="002C65E3">
        <w:rPr>
          <w:lang w:eastAsia="en-US"/>
        </w:rPr>
        <w:t>º </w:t>
      </w:r>
      <w:r w:rsidR="006F4911" w:rsidRPr="002C65E3">
        <w:rPr>
          <w:lang w:eastAsia="en-US"/>
        </w:rPr>
        <w:t>9.119-18)</w:t>
      </w:r>
      <w:r w:rsidR="006F4911" w:rsidRPr="002C65E3">
        <w:rPr>
          <w:rStyle w:val="Refdenotaalpie"/>
        </w:rPr>
        <w:footnoteReference w:id="216"/>
      </w:r>
      <w:r w:rsidR="006F4911" w:rsidRPr="002C65E3">
        <w:rPr>
          <w:lang w:eastAsia="en-US"/>
        </w:rPr>
        <w:t xml:space="preserve"> dispone que no podrá ser causal para declaración judicial de adoptabilidad, motivos que constituyan discriminación arbitraria, y se agrega una indicación que considera expresamente varias categorías, incluida la discapacidad. Entre los requisitos que deben reunir las personas que deseen adoptar, se establece contar con una certificación sobre las condiciones generales para la adopción de un NNA, las que, en caso alguno, pueden constituir discriminación arbitraria, buscándose por medio de indicaciones presentadas, incluir expresamente la discapacidad.</w:t>
      </w:r>
    </w:p>
    <w:p w14:paraId="109E388F" w14:textId="34B1724C" w:rsidR="006F4911" w:rsidRPr="002C65E3" w:rsidRDefault="00156F70" w:rsidP="00D14EF7">
      <w:pPr>
        <w:pStyle w:val="SingleTxtG"/>
        <w:rPr>
          <w:lang w:eastAsia="en-US"/>
        </w:rPr>
      </w:pPr>
      <w:r w:rsidRPr="002C65E3">
        <w:rPr>
          <w:lang w:eastAsia="en-US"/>
        </w:rPr>
        <w:t>138.</w:t>
      </w:r>
      <w:r w:rsidRPr="002C65E3">
        <w:rPr>
          <w:lang w:eastAsia="en-US"/>
        </w:rPr>
        <w:tab/>
      </w:r>
      <w:r w:rsidR="006F4911" w:rsidRPr="002C65E3">
        <w:rPr>
          <w:lang w:eastAsia="en-US"/>
        </w:rPr>
        <w:t>En cuanto a causas judiciales referidas al restablecimiento de la custodia de los hijos e hijas de las mujeres con discapacidad, PJUD no cuenta con una desagregación de datos tan específica. No obstante, se ha realizado trabajo en torno a esta materia. En 2020, el convenio entre SENADIS, SERNAMEG y MMEG consideró abordar especialmente la maternidad inclusiva. En ese contexto, SERNAMEG realizó talleres</w:t>
      </w:r>
      <w:r w:rsidR="006F4911" w:rsidRPr="002C65E3">
        <w:rPr>
          <w:rStyle w:val="Refdenotaalpie"/>
        </w:rPr>
        <w:footnoteReference w:id="217"/>
      </w:r>
      <w:r w:rsidR="006F4911" w:rsidRPr="002C65E3">
        <w:rPr>
          <w:lang w:eastAsia="en-US"/>
        </w:rPr>
        <w:t xml:space="preserve"> que abordan contenidos sobre género, sexualidad, maternidad, autocuidado, toma de decisiones, prevención en salud integral, corresponsabilidad, climaterio, autoestima, proyecto de vida, redes de apoyo y escolaridad. El convenio también aborda la salud sexual y reproductiva de las PcD, producto de lo cual, durante 2021-2022, SENADIS con la Universidad de Chile desarrollaron material de promoción y difusión</w:t>
      </w:r>
      <w:r w:rsidR="006F4911" w:rsidRPr="002C65E3">
        <w:rPr>
          <w:rStyle w:val="Refdenotaalpie"/>
        </w:rPr>
        <w:footnoteReference w:id="218"/>
      </w:r>
      <w:r w:rsidR="006F4911" w:rsidRPr="002C65E3">
        <w:rPr>
          <w:lang w:eastAsia="en-US"/>
        </w:rPr>
        <w:t xml:space="preserve">. </w:t>
      </w:r>
    </w:p>
    <w:p w14:paraId="20EC7156" w14:textId="4CA0177A" w:rsidR="006F4911" w:rsidRPr="002C65E3" w:rsidRDefault="00156F70" w:rsidP="00D14EF7">
      <w:pPr>
        <w:pStyle w:val="SingleTxtG"/>
        <w:rPr>
          <w:lang w:eastAsia="en-US"/>
        </w:rPr>
      </w:pPr>
      <w:r w:rsidRPr="002C65E3">
        <w:rPr>
          <w:lang w:eastAsia="en-US"/>
        </w:rPr>
        <w:t>139.</w:t>
      </w:r>
      <w:r w:rsidRPr="002C65E3">
        <w:rPr>
          <w:lang w:eastAsia="en-US"/>
        </w:rPr>
        <w:tab/>
      </w:r>
      <w:r w:rsidR="006F4911" w:rsidRPr="002C65E3">
        <w:rPr>
          <w:lang w:eastAsia="en-US"/>
        </w:rPr>
        <w:t>SENADIS, desde 2017 a la fecha, ha financiado 13 proyectos por $131.883.112, beneficiando aproximadamente a 90 PcD directamente, sus familias, entorno y comunidades, especialmente escolares. Algunas de estas acciones son material de difusión y elaboración de material audiovisual, con la finalidad de difundir derechos sexuales y reproductivos. En 2019, SENADIS elaboró un informe de buenas prácticas del FONAPI</w:t>
      </w:r>
      <w:r w:rsidR="006F4911" w:rsidRPr="002C65E3">
        <w:rPr>
          <w:rStyle w:val="Refdenotaalpie"/>
        </w:rPr>
        <w:footnoteReference w:id="219"/>
      </w:r>
      <w:r w:rsidR="006F4911" w:rsidRPr="002C65E3">
        <w:rPr>
          <w:lang w:eastAsia="en-US"/>
        </w:rPr>
        <w:t xml:space="preserve"> en su línea de Derechos Sexuales y Reproductivos de 2018.</w:t>
      </w:r>
    </w:p>
    <w:p w14:paraId="29C4AA3D" w14:textId="217CD264" w:rsidR="006F4911" w:rsidRPr="002C65E3" w:rsidRDefault="00156F70" w:rsidP="00D14EF7">
      <w:pPr>
        <w:pStyle w:val="SingleTxtG"/>
        <w:rPr>
          <w:lang w:eastAsia="en-US"/>
        </w:rPr>
      </w:pPr>
      <w:r w:rsidRPr="002C65E3">
        <w:rPr>
          <w:lang w:eastAsia="en-US"/>
        </w:rPr>
        <w:t>140.</w:t>
      </w:r>
      <w:r w:rsidRPr="002C65E3">
        <w:rPr>
          <w:lang w:eastAsia="en-US"/>
        </w:rPr>
        <w:tab/>
      </w:r>
      <w:r w:rsidR="006F4911" w:rsidRPr="002C65E3">
        <w:rPr>
          <w:lang w:eastAsia="en-US"/>
        </w:rPr>
        <w:t>El 2018, MINSAL publicó la Política Nacional de Salud Sexual y Salud Reproductiva</w:t>
      </w:r>
      <w:r w:rsidR="006F4911" w:rsidRPr="002C65E3">
        <w:rPr>
          <w:rStyle w:val="Refdenotaalpie"/>
        </w:rPr>
        <w:footnoteReference w:id="220"/>
      </w:r>
      <w:r w:rsidR="006F4911" w:rsidRPr="002C65E3">
        <w:rPr>
          <w:lang w:eastAsia="en-US"/>
        </w:rPr>
        <w:t xml:space="preserve"> que entrega un marco general del enfoque de DDHH y discapacidad, propósitos y principios que se deben aplicar, además de estrategias de acción, contemplando la transversalización de la discapacidad.</w:t>
      </w:r>
    </w:p>
    <w:p w14:paraId="78C3B043" w14:textId="07820169" w:rsidR="006F4911" w:rsidRPr="002C65E3" w:rsidRDefault="00156F70" w:rsidP="00D14EF7">
      <w:pPr>
        <w:pStyle w:val="SingleTxtG"/>
        <w:rPr>
          <w:lang w:eastAsia="en-US"/>
        </w:rPr>
      </w:pPr>
      <w:r w:rsidRPr="002C65E3">
        <w:rPr>
          <w:lang w:eastAsia="en-US"/>
        </w:rPr>
        <w:t>141.</w:t>
      </w:r>
      <w:r w:rsidRPr="002C65E3">
        <w:rPr>
          <w:lang w:eastAsia="en-US"/>
        </w:rPr>
        <w:tab/>
      </w:r>
      <w:r w:rsidR="006F4911" w:rsidRPr="002C65E3">
        <w:rPr>
          <w:lang w:eastAsia="en-US"/>
        </w:rPr>
        <w:t>El Programa Mujer, Sexualidad y Maternidad</w:t>
      </w:r>
      <w:r w:rsidR="006F4911" w:rsidRPr="002C65E3">
        <w:rPr>
          <w:rStyle w:val="Refdenotaalpie"/>
        </w:rPr>
        <w:footnoteReference w:id="221"/>
      </w:r>
      <w:r w:rsidR="006F4911" w:rsidRPr="002C65E3">
        <w:rPr>
          <w:lang w:eastAsia="en-US"/>
        </w:rPr>
        <w:t xml:space="preserve"> del SERNAMEG contempla, dentro de sus orientaciones técnicas, la aplicación del enfoque inclusivo, con indicaciones para el trabajo con PcD. Además, las guías de trabajo han sido revisadas por PcD. En 2021, a través de este programa, se implementó un taller para mujeres sordas en la Región de Magallanes.</w:t>
      </w:r>
    </w:p>
    <w:p w14:paraId="064DECD6" w14:textId="45311867" w:rsidR="006F4911" w:rsidRPr="002C65E3" w:rsidRDefault="00156F70" w:rsidP="00D14EF7">
      <w:pPr>
        <w:pStyle w:val="SingleTxtG"/>
        <w:rPr>
          <w:lang w:eastAsia="en-US"/>
        </w:rPr>
      </w:pPr>
      <w:r w:rsidRPr="002C65E3">
        <w:rPr>
          <w:lang w:eastAsia="en-US"/>
        </w:rPr>
        <w:t>142.</w:t>
      </w:r>
      <w:r w:rsidRPr="002C65E3">
        <w:rPr>
          <w:lang w:eastAsia="en-US"/>
        </w:rPr>
        <w:tab/>
      </w:r>
      <w:r w:rsidR="006F4911" w:rsidRPr="002C65E3">
        <w:rPr>
          <w:lang w:eastAsia="en-US"/>
        </w:rPr>
        <w:t>MINEDUC, durante 2021, desarrolló Cápsulas Audiovisuales para la Implementación Curricular</w:t>
      </w:r>
      <w:r w:rsidR="006F4911" w:rsidRPr="002C65E3">
        <w:rPr>
          <w:rStyle w:val="Refdenotaalpie"/>
        </w:rPr>
        <w:footnoteReference w:id="222"/>
      </w:r>
      <w:r w:rsidR="006F4911" w:rsidRPr="002C65E3">
        <w:rPr>
          <w:lang w:eastAsia="en-US"/>
        </w:rPr>
        <w:t>, 48 videos con su respectiva ficha técnica para el/la docente y/o la familia, las que abordaron 3 líneas de trabajo: Nudos críticos del currículum; Afectividad, Sexualidad y Género; Familia y Discapacidad. Actualmente, MINEDUC está desarrollando la Política de Educación Sexual Integral, la cual pretende abordar todo el sistema escolar.</w:t>
      </w:r>
    </w:p>
    <w:p w14:paraId="76836FD5" w14:textId="20BC830C" w:rsidR="006F4911" w:rsidRPr="002C65E3" w:rsidRDefault="00E32FEA" w:rsidP="00D14EF7">
      <w:pPr>
        <w:pStyle w:val="H1G"/>
        <w:rPr>
          <w:lang w:eastAsia="en-US"/>
        </w:rPr>
      </w:pPr>
      <w:bookmarkStart w:id="41" w:name="_Toc122692626"/>
      <w:r w:rsidRPr="002C65E3">
        <w:rPr>
          <w:lang w:eastAsia="en-US"/>
        </w:rPr>
        <w:tab/>
      </w:r>
      <w:r w:rsidRPr="002C65E3">
        <w:rPr>
          <w:lang w:eastAsia="en-US"/>
        </w:rPr>
        <w:tab/>
      </w:r>
      <w:r w:rsidR="006F4911" w:rsidRPr="002C65E3">
        <w:rPr>
          <w:lang w:eastAsia="en-US"/>
        </w:rPr>
        <w:t>Artículo 24</w:t>
      </w:r>
      <w:bookmarkEnd w:id="41"/>
    </w:p>
    <w:p w14:paraId="2B663105" w14:textId="0A71A770" w:rsidR="006F4911" w:rsidRPr="002C65E3" w:rsidRDefault="00156F70" w:rsidP="00D14EF7">
      <w:pPr>
        <w:pStyle w:val="SingleTxtG"/>
        <w:rPr>
          <w:lang w:eastAsia="en-US"/>
        </w:rPr>
      </w:pPr>
      <w:r w:rsidRPr="002C65E3">
        <w:rPr>
          <w:lang w:eastAsia="en-US"/>
        </w:rPr>
        <w:t>143.</w:t>
      </w:r>
      <w:r w:rsidRPr="002C65E3">
        <w:rPr>
          <w:lang w:eastAsia="en-US"/>
        </w:rPr>
        <w:tab/>
      </w:r>
      <w:r w:rsidR="006F4911" w:rsidRPr="002C65E3">
        <w:rPr>
          <w:lang w:eastAsia="en-US"/>
        </w:rPr>
        <w:t>Con la promulgación del Decreto 83/2015</w:t>
      </w:r>
      <w:r w:rsidR="006F4911" w:rsidRPr="002C65E3">
        <w:rPr>
          <w:rStyle w:val="Refdenotaalpie"/>
        </w:rPr>
        <w:footnoteReference w:id="223"/>
      </w:r>
      <w:r w:rsidR="006F4911" w:rsidRPr="002C65E3">
        <w:rPr>
          <w:lang w:eastAsia="en-US"/>
        </w:rPr>
        <w:t xml:space="preserve"> se han desarrollado acciones que buscan apoyar a las escuelas regulares y especiales en su implementación. Se han elaborado infografías</w:t>
      </w:r>
      <w:r w:rsidR="006F4911" w:rsidRPr="002C65E3">
        <w:rPr>
          <w:rStyle w:val="Refdenotaalpie"/>
        </w:rPr>
        <w:footnoteReference w:id="224"/>
      </w:r>
      <w:r w:rsidR="006F4911" w:rsidRPr="002C65E3">
        <w:rPr>
          <w:lang w:eastAsia="en-US"/>
        </w:rPr>
        <w:t xml:space="preserve">; desde 2019, se ha dado acompañamiento remoto a 157 escuelas especiales en el proceso de cambio de referente curricular, con foco en la apropiación de las bases </w:t>
      </w:r>
      <w:r w:rsidR="006F4911" w:rsidRPr="002C65E3">
        <w:rPr>
          <w:lang w:eastAsia="en-US"/>
        </w:rPr>
        <w:lastRenderedPageBreak/>
        <w:t>curriculares de educación básica, comprensión y utilización de las Progresiones de Aprendizaje en Espiral</w:t>
      </w:r>
      <w:r w:rsidR="006F4911" w:rsidRPr="002C65E3">
        <w:rPr>
          <w:rStyle w:val="Refdenotaalpie"/>
        </w:rPr>
        <w:footnoteReference w:id="225"/>
      </w:r>
      <w:r w:rsidR="006F4911" w:rsidRPr="002C65E3">
        <w:rPr>
          <w:lang w:eastAsia="en-US"/>
        </w:rPr>
        <w:t>, estrategias de diversificación para la enseñanza y evaluación para el aprendizaje; en 2021, se crearon y activaron redes de escuelas especiales regionales para apoyo, orientación y acompañamiento en la implementación del decreto.</w:t>
      </w:r>
    </w:p>
    <w:p w14:paraId="0A73635D" w14:textId="47447CE0" w:rsidR="006F4911" w:rsidRPr="002C65E3" w:rsidRDefault="00156F70" w:rsidP="00D14EF7">
      <w:pPr>
        <w:pStyle w:val="SingleTxtG"/>
        <w:rPr>
          <w:lang w:eastAsia="en-US"/>
        </w:rPr>
      </w:pPr>
      <w:r w:rsidRPr="002C65E3">
        <w:rPr>
          <w:lang w:eastAsia="en-US"/>
        </w:rPr>
        <w:t>144.</w:t>
      </w:r>
      <w:r w:rsidRPr="002C65E3">
        <w:rPr>
          <w:lang w:eastAsia="en-US"/>
        </w:rPr>
        <w:tab/>
      </w:r>
      <w:r w:rsidR="006F4911" w:rsidRPr="002C65E3">
        <w:rPr>
          <w:lang w:eastAsia="en-US"/>
        </w:rPr>
        <w:t>El programa de Apoyo a Instituciones Educativas para la Inclusión de Estudiantes con Discapacidad de SENADIS, considera la exigencia de implementación del Decreto N</w:t>
      </w:r>
      <w:r w:rsidR="00405113" w:rsidRPr="002C65E3">
        <w:rPr>
          <w:lang w:eastAsia="en-US"/>
        </w:rPr>
        <w:t>º </w:t>
      </w:r>
      <w:r w:rsidR="006F4911" w:rsidRPr="002C65E3">
        <w:rPr>
          <w:lang w:eastAsia="en-US"/>
        </w:rPr>
        <w:t>83/2015</w:t>
      </w:r>
      <w:r w:rsidR="006F4911" w:rsidRPr="002C65E3">
        <w:rPr>
          <w:rStyle w:val="Refdenotaalpie"/>
        </w:rPr>
        <w:footnoteReference w:id="226"/>
      </w:r>
      <w:r w:rsidR="006F4911" w:rsidRPr="002C65E3">
        <w:rPr>
          <w:lang w:eastAsia="en-US"/>
        </w:rPr>
        <w:t xml:space="preserve">, teniendo por objetivo disminuir las barreras de los factores contextuales de las instituciones educativas para la inclusión de estudiantes con discapacidad. Se financian apoyos tecnológicos, capacitación para docentes enfocada en temas de DUA, adecuaciones metodológicas, difusión y promoción de estrategias para la inclusión educativa y las adecuaciones necesarias para las clases en línea. </w:t>
      </w:r>
    </w:p>
    <w:p w14:paraId="07B79266" w14:textId="0DEE2C32" w:rsidR="006F4911" w:rsidRPr="002C65E3" w:rsidRDefault="00156F70" w:rsidP="00D14EF7">
      <w:pPr>
        <w:pStyle w:val="SingleTxtG"/>
        <w:rPr>
          <w:lang w:eastAsia="en-US"/>
        </w:rPr>
      </w:pPr>
      <w:r w:rsidRPr="002C65E3">
        <w:rPr>
          <w:lang w:eastAsia="en-US"/>
        </w:rPr>
        <w:t>145.</w:t>
      </w:r>
      <w:r w:rsidRPr="002C65E3">
        <w:rPr>
          <w:lang w:eastAsia="en-US"/>
        </w:rPr>
        <w:tab/>
      </w:r>
      <w:r w:rsidR="006F4911" w:rsidRPr="002C65E3">
        <w:rPr>
          <w:lang w:eastAsia="en-US"/>
        </w:rPr>
        <w:t xml:space="preserve">Sobre los proyectos especiales, Fundación Apoyo Autismo Chile elaboró la guía </w:t>
      </w:r>
      <w:r w:rsidR="00791BE9" w:rsidRPr="002C65E3">
        <w:rPr>
          <w:lang w:eastAsia="en-US"/>
        </w:rPr>
        <w:t>“</w:t>
      </w:r>
      <w:r w:rsidR="006F4911" w:rsidRPr="002C65E3">
        <w:rPr>
          <w:lang w:eastAsia="en-US"/>
        </w:rPr>
        <w:t>Medidas de Accesibilidad para la participación plena de las personas con la Condición del EA en Chile, adaptada a Lectura Fácil y otras medidas de acceso</w:t>
      </w:r>
      <w:r w:rsidR="00791BE9" w:rsidRPr="002C65E3">
        <w:rPr>
          <w:lang w:eastAsia="en-US"/>
        </w:rPr>
        <w:t>”</w:t>
      </w:r>
      <w:r w:rsidR="006F4911" w:rsidRPr="002C65E3">
        <w:rPr>
          <w:lang w:eastAsia="en-US"/>
        </w:rPr>
        <w:t xml:space="preserve"> y se realizó un piloto de </w:t>
      </w:r>
      <w:r w:rsidR="00791BE9" w:rsidRPr="002C65E3">
        <w:rPr>
          <w:lang w:eastAsia="en-US"/>
        </w:rPr>
        <w:t>“</w:t>
      </w:r>
      <w:r w:rsidR="006F4911" w:rsidRPr="002C65E3">
        <w:rPr>
          <w:lang w:eastAsia="en-US"/>
        </w:rPr>
        <w:t>Curso online de LSCH para NNA oyentes en establecimientos regulares con estudiantes sordos integrados</w:t>
      </w:r>
      <w:r w:rsidR="00791BE9" w:rsidRPr="002C65E3">
        <w:rPr>
          <w:lang w:eastAsia="en-US"/>
        </w:rPr>
        <w:t>”</w:t>
      </w:r>
      <w:r w:rsidR="006F4911" w:rsidRPr="002C65E3">
        <w:rPr>
          <w:lang w:eastAsia="en-US"/>
        </w:rPr>
        <w:t xml:space="preserve">. En 2020, Fundación </w:t>
      </w:r>
      <w:r w:rsidR="00791BE9" w:rsidRPr="002C65E3">
        <w:rPr>
          <w:lang w:eastAsia="en-US"/>
        </w:rPr>
        <w:t>“</w:t>
      </w:r>
      <w:r w:rsidR="006F4911" w:rsidRPr="002C65E3">
        <w:rPr>
          <w:lang w:eastAsia="en-US"/>
        </w:rPr>
        <w:t>En Señas</w:t>
      </w:r>
      <w:r w:rsidR="00791BE9" w:rsidRPr="002C65E3">
        <w:rPr>
          <w:lang w:eastAsia="en-US"/>
        </w:rPr>
        <w:t>”</w:t>
      </w:r>
      <w:r w:rsidR="006F4911" w:rsidRPr="002C65E3">
        <w:rPr>
          <w:lang w:eastAsia="en-US"/>
        </w:rPr>
        <w:t xml:space="preserve"> realizó un proyecto piloto para implementar cursos de LSCH en línea en los establecimientos con PIE que tuvieran estudiantes con discapacidad auditiva, con la finalidad de incluir en la interacción educacional y social a los estudiantes con discapacidad auditiva. </w:t>
      </w:r>
    </w:p>
    <w:p w14:paraId="2877FB98" w14:textId="3D0F459B" w:rsidR="006F4911" w:rsidRPr="002C65E3" w:rsidRDefault="00156F70" w:rsidP="00D14EF7">
      <w:pPr>
        <w:pStyle w:val="SingleTxtG"/>
        <w:rPr>
          <w:lang w:eastAsia="en-US"/>
        </w:rPr>
      </w:pPr>
      <w:r w:rsidRPr="002C65E3">
        <w:rPr>
          <w:lang w:eastAsia="en-US"/>
        </w:rPr>
        <w:t>146.</w:t>
      </w:r>
      <w:r w:rsidRPr="002C65E3">
        <w:rPr>
          <w:lang w:eastAsia="en-US"/>
        </w:rPr>
        <w:tab/>
      </w:r>
      <w:r w:rsidR="006F4911" w:rsidRPr="002C65E3">
        <w:rPr>
          <w:lang w:eastAsia="en-US"/>
        </w:rPr>
        <w:t>MINEDUC centró sus acciones en dotar de equipamiento tecnológico a los establecimientos educacionales. Dentro de las estrategias, se destacan</w:t>
      </w:r>
      <w:r w:rsidR="006F4911" w:rsidRPr="002C65E3">
        <w:rPr>
          <w:rStyle w:val="Refdenotaalpie"/>
        </w:rPr>
        <w:footnoteReference w:id="227"/>
      </w:r>
      <w:r w:rsidR="006F4911" w:rsidRPr="002C65E3">
        <w:rPr>
          <w:lang w:eastAsia="en-US"/>
        </w:rPr>
        <w:t xml:space="preserve"> Tecnologías de Acceso Universal para la Educación</w:t>
      </w:r>
      <w:r w:rsidR="006F4911" w:rsidRPr="002C65E3">
        <w:rPr>
          <w:rStyle w:val="Refdenotaalpie"/>
        </w:rPr>
        <w:footnoteReference w:id="228"/>
      </w:r>
      <w:r w:rsidR="006F4911" w:rsidRPr="002C65E3">
        <w:rPr>
          <w:lang w:eastAsia="en-US"/>
        </w:rPr>
        <w:t>; Enfrentando nuevos desafíos; Seminario Internacional TIC y Retos Múltiples</w:t>
      </w:r>
      <w:r w:rsidR="006F4911" w:rsidRPr="002C65E3">
        <w:rPr>
          <w:rStyle w:val="Refdenotaalpie"/>
        </w:rPr>
        <w:footnoteReference w:id="229"/>
      </w:r>
      <w:r w:rsidR="006F4911" w:rsidRPr="002C65E3">
        <w:rPr>
          <w:lang w:eastAsia="en-US"/>
        </w:rPr>
        <w:t xml:space="preserve">; Kits Tecnológicos para la Educación Digital; Fortalecimiento de condiciones para promover la reactivación de aprendizajes a través de la innovación pedagógica en escuelas especiales. </w:t>
      </w:r>
    </w:p>
    <w:p w14:paraId="1DFBB3F6" w14:textId="48DF6415" w:rsidR="006F4911" w:rsidRPr="002C65E3" w:rsidRDefault="00156F70" w:rsidP="00D14EF7">
      <w:pPr>
        <w:pStyle w:val="SingleTxtG"/>
        <w:rPr>
          <w:lang w:eastAsia="en-US"/>
        </w:rPr>
      </w:pPr>
      <w:r w:rsidRPr="002C65E3">
        <w:rPr>
          <w:lang w:eastAsia="en-US"/>
        </w:rPr>
        <w:t>147.</w:t>
      </w:r>
      <w:r w:rsidRPr="002C65E3">
        <w:rPr>
          <w:lang w:eastAsia="en-US"/>
        </w:rPr>
        <w:tab/>
      </w:r>
      <w:r w:rsidR="006F4911" w:rsidRPr="002C65E3">
        <w:rPr>
          <w:lang w:eastAsia="en-US"/>
        </w:rPr>
        <w:t>En cuanto al fomento de una cultura de la diversidad en la esfera de la enseñanza, desde la implementación del PIE, se ha logrado aumentar la matrícula de estudiantes con discapacidad en educación regular, llegando a un promedio de 70</w:t>
      </w:r>
      <w:r w:rsidR="00791BE9" w:rsidRPr="002C65E3">
        <w:rPr>
          <w:lang w:eastAsia="en-US"/>
        </w:rPr>
        <w:t> %</w:t>
      </w:r>
      <w:r w:rsidR="006F4911" w:rsidRPr="002C65E3">
        <w:rPr>
          <w:lang w:eastAsia="en-US"/>
        </w:rPr>
        <w:t xml:space="preserve"> de los estudiantes con discapacidad en escuelas regulares, mientras que un 30</w:t>
      </w:r>
      <w:r w:rsidR="00791BE9" w:rsidRPr="002C65E3">
        <w:rPr>
          <w:lang w:eastAsia="en-US"/>
        </w:rPr>
        <w:t> %</w:t>
      </w:r>
      <w:r w:rsidR="006F4911" w:rsidRPr="002C65E3">
        <w:rPr>
          <w:lang w:eastAsia="en-US"/>
        </w:rPr>
        <w:t xml:space="preserve"> cursa sus trayectorias educativas en escuelas especiales.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116"/>
        <w:gridCol w:w="3366"/>
        <w:gridCol w:w="2888"/>
      </w:tblGrid>
      <w:tr w:rsidR="006F4911" w:rsidRPr="002C65E3" w14:paraId="2763B893" w14:textId="77777777" w:rsidTr="00D14EF7">
        <w:trPr>
          <w:trHeight w:val="240"/>
          <w:tblHeader/>
        </w:trPr>
        <w:tc>
          <w:tcPr>
            <w:tcW w:w="1305" w:type="dxa"/>
            <w:tcBorders>
              <w:top w:val="single" w:sz="4" w:space="0" w:color="auto"/>
              <w:bottom w:val="single" w:sz="12" w:space="0" w:color="auto"/>
            </w:tcBorders>
            <w:shd w:val="clear" w:color="auto" w:fill="auto"/>
            <w:vAlign w:val="bottom"/>
          </w:tcPr>
          <w:p w14:paraId="5C33B19E" w14:textId="77777777" w:rsidR="006F4911" w:rsidRPr="002C65E3" w:rsidRDefault="006F4911" w:rsidP="00D14EF7">
            <w:pPr>
              <w:spacing w:before="80" w:after="80" w:line="200" w:lineRule="exact"/>
              <w:rPr>
                <w:rFonts w:eastAsia="Times New Roman"/>
                <w:i/>
                <w:sz w:val="16"/>
                <w:lang w:eastAsia="en-US"/>
              </w:rPr>
            </w:pPr>
            <w:r w:rsidRPr="002C65E3">
              <w:rPr>
                <w:rFonts w:eastAsia="Times New Roman"/>
                <w:i/>
                <w:sz w:val="16"/>
                <w:lang w:eastAsia="en-US"/>
              </w:rPr>
              <w:t>Año</w:t>
            </w:r>
          </w:p>
        </w:tc>
        <w:tc>
          <w:tcPr>
            <w:tcW w:w="4185" w:type="dxa"/>
            <w:tcBorders>
              <w:top w:val="single" w:sz="4" w:space="0" w:color="auto"/>
              <w:bottom w:val="single" w:sz="12" w:space="0" w:color="auto"/>
            </w:tcBorders>
            <w:shd w:val="clear" w:color="auto" w:fill="auto"/>
            <w:vAlign w:val="bottom"/>
          </w:tcPr>
          <w:p w14:paraId="4631DEA7" w14:textId="77777777" w:rsidR="006F4911" w:rsidRPr="002C65E3" w:rsidRDefault="006F4911" w:rsidP="00EE551A">
            <w:pPr>
              <w:spacing w:before="80" w:after="80" w:line="200" w:lineRule="exact"/>
              <w:ind w:left="85" w:right="28"/>
              <w:jc w:val="right"/>
              <w:rPr>
                <w:rFonts w:eastAsia="Times New Roman"/>
                <w:i/>
                <w:sz w:val="16"/>
                <w:lang w:eastAsia="en-US"/>
              </w:rPr>
            </w:pPr>
            <w:r w:rsidRPr="002C65E3">
              <w:rPr>
                <w:rFonts w:eastAsia="Times New Roman"/>
                <w:i/>
                <w:sz w:val="16"/>
                <w:lang w:eastAsia="en-US"/>
              </w:rPr>
              <w:t>Estudiantes Escuelas Regulares con PIE</w:t>
            </w:r>
          </w:p>
        </w:tc>
        <w:tc>
          <w:tcPr>
            <w:tcW w:w="3555" w:type="dxa"/>
            <w:tcBorders>
              <w:top w:val="single" w:sz="4" w:space="0" w:color="auto"/>
              <w:bottom w:val="single" w:sz="12" w:space="0" w:color="auto"/>
            </w:tcBorders>
            <w:shd w:val="clear" w:color="auto" w:fill="auto"/>
            <w:vAlign w:val="bottom"/>
          </w:tcPr>
          <w:p w14:paraId="023787DC" w14:textId="77777777" w:rsidR="006F4911" w:rsidRPr="002C65E3" w:rsidRDefault="006F4911" w:rsidP="00EE551A">
            <w:pPr>
              <w:spacing w:before="80" w:after="80" w:line="200" w:lineRule="exact"/>
              <w:ind w:left="85" w:right="28"/>
              <w:jc w:val="right"/>
              <w:rPr>
                <w:rFonts w:eastAsia="Times New Roman"/>
                <w:i/>
                <w:sz w:val="16"/>
                <w:lang w:eastAsia="en-US"/>
              </w:rPr>
            </w:pPr>
            <w:r w:rsidRPr="002C65E3">
              <w:rPr>
                <w:rFonts w:eastAsia="Times New Roman"/>
                <w:i/>
                <w:sz w:val="16"/>
                <w:lang w:eastAsia="en-US"/>
              </w:rPr>
              <w:t>Estudiantes Escuelas Especiales</w:t>
            </w:r>
          </w:p>
        </w:tc>
      </w:tr>
      <w:tr w:rsidR="006F4911" w:rsidRPr="002C65E3" w14:paraId="7588A41A" w14:textId="77777777" w:rsidTr="00D14EF7">
        <w:trPr>
          <w:trHeight w:val="240"/>
        </w:trPr>
        <w:tc>
          <w:tcPr>
            <w:tcW w:w="1305" w:type="dxa"/>
            <w:tcBorders>
              <w:top w:val="single" w:sz="12" w:space="0" w:color="auto"/>
            </w:tcBorders>
            <w:shd w:val="clear" w:color="auto" w:fill="auto"/>
          </w:tcPr>
          <w:p w14:paraId="37AC94FB"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2017</w:t>
            </w:r>
          </w:p>
        </w:tc>
        <w:tc>
          <w:tcPr>
            <w:tcW w:w="4185" w:type="dxa"/>
            <w:tcBorders>
              <w:top w:val="single" w:sz="12" w:space="0" w:color="auto"/>
            </w:tcBorders>
            <w:shd w:val="clear" w:color="auto" w:fill="auto"/>
            <w:vAlign w:val="bottom"/>
          </w:tcPr>
          <w:p w14:paraId="72DC26CA"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75.717 </w:t>
            </w:r>
          </w:p>
        </w:tc>
        <w:tc>
          <w:tcPr>
            <w:tcW w:w="3555" w:type="dxa"/>
            <w:tcBorders>
              <w:top w:val="single" w:sz="12" w:space="0" w:color="auto"/>
            </w:tcBorders>
            <w:shd w:val="clear" w:color="auto" w:fill="auto"/>
            <w:vAlign w:val="bottom"/>
          </w:tcPr>
          <w:p w14:paraId="02C909C6"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39.977 </w:t>
            </w:r>
          </w:p>
        </w:tc>
      </w:tr>
      <w:tr w:rsidR="006F4911" w:rsidRPr="002C65E3" w14:paraId="223C6874" w14:textId="77777777" w:rsidTr="00D14EF7">
        <w:trPr>
          <w:trHeight w:val="240"/>
        </w:trPr>
        <w:tc>
          <w:tcPr>
            <w:tcW w:w="1305" w:type="dxa"/>
            <w:shd w:val="clear" w:color="auto" w:fill="auto"/>
          </w:tcPr>
          <w:p w14:paraId="160C7BFA"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2018</w:t>
            </w:r>
          </w:p>
        </w:tc>
        <w:tc>
          <w:tcPr>
            <w:tcW w:w="4185" w:type="dxa"/>
            <w:shd w:val="clear" w:color="auto" w:fill="auto"/>
            <w:vAlign w:val="bottom"/>
          </w:tcPr>
          <w:p w14:paraId="77FCDA0B"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83.084 </w:t>
            </w:r>
          </w:p>
        </w:tc>
        <w:tc>
          <w:tcPr>
            <w:tcW w:w="3555" w:type="dxa"/>
            <w:shd w:val="clear" w:color="auto" w:fill="auto"/>
            <w:vAlign w:val="bottom"/>
          </w:tcPr>
          <w:p w14:paraId="3A45C8FD"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39.679 </w:t>
            </w:r>
          </w:p>
        </w:tc>
      </w:tr>
      <w:tr w:rsidR="006F4911" w:rsidRPr="002C65E3" w14:paraId="175D9937" w14:textId="77777777" w:rsidTr="00D14EF7">
        <w:trPr>
          <w:trHeight w:val="240"/>
        </w:trPr>
        <w:tc>
          <w:tcPr>
            <w:tcW w:w="1305" w:type="dxa"/>
            <w:shd w:val="clear" w:color="auto" w:fill="auto"/>
          </w:tcPr>
          <w:p w14:paraId="027FFC1E"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2019</w:t>
            </w:r>
          </w:p>
        </w:tc>
        <w:tc>
          <w:tcPr>
            <w:tcW w:w="4185" w:type="dxa"/>
            <w:shd w:val="clear" w:color="auto" w:fill="auto"/>
            <w:vAlign w:val="bottom"/>
          </w:tcPr>
          <w:p w14:paraId="02F7B370"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90.481 </w:t>
            </w:r>
          </w:p>
        </w:tc>
        <w:tc>
          <w:tcPr>
            <w:tcW w:w="3555" w:type="dxa"/>
            <w:shd w:val="clear" w:color="auto" w:fill="auto"/>
            <w:vAlign w:val="bottom"/>
          </w:tcPr>
          <w:p w14:paraId="73AB8D6E"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39.319 </w:t>
            </w:r>
          </w:p>
        </w:tc>
      </w:tr>
      <w:tr w:rsidR="006F4911" w:rsidRPr="002C65E3" w14:paraId="072F9343" w14:textId="77777777" w:rsidTr="00D14EF7">
        <w:trPr>
          <w:trHeight w:val="240"/>
        </w:trPr>
        <w:tc>
          <w:tcPr>
            <w:tcW w:w="1305" w:type="dxa"/>
            <w:shd w:val="clear" w:color="auto" w:fill="auto"/>
          </w:tcPr>
          <w:p w14:paraId="7CCB804F"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2020</w:t>
            </w:r>
            <w:r w:rsidRPr="002C65E3">
              <w:rPr>
                <w:rStyle w:val="Refdenotaalpie"/>
              </w:rPr>
              <w:footnoteReference w:id="230"/>
            </w:r>
          </w:p>
        </w:tc>
        <w:tc>
          <w:tcPr>
            <w:tcW w:w="4185" w:type="dxa"/>
            <w:shd w:val="clear" w:color="auto" w:fill="auto"/>
            <w:vAlign w:val="bottom"/>
          </w:tcPr>
          <w:p w14:paraId="260652C8"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90.169 </w:t>
            </w:r>
          </w:p>
        </w:tc>
        <w:tc>
          <w:tcPr>
            <w:tcW w:w="3555" w:type="dxa"/>
            <w:shd w:val="clear" w:color="auto" w:fill="auto"/>
            <w:vAlign w:val="bottom"/>
          </w:tcPr>
          <w:p w14:paraId="5BA294B4"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38.559 </w:t>
            </w:r>
          </w:p>
        </w:tc>
      </w:tr>
      <w:tr w:rsidR="006F4911" w:rsidRPr="002C65E3" w14:paraId="519AEC4F" w14:textId="77777777" w:rsidTr="00D14EF7">
        <w:trPr>
          <w:trHeight w:val="240"/>
        </w:trPr>
        <w:tc>
          <w:tcPr>
            <w:tcW w:w="1305" w:type="dxa"/>
            <w:shd w:val="clear" w:color="auto" w:fill="auto"/>
          </w:tcPr>
          <w:p w14:paraId="47312AF6" w14:textId="77777777" w:rsidR="006F4911" w:rsidRPr="002C65E3" w:rsidRDefault="006F4911" w:rsidP="007C19C6">
            <w:pPr>
              <w:keepNext/>
              <w:spacing w:before="40" w:after="40" w:line="220" w:lineRule="exact"/>
              <w:rPr>
                <w:rFonts w:eastAsia="Times New Roman"/>
                <w:sz w:val="18"/>
                <w:lang w:eastAsia="en-US"/>
              </w:rPr>
            </w:pPr>
            <w:r w:rsidRPr="002C65E3">
              <w:rPr>
                <w:rFonts w:eastAsia="Times New Roman"/>
                <w:sz w:val="18"/>
                <w:lang w:eastAsia="en-US"/>
              </w:rPr>
              <w:t>2021</w:t>
            </w:r>
          </w:p>
        </w:tc>
        <w:tc>
          <w:tcPr>
            <w:tcW w:w="4185" w:type="dxa"/>
            <w:shd w:val="clear" w:color="auto" w:fill="auto"/>
            <w:vAlign w:val="bottom"/>
          </w:tcPr>
          <w:p w14:paraId="4449ECFE" w14:textId="77777777" w:rsidR="006F4911" w:rsidRPr="002C65E3" w:rsidRDefault="006F4911" w:rsidP="007C19C6">
            <w:pPr>
              <w:keepNext/>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99.796 </w:t>
            </w:r>
          </w:p>
        </w:tc>
        <w:tc>
          <w:tcPr>
            <w:tcW w:w="3555" w:type="dxa"/>
            <w:shd w:val="clear" w:color="auto" w:fill="auto"/>
            <w:vAlign w:val="bottom"/>
          </w:tcPr>
          <w:p w14:paraId="6315AD01" w14:textId="77777777" w:rsidR="006F4911" w:rsidRPr="002C65E3" w:rsidRDefault="006F4911" w:rsidP="007C19C6">
            <w:pPr>
              <w:keepNext/>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38.468 </w:t>
            </w:r>
          </w:p>
        </w:tc>
      </w:tr>
      <w:tr w:rsidR="006F4911" w:rsidRPr="002C65E3" w14:paraId="47DA153F" w14:textId="77777777" w:rsidTr="00D14EF7">
        <w:trPr>
          <w:trHeight w:val="240"/>
        </w:trPr>
        <w:tc>
          <w:tcPr>
            <w:tcW w:w="1305" w:type="dxa"/>
            <w:tcBorders>
              <w:bottom w:val="single" w:sz="12" w:space="0" w:color="auto"/>
            </w:tcBorders>
            <w:shd w:val="clear" w:color="auto" w:fill="auto"/>
          </w:tcPr>
          <w:p w14:paraId="3F687096" w14:textId="77777777" w:rsidR="006F4911" w:rsidRPr="002C65E3" w:rsidRDefault="006F4911" w:rsidP="00D14EF7">
            <w:pPr>
              <w:spacing w:before="40" w:after="40" w:line="220" w:lineRule="exact"/>
              <w:rPr>
                <w:rFonts w:eastAsia="Times New Roman"/>
                <w:sz w:val="18"/>
                <w:lang w:eastAsia="en-US"/>
              </w:rPr>
            </w:pPr>
            <w:r w:rsidRPr="002C65E3">
              <w:rPr>
                <w:rFonts w:eastAsia="Times New Roman"/>
                <w:sz w:val="18"/>
                <w:lang w:eastAsia="en-US"/>
              </w:rPr>
              <w:t>2022</w:t>
            </w:r>
          </w:p>
        </w:tc>
        <w:tc>
          <w:tcPr>
            <w:tcW w:w="4185" w:type="dxa"/>
            <w:tcBorders>
              <w:bottom w:val="single" w:sz="12" w:space="0" w:color="auto"/>
            </w:tcBorders>
            <w:shd w:val="clear" w:color="auto" w:fill="auto"/>
            <w:vAlign w:val="bottom"/>
          </w:tcPr>
          <w:p w14:paraId="24B3F4D3"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102.452</w:t>
            </w:r>
            <w:r w:rsidRPr="002C65E3">
              <w:rPr>
                <w:rStyle w:val="Refdenotaalpie"/>
              </w:rPr>
              <w:footnoteReference w:id="231"/>
            </w:r>
          </w:p>
        </w:tc>
        <w:tc>
          <w:tcPr>
            <w:tcW w:w="3555" w:type="dxa"/>
            <w:tcBorders>
              <w:bottom w:val="single" w:sz="12" w:space="0" w:color="auto"/>
            </w:tcBorders>
            <w:shd w:val="clear" w:color="auto" w:fill="auto"/>
            <w:vAlign w:val="bottom"/>
          </w:tcPr>
          <w:p w14:paraId="26C3FD53" w14:textId="77777777" w:rsidR="006F4911" w:rsidRPr="002C65E3" w:rsidRDefault="006F4911" w:rsidP="00EE551A">
            <w:pPr>
              <w:spacing w:before="40" w:after="40" w:line="220" w:lineRule="exact"/>
              <w:ind w:left="85" w:right="28"/>
              <w:jc w:val="right"/>
              <w:rPr>
                <w:rFonts w:eastAsia="Times New Roman"/>
                <w:sz w:val="18"/>
                <w:lang w:eastAsia="en-US"/>
              </w:rPr>
            </w:pPr>
            <w:r w:rsidRPr="002C65E3">
              <w:rPr>
                <w:rFonts w:eastAsia="Times New Roman"/>
                <w:sz w:val="18"/>
                <w:lang w:eastAsia="en-US"/>
              </w:rPr>
              <w:t xml:space="preserve">38.701 </w:t>
            </w:r>
          </w:p>
        </w:tc>
      </w:tr>
    </w:tbl>
    <w:p w14:paraId="561BE5B6" w14:textId="45E04C64" w:rsidR="006F4911" w:rsidRPr="002C65E3" w:rsidRDefault="00156F70" w:rsidP="007C19C6">
      <w:pPr>
        <w:pStyle w:val="SingleTxtG"/>
        <w:spacing w:before="240"/>
        <w:rPr>
          <w:lang w:eastAsia="en-US"/>
        </w:rPr>
      </w:pPr>
      <w:r w:rsidRPr="002C65E3">
        <w:rPr>
          <w:lang w:eastAsia="en-US"/>
        </w:rPr>
        <w:t>148.</w:t>
      </w:r>
      <w:r w:rsidRPr="002C65E3">
        <w:rPr>
          <w:lang w:eastAsia="en-US"/>
        </w:rPr>
        <w:tab/>
      </w:r>
      <w:r w:rsidR="006F4911" w:rsidRPr="002C65E3">
        <w:rPr>
          <w:lang w:eastAsia="en-US"/>
        </w:rPr>
        <w:t xml:space="preserve">Desde 2018, DEMRE implementó el proceso de entrega de apoyos adicionales para PcD en la rendición de las pruebas para acceder a la educación superior. Se creó la mesa intersectorial para incorporar la inclusión dentro de los indicadores que mide la Agencia de </w:t>
      </w:r>
      <w:r w:rsidR="006F4911" w:rsidRPr="002C65E3">
        <w:rPr>
          <w:lang w:eastAsia="en-US"/>
        </w:rPr>
        <w:lastRenderedPageBreak/>
        <w:t>la Calidad de la Educación. SENADIS, por su parte, participa en la Red de Universidades Estatales y en la RESI.</w:t>
      </w:r>
    </w:p>
    <w:p w14:paraId="07484A11" w14:textId="113C0033" w:rsidR="006F4911" w:rsidRPr="002C65E3" w:rsidRDefault="00156F70" w:rsidP="007C19C6">
      <w:pPr>
        <w:pStyle w:val="SingleTxtG"/>
        <w:rPr>
          <w:lang w:eastAsia="en-US"/>
        </w:rPr>
      </w:pPr>
      <w:r w:rsidRPr="002C65E3">
        <w:rPr>
          <w:lang w:eastAsia="en-US"/>
        </w:rPr>
        <w:t>149.</w:t>
      </w:r>
      <w:r w:rsidRPr="002C65E3">
        <w:rPr>
          <w:lang w:eastAsia="en-US"/>
        </w:rPr>
        <w:tab/>
      </w:r>
      <w:r w:rsidR="006F4911" w:rsidRPr="002C65E3">
        <w:rPr>
          <w:lang w:eastAsia="en-US"/>
        </w:rPr>
        <w:t>Respecto a la transición de integración a educación inclusiva, a través del Centro de Perfeccionamiento, Experimentación e Investigaciones Pedagógicas del MINEDUC, en 2018 se realizó una acción formativa a más de 350 docentes, desarrollando competencias para la planificación, diversificación y evaluación de la enseñanza, considerando como eje central la diversidad e inclusión.</w:t>
      </w:r>
    </w:p>
    <w:p w14:paraId="7B4E2492" w14:textId="1C8A8835" w:rsidR="006F4911" w:rsidRPr="002C65E3" w:rsidRDefault="00156F70" w:rsidP="007C19C6">
      <w:pPr>
        <w:pStyle w:val="SingleTxtG"/>
        <w:rPr>
          <w:lang w:eastAsia="en-US"/>
        </w:rPr>
      </w:pPr>
      <w:r w:rsidRPr="002C65E3">
        <w:rPr>
          <w:lang w:eastAsia="en-US"/>
        </w:rPr>
        <w:t>150.</w:t>
      </w:r>
      <w:r w:rsidRPr="002C65E3">
        <w:rPr>
          <w:lang w:eastAsia="en-US"/>
        </w:rPr>
        <w:tab/>
      </w:r>
      <w:r w:rsidR="006F4911" w:rsidRPr="002C65E3">
        <w:rPr>
          <w:lang w:eastAsia="en-US"/>
        </w:rPr>
        <w:t>En pand</w:t>
      </w:r>
      <w:r w:rsidR="006F4911" w:rsidRPr="002C65E3">
        <w:rPr>
          <w:highlight w:val="white"/>
          <w:lang w:eastAsia="en-US"/>
        </w:rPr>
        <w:t xml:space="preserve">emia, el programa de Apoyo a Instituciones Educativas para la Inclusión de SENADIS se adecuó para apoyar a instituciones y sus </w:t>
      </w:r>
      <w:r w:rsidR="006F4911" w:rsidRPr="002C65E3">
        <w:rPr>
          <w:lang w:eastAsia="en-US"/>
        </w:rPr>
        <w:t>estudiantes</w:t>
      </w:r>
      <w:r w:rsidR="006F4911" w:rsidRPr="002C65E3">
        <w:rPr>
          <w:highlight w:val="white"/>
          <w:lang w:eastAsia="en-US"/>
        </w:rPr>
        <w:t xml:space="preserve"> con discapacidad. En 2020, se enfocó en escuelas especiales, financiando apoyos tecnológicos e int</w:t>
      </w:r>
      <w:r w:rsidR="006F4911" w:rsidRPr="002C65E3">
        <w:rPr>
          <w:lang w:eastAsia="en-US"/>
        </w:rPr>
        <w:t>ernet móvil para estudiantes con discapacidad. Además, se consideró el requisito de incorporar talleres de intervención socioemocional en los módulos de las clases en línea para apoyar las necesidades de los estudiantes y sus familias producto del encierro prolongado por cuarentenas. El 2021 se mantuvo este énfasis, incorporando establecimientos con enseñanza básica y media, y financiamiento</w:t>
      </w:r>
      <w:r w:rsidR="006F4911" w:rsidRPr="002C65E3">
        <w:rPr>
          <w:rStyle w:val="Refdenotaalpie"/>
        </w:rPr>
        <w:footnoteReference w:id="232"/>
      </w:r>
      <w:r w:rsidR="006F4911" w:rsidRPr="002C65E3">
        <w:rPr>
          <w:lang w:eastAsia="en-US"/>
        </w:rPr>
        <w:t xml:space="preserve"> de capacitación para docente</w:t>
      </w:r>
      <w:r w:rsidR="006F4911" w:rsidRPr="002C65E3">
        <w:rPr>
          <w:highlight w:val="white"/>
          <w:lang w:eastAsia="en-US"/>
        </w:rPr>
        <w:t xml:space="preserve">s. El programa de Apoyos a Estudiantes con Discapacidad en Instituciones de Educación Superior de SENADIS tuvo las adecuaciones </w:t>
      </w:r>
      <w:r w:rsidR="006F4911" w:rsidRPr="002C65E3">
        <w:rPr>
          <w:lang w:eastAsia="en-US"/>
        </w:rPr>
        <w:t>reseñadas en párrafo</w:t>
      </w:r>
      <w:r w:rsidR="00776BAA" w:rsidRPr="002C65E3">
        <w:rPr>
          <w:lang w:eastAsia="en-US"/>
        </w:rPr>
        <w:t xml:space="preserve"> 59</w:t>
      </w:r>
      <w:r w:rsidR="006F4911" w:rsidRPr="002C65E3">
        <w:rPr>
          <w:lang w:eastAsia="en-US"/>
        </w:rPr>
        <w:t>.</w:t>
      </w:r>
    </w:p>
    <w:p w14:paraId="7FDDF04B" w14:textId="7372E77D" w:rsidR="006F4911" w:rsidRPr="002C65E3" w:rsidRDefault="00BC3D34" w:rsidP="007C19C6">
      <w:pPr>
        <w:pStyle w:val="H1G"/>
        <w:rPr>
          <w:lang w:eastAsia="en-US"/>
        </w:rPr>
      </w:pPr>
      <w:bookmarkStart w:id="42" w:name="_Toc122692627"/>
      <w:r w:rsidRPr="002C65E3">
        <w:rPr>
          <w:lang w:eastAsia="en-US"/>
        </w:rPr>
        <w:tab/>
      </w:r>
      <w:r w:rsidRPr="002C65E3">
        <w:rPr>
          <w:lang w:eastAsia="en-US"/>
        </w:rPr>
        <w:tab/>
      </w:r>
      <w:r w:rsidR="006F4911" w:rsidRPr="002C65E3">
        <w:rPr>
          <w:lang w:eastAsia="en-US"/>
        </w:rPr>
        <w:t>Artículo 25</w:t>
      </w:r>
      <w:bookmarkEnd w:id="42"/>
      <w:r w:rsidR="006F4911" w:rsidRPr="002C65E3">
        <w:rPr>
          <w:lang w:eastAsia="en-US"/>
        </w:rPr>
        <w:t xml:space="preserve"> </w:t>
      </w:r>
    </w:p>
    <w:p w14:paraId="005865CF" w14:textId="668919C1" w:rsidR="006F4911" w:rsidRPr="002C65E3" w:rsidRDefault="00156F70" w:rsidP="007C19C6">
      <w:pPr>
        <w:pStyle w:val="SingleTxtG"/>
        <w:rPr>
          <w:lang w:eastAsia="en-US"/>
        </w:rPr>
      </w:pPr>
      <w:r w:rsidRPr="002C65E3">
        <w:rPr>
          <w:lang w:eastAsia="en-US"/>
        </w:rPr>
        <w:t>151.</w:t>
      </w:r>
      <w:r w:rsidRPr="002C65E3">
        <w:rPr>
          <w:lang w:eastAsia="en-US"/>
        </w:rPr>
        <w:tab/>
      </w:r>
      <w:r w:rsidR="006F4911" w:rsidRPr="002C65E3">
        <w:rPr>
          <w:lang w:eastAsia="en-US"/>
        </w:rPr>
        <w:t>MINSAL ha capacitado al personal sanitario, intersector y ciudadanía en derechos de las PcD. COMPIN, en materia de CCD, ha capacitado a funcionarios de la salud y realizado jornadas de difusión para el sector salud, intersector y sociedad civil, sobre DDHH, modelo biopsicosocial, la CIF, discapacidad y salud. Así mismo,</w:t>
      </w:r>
      <w:r w:rsidR="00791BE9" w:rsidRPr="002C65E3">
        <w:rPr>
          <w:lang w:eastAsia="en-US"/>
        </w:rPr>
        <w:t xml:space="preserve"> </w:t>
      </w:r>
      <w:r w:rsidR="006F4911" w:rsidRPr="002C65E3">
        <w:rPr>
          <w:lang w:eastAsia="en-US"/>
        </w:rPr>
        <w:t>SENADIS en conjunto con el Servicio Civil, desarrolló cursos de capacitación</w:t>
      </w:r>
      <w:r w:rsidR="006F4911" w:rsidRPr="002C65E3">
        <w:rPr>
          <w:rStyle w:val="Refdenotaalpie"/>
        </w:rPr>
        <w:footnoteReference w:id="233"/>
      </w:r>
      <w:r w:rsidR="006F4911" w:rsidRPr="002C65E3">
        <w:rPr>
          <w:lang w:eastAsia="en-US"/>
        </w:rPr>
        <w:t xml:space="preserve">, destinados a funcionarias/os públicos en materias relacionadas con derechos de las PcD. </w:t>
      </w:r>
    </w:p>
    <w:p w14:paraId="5A4673B7" w14:textId="625CC827" w:rsidR="006F4911" w:rsidRPr="002C65E3" w:rsidRDefault="00156F70" w:rsidP="007C19C6">
      <w:pPr>
        <w:pStyle w:val="SingleTxtG"/>
        <w:rPr>
          <w:lang w:eastAsia="en-US"/>
        </w:rPr>
      </w:pPr>
      <w:r w:rsidRPr="002C65E3">
        <w:rPr>
          <w:lang w:eastAsia="en-US"/>
        </w:rPr>
        <w:t>152.</w:t>
      </w:r>
      <w:r w:rsidRPr="002C65E3">
        <w:rPr>
          <w:lang w:eastAsia="en-US"/>
        </w:rPr>
        <w:tab/>
      </w:r>
      <w:r w:rsidR="006F4911" w:rsidRPr="002C65E3">
        <w:rPr>
          <w:lang w:eastAsia="en-US"/>
        </w:rPr>
        <w:t>Con relación a la accesibilidad en la información en salud sexual y reproductiva, en</w:t>
      </w:r>
      <w:r w:rsidR="007C19C6" w:rsidRPr="002C65E3">
        <w:rPr>
          <w:lang w:eastAsia="en-US"/>
        </w:rPr>
        <w:t> </w:t>
      </w:r>
      <w:r w:rsidR="006F4911" w:rsidRPr="002C65E3">
        <w:rPr>
          <w:lang w:eastAsia="en-US"/>
        </w:rPr>
        <w:t>2018 se publicó el Manual de Sexualidad e Inclusión de PcD, con una segunda edición en</w:t>
      </w:r>
      <w:r w:rsidR="007C19C6" w:rsidRPr="002C65E3">
        <w:rPr>
          <w:lang w:eastAsia="en-US"/>
        </w:rPr>
        <w:t> </w:t>
      </w:r>
      <w:r w:rsidR="006F4911" w:rsidRPr="002C65E3">
        <w:rPr>
          <w:lang w:eastAsia="en-US"/>
        </w:rPr>
        <w:t>2019</w:t>
      </w:r>
      <w:r w:rsidR="006F4911" w:rsidRPr="002C65E3">
        <w:rPr>
          <w:rStyle w:val="Refdenotaalpie"/>
        </w:rPr>
        <w:footnoteReference w:id="234"/>
      </w:r>
      <w:r w:rsidR="006F4911" w:rsidRPr="002C65E3">
        <w:rPr>
          <w:lang w:eastAsia="en-US"/>
        </w:rPr>
        <w:t>, que constituyó la base teórica para las capacitaciones que se realizaron al personal de Atención Primaria de Salud en 2018 y 2019 sobre derechos sexuales y reproductivos de PcD</w:t>
      </w:r>
      <w:r w:rsidR="006F4911" w:rsidRPr="002C65E3">
        <w:rPr>
          <w:rStyle w:val="Refdenotaalpie"/>
        </w:rPr>
        <w:footnoteReference w:id="235"/>
      </w:r>
      <w:r w:rsidR="006F4911" w:rsidRPr="002C65E3">
        <w:rPr>
          <w:lang w:eastAsia="en-US"/>
        </w:rPr>
        <w:t>. Se capacitaron más de 400 profesionales de rehabilitación</w:t>
      </w:r>
      <w:r w:rsidR="006F4911" w:rsidRPr="002C65E3">
        <w:rPr>
          <w:rStyle w:val="Refdenotaalpie"/>
        </w:rPr>
        <w:footnoteReference w:id="236"/>
      </w:r>
      <w:r w:rsidR="006F4911" w:rsidRPr="002C65E3">
        <w:rPr>
          <w:lang w:eastAsia="en-US"/>
        </w:rPr>
        <w:t>. En 2020, se publicó la versión en lectura fácil del Manual</w:t>
      </w:r>
      <w:r w:rsidR="006F4911" w:rsidRPr="002C65E3">
        <w:rPr>
          <w:rStyle w:val="Refdenotaalpie"/>
        </w:rPr>
        <w:footnoteReference w:id="237"/>
      </w:r>
      <w:r w:rsidR="006F4911" w:rsidRPr="002C65E3">
        <w:rPr>
          <w:lang w:eastAsia="en-US"/>
        </w:rPr>
        <w:t>. En 2021, se suscribió un nuevo convenio para elaborar material accesible</w:t>
      </w:r>
      <w:r w:rsidR="006F4911" w:rsidRPr="002C65E3">
        <w:rPr>
          <w:rStyle w:val="Refdenotaalpie"/>
        </w:rPr>
        <w:footnoteReference w:id="238"/>
      </w:r>
      <w:r w:rsidR="006F4911" w:rsidRPr="002C65E3">
        <w:rPr>
          <w:lang w:eastAsia="en-US"/>
        </w:rPr>
        <w:t xml:space="preserve"> sobre discapacidad y derechos sexuales y reproductivos.</w:t>
      </w:r>
    </w:p>
    <w:p w14:paraId="5BD21231" w14:textId="360E5A11" w:rsidR="006F4911" w:rsidRPr="002C65E3" w:rsidRDefault="00156F70" w:rsidP="007C19C6">
      <w:pPr>
        <w:pStyle w:val="SingleTxtG"/>
        <w:rPr>
          <w:lang w:eastAsia="en-US"/>
        </w:rPr>
      </w:pPr>
      <w:r w:rsidRPr="002C65E3">
        <w:rPr>
          <w:lang w:eastAsia="en-US"/>
        </w:rPr>
        <w:t>153.</w:t>
      </w:r>
      <w:r w:rsidRPr="002C65E3">
        <w:rPr>
          <w:lang w:eastAsia="en-US"/>
        </w:rPr>
        <w:tab/>
      </w:r>
      <w:r w:rsidR="006F4911" w:rsidRPr="002C65E3">
        <w:rPr>
          <w:lang w:eastAsia="en-US"/>
        </w:rPr>
        <w:t>Los formularios relacionados con la ley de aborto en tres causales</w:t>
      </w:r>
      <w:r w:rsidR="006F4911" w:rsidRPr="002C65E3">
        <w:rPr>
          <w:rStyle w:val="Refdenotaalpie"/>
        </w:rPr>
        <w:footnoteReference w:id="239"/>
      </w:r>
      <w:r w:rsidR="006F4911" w:rsidRPr="002C65E3">
        <w:rPr>
          <w:lang w:eastAsia="en-US"/>
        </w:rPr>
        <w:t xml:space="preserve"> fueron elaborados en braille y se repartieron a todos los establecimientos públicos de la red para estar disponibles en caso de que alguna mujer con discapacidad visual solicite atención. </w:t>
      </w:r>
    </w:p>
    <w:p w14:paraId="2510BA71" w14:textId="6889BA9D" w:rsidR="006F4911" w:rsidRPr="002C65E3" w:rsidRDefault="00156F70" w:rsidP="007C19C6">
      <w:pPr>
        <w:pStyle w:val="SingleTxtG"/>
        <w:rPr>
          <w:lang w:eastAsia="en-US"/>
        </w:rPr>
      </w:pPr>
      <w:r w:rsidRPr="002C65E3">
        <w:rPr>
          <w:lang w:eastAsia="en-US"/>
        </w:rPr>
        <w:t>154.</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21.331</w:t>
      </w:r>
      <w:r w:rsidR="006F4911" w:rsidRPr="002C65E3">
        <w:rPr>
          <w:rStyle w:val="Refdenotaalpie"/>
        </w:rPr>
        <w:footnoteReference w:id="240"/>
      </w:r>
      <w:r w:rsidR="006F4911" w:rsidRPr="002C65E3">
        <w:rPr>
          <w:lang w:eastAsia="en-US"/>
        </w:rPr>
        <w:t xml:space="preserve"> establece principios y derechos que deben ser considerados en el diseño e implementación de una política de salud mental con enfoque de DDHH. </w:t>
      </w:r>
    </w:p>
    <w:p w14:paraId="0DCD5653" w14:textId="4AAE1AEC" w:rsidR="006F4911" w:rsidRPr="002C65E3" w:rsidRDefault="00156F70" w:rsidP="007C19C6">
      <w:pPr>
        <w:pStyle w:val="SingleTxtG"/>
        <w:rPr>
          <w:lang w:eastAsia="en-US"/>
        </w:rPr>
      </w:pPr>
      <w:r w:rsidRPr="002C65E3">
        <w:rPr>
          <w:lang w:eastAsia="en-US"/>
        </w:rPr>
        <w:lastRenderedPageBreak/>
        <w:t>155.</w:t>
      </w:r>
      <w:r w:rsidRPr="002C65E3">
        <w:rPr>
          <w:lang w:eastAsia="en-US"/>
        </w:rPr>
        <w:tab/>
      </w:r>
      <w:r w:rsidR="006F4911" w:rsidRPr="002C65E3">
        <w:rPr>
          <w:lang w:eastAsia="en-US"/>
        </w:rPr>
        <w:t>MINSAL desarrolló un Plan Nacional de Salud Mental 2017-2025</w:t>
      </w:r>
      <w:r w:rsidR="006F4911" w:rsidRPr="002C65E3">
        <w:rPr>
          <w:rStyle w:val="Refdenotaalpie"/>
        </w:rPr>
        <w:footnoteReference w:id="241"/>
      </w:r>
      <w:r w:rsidR="006F4911" w:rsidRPr="002C65E3">
        <w:rPr>
          <w:lang w:eastAsia="en-US"/>
        </w:rPr>
        <w:t xml:space="preserve">. Desde la </w:t>
      </w:r>
      <w:r w:rsidR="00791BE9" w:rsidRPr="002C65E3">
        <w:rPr>
          <w:lang w:eastAsia="en-US"/>
        </w:rPr>
        <w:t>“</w:t>
      </w:r>
      <w:r w:rsidR="006F4911" w:rsidRPr="002C65E3">
        <w:rPr>
          <w:lang w:eastAsia="en-US"/>
        </w:rPr>
        <w:t>Mesa asesora en temas de bienestar y salud mental en el contexto de la pandemia COVID-19</w:t>
      </w:r>
      <w:r w:rsidR="00791BE9" w:rsidRPr="002C65E3">
        <w:rPr>
          <w:lang w:eastAsia="en-US"/>
        </w:rPr>
        <w:t>”</w:t>
      </w:r>
      <w:r w:rsidR="006F4911" w:rsidRPr="002C65E3">
        <w:rPr>
          <w:lang w:eastAsia="en-US"/>
        </w:rPr>
        <w:t>, se propuso crear un Consejo Asesor en Salud Mental</w:t>
      </w:r>
      <w:r w:rsidR="006F4911" w:rsidRPr="002C65E3">
        <w:rPr>
          <w:rStyle w:val="Refdenotaalpie"/>
        </w:rPr>
        <w:footnoteReference w:id="242"/>
      </w:r>
      <w:r w:rsidR="006F4911" w:rsidRPr="002C65E3">
        <w:rPr>
          <w:lang w:eastAsia="en-US"/>
        </w:rPr>
        <w:t>, de carácter institucional y permanente, conformado con la mayor diversidad posible de actores, en especial relacionados a grupos de usuarios. No obstante lo anterior, el Gobierno ha propuesto presentar una ley de salud mental integral que potencie el desarrollo de una red organizada en el modelo comunitario de salud mental</w:t>
      </w:r>
      <w:r w:rsidR="006F4911" w:rsidRPr="002C65E3">
        <w:rPr>
          <w:rStyle w:val="Refdenotaalpie"/>
        </w:rPr>
        <w:footnoteReference w:id="243"/>
      </w:r>
      <w:r w:rsidR="008B579F" w:rsidRPr="002C65E3">
        <w:rPr>
          <w:lang w:eastAsia="en-US"/>
        </w:rPr>
        <w:t>,</w:t>
      </w:r>
      <w:r w:rsidR="006F4911" w:rsidRPr="002C65E3">
        <w:rPr>
          <w:lang w:eastAsia="en-US"/>
        </w:rPr>
        <w:t xml:space="preserve"> duplicando el presupuesto destinado a la materia y creando 15 nuevos Centros Comunitarios de Salud Mental en todas las regiones y centros diurnos para PcD mental</w:t>
      </w:r>
      <w:r w:rsidR="006F4911" w:rsidRPr="002C65E3">
        <w:rPr>
          <w:rStyle w:val="Refdenotaalpie"/>
        </w:rPr>
        <w:footnoteReference w:id="244"/>
      </w:r>
      <w:r w:rsidR="006F4911" w:rsidRPr="002C65E3">
        <w:rPr>
          <w:lang w:eastAsia="en-US"/>
        </w:rPr>
        <w:t>, incorporando un foco de salud mental de NNA en el Programa Chile Crece Contigo</w:t>
      </w:r>
      <w:r w:rsidR="006F4911" w:rsidRPr="002C65E3">
        <w:rPr>
          <w:rStyle w:val="Refdenotaalpie"/>
        </w:rPr>
        <w:footnoteReference w:id="245"/>
      </w:r>
      <w:r w:rsidR="006F4911" w:rsidRPr="002C65E3">
        <w:rPr>
          <w:lang w:eastAsia="en-US"/>
        </w:rPr>
        <w:t>.</w:t>
      </w:r>
    </w:p>
    <w:p w14:paraId="19755664" w14:textId="7B97568F" w:rsidR="006F4911" w:rsidRPr="002C65E3" w:rsidRDefault="00156F70" w:rsidP="007C19C6">
      <w:pPr>
        <w:pStyle w:val="SingleTxtG"/>
        <w:rPr>
          <w:lang w:eastAsia="en-US"/>
        </w:rPr>
      </w:pPr>
      <w:r w:rsidRPr="002C65E3">
        <w:rPr>
          <w:lang w:eastAsia="en-US"/>
        </w:rPr>
        <w:t>156.</w:t>
      </w:r>
      <w:r w:rsidRPr="002C65E3">
        <w:rPr>
          <w:lang w:eastAsia="en-US"/>
        </w:rPr>
        <w:tab/>
      </w:r>
      <w:r w:rsidR="006F4911" w:rsidRPr="002C65E3">
        <w:rPr>
          <w:lang w:eastAsia="en-US"/>
        </w:rPr>
        <w:t>En 2021</w:t>
      </w:r>
      <w:r w:rsidR="006F4911" w:rsidRPr="002C65E3">
        <w:rPr>
          <w:rStyle w:val="Refdenotaalpie"/>
        </w:rPr>
        <w:footnoteReference w:id="246"/>
      </w:r>
      <w:r w:rsidR="006F4911" w:rsidRPr="002C65E3">
        <w:rPr>
          <w:lang w:eastAsia="en-US"/>
        </w:rPr>
        <w:t>, PASMI atendió a 37.699 niñas/os en todas las regiones del país, sobre un total de 147.324 consultas de salud mental realizadas. En 2022, el programa se amplió a 90</w:t>
      </w:r>
      <w:r w:rsidR="007C19C6" w:rsidRPr="002C65E3">
        <w:rPr>
          <w:lang w:eastAsia="en-US"/>
        </w:rPr>
        <w:t> </w:t>
      </w:r>
      <w:r w:rsidR="006F4911" w:rsidRPr="002C65E3">
        <w:rPr>
          <w:lang w:eastAsia="en-US"/>
        </w:rPr>
        <w:t xml:space="preserve">comunas, proyectando una población beneficiaria de 45.096 niñas/os, </w:t>
      </w:r>
      <w:r w:rsidR="006F4911" w:rsidRPr="002C65E3">
        <w:rPr>
          <w:highlight w:val="white"/>
          <w:lang w:eastAsia="en-US"/>
        </w:rPr>
        <w:t>faltando</w:t>
      </w:r>
      <w:r w:rsidR="006F4911" w:rsidRPr="002C65E3">
        <w:rPr>
          <w:lang w:eastAsia="en-US"/>
        </w:rPr>
        <w:t xml:space="preserve"> aún implementarlo en 256 comunas del país. La Subsecretaría de la Niñez propuso reformular el PASMI para ampliar el tramo etario que puede acceder al programa e incorporar un componente preventivo de detección precoz de riesgo de trastorno o trastorno de salud mental. Esto se realizará mediante la instalación de controles de salud mental infantil a los 7</w:t>
      </w:r>
      <w:r w:rsidR="007C19C6" w:rsidRPr="002C65E3">
        <w:rPr>
          <w:lang w:eastAsia="en-US"/>
        </w:rPr>
        <w:t> </w:t>
      </w:r>
      <w:r w:rsidR="006F4911" w:rsidRPr="002C65E3">
        <w:rPr>
          <w:lang w:eastAsia="en-US"/>
        </w:rPr>
        <w:t>meses, 2,5 años, 4 años y 7 años. A su vez, se diseñará una canasta de prestaciones pertinente y basada en evidencia para el tramo de infantes entre 0 y 2 años que pueda implementarse a partir del 2024.</w:t>
      </w:r>
    </w:p>
    <w:p w14:paraId="4580028F" w14:textId="7D0019B5" w:rsidR="006F4911" w:rsidRPr="002C65E3" w:rsidRDefault="00156F70" w:rsidP="007C19C6">
      <w:pPr>
        <w:pStyle w:val="SingleTxtG"/>
        <w:rPr>
          <w:lang w:eastAsia="en-US"/>
        </w:rPr>
      </w:pPr>
      <w:r w:rsidRPr="002C65E3">
        <w:rPr>
          <w:lang w:eastAsia="en-US"/>
        </w:rPr>
        <w:t>157.</w:t>
      </w:r>
      <w:r w:rsidRPr="002C65E3">
        <w:rPr>
          <w:lang w:eastAsia="en-US"/>
        </w:rPr>
        <w:tab/>
      </w:r>
      <w:r w:rsidR="006F4911" w:rsidRPr="002C65E3">
        <w:rPr>
          <w:lang w:eastAsia="en-US"/>
        </w:rPr>
        <w:t>Dentro del Sistema Universal de Salud que propone el Gobierno, se le dará prioridad a la salud mental, con eje en la perspectiva de género y de DDHH</w:t>
      </w:r>
      <w:r w:rsidR="006F4911" w:rsidRPr="002C65E3">
        <w:rPr>
          <w:rStyle w:val="Refdenotaalpie"/>
        </w:rPr>
        <w:footnoteReference w:id="247"/>
      </w:r>
      <w:r w:rsidR="006F4911" w:rsidRPr="002C65E3">
        <w:rPr>
          <w:lang w:eastAsia="en-US"/>
        </w:rPr>
        <w:t>.</w:t>
      </w:r>
    </w:p>
    <w:p w14:paraId="5AEF05AF" w14:textId="3EA7EDE2" w:rsidR="006F4911" w:rsidRPr="002C65E3" w:rsidRDefault="00156F70" w:rsidP="007C19C6">
      <w:pPr>
        <w:pStyle w:val="SingleTxtG"/>
        <w:rPr>
          <w:lang w:eastAsia="en-US"/>
        </w:rPr>
      </w:pPr>
      <w:r w:rsidRPr="002C65E3">
        <w:rPr>
          <w:lang w:eastAsia="en-US"/>
        </w:rPr>
        <w:t>158.</w:t>
      </w:r>
      <w:r w:rsidRPr="002C65E3">
        <w:rPr>
          <w:lang w:eastAsia="en-US"/>
        </w:rPr>
        <w:tab/>
      </w:r>
      <w:r w:rsidR="006F4911" w:rsidRPr="002C65E3">
        <w:rPr>
          <w:lang w:eastAsia="en-US"/>
        </w:rPr>
        <w:t>Además de lo señalado en los párrafos</w:t>
      </w:r>
      <w:r w:rsidR="00776BAA" w:rsidRPr="002C65E3">
        <w:rPr>
          <w:lang w:eastAsia="en-US"/>
        </w:rPr>
        <w:t xml:space="preserve"> 55-70</w:t>
      </w:r>
      <w:r w:rsidR="006F4911" w:rsidRPr="002C65E3">
        <w:rPr>
          <w:lang w:eastAsia="en-US"/>
        </w:rPr>
        <w:t>, y en relación con el acceso a ventilación mecánica, no existió discriminación basada en la discapacidad para el uso prioritario de este tipo de implementos.</w:t>
      </w:r>
      <w:r w:rsidR="006F4911" w:rsidRPr="002C65E3">
        <w:rPr>
          <w:highlight w:val="white"/>
          <w:lang w:eastAsia="en-US"/>
        </w:rPr>
        <w:t xml:space="preserve"> Se conformó una mesa de trabajo entre MINSAL, el Observatorio de Participación Ciudadana y No Discriminación y SENADIS para resguardar </w:t>
      </w:r>
      <w:r w:rsidR="006F4911" w:rsidRPr="002C65E3">
        <w:rPr>
          <w:lang w:eastAsia="en-US"/>
        </w:rPr>
        <w:t>la</w:t>
      </w:r>
      <w:r w:rsidR="006F4911" w:rsidRPr="002C65E3">
        <w:rPr>
          <w:highlight w:val="white"/>
          <w:lang w:eastAsia="en-US"/>
        </w:rPr>
        <w:t xml:space="preserve"> no discriminación de PcD en la atención de salud, mediante apoyo y gestión de casos complejos, velando por el respeto de los derechos y dignidad de las PcD, sus cuidadores y familias. </w:t>
      </w:r>
    </w:p>
    <w:p w14:paraId="1EB9ED55" w14:textId="46AC33F5" w:rsidR="006F4911" w:rsidRPr="002C65E3" w:rsidRDefault="00156F70" w:rsidP="007C19C6">
      <w:pPr>
        <w:pStyle w:val="SingleTxtG"/>
        <w:rPr>
          <w:lang w:eastAsia="en-US"/>
        </w:rPr>
      </w:pPr>
      <w:r w:rsidRPr="002C65E3">
        <w:rPr>
          <w:lang w:eastAsia="en-US"/>
        </w:rPr>
        <w:t>159.</w:t>
      </w:r>
      <w:r w:rsidRPr="002C65E3">
        <w:rPr>
          <w:lang w:eastAsia="en-US"/>
        </w:rPr>
        <w:tab/>
      </w:r>
      <w:r w:rsidR="006F4911" w:rsidRPr="002C65E3">
        <w:rPr>
          <w:lang w:eastAsia="en-US"/>
        </w:rPr>
        <w:t>En cuanto a datos de PcD en residencia que contrajeron COVID-19 y la vacunación, véase el párrafo</w:t>
      </w:r>
      <w:r w:rsidR="00776BAA" w:rsidRPr="002C65E3">
        <w:rPr>
          <w:lang w:eastAsia="en-US"/>
        </w:rPr>
        <w:t xml:space="preserve"> 119</w:t>
      </w:r>
      <w:r w:rsidR="006F4911" w:rsidRPr="002C65E3">
        <w:rPr>
          <w:lang w:eastAsia="en-US"/>
        </w:rPr>
        <w:t>. Con respecto a las Residencias sanitarias disponibles para el ingreso de PcD con COVID-19, con sospecha de contagio o contacto estrecho, hubo 118</w:t>
      </w:r>
      <w:r w:rsidR="007C19C6" w:rsidRPr="002C65E3">
        <w:rPr>
          <w:lang w:eastAsia="en-US"/>
        </w:rPr>
        <w:t> </w:t>
      </w:r>
      <w:r w:rsidR="006F4911" w:rsidRPr="002C65E3">
        <w:rPr>
          <w:lang w:eastAsia="en-US"/>
        </w:rPr>
        <w:t>beneficiarios/as y en Residencias transitorias que entregaron servicios básicos de atención y cuidado para situaciones de emergencia crítica en las residencias, 86</w:t>
      </w:r>
      <w:r w:rsidR="007C19C6" w:rsidRPr="002C65E3">
        <w:rPr>
          <w:lang w:eastAsia="en-US"/>
        </w:rPr>
        <w:t> </w:t>
      </w:r>
      <w:r w:rsidR="006F4911" w:rsidRPr="002C65E3">
        <w:rPr>
          <w:lang w:eastAsia="en-US"/>
        </w:rPr>
        <w:t xml:space="preserve">beneficiarios/as. </w:t>
      </w:r>
    </w:p>
    <w:p w14:paraId="5DD298CA" w14:textId="3FD7E3B0" w:rsidR="006F4911" w:rsidRPr="002C65E3" w:rsidRDefault="00E3136F" w:rsidP="007C19C6">
      <w:pPr>
        <w:pStyle w:val="H1G"/>
        <w:rPr>
          <w:highlight w:val="white"/>
          <w:lang w:eastAsia="en-US"/>
        </w:rPr>
      </w:pPr>
      <w:bookmarkStart w:id="43" w:name="_Toc122692628"/>
      <w:r w:rsidRPr="002C65E3">
        <w:rPr>
          <w:lang w:eastAsia="en-US"/>
        </w:rPr>
        <w:tab/>
      </w:r>
      <w:r w:rsidRPr="002C65E3">
        <w:rPr>
          <w:lang w:eastAsia="en-US"/>
        </w:rPr>
        <w:tab/>
      </w:r>
      <w:r w:rsidR="006F4911" w:rsidRPr="002C65E3">
        <w:rPr>
          <w:lang w:eastAsia="en-US"/>
        </w:rPr>
        <w:t>Artículo 26</w:t>
      </w:r>
      <w:bookmarkEnd w:id="43"/>
    </w:p>
    <w:p w14:paraId="733C5F16" w14:textId="40B93425" w:rsidR="006F4911" w:rsidRPr="002C65E3" w:rsidRDefault="00156F70" w:rsidP="007C19C6">
      <w:pPr>
        <w:pStyle w:val="SingleTxtG"/>
        <w:rPr>
          <w:lang w:eastAsia="en-US"/>
        </w:rPr>
      </w:pPr>
      <w:r w:rsidRPr="002C65E3">
        <w:rPr>
          <w:lang w:eastAsia="en-US"/>
        </w:rPr>
        <w:t>160.</w:t>
      </w:r>
      <w:r w:rsidRPr="002C65E3">
        <w:rPr>
          <w:lang w:eastAsia="en-US"/>
        </w:rPr>
        <w:tab/>
      </w:r>
      <w:r w:rsidR="006F4911" w:rsidRPr="002C65E3">
        <w:rPr>
          <w:lang w:eastAsia="en-US"/>
        </w:rPr>
        <w:t xml:space="preserve"> SENADIS, desde 2016, ha apoyado la implementación de más de 200 dispositivos de rehabilitación de diversa complejidad en las 16 regiones del país, incorporando el enfoque de</w:t>
      </w:r>
      <w:r w:rsidR="006F4911" w:rsidRPr="002C65E3">
        <w:rPr>
          <w:rFonts w:eastAsia="Arial"/>
          <w:sz w:val="22"/>
          <w:szCs w:val="22"/>
          <w:lang w:eastAsia="en-US"/>
        </w:rPr>
        <w:t xml:space="preserve"> </w:t>
      </w:r>
      <w:r w:rsidR="006F4911" w:rsidRPr="002C65E3">
        <w:rPr>
          <w:lang w:eastAsia="en-US"/>
        </w:rPr>
        <w:t>rehabilitación de base comunitaria, acercándolos a las comunidades donde residen las</w:t>
      </w:r>
      <w:r w:rsidR="00312616" w:rsidRPr="002C65E3">
        <w:rPr>
          <w:lang w:eastAsia="en-US"/>
        </w:rPr>
        <w:t> </w:t>
      </w:r>
      <w:r w:rsidR="006F4911" w:rsidRPr="002C65E3">
        <w:rPr>
          <w:lang w:eastAsia="en-US"/>
        </w:rPr>
        <w:t>PcD, incluidas zonas remotas y rurales.</w:t>
      </w:r>
    </w:p>
    <w:p w14:paraId="6E18C9CC" w14:textId="701D28FD" w:rsidR="006F4911" w:rsidRPr="002C65E3" w:rsidRDefault="00156F70" w:rsidP="007C19C6">
      <w:pPr>
        <w:pStyle w:val="SingleTxtG"/>
        <w:rPr>
          <w:lang w:eastAsia="en-US"/>
        </w:rPr>
      </w:pPr>
      <w:r w:rsidRPr="002C65E3">
        <w:rPr>
          <w:lang w:eastAsia="en-US"/>
        </w:rPr>
        <w:t>161.</w:t>
      </w:r>
      <w:r w:rsidRPr="002C65E3">
        <w:rPr>
          <w:lang w:eastAsia="en-US"/>
        </w:rPr>
        <w:tab/>
      </w:r>
      <w:r w:rsidR="006F4911" w:rsidRPr="002C65E3">
        <w:rPr>
          <w:lang w:eastAsia="en-US"/>
        </w:rPr>
        <w:t>En cuanto al presupuesto de AATT de SENADIS: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15"/>
        <w:gridCol w:w="1888"/>
        <w:gridCol w:w="2007"/>
        <w:gridCol w:w="2160"/>
      </w:tblGrid>
      <w:tr w:rsidR="006F4911" w:rsidRPr="002C65E3" w14:paraId="35A2D4AD" w14:textId="77777777" w:rsidTr="007C19C6">
        <w:trPr>
          <w:trHeight w:val="240"/>
          <w:tblHeader/>
        </w:trPr>
        <w:tc>
          <w:tcPr>
            <w:tcW w:w="18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8028C39" w14:textId="77777777" w:rsidR="006F4911" w:rsidRPr="002C65E3" w:rsidRDefault="006F4911" w:rsidP="007C19C6">
            <w:pPr>
              <w:spacing w:before="80" w:after="80" w:line="200" w:lineRule="exact"/>
              <w:rPr>
                <w:rFonts w:eastAsia="Times New Roman"/>
                <w:i/>
                <w:sz w:val="16"/>
                <w:lang w:eastAsia="en-US"/>
              </w:rPr>
            </w:pPr>
            <w:r w:rsidRPr="002C65E3">
              <w:rPr>
                <w:rFonts w:eastAsia="Times New Roman"/>
                <w:i/>
                <w:sz w:val="16"/>
                <w:lang w:eastAsia="en-US"/>
              </w:rPr>
              <w:t xml:space="preserve">AÑO (ChiSol) </w:t>
            </w:r>
          </w:p>
        </w:tc>
        <w:tc>
          <w:tcPr>
            <w:tcW w:w="229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4CA3CF4" w14:textId="77777777" w:rsidR="006F4911" w:rsidRPr="002C65E3" w:rsidRDefault="006F4911" w:rsidP="007C19C6">
            <w:pPr>
              <w:spacing w:before="80" w:after="80" w:line="200" w:lineRule="exact"/>
              <w:ind w:left="85" w:right="28"/>
              <w:jc w:val="right"/>
              <w:rPr>
                <w:rFonts w:eastAsia="Times New Roman"/>
                <w:i/>
                <w:sz w:val="16"/>
                <w:lang w:eastAsia="en-US"/>
              </w:rPr>
            </w:pPr>
            <w:r w:rsidRPr="002C65E3">
              <w:rPr>
                <w:rFonts w:eastAsia="Times New Roman"/>
                <w:i/>
                <w:sz w:val="16"/>
                <w:lang w:eastAsia="en-US"/>
              </w:rPr>
              <w:t xml:space="preserve">Ppto. Regular </w:t>
            </w:r>
          </w:p>
        </w:tc>
        <w:tc>
          <w:tcPr>
            <w:tcW w:w="249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D9112BC" w14:textId="77777777" w:rsidR="006F4911" w:rsidRPr="002C65E3" w:rsidRDefault="006F4911" w:rsidP="007C19C6">
            <w:pPr>
              <w:spacing w:before="80" w:after="80" w:line="200" w:lineRule="exact"/>
              <w:ind w:left="85" w:right="28"/>
              <w:jc w:val="right"/>
              <w:rPr>
                <w:rFonts w:eastAsia="Times New Roman"/>
                <w:i/>
                <w:sz w:val="16"/>
                <w:lang w:eastAsia="en-US"/>
              </w:rPr>
            </w:pPr>
            <w:r w:rsidRPr="002C65E3">
              <w:rPr>
                <w:rFonts w:eastAsia="Times New Roman"/>
                <w:i/>
                <w:sz w:val="16"/>
                <w:lang w:eastAsia="en-US"/>
              </w:rPr>
              <w:t xml:space="preserve">Ppto. SS.OO. </w:t>
            </w:r>
          </w:p>
        </w:tc>
        <w:tc>
          <w:tcPr>
            <w:tcW w:w="262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188BC0B" w14:textId="77777777" w:rsidR="006F4911" w:rsidRPr="002C65E3" w:rsidRDefault="006F4911" w:rsidP="007C19C6">
            <w:pPr>
              <w:spacing w:before="80" w:after="80" w:line="200" w:lineRule="exact"/>
              <w:ind w:left="85" w:right="28"/>
              <w:jc w:val="right"/>
              <w:rPr>
                <w:rFonts w:eastAsia="Times New Roman"/>
                <w:i/>
                <w:sz w:val="16"/>
                <w:lang w:eastAsia="en-US"/>
              </w:rPr>
            </w:pPr>
            <w:r w:rsidRPr="002C65E3">
              <w:rPr>
                <w:rFonts w:eastAsia="Times New Roman"/>
                <w:i/>
                <w:sz w:val="16"/>
                <w:lang w:eastAsia="en-US"/>
              </w:rPr>
              <w:t>TOTAL</w:t>
            </w:r>
          </w:p>
        </w:tc>
      </w:tr>
      <w:tr w:rsidR="006F4911" w:rsidRPr="002C65E3" w14:paraId="535AA915" w14:textId="77777777" w:rsidTr="007C19C6">
        <w:trPr>
          <w:trHeight w:val="240"/>
        </w:trPr>
        <w:tc>
          <w:tcPr>
            <w:tcW w:w="1800" w:type="dxa"/>
            <w:tcBorders>
              <w:top w:val="single" w:sz="12" w:space="0" w:color="auto"/>
            </w:tcBorders>
            <w:shd w:val="clear" w:color="auto" w:fill="auto"/>
            <w:tcMar>
              <w:top w:w="0" w:type="dxa"/>
              <w:left w:w="0" w:type="dxa"/>
              <w:bottom w:w="0" w:type="dxa"/>
              <w:right w:w="0" w:type="dxa"/>
            </w:tcMar>
          </w:tcPr>
          <w:p w14:paraId="42C5D327" w14:textId="77777777" w:rsidR="006F4911" w:rsidRPr="002C65E3" w:rsidRDefault="006F4911" w:rsidP="007C19C6">
            <w:pPr>
              <w:spacing w:before="40" w:after="40" w:line="220" w:lineRule="exact"/>
              <w:rPr>
                <w:rFonts w:eastAsia="Times New Roman"/>
                <w:sz w:val="18"/>
                <w:lang w:eastAsia="en-US"/>
              </w:rPr>
            </w:pPr>
            <w:r w:rsidRPr="002C65E3">
              <w:rPr>
                <w:rFonts w:eastAsia="Times New Roman"/>
                <w:sz w:val="18"/>
                <w:lang w:eastAsia="en-US"/>
              </w:rPr>
              <w:t>2016</w:t>
            </w:r>
          </w:p>
        </w:tc>
        <w:tc>
          <w:tcPr>
            <w:tcW w:w="2295" w:type="dxa"/>
            <w:tcBorders>
              <w:top w:val="single" w:sz="12" w:space="0" w:color="auto"/>
            </w:tcBorders>
            <w:shd w:val="clear" w:color="auto" w:fill="auto"/>
            <w:tcMar>
              <w:top w:w="0" w:type="dxa"/>
              <w:left w:w="0" w:type="dxa"/>
              <w:bottom w:w="0" w:type="dxa"/>
              <w:right w:w="0" w:type="dxa"/>
            </w:tcMar>
            <w:vAlign w:val="bottom"/>
          </w:tcPr>
          <w:p w14:paraId="3A4264FF"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$2.612.329.000</w:t>
            </w:r>
          </w:p>
        </w:tc>
        <w:tc>
          <w:tcPr>
            <w:tcW w:w="2490" w:type="dxa"/>
            <w:tcBorders>
              <w:top w:val="single" w:sz="12" w:space="0" w:color="auto"/>
            </w:tcBorders>
            <w:shd w:val="clear" w:color="auto" w:fill="auto"/>
            <w:tcMar>
              <w:top w:w="0" w:type="dxa"/>
              <w:left w:w="0" w:type="dxa"/>
              <w:bottom w:w="0" w:type="dxa"/>
              <w:right w:w="0" w:type="dxa"/>
            </w:tcMar>
            <w:vAlign w:val="bottom"/>
          </w:tcPr>
          <w:p w14:paraId="20295EB5"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$1.730.705.000</w:t>
            </w:r>
          </w:p>
        </w:tc>
        <w:tc>
          <w:tcPr>
            <w:tcW w:w="2625" w:type="dxa"/>
            <w:tcBorders>
              <w:top w:val="single" w:sz="12" w:space="0" w:color="auto"/>
            </w:tcBorders>
            <w:shd w:val="clear" w:color="auto" w:fill="auto"/>
            <w:tcMar>
              <w:top w:w="0" w:type="dxa"/>
              <w:left w:w="0" w:type="dxa"/>
              <w:bottom w:w="0" w:type="dxa"/>
              <w:right w:w="0" w:type="dxa"/>
            </w:tcMar>
            <w:vAlign w:val="bottom"/>
          </w:tcPr>
          <w:p w14:paraId="6E2317F3"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$4.343.034.000</w:t>
            </w:r>
          </w:p>
        </w:tc>
      </w:tr>
      <w:tr w:rsidR="006F4911" w:rsidRPr="002C65E3" w14:paraId="76A00E55" w14:textId="77777777" w:rsidTr="007C19C6">
        <w:trPr>
          <w:trHeight w:val="240"/>
        </w:trPr>
        <w:tc>
          <w:tcPr>
            <w:tcW w:w="1800" w:type="dxa"/>
            <w:shd w:val="clear" w:color="auto" w:fill="auto"/>
            <w:tcMar>
              <w:top w:w="0" w:type="dxa"/>
              <w:left w:w="0" w:type="dxa"/>
              <w:bottom w:w="0" w:type="dxa"/>
              <w:right w:w="0" w:type="dxa"/>
            </w:tcMar>
          </w:tcPr>
          <w:p w14:paraId="5815625E" w14:textId="77777777" w:rsidR="006F4911" w:rsidRPr="002C65E3" w:rsidRDefault="006F4911" w:rsidP="007C19C6">
            <w:pPr>
              <w:spacing w:before="40" w:after="40" w:line="220" w:lineRule="exact"/>
              <w:rPr>
                <w:rFonts w:eastAsia="Times New Roman"/>
                <w:sz w:val="18"/>
                <w:lang w:eastAsia="en-US"/>
              </w:rPr>
            </w:pPr>
            <w:r w:rsidRPr="002C65E3">
              <w:rPr>
                <w:rFonts w:eastAsia="Times New Roman"/>
                <w:sz w:val="18"/>
                <w:lang w:eastAsia="en-US"/>
              </w:rPr>
              <w:lastRenderedPageBreak/>
              <w:t>2017</w:t>
            </w:r>
          </w:p>
        </w:tc>
        <w:tc>
          <w:tcPr>
            <w:tcW w:w="2295" w:type="dxa"/>
            <w:shd w:val="clear" w:color="auto" w:fill="auto"/>
            <w:tcMar>
              <w:top w:w="0" w:type="dxa"/>
              <w:left w:w="0" w:type="dxa"/>
              <w:bottom w:w="0" w:type="dxa"/>
              <w:right w:w="0" w:type="dxa"/>
            </w:tcMar>
            <w:vAlign w:val="bottom"/>
          </w:tcPr>
          <w:p w14:paraId="476BA4E3"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$3.021.878.360</w:t>
            </w:r>
          </w:p>
        </w:tc>
        <w:tc>
          <w:tcPr>
            <w:tcW w:w="2490" w:type="dxa"/>
            <w:shd w:val="clear" w:color="auto" w:fill="auto"/>
            <w:tcMar>
              <w:top w:w="0" w:type="dxa"/>
              <w:left w:w="0" w:type="dxa"/>
              <w:bottom w:w="0" w:type="dxa"/>
              <w:right w:w="0" w:type="dxa"/>
            </w:tcMar>
            <w:vAlign w:val="bottom"/>
          </w:tcPr>
          <w:p w14:paraId="07A17228"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$1.782.626.000</w:t>
            </w:r>
          </w:p>
        </w:tc>
        <w:tc>
          <w:tcPr>
            <w:tcW w:w="2625" w:type="dxa"/>
            <w:shd w:val="clear" w:color="auto" w:fill="auto"/>
            <w:tcMar>
              <w:top w:w="0" w:type="dxa"/>
              <w:left w:w="0" w:type="dxa"/>
              <w:bottom w:w="0" w:type="dxa"/>
              <w:right w:w="0" w:type="dxa"/>
            </w:tcMar>
            <w:vAlign w:val="bottom"/>
          </w:tcPr>
          <w:p w14:paraId="57A52C44"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$4.804.504.360</w:t>
            </w:r>
          </w:p>
        </w:tc>
      </w:tr>
      <w:tr w:rsidR="006F4911" w:rsidRPr="002C65E3" w14:paraId="50345067" w14:textId="77777777" w:rsidTr="007C19C6">
        <w:trPr>
          <w:trHeight w:val="240"/>
        </w:trPr>
        <w:tc>
          <w:tcPr>
            <w:tcW w:w="1800" w:type="dxa"/>
            <w:shd w:val="clear" w:color="auto" w:fill="auto"/>
            <w:tcMar>
              <w:top w:w="0" w:type="dxa"/>
              <w:left w:w="0" w:type="dxa"/>
              <w:bottom w:w="0" w:type="dxa"/>
              <w:right w:w="0" w:type="dxa"/>
            </w:tcMar>
          </w:tcPr>
          <w:p w14:paraId="7552C6B7" w14:textId="77777777" w:rsidR="006F4911" w:rsidRPr="002C65E3" w:rsidRDefault="006F4911" w:rsidP="007C19C6">
            <w:pPr>
              <w:spacing w:before="40" w:after="40" w:line="220" w:lineRule="exact"/>
              <w:rPr>
                <w:rFonts w:eastAsia="Times New Roman"/>
                <w:sz w:val="18"/>
                <w:lang w:eastAsia="en-US"/>
              </w:rPr>
            </w:pPr>
            <w:r w:rsidRPr="002C65E3">
              <w:rPr>
                <w:rFonts w:eastAsia="Times New Roman"/>
                <w:sz w:val="18"/>
                <w:lang w:eastAsia="en-US"/>
              </w:rPr>
              <w:t>2018</w:t>
            </w:r>
          </w:p>
        </w:tc>
        <w:tc>
          <w:tcPr>
            <w:tcW w:w="2295" w:type="dxa"/>
            <w:shd w:val="clear" w:color="auto" w:fill="auto"/>
            <w:tcMar>
              <w:top w:w="0" w:type="dxa"/>
              <w:left w:w="0" w:type="dxa"/>
              <w:bottom w:w="0" w:type="dxa"/>
              <w:right w:w="0" w:type="dxa"/>
            </w:tcMar>
            <w:vAlign w:val="bottom"/>
          </w:tcPr>
          <w:p w14:paraId="039E53CB"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$3.225.696.000</w:t>
            </w:r>
          </w:p>
        </w:tc>
        <w:tc>
          <w:tcPr>
            <w:tcW w:w="2490" w:type="dxa"/>
            <w:shd w:val="clear" w:color="auto" w:fill="auto"/>
            <w:tcMar>
              <w:top w:w="0" w:type="dxa"/>
              <w:left w:w="0" w:type="dxa"/>
              <w:bottom w:w="0" w:type="dxa"/>
              <w:right w:w="0" w:type="dxa"/>
            </w:tcMar>
            <w:vAlign w:val="bottom"/>
          </w:tcPr>
          <w:p w14:paraId="6C014937"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$1.828.974.000</w:t>
            </w:r>
          </w:p>
        </w:tc>
        <w:tc>
          <w:tcPr>
            <w:tcW w:w="2625" w:type="dxa"/>
            <w:shd w:val="clear" w:color="auto" w:fill="auto"/>
            <w:tcMar>
              <w:top w:w="0" w:type="dxa"/>
              <w:left w:w="0" w:type="dxa"/>
              <w:bottom w:w="0" w:type="dxa"/>
              <w:right w:w="0" w:type="dxa"/>
            </w:tcMar>
            <w:vAlign w:val="bottom"/>
          </w:tcPr>
          <w:p w14:paraId="0862C536"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$5.054.670.000</w:t>
            </w:r>
          </w:p>
        </w:tc>
      </w:tr>
      <w:tr w:rsidR="006F4911" w:rsidRPr="002C65E3" w14:paraId="26EB69FD" w14:textId="77777777" w:rsidTr="007C19C6">
        <w:trPr>
          <w:trHeight w:val="240"/>
        </w:trPr>
        <w:tc>
          <w:tcPr>
            <w:tcW w:w="1800" w:type="dxa"/>
            <w:shd w:val="clear" w:color="auto" w:fill="auto"/>
            <w:tcMar>
              <w:top w:w="0" w:type="dxa"/>
              <w:left w:w="0" w:type="dxa"/>
              <w:bottom w:w="0" w:type="dxa"/>
              <w:right w:w="0" w:type="dxa"/>
            </w:tcMar>
          </w:tcPr>
          <w:p w14:paraId="01FD6A92" w14:textId="77777777" w:rsidR="006F4911" w:rsidRPr="002C65E3" w:rsidRDefault="006F4911" w:rsidP="007C19C6">
            <w:pPr>
              <w:spacing w:before="40" w:after="40" w:line="220" w:lineRule="exact"/>
              <w:rPr>
                <w:rFonts w:eastAsia="Times New Roman"/>
                <w:sz w:val="18"/>
                <w:lang w:eastAsia="en-US"/>
              </w:rPr>
            </w:pPr>
            <w:r w:rsidRPr="002C65E3">
              <w:rPr>
                <w:rFonts w:eastAsia="Times New Roman"/>
                <w:sz w:val="18"/>
                <w:lang w:eastAsia="en-US"/>
              </w:rPr>
              <w:t>2019</w:t>
            </w:r>
          </w:p>
        </w:tc>
        <w:tc>
          <w:tcPr>
            <w:tcW w:w="2295" w:type="dxa"/>
            <w:shd w:val="clear" w:color="auto" w:fill="auto"/>
            <w:tcMar>
              <w:top w:w="0" w:type="dxa"/>
              <w:left w:w="0" w:type="dxa"/>
              <w:bottom w:w="0" w:type="dxa"/>
              <w:right w:w="0" w:type="dxa"/>
            </w:tcMar>
            <w:vAlign w:val="bottom"/>
          </w:tcPr>
          <w:p w14:paraId="71EE0CC5"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$3.418.142.000</w:t>
            </w:r>
          </w:p>
        </w:tc>
        <w:tc>
          <w:tcPr>
            <w:tcW w:w="2490" w:type="dxa"/>
            <w:shd w:val="clear" w:color="auto" w:fill="auto"/>
            <w:tcMar>
              <w:top w:w="0" w:type="dxa"/>
              <w:left w:w="0" w:type="dxa"/>
              <w:bottom w:w="0" w:type="dxa"/>
              <w:right w:w="0" w:type="dxa"/>
            </w:tcMar>
            <w:vAlign w:val="bottom"/>
          </w:tcPr>
          <w:p w14:paraId="546CE870"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$1.871.708.000</w:t>
            </w:r>
          </w:p>
        </w:tc>
        <w:tc>
          <w:tcPr>
            <w:tcW w:w="2625" w:type="dxa"/>
            <w:shd w:val="clear" w:color="auto" w:fill="auto"/>
            <w:tcMar>
              <w:top w:w="0" w:type="dxa"/>
              <w:left w:w="0" w:type="dxa"/>
              <w:bottom w:w="0" w:type="dxa"/>
              <w:right w:w="0" w:type="dxa"/>
            </w:tcMar>
            <w:vAlign w:val="bottom"/>
          </w:tcPr>
          <w:p w14:paraId="711DFFCE"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$5.289.850.000</w:t>
            </w:r>
          </w:p>
        </w:tc>
      </w:tr>
      <w:tr w:rsidR="006F4911" w:rsidRPr="002C65E3" w14:paraId="0AB67A09" w14:textId="77777777" w:rsidTr="007C19C6">
        <w:trPr>
          <w:trHeight w:val="240"/>
        </w:trPr>
        <w:tc>
          <w:tcPr>
            <w:tcW w:w="1800" w:type="dxa"/>
            <w:shd w:val="clear" w:color="auto" w:fill="auto"/>
            <w:tcMar>
              <w:top w:w="0" w:type="dxa"/>
              <w:left w:w="0" w:type="dxa"/>
              <w:bottom w:w="0" w:type="dxa"/>
              <w:right w:w="0" w:type="dxa"/>
            </w:tcMar>
          </w:tcPr>
          <w:p w14:paraId="304DD4F8" w14:textId="77777777" w:rsidR="006F4911" w:rsidRPr="002C65E3" w:rsidRDefault="006F4911" w:rsidP="007C19C6">
            <w:pPr>
              <w:spacing w:before="40" w:after="40" w:line="220" w:lineRule="exact"/>
              <w:rPr>
                <w:rFonts w:eastAsia="Times New Roman"/>
                <w:sz w:val="18"/>
                <w:lang w:eastAsia="en-US"/>
              </w:rPr>
            </w:pPr>
            <w:r w:rsidRPr="002C65E3">
              <w:rPr>
                <w:rFonts w:eastAsia="Times New Roman"/>
                <w:sz w:val="18"/>
                <w:lang w:eastAsia="en-US"/>
              </w:rPr>
              <w:t>2020</w:t>
            </w:r>
          </w:p>
        </w:tc>
        <w:tc>
          <w:tcPr>
            <w:tcW w:w="2295" w:type="dxa"/>
            <w:shd w:val="clear" w:color="auto" w:fill="auto"/>
            <w:tcMar>
              <w:top w:w="0" w:type="dxa"/>
              <w:left w:w="0" w:type="dxa"/>
              <w:bottom w:w="0" w:type="dxa"/>
              <w:right w:w="0" w:type="dxa"/>
            </w:tcMar>
            <w:vAlign w:val="bottom"/>
          </w:tcPr>
          <w:p w14:paraId="34F00191"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$4.883.889.126</w:t>
            </w:r>
          </w:p>
        </w:tc>
        <w:tc>
          <w:tcPr>
            <w:tcW w:w="2490" w:type="dxa"/>
            <w:shd w:val="clear" w:color="auto" w:fill="auto"/>
            <w:tcMar>
              <w:top w:w="0" w:type="dxa"/>
              <w:left w:w="0" w:type="dxa"/>
              <w:bottom w:w="0" w:type="dxa"/>
              <w:right w:w="0" w:type="dxa"/>
            </w:tcMar>
            <w:vAlign w:val="bottom"/>
          </w:tcPr>
          <w:p w14:paraId="7678D87C"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$1.920.382.000</w:t>
            </w:r>
          </w:p>
        </w:tc>
        <w:tc>
          <w:tcPr>
            <w:tcW w:w="2625" w:type="dxa"/>
            <w:shd w:val="clear" w:color="auto" w:fill="auto"/>
            <w:tcMar>
              <w:top w:w="0" w:type="dxa"/>
              <w:left w:w="0" w:type="dxa"/>
              <w:bottom w:w="0" w:type="dxa"/>
              <w:right w:w="0" w:type="dxa"/>
            </w:tcMar>
            <w:vAlign w:val="bottom"/>
          </w:tcPr>
          <w:p w14:paraId="151611D3"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$6.804.271.126</w:t>
            </w:r>
            <w:r w:rsidRPr="002C65E3">
              <w:rPr>
                <w:rStyle w:val="Refdenotaalpie"/>
              </w:rPr>
              <w:footnoteReference w:id="248"/>
            </w:r>
          </w:p>
        </w:tc>
      </w:tr>
      <w:tr w:rsidR="006F4911" w:rsidRPr="002C65E3" w14:paraId="5BF01CEB" w14:textId="77777777" w:rsidTr="007C19C6">
        <w:trPr>
          <w:trHeight w:val="240"/>
        </w:trPr>
        <w:tc>
          <w:tcPr>
            <w:tcW w:w="1800" w:type="dxa"/>
            <w:tcBorders>
              <w:bottom w:val="single" w:sz="12" w:space="0" w:color="auto"/>
            </w:tcBorders>
            <w:shd w:val="clear" w:color="auto" w:fill="auto"/>
            <w:tcMar>
              <w:top w:w="0" w:type="dxa"/>
              <w:left w:w="0" w:type="dxa"/>
              <w:bottom w:w="0" w:type="dxa"/>
              <w:right w:w="0" w:type="dxa"/>
            </w:tcMar>
          </w:tcPr>
          <w:p w14:paraId="15746F75" w14:textId="77777777" w:rsidR="006F4911" w:rsidRPr="002C65E3" w:rsidRDefault="006F4911" w:rsidP="007C19C6">
            <w:pPr>
              <w:spacing w:before="40" w:after="40" w:line="220" w:lineRule="exact"/>
              <w:rPr>
                <w:rFonts w:eastAsia="Times New Roman"/>
                <w:sz w:val="18"/>
                <w:lang w:eastAsia="en-US"/>
              </w:rPr>
            </w:pPr>
            <w:r w:rsidRPr="002C65E3">
              <w:rPr>
                <w:rFonts w:eastAsia="Times New Roman"/>
                <w:sz w:val="18"/>
                <w:lang w:eastAsia="en-US"/>
              </w:rPr>
              <w:t>2021</w:t>
            </w:r>
          </w:p>
        </w:tc>
        <w:tc>
          <w:tcPr>
            <w:tcW w:w="2295" w:type="dxa"/>
            <w:tcBorders>
              <w:bottom w:val="single" w:sz="12" w:space="0" w:color="auto"/>
            </w:tcBorders>
            <w:shd w:val="clear" w:color="auto" w:fill="auto"/>
            <w:tcMar>
              <w:top w:w="0" w:type="dxa"/>
              <w:left w:w="0" w:type="dxa"/>
              <w:bottom w:w="0" w:type="dxa"/>
              <w:right w:w="0" w:type="dxa"/>
            </w:tcMar>
            <w:vAlign w:val="bottom"/>
          </w:tcPr>
          <w:p w14:paraId="2EE49A38"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$3.394.117.427</w:t>
            </w:r>
          </w:p>
        </w:tc>
        <w:tc>
          <w:tcPr>
            <w:tcW w:w="2490" w:type="dxa"/>
            <w:tcBorders>
              <w:bottom w:val="single" w:sz="12" w:space="0" w:color="auto"/>
            </w:tcBorders>
            <w:shd w:val="clear" w:color="auto" w:fill="auto"/>
            <w:tcMar>
              <w:top w:w="0" w:type="dxa"/>
              <w:left w:w="0" w:type="dxa"/>
              <w:bottom w:w="0" w:type="dxa"/>
              <w:right w:w="0" w:type="dxa"/>
            </w:tcMar>
            <w:vAlign w:val="bottom"/>
          </w:tcPr>
          <w:p w14:paraId="12FD3176"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$1.767.223.000</w:t>
            </w:r>
          </w:p>
        </w:tc>
        <w:tc>
          <w:tcPr>
            <w:tcW w:w="2625" w:type="dxa"/>
            <w:tcBorders>
              <w:bottom w:val="single" w:sz="12" w:space="0" w:color="auto"/>
            </w:tcBorders>
            <w:shd w:val="clear" w:color="auto" w:fill="auto"/>
            <w:tcMar>
              <w:top w:w="0" w:type="dxa"/>
              <w:left w:w="0" w:type="dxa"/>
              <w:bottom w:w="0" w:type="dxa"/>
              <w:right w:w="0" w:type="dxa"/>
            </w:tcMar>
            <w:vAlign w:val="bottom"/>
          </w:tcPr>
          <w:p w14:paraId="165F2A8D" w14:textId="77777777" w:rsidR="006F4911" w:rsidRPr="002C65E3" w:rsidRDefault="006F4911" w:rsidP="007C19C6">
            <w:pPr>
              <w:spacing w:before="40" w:after="40" w:line="220" w:lineRule="exact"/>
              <w:ind w:left="85" w:right="28"/>
              <w:jc w:val="right"/>
              <w:rPr>
                <w:rFonts w:eastAsia="Times New Roman"/>
                <w:sz w:val="18"/>
                <w:lang w:eastAsia="en-US"/>
              </w:rPr>
            </w:pPr>
            <w:r w:rsidRPr="002C65E3">
              <w:rPr>
                <w:rFonts w:eastAsia="Times New Roman"/>
                <w:sz w:val="18"/>
                <w:lang w:eastAsia="en-US"/>
              </w:rPr>
              <w:t>$5.161.340.427</w:t>
            </w:r>
          </w:p>
        </w:tc>
      </w:tr>
    </w:tbl>
    <w:p w14:paraId="7579DB57" w14:textId="229603D1" w:rsidR="006F4911" w:rsidRPr="002C65E3" w:rsidRDefault="00156F70" w:rsidP="00B67BF4">
      <w:pPr>
        <w:pStyle w:val="SingleTxtG"/>
        <w:spacing w:before="240"/>
        <w:rPr>
          <w:lang w:eastAsia="en-US"/>
        </w:rPr>
      </w:pPr>
      <w:r w:rsidRPr="002C65E3">
        <w:rPr>
          <w:lang w:eastAsia="en-US"/>
        </w:rPr>
        <w:t>162.</w:t>
      </w:r>
      <w:r w:rsidRPr="002C65E3">
        <w:rPr>
          <w:lang w:eastAsia="en-US"/>
        </w:rPr>
        <w:tab/>
      </w:r>
      <w:r w:rsidR="006F4911" w:rsidRPr="002C65E3">
        <w:rPr>
          <w:lang w:eastAsia="en-US"/>
        </w:rPr>
        <w:t>El presupuesto para 2021 y 2022 del Programa de Reforzamiento de la Atención Primaria de Salud (PRAPS) de Rehabilitación (MINSAL), es de $12.454.009.718.</w:t>
      </w:r>
    </w:p>
    <w:p w14:paraId="5EE085ED" w14:textId="2315B75B" w:rsidR="006F4911" w:rsidRPr="002C65E3" w:rsidRDefault="00127B97" w:rsidP="00B67BF4">
      <w:pPr>
        <w:pStyle w:val="H1G"/>
        <w:rPr>
          <w:highlight w:val="white"/>
          <w:lang w:eastAsia="en-US"/>
        </w:rPr>
      </w:pPr>
      <w:bookmarkStart w:id="44" w:name="_Toc122692629"/>
      <w:r w:rsidRPr="002C65E3">
        <w:rPr>
          <w:lang w:eastAsia="en-US"/>
        </w:rPr>
        <w:tab/>
      </w:r>
      <w:r w:rsidRPr="002C65E3">
        <w:rPr>
          <w:lang w:eastAsia="en-US"/>
        </w:rPr>
        <w:tab/>
      </w:r>
      <w:r w:rsidR="006F4911" w:rsidRPr="002C65E3">
        <w:rPr>
          <w:lang w:eastAsia="en-US"/>
        </w:rPr>
        <w:t>Artículo 27</w:t>
      </w:r>
      <w:bookmarkEnd w:id="44"/>
      <w:r w:rsidR="006F4911" w:rsidRPr="002C65E3">
        <w:rPr>
          <w:lang w:eastAsia="en-US"/>
        </w:rPr>
        <w:t xml:space="preserve"> </w:t>
      </w:r>
    </w:p>
    <w:p w14:paraId="667EAF89" w14:textId="69F160D1" w:rsidR="006F4911" w:rsidRPr="002C65E3" w:rsidRDefault="00156F70" w:rsidP="00156F70">
      <w:pPr>
        <w:pStyle w:val="SingleTxtG"/>
        <w:tabs>
          <w:tab w:val="clear" w:pos="2268"/>
          <w:tab w:val="clear" w:pos="2835"/>
        </w:tabs>
        <w:rPr>
          <w:rFonts w:eastAsia="Times New Roman"/>
          <w:lang w:eastAsia="en-US"/>
        </w:rPr>
      </w:pPr>
      <w:bookmarkStart w:id="45" w:name="_Ref122702779"/>
      <w:r w:rsidRPr="002C65E3">
        <w:rPr>
          <w:rFonts w:eastAsia="Times New Roman"/>
          <w:lang w:eastAsia="en-US"/>
        </w:rPr>
        <w:t>163.</w:t>
      </w:r>
      <w:r w:rsidRPr="002C65E3">
        <w:rPr>
          <w:rFonts w:eastAsia="Times New Roman"/>
          <w:lang w:eastAsia="en-US"/>
        </w:rPr>
        <w:tab/>
      </w:r>
      <w:r w:rsidR="006F4911" w:rsidRPr="002C65E3">
        <w:rPr>
          <w:rFonts w:eastAsia="Times New Roman"/>
          <w:lang w:eastAsia="en-US"/>
        </w:rPr>
        <w:t xml:space="preserve">En junio 2021, MINTRAB, MDSF y Hacienda, presentaron el </w:t>
      </w:r>
      <w:r w:rsidR="00791BE9" w:rsidRPr="002C65E3">
        <w:rPr>
          <w:rFonts w:eastAsia="Times New Roman"/>
          <w:lang w:eastAsia="en-US"/>
        </w:rPr>
        <w:t>“</w:t>
      </w:r>
      <w:r w:rsidR="006F4911" w:rsidRPr="002C65E3">
        <w:rPr>
          <w:rFonts w:eastAsia="Times New Roman"/>
          <w:lang w:eastAsia="en-US"/>
        </w:rPr>
        <w:t>Informe de Evaluación sobre la Implementación y Aplicación de la Ley N</w:t>
      </w:r>
      <w:r w:rsidR="00405113" w:rsidRPr="002C65E3">
        <w:rPr>
          <w:rFonts w:eastAsia="Times New Roman"/>
          <w:lang w:eastAsia="en-US"/>
        </w:rPr>
        <w:t>º </w:t>
      </w:r>
      <w:r w:rsidR="006F4911" w:rsidRPr="002C65E3">
        <w:rPr>
          <w:rFonts w:eastAsia="Times New Roman"/>
          <w:lang w:eastAsia="en-US"/>
        </w:rPr>
        <w:t>21.015</w:t>
      </w:r>
      <w:r w:rsidR="00791BE9" w:rsidRPr="002C65E3">
        <w:rPr>
          <w:rFonts w:eastAsia="Times New Roman"/>
          <w:lang w:eastAsia="en-US"/>
        </w:rPr>
        <w:t>”</w:t>
      </w:r>
      <w:r w:rsidR="006F4911" w:rsidRPr="002C65E3">
        <w:rPr>
          <w:rStyle w:val="Refdenotaalpie"/>
        </w:rPr>
        <w:footnoteReference w:id="249"/>
      </w:r>
      <w:r w:rsidR="006F4911" w:rsidRPr="002C65E3">
        <w:rPr>
          <w:rFonts w:eastAsia="Times New Roman"/>
          <w:lang w:eastAsia="en-US"/>
        </w:rPr>
        <w:t xml:space="preserve"> en el sector público como en el privado, respecto a la cuota del 1</w:t>
      </w:r>
      <w:r w:rsidR="00791BE9" w:rsidRPr="002C65E3">
        <w:rPr>
          <w:rFonts w:eastAsia="Times New Roman"/>
          <w:lang w:eastAsia="en-US"/>
        </w:rPr>
        <w:t> %</w:t>
      </w:r>
      <w:r w:rsidR="006F4911" w:rsidRPr="002C65E3">
        <w:rPr>
          <w:rFonts w:eastAsia="Times New Roman"/>
          <w:lang w:eastAsia="en-US"/>
        </w:rPr>
        <w:t xml:space="preserve"> reservada para PcD o asignataria de una pensión de invalidez; las razones fundadas para excusarse del cumplimiento, selección preferente, registro de contratos, uso de medidas alternativas, incluido un análisis desde la sociedad civil y las respectivas conclusiones.</w:t>
      </w:r>
      <w:bookmarkEnd w:id="45"/>
    </w:p>
    <w:p w14:paraId="2520FDD4" w14:textId="75A8FBF2" w:rsidR="006F4911" w:rsidRPr="002C65E3" w:rsidRDefault="00127B97" w:rsidP="00B67BF4">
      <w:pPr>
        <w:pStyle w:val="H23G"/>
        <w:rPr>
          <w:lang w:eastAsia="en-US"/>
        </w:rPr>
      </w:pPr>
      <w:r w:rsidRPr="002C65E3">
        <w:rPr>
          <w:lang w:eastAsia="en-US"/>
        </w:rPr>
        <w:tab/>
      </w:r>
      <w:r w:rsidRPr="002C65E3">
        <w:rPr>
          <w:lang w:eastAsia="en-US"/>
        </w:rPr>
        <w:tab/>
      </w:r>
      <w:r w:rsidR="006F4911" w:rsidRPr="002C65E3">
        <w:rPr>
          <w:lang w:eastAsia="en-US"/>
        </w:rPr>
        <w:t>Selección preferente sector público</w:t>
      </w:r>
    </w:p>
    <w:tbl>
      <w:tblPr>
        <w:tblW w:w="0" w:type="auto"/>
        <w:tblInd w:w="1134" w:type="dxa"/>
        <w:tblBorders>
          <w:top w:val="single" w:sz="4" w:space="0" w:color="auto"/>
        </w:tblBorders>
        <w:tblLayout w:type="fixed"/>
        <w:tblCellMar>
          <w:left w:w="0" w:type="dxa"/>
          <w:right w:w="0" w:type="dxa"/>
        </w:tblCellMar>
        <w:tblLook w:val="0600" w:firstRow="0" w:lastRow="0" w:firstColumn="0" w:lastColumn="0" w:noHBand="1" w:noVBand="1"/>
      </w:tblPr>
      <w:tblGrid>
        <w:gridCol w:w="2240"/>
        <w:gridCol w:w="454"/>
        <w:gridCol w:w="828"/>
        <w:gridCol w:w="447"/>
        <w:gridCol w:w="836"/>
        <w:gridCol w:w="440"/>
        <w:gridCol w:w="842"/>
        <w:gridCol w:w="434"/>
        <w:gridCol w:w="849"/>
      </w:tblGrid>
      <w:tr w:rsidR="00101D96" w:rsidRPr="002C65E3" w14:paraId="1ACDFE7B" w14:textId="77777777" w:rsidTr="00101D96">
        <w:trPr>
          <w:trHeight w:val="240"/>
          <w:tblHeader/>
        </w:trPr>
        <w:tc>
          <w:tcPr>
            <w:tcW w:w="224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DB6666F" w14:textId="77777777" w:rsidR="006F4911" w:rsidRPr="002C65E3" w:rsidRDefault="006F4911" w:rsidP="00101D96">
            <w:pPr>
              <w:spacing w:before="80" w:after="80" w:line="200" w:lineRule="exact"/>
              <w:rPr>
                <w:rFonts w:eastAsia="Times New Roman"/>
                <w:bCs/>
                <w:i/>
                <w:sz w:val="16"/>
                <w:lang w:eastAsia="en-US"/>
              </w:rPr>
            </w:pPr>
            <w:r w:rsidRPr="002C65E3">
              <w:rPr>
                <w:rFonts w:eastAsia="Times New Roman"/>
                <w:bCs/>
                <w:i/>
                <w:sz w:val="16"/>
                <w:lang w:eastAsia="en-US"/>
              </w:rPr>
              <w:t>Selección preferente</w:t>
            </w:r>
          </w:p>
        </w:tc>
        <w:tc>
          <w:tcPr>
            <w:tcW w:w="1282"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5984A7E9" w14:textId="77777777" w:rsidR="006F4911" w:rsidRPr="002C65E3" w:rsidRDefault="006F4911" w:rsidP="00101D9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2018</w:t>
            </w:r>
          </w:p>
        </w:tc>
        <w:tc>
          <w:tcPr>
            <w:tcW w:w="1283"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512A6B96" w14:textId="77777777" w:rsidR="006F4911" w:rsidRPr="002C65E3" w:rsidRDefault="006F4911" w:rsidP="00101D9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2019</w:t>
            </w:r>
          </w:p>
        </w:tc>
        <w:tc>
          <w:tcPr>
            <w:tcW w:w="1282"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636E4071" w14:textId="77777777" w:rsidR="006F4911" w:rsidRPr="002C65E3" w:rsidRDefault="006F4911" w:rsidP="00101D9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2020</w:t>
            </w:r>
          </w:p>
        </w:tc>
        <w:tc>
          <w:tcPr>
            <w:tcW w:w="1283"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17AB1EEC" w14:textId="77777777" w:rsidR="006F4911" w:rsidRPr="002C65E3" w:rsidRDefault="006F4911" w:rsidP="00101D9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2021</w:t>
            </w:r>
          </w:p>
        </w:tc>
      </w:tr>
      <w:tr w:rsidR="00101D96" w:rsidRPr="002C65E3" w14:paraId="434F7BFB" w14:textId="77777777" w:rsidTr="00101D96">
        <w:trPr>
          <w:trHeight w:val="240"/>
        </w:trPr>
        <w:tc>
          <w:tcPr>
            <w:tcW w:w="2240" w:type="dxa"/>
            <w:tcBorders>
              <w:top w:val="single" w:sz="12" w:space="0" w:color="auto"/>
            </w:tcBorders>
            <w:shd w:val="clear" w:color="auto" w:fill="auto"/>
            <w:tcMar>
              <w:top w:w="0" w:type="dxa"/>
              <w:left w:w="0" w:type="dxa"/>
              <w:bottom w:w="0" w:type="dxa"/>
              <w:right w:w="0" w:type="dxa"/>
            </w:tcMar>
          </w:tcPr>
          <w:p w14:paraId="6BA877BE"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Total procesos</w:t>
            </w:r>
          </w:p>
        </w:tc>
        <w:tc>
          <w:tcPr>
            <w:tcW w:w="1282" w:type="dxa"/>
            <w:gridSpan w:val="2"/>
            <w:tcBorders>
              <w:top w:val="single" w:sz="12" w:space="0" w:color="auto"/>
            </w:tcBorders>
            <w:shd w:val="clear" w:color="auto" w:fill="auto"/>
            <w:tcMar>
              <w:top w:w="0" w:type="dxa"/>
              <w:left w:w="0" w:type="dxa"/>
              <w:bottom w:w="0" w:type="dxa"/>
              <w:right w:w="0" w:type="dxa"/>
            </w:tcMar>
            <w:vAlign w:val="bottom"/>
          </w:tcPr>
          <w:p w14:paraId="3906A3AB"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7.942</w:t>
            </w:r>
          </w:p>
        </w:tc>
        <w:tc>
          <w:tcPr>
            <w:tcW w:w="1283" w:type="dxa"/>
            <w:gridSpan w:val="2"/>
            <w:tcBorders>
              <w:top w:val="single" w:sz="12" w:space="0" w:color="auto"/>
            </w:tcBorders>
            <w:shd w:val="clear" w:color="auto" w:fill="auto"/>
            <w:tcMar>
              <w:top w:w="0" w:type="dxa"/>
              <w:left w:w="0" w:type="dxa"/>
              <w:bottom w:w="0" w:type="dxa"/>
              <w:right w:w="0" w:type="dxa"/>
            </w:tcMar>
            <w:vAlign w:val="bottom"/>
          </w:tcPr>
          <w:p w14:paraId="4EC1A379"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10.547</w:t>
            </w:r>
          </w:p>
        </w:tc>
        <w:tc>
          <w:tcPr>
            <w:tcW w:w="1282" w:type="dxa"/>
            <w:gridSpan w:val="2"/>
            <w:tcBorders>
              <w:top w:val="single" w:sz="12" w:space="0" w:color="auto"/>
            </w:tcBorders>
            <w:shd w:val="clear" w:color="auto" w:fill="auto"/>
            <w:tcMar>
              <w:top w:w="0" w:type="dxa"/>
              <w:left w:w="0" w:type="dxa"/>
              <w:bottom w:w="0" w:type="dxa"/>
              <w:right w:w="0" w:type="dxa"/>
            </w:tcMar>
            <w:vAlign w:val="bottom"/>
          </w:tcPr>
          <w:p w14:paraId="75A93651" w14:textId="1B412C3F"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10.336</w:t>
            </w:r>
          </w:p>
        </w:tc>
        <w:tc>
          <w:tcPr>
            <w:tcW w:w="1283" w:type="dxa"/>
            <w:gridSpan w:val="2"/>
            <w:tcBorders>
              <w:top w:val="single" w:sz="12" w:space="0" w:color="auto"/>
            </w:tcBorders>
            <w:shd w:val="clear" w:color="auto" w:fill="auto"/>
            <w:tcMar>
              <w:top w:w="0" w:type="dxa"/>
              <w:left w:w="0" w:type="dxa"/>
              <w:bottom w:w="0" w:type="dxa"/>
              <w:right w:w="0" w:type="dxa"/>
            </w:tcMar>
            <w:vAlign w:val="bottom"/>
          </w:tcPr>
          <w:p w14:paraId="7795A7B3" w14:textId="2E4B20AA"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16.834</w:t>
            </w:r>
          </w:p>
        </w:tc>
      </w:tr>
      <w:tr w:rsidR="00101D96" w:rsidRPr="002C65E3" w14:paraId="49C50A48" w14:textId="77777777" w:rsidTr="00101D96">
        <w:trPr>
          <w:trHeight w:val="240"/>
        </w:trPr>
        <w:tc>
          <w:tcPr>
            <w:tcW w:w="2240" w:type="dxa"/>
            <w:shd w:val="clear" w:color="auto" w:fill="auto"/>
            <w:tcMar>
              <w:top w:w="0" w:type="dxa"/>
              <w:left w:w="0" w:type="dxa"/>
              <w:bottom w:w="0" w:type="dxa"/>
              <w:right w:w="0" w:type="dxa"/>
            </w:tcMar>
          </w:tcPr>
          <w:p w14:paraId="5B54330F"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PcD en nómina final</w:t>
            </w:r>
          </w:p>
        </w:tc>
        <w:tc>
          <w:tcPr>
            <w:tcW w:w="1282" w:type="dxa"/>
            <w:gridSpan w:val="2"/>
            <w:shd w:val="clear" w:color="auto" w:fill="auto"/>
            <w:tcMar>
              <w:top w:w="0" w:type="dxa"/>
              <w:left w:w="0" w:type="dxa"/>
              <w:bottom w:w="0" w:type="dxa"/>
              <w:right w:w="0" w:type="dxa"/>
            </w:tcMar>
            <w:vAlign w:val="bottom"/>
          </w:tcPr>
          <w:p w14:paraId="4837AF59"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78</w:t>
            </w:r>
          </w:p>
        </w:tc>
        <w:tc>
          <w:tcPr>
            <w:tcW w:w="1283" w:type="dxa"/>
            <w:gridSpan w:val="2"/>
            <w:shd w:val="clear" w:color="auto" w:fill="auto"/>
            <w:tcMar>
              <w:top w:w="0" w:type="dxa"/>
              <w:left w:w="0" w:type="dxa"/>
              <w:bottom w:w="0" w:type="dxa"/>
              <w:right w:w="0" w:type="dxa"/>
            </w:tcMar>
            <w:vAlign w:val="bottom"/>
          </w:tcPr>
          <w:p w14:paraId="1B4ECE90"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326</w:t>
            </w:r>
          </w:p>
        </w:tc>
        <w:tc>
          <w:tcPr>
            <w:tcW w:w="1282" w:type="dxa"/>
            <w:gridSpan w:val="2"/>
            <w:shd w:val="clear" w:color="auto" w:fill="auto"/>
            <w:tcMar>
              <w:top w:w="0" w:type="dxa"/>
              <w:left w:w="0" w:type="dxa"/>
              <w:bottom w:w="0" w:type="dxa"/>
              <w:right w:w="0" w:type="dxa"/>
            </w:tcMar>
            <w:vAlign w:val="bottom"/>
          </w:tcPr>
          <w:p w14:paraId="39572D00"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218</w:t>
            </w:r>
          </w:p>
        </w:tc>
        <w:tc>
          <w:tcPr>
            <w:tcW w:w="1283" w:type="dxa"/>
            <w:gridSpan w:val="2"/>
            <w:shd w:val="clear" w:color="auto" w:fill="auto"/>
            <w:tcMar>
              <w:top w:w="0" w:type="dxa"/>
              <w:left w:w="0" w:type="dxa"/>
              <w:bottom w:w="0" w:type="dxa"/>
              <w:right w:w="0" w:type="dxa"/>
            </w:tcMar>
            <w:vAlign w:val="bottom"/>
          </w:tcPr>
          <w:p w14:paraId="606625CD" w14:textId="62660690"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212</w:t>
            </w:r>
          </w:p>
        </w:tc>
      </w:tr>
      <w:tr w:rsidR="00101D96" w:rsidRPr="002C65E3" w14:paraId="05BDEC39" w14:textId="77777777" w:rsidTr="00101D96">
        <w:trPr>
          <w:trHeight w:val="240"/>
        </w:trPr>
        <w:tc>
          <w:tcPr>
            <w:tcW w:w="2240" w:type="dxa"/>
            <w:shd w:val="clear" w:color="auto" w:fill="auto"/>
            <w:tcMar>
              <w:top w:w="0" w:type="dxa"/>
              <w:left w:w="0" w:type="dxa"/>
              <w:bottom w:w="0" w:type="dxa"/>
              <w:right w:w="0" w:type="dxa"/>
            </w:tcMar>
          </w:tcPr>
          <w:p w14:paraId="272839B5"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PCD seleccionadas</w:t>
            </w:r>
          </w:p>
        </w:tc>
        <w:tc>
          <w:tcPr>
            <w:tcW w:w="454" w:type="dxa"/>
            <w:shd w:val="clear" w:color="auto" w:fill="auto"/>
            <w:tcMar>
              <w:top w:w="0" w:type="dxa"/>
              <w:left w:w="0" w:type="dxa"/>
              <w:bottom w:w="0" w:type="dxa"/>
              <w:right w:w="0" w:type="dxa"/>
            </w:tcMar>
            <w:vAlign w:val="bottom"/>
          </w:tcPr>
          <w:p w14:paraId="4D3AAE84"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47</w:t>
            </w:r>
          </w:p>
        </w:tc>
        <w:tc>
          <w:tcPr>
            <w:tcW w:w="828" w:type="dxa"/>
            <w:shd w:val="clear" w:color="auto" w:fill="auto"/>
            <w:tcMar>
              <w:top w:w="0" w:type="dxa"/>
              <w:left w:w="0" w:type="dxa"/>
              <w:bottom w:w="0" w:type="dxa"/>
              <w:right w:w="0" w:type="dxa"/>
            </w:tcMar>
            <w:vAlign w:val="bottom"/>
          </w:tcPr>
          <w:p w14:paraId="5F45EF05" w14:textId="51DCEA16"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60,3</w:t>
            </w:r>
            <w:r w:rsidR="00791BE9" w:rsidRPr="002C65E3">
              <w:rPr>
                <w:rFonts w:eastAsia="Times New Roman"/>
                <w:sz w:val="18"/>
                <w:lang w:eastAsia="en-US"/>
              </w:rPr>
              <w:t> %</w:t>
            </w:r>
          </w:p>
        </w:tc>
        <w:tc>
          <w:tcPr>
            <w:tcW w:w="447" w:type="dxa"/>
            <w:shd w:val="clear" w:color="auto" w:fill="auto"/>
            <w:tcMar>
              <w:top w:w="0" w:type="dxa"/>
              <w:left w:w="0" w:type="dxa"/>
              <w:bottom w:w="0" w:type="dxa"/>
              <w:right w:w="0" w:type="dxa"/>
            </w:tcMar>
            <w:vAlign w:val="bottom"/>
          </w:tcPr>
          <w:p w14:paraId="18EF7054"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105</w:t>
            </w:r>
          </w:p>
        </w:tc>
        <w:tc>
          <w:tcPr>
            <w:tcW w:w="836" w:type="dxa"/>
            <w:shd w:val="clear" w:color="auto" w:fill="auto"/>
            <w:tcMar>
              <w:top w:w="0" w:type="dxa"/>
              <w:left w:w="0" w:type="dxa"/>
              <w:bottom w:w="0" w:type="dxa"/>
              <w:right w:w="0" w:type="dxa"/>
            </w:tcMar>
            <w:vAlign w:val="bottom"/>
          </w:tcPr>
          <w:p w14:paraId="34B5145E" w14:textId="4936F9A4"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32,2</w:t>
            </w:r>
            <w:r w:rsidR="00791BE9" w:rsidRPr="002C65E3">
              <w:rPr>
                <w:rFonts w:eastAsia="Times New Roman"/>
                <w:sz w:val="18"/>
                <w:lang w:eastAsia="en-US"/>
              </w:rPr>
              <w:t> %</w:t>
            </w:r>
          </w:p>
        </w:tc>
        <w:tc>
          <w:tcPr>
            <w:tcW w:w="440" w:type="dxa"/>
            <w:shd w:val="clear" w:color="auto" w:fill="auto"/>
            <w:tcMar>
              <w:top w:w="0" w:type="dxa"/>
              <w:left w:w="0" w:type="dxa"/>
              <w:bottom w:w="0" w:type="dxa"/>
              <w:right w:w="0" w:type="dxa"/>
            </w:tcMar>
            <w:vAlign w:val="bottom"/>
          </w:tcPr>
          <w:p w14:paraId="21DB296D"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46</w:t>
            </w:r>
          </w:p>
        </w:tc>
        <w:tc>
          <w:tcPr>
            <w:tcW w:w="842" w:type="dxa"/>
            <w:shd w:val="clear" w:color="auto" w:fill="auto"/>
            <w:tcMar>
              <w:top w:w="0" w:type="dxa"/>
              <w:left w:w="0" w:type="dxa"/>
              <w:bottom w:w="0" w:type="dxa"/>
              <w:right w:w="0" w:type="dxa"/>
            </w:tcMar>
            <w:vAlign w:val="bottom"/>
          </w:tcPr>
          <w:p w14:paraId="6FD0F4D0" w14:textId="5C91CF2F"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21,1</w:t>
            </w:r>
            <w:r w:rsidR="00791BE9" w:rsidRPr="002C65E3">
              <w:rPr>
                <w:rFonts w:eastAsia="Times New Roman"/>
                <w:sz w:val="18"/>
                <w:lang w:eastAsia="en-US"/>
              </w:rPr>
              <w:t> %</w:t>
            </w:r>
          </w:p>
        </w:tc>
        <w:tc>
          <w:tcPr>
            <w:tcW w:w="434" w:type="dxa"/>
            <w:shd w:val="clear" w:color="auto" w:fill="auto"/>
            <w:tcMar>
              <w:top w:w="0" w:type="dxa"/>
              <w:left w:w="0" w:type="dxa"/>
              <w:bottom w:w="0" w:type="dxa"/>
              <w:right w:w="0" w:type="dxa"/>
            </w:tcMar>
            <w:vAlign w:val="bottom"/>
          </w:tcPr>
          <w:p w14:paraId="3E4CD4EF"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76</w:t>
            </w:r>
          </w:p>
        </w:tc>
        <w:tc>
          <w:tcPr>
            <w:tcW w:w="849" w:type="dxa"/>
            <w:shd w:val="clear" w:color="auto" w:fill="auto"/>
            <w:tcMar>
              <w:top w:w="0" w:type="dxa"/>
              <w:left w:w="0" w:type="dxa"/>
              <w:bottom w:w="0" w:type="dxa"/>
              <w:right w:w="0" w:type="dxa"/>
            </w:tcMar>
            <w:vAlign w:val="bottom"/>
          </w:tcPr>
          <w:p w14:paraId="2491BAF4" w14:textId="2B3CB5EC"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35,8</w:t>
            </w:r>
            <w:r w:rsidR="00791BE9" w:rsidRPr="002C65E3">
              <w:rPr>
                <w:rFonts w:eastAsia="Times New Roman"/>
                <w:sz w:val="18"/>
                <w:lang w:eastAsia="en-US"/>
              </w:rPr>
              <w:t> %</w:t>
            </w:r>
          </w:p>
        </w:tc>
      </w:tr>
      <w:tr w:rsidR="00101D96" w:rsidRPr="002C65E3" w14:paraId="51719619" w14:textId="77777777" w:rsidTr="00101D96">
        <w:trPr>
          <w:trHeight w:val="240"/>
        </w:trPr>
        <w:tc>
          <w:tcPr>
            <w:tcW w:w="2240" w:type="dxa"/>
            <w:shd w:val="clear" w:color="auto" w:fill="auto"/>
            <w:tcMar>
              <w:top w:w="0" w:type="dxa"/>
              <w:left w:w="0" w:type="dxa"/>
              <w:bottom w:w="0" w:type="dxa"/>
              <w:right w:w="0" w:type="dxa"/>
            </w:tcMar>
          </w:tcPr>
          <w:p w14:paraId="621C086B"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Universo instituciones públicas</w:t>
            </w:r>
          </w:p>
        </w:tc>
        <w:tc>
          <w:tcPr>
            <w:tcW w:w="1282" w:type="dxa"/>
            <w:gridSpan w:val="2"/>
            <w:shd w:val="clear" w:color="auto" w:fill="auto"/>
            <w:tcMar>
              <w:top w:w="0" w:type="dxa"/>
              <w:left w:w="0" w:type="dxa"/>
              <w:bottom w:w="0" w:type="dxa"/>
              <w:right w:w="0" w:type="dxa"/>
            </w:tcMar>
            <w:vAlign w:val="bottom"/>
          </w:tcPr>
          <w:p w14:paraId="687BD62C"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605</w:t>
            </w:r>
          </w:p>
        </w:tc>
        <w:tc>
          <w:tcPr>
            <w:tcW w:w="1283" w:type="dxa"/>
            <w:gridSpan w:val="2"/>
            <w:shd w:val="clear" w:color="auto" w:fill="auto"/>
            <w:tcMar>
              <w:top w:w="0" w:type="dxa"/>
              <w:left w:w="0" w:type="dxa"/>
              <w:bottom w:w="0" w:type="dxa"/>
              <w:right w:w="0" w:type="dxa"/>
            </w:tcMar>
            <w:vAlign w:val="bottom"/>
          </w:tcPr>
          <w:p w14:paraId="71D44600"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609</w:t>
            </w:r>
          </w:p>
        </w:tc>
        <w:tc>
          <w:tcPr>
            <w:tcW w:w="1282" w:type="dxa"/>
            <w:gridSpan w:val="2"/>
            <w:shd w:val="clear" w:color="auto" w:fill="auto"/>
            <w:tcMar>
              <w:top w:w="0" w:type="dxa"/>
              <w:left w:w="0" w:type="dxa"/>
              <w:bottom w:w="0" w:type="dxa"/>
              <w:right w:w="0" w:type="dxa"/>
            </w:tcMar>
            <w:vAlign w:val="bottom"/>
          </w:tcPr>
          <w:p w14:paraId="2B945054" w14:textId="14D53BBB"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612</w:t>
            </w:r>
          </w:p>
        </w:tc>
        <w:tc>
          <w:tcPr>
            <w:tcW w:w="1283" w:type="dxa"/>
            <w:gridSpan w:val="2"/>
            <w:shd w:val="clear" w:color="auto" w:fill="auto"/>
            <w:tcMar>
              <w:top w:w="0" w:type="dxa"/>
              <w:left w:w="0" w:type="dxa"/>
              <w:bottom w:w="0" w:type="dxa"/>
              <w:right w:w="0" w:type="dxa"/>
            </w:tcMar>
            <w:vAlign w:val="bottom"/>
          </w:tcPr>
          <w:p w14:paraId="2035F7D6" w14:textId="53612E1A"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617</w:t>
            </w:r>
          </w:p>
        </w:tc>
      </w:tr>
      <w:tr w:rsidR="00101D96" w:rsidRPr="002C65E3" w14:paraId="60B78F99" w14:textId="77777777" w:rsidTr="00101D96">
        <w:trPr>
          <w:trHeight w:val="240"/>
        </w:trPr>
        <w:tc>
          <w:tcPr>
            <w:tcW w:w="2240" w:type="dxa"/>
            <w:shd w:val="clear" w:color="auto" w:fill="auto"/>
            <w:tcMar>
              <w:top w:w="0" w:type="dxa"/>
              <w:left w:w="0" w:type="dxa"/>
              <w:bottom w:w="0" w:type="dxa"/>
              <w:right w:w="0" w:type="dxa"/>
            </w:tcMar>
          </w:tcPr>
          <w:p w14:paraId="0D981041"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Instituciones que seleccionaron preferentemente</w:t>
            </w:r>
          </w:p>
        </w:tc>
        <w:tc>
          <w:tcPr>
            <w:tcW w:w="454" w:type="dxa"/>
            <w:shd w:val="clear" w:color="auto" w:fill="auto"/>
            <w:tcMar>
              <w:top w:w="0" w:type="dxa"/>
              <w:left w:w="0" w:type="dxa"/>
              <w:bottom w:w="0" w:type="dxa"/>
              <w:right w:w="0" w:type="dxa"/>
            </w:tcMar>
            <w:vAlign w:val="bottom"/>
          </w:tcPr>
          <w:p w14:paraId="1DB458EB"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19</w:t>
            </w:r>
          </w:p>
        </w:tc>
        <w:tc>
          <w:tcPr>
            <w:tcW w:w="828" w:type="dxa"/>
            <w:shd w:val="clear" w:color="auto" w:fill="auto"/>
            <w:tcMar>
              <w:top w:w="0" w:type="dxa"/>
              <w:left w:w="0" w:type="dxa"/>
              <w:bottom w:w="0" w:type="dxa"/>
              <w:right w:w="0" w:type="dxa"/>
            </w:tcMar>
            <w:vAlign w:val="bottom"/>
          </w:tcPr>
          <w:p w14:paraId="2AC3F7E7" w14:textId="707B4F55"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3,1</w:t>
            </w:r>
            <w:r w:rsidR="00791BE9" w:rsidRPr="002C65E3">
              <w:rPr>
                <w:rFonts w:eastAsia="Times New Roman"/>
                <w:sz w:val="18"/>
                <w:lang w:eastAsia="en-US"/>
              </w:rPr>
              <w:t> %</w:t>
            </w:r>
          </w:p>
        </w:tc>
        <w:tc>
          <w:tcPr>
            <w:tcW w:w="447" w:type="dxa"/>
            <w:shd w:val="clear" w:color="auto" w:fill="auto"/>
            <w:tcMar>
              <w:top w:w="0" w:type="dxa"/>
              <w:left w:w="0" w:type="dxa"/>
              <w:bottom w:w="0" w:type="dxa"/>
              <w:right w:w="0" w:type="dxa"/>
            </w:tcMar>
            <w:vAlign w:val="bottom"/>
          </w:tcPr>
          <w:p w14:paraId="3B0A2C2A"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40</w:t>
            </w:r>
          </w:p>
        </w:tc>
        <w:tc>
          <w:tcPr>
            <w:tcW w:w="836" w:type="dxa"/>
            <w:shd w:val="clear" w:color="auto" w:fill="auto"/>
            <w:tcMar>
              <w:top w:w="0" w:type="dxa"/>
              <w:left w:w="0" w:type="dxa"/>
              <w:bottom w:w="0" w:type="dxa"/>
              <w:right w:w="0" w:type="dxa"/>
            </w:tcMar>
            <w:vAlign w:val="bottom"/>
          </w:tcPr>
          <w:p w14:paraId="104D1988" w14:textId="11539F1A"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6,6</w:t>
            </w:r>
            <w:r w:rsidR="00791BE9" w:rsidRPr="002C65E3">
              <w:rPr>
                <w:rFonts w:eastAsia="Times New Roman"/>
                <w:sz w:val="18"/>
                <w:lang w:eastAsia="en-US"/>
              </w:rPr>
              <w:t> %</w:t>
            </w:r>
          </w:p>
        </w:tc>
        <w:tc>
          <w:tcPr>
            <w:tcW w:w="440" w:type="dxa"/>
            <w:shd w:val="clear" w:color="auto" w:fill="auto"/>
            <w:tcMar>
              <w:top w:w="0" w:type="dxa"/>
              <w:left w:w="0" w:type="dxa"/>
              <w:bottom w:w="0" w:type="dxa"/>
              <w:right w:w="0" w:type="dxa"/>
            </w:tcMar>
            <w:vAlign w:val="bottom"/>
          </w:tcPr>
          <w:p w14:paraId="78D93AD0"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27</w:t>
            </w:r>
          </w:p>
        </w:tc>
        <w:tc>
          <w:tcPr>
            <w:tcW w:w="842" w:type="dxa"/>
            <w:shd w:val="clear" w:color="auto" w:fill="auto"/>
            <w:tcMar>
              <w:top w:w="0" w:type="dxa"/>
              <w:left w:w="0" w:type="dxa"/>
              <w:bottom w:w="0" w:type="dxa"/>
              <w:right w:w="0" w:type="dxa"/>
            </w:tcMar>
            <w:vAlign w:val="bottom"/>
          </w:tcPr>
          <w:p w14:paraId="40B2378C" w14:textId="60844AE0"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4,4</w:t>
            </w:r>
            <w:r w:rsidR="00791BE9" w:rsidRPr="002C65E3">
              <w:rPr>
                <w:rFonts w:eastAsia="Times New Roman"/>
                <w:sz w:val="18"/>
                <w:lang w:eastAsia="en-US"/>
              </w:rPr>
              <w:t> %</w:t>
            </w:r>
          </w:p>
        </w:tc>
        <w:tc>
          <w:tcPr>
            <w:tcW w:w="434" w:type="dxa"/>
            <w:shd w:val="clear" w:color="auto" w:fill="auto"/>
            <w:tcMar>
              <w:top w:w="0" w:type="dxa"/>
              <w:left w:w="0" w:type="dxa"/>
              <w:bottom w:w="0" w:type="dxa"/>
              <w:right w:w="0" w:type="dxa"/>
            </w:tcMar>
            <w:vAlign w:val="bottom"/>
          </w:tcPr>
          <w:p w14:paraId="1009C49D"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48</w:t>
            </w:r>
          </w:p>
        </w:tc>
        <w:tc>
          <w:tcPr>
            <w:tcW w:w="849" w:type="dxa"/>
            <w:shd w:val="clear" w:color="auto" w:fill="auto"/>
            <w:tcMar>
              <w:top w:w="0" w:type="dxa"/>
              <w:left w:w="0" w:type="dxa"/>
              <w:bottom w:w="0" w:type="dxa"/>
              <w:right w:w="0" w:type="dxa"/>
            </w:tcMar>
            <w:vAlign w:val="bottom"/>
          </w:tcPr>
          <w:p w14:paraId="61C86AD6" w14:textId="0BBDB5D5"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7,8</w:t>
            </w:r>
            <w:r w:rsidR="00791BE9" w:rsidRPr="002C65E3">
              <w:rPr>
                <w:rFonts w:eastAsia="Times New Roman"/>
                <w:sz w:val="18"/>
                <w:lang w:eastAsia="en-US"/>
              </w:rPr>
              <w:t> %</w:t>
            </w:r>
          </w:p>
        </w:tc>
      </w:tr>
      <w:tr w:rsidR="00101D96" w:rsidRPr="002C65E3" w14:paraId="3BEDFB1F" w14:textId="77777777" w:rsidTr="00101D96">
        <w:trPr>
          <w:trHeight w:val="240"/>
        </w:trPr>
        <w:tc>
          <w:tcPr>
            <w:tcW w:w="2240" w:type="dxa"/>
            <w:tcBorders>
              <w:bottom w:val="single" w:sz="12" w:space="0" w:color="auto"/>
            </w:tcBorders>
            <w:shd w:val="clear" w:color="auto" w:fill="auto"/>
            <w:tcMar>
              <w:top w:w="0" w:type="dxa"/>
              <w:left w:w="0" w:type="dxa"/>
              <w:bottom w:w="0" w:type="dxa"/>
              <w:right w:w="0" w:type="dxa"/>
            </w:tcMar>
          </w:tcPr>
          <w:p w14:paraId="541D9918" w14:textId="1AA78EF5" w:rsidR="007B1418" w:rsidRPr="002C65E3" w:rsidRDefault="007B1418" w:rsidP="00101D96">
            <w:pPr>
              <w:spacing w:before="40" w:after="40" w:line="220" w:lineRule="exact"/>
              <w:rPr>
                <w:rFonts w:eastAsia="Times New Roman"/>
                <w:sz w:val="18"/>
                <w:lang w:eastAsia="en-US"/>
              </w:rPr>
            </w:pPr>
            <w:r w:rsidRPr="002C65E3">
              <w:rPr>
                <w:rFonts w:eastAsia="Times New Roman"/>
                <w:sz w:val="18"/>
                <w:lang w:eastAsia="en-US"/>
              </w:rPr>
              <w:t>Instituciones en las que no hubo finalistas PcD</w:t>
            </w:r>
          </w:p>
        </w:tc>
        <w:tc>
          <w:tcPr>
            <w:tcW w:w="454" w:type="dxa"/>
            <w:tcBorders>
              <w:bottom w:val="single" w:sz="12" w:space="0" w:color="auto"/>
            </w:tcBorders>
            <w:shd w:val="clear" w:color="auto" w:fill="auto"/>
            <w:tcMar>
              <w:top w:w="0" w:type="dxa"/>
              <w:left w:w="0" w:type="dxa"/>
              <w:bottom w:w="0" w:type="dxa"/>
              <w:right w:w="0" w:type="dxa"/>
            </w:tcMar>
            <w:vAlign w:val="bottom"/>
          </w:tcPr>
          <w:p w14:paraId="0E8718F2" w14:textId="29240EA5"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337</w:t>
            </w:r>
          </w:p>
        </w:tc>
        <w:tc>
          <w:tcPr>
            <w:tcW w:w="828" w:type="dxa"/>
            <w:tcBorders>
              <w:bottom w:val="single" w:sz="12" w:space="0" w:color="auto"/>
            </w:tcBorders>
            <w:shd w:val="clear" w:color="auto" w:fill="auto"/>
            <w:tcMar>
              <w:top w:w="0" w:type="dxa"/>
              <w:left w:w="0" w:type="dxa"/>
              <w:bottom w:w="0" w:type="dxa"/>
              <w:right w:w="0" w:type="dxa"/>
            </w:tcMar>
            <w:vAlign w:val="bottom"/>
          </w:tcPr>
          <w:p w14:paraId="6FD4AC9D" w14:textId="6A1AD55C"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55,7</w:t>
            </w:r>
            <w:r w:rsidR="00791BE9" w:rsidRPr="002C65E3">
              <w:rPr>
                <w:rFonts w:eastAsia="Times New Roman"/>
                <w:sz w:val="18"/>
                <w:lang w:eastAsia="en-US"/>
              </w:rPr>
              <w:t> %</w:t>
            </w:r>
          </w:p>
        </w:tc>
        <w:tc>
          <w:tcPr>
            <w:tcW w:w="447" w:type="dxa"/>
            <w:tcBorders>
              <w:bottom w:val="single" w:sz="12" w:space="0" w:color="auto"/>
            </w:tcBorders>
            <w:shd w:val="clear" w:color="auto" w:fill="auto"/>
            <w:tcMar>
              <w:top w:w="0" w:type="dxa"/>
              <w:left w:w="0" w:type="dxa"/>
              <w:bottom w:w="0" w:type="dxa"/>
              <w:right w:w="0" w:type="dxa"/>
            </w:tcMar>
            <w:vAlign w:val="bottom"/>
          </w:tcPr>
          <w:p w14:paraId="4CEF05C9" w14:textId="6434E9C8"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331</w:t>
            </w:r>
          </w:p>
        </w:tc>
        <w:tc>
          <w:tcPr>
            <w:tcW w:w="836" w:type="dxa"/>
            <w:tcBorders>
              <w:bottom w:val="single" w:sz="12" w:space="0" w:color="auto"/>
            </w:tcBorders>
            <w:shd w:val="clear" w:color="auto" w:fill="auto"/>
            <w:tcMar>
              <w:top w:w="0" w:type="dxa"/>
              <w:left w:w="0" w:type="dxa"/>
              <w:bottom w:w="0" w:type="dxa"/>
              <w:right w:w="0" w:type="dxa"/>
            </w:tcMar>
            <w:vAlign w:val="bottom"/>
          </w:tcPr>
          <w:p w14:paraId="08BDC883" w14:textId="747B8B27"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54,4</w:t>
            </w:r>
            <w:r w:rsidR="00791BE9" w:rsidRPr="002C65E3">
              <w:rPr>
                <w:rFonts w:eastAsia="Times New Roman"/>
                <w:sz w:val="18"/>
                <w:lang w:eastAsia="en-US"/>
              </w:rPr>
              <w:t> %</w:t>
            </w:r>
          </w:p>
        </w:tc>
        <w:tc>
          <w:tcPr>
            <w:tcW w:w="440" w:type="dxa"/>
            <w:tcBorders>
              <w:bottom w:val="single" w:sz="12" w:space="0" w:color="auto"/>
            </w:tcBorders>
            <w:shd w:val="clear" w:color="auto" w:fill="auto"/>
            <w:tcMar>
              <w:top w:w="0" w:type="dxa"/>
              <w:left w:w="0" w:type="dxa"/>
              <w:bottom w:w="0" w:type="dxa"/>
              <w:right w:w="0" w:type="dxa"/>
            </w:tcMar>
            <w:vAlign w:val="bottom"/>
          </w:tcPr>
          <w:p w14:paraId="73C210EB" w14:textId="6C8930DB"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247</w:t>
            </w:r>
          </w:p>
        </w:tc>
        <w:tc>
          <w:tcPr>
            <w:tcW w:w="842" w:type="dxa"/>
            <w:tcBorders>
              <w:bottom w:val="single" w:sz="12" w:space="0" w:color="auto"/>
            </w:tcBorders>
            <w:shd w:val="clear" w:color="auto" w:fill="auto"/>
            <w:tcMar>
              <w:top w:w="0" w:type="dxa"/>
              <w:left w:w="0" w:type="dxa"/>
              <w:bottom w:w="0" w:type="dxa"/>
              <w:right w:w="0" w:type="dxa"/>
            </w:tcMar>
            <w:vAlign w:val="bottom"/>
          </w:tcPr>
          <w:p w14:paraId="77100493" w14:textId="1907F2DA"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88,5</w:t>
            </w:r>
            <w:r w:rsidR="00791BE9" w:rsidRPr="002C65E3">
              <w:rPr>
                <w:rFonts w:eastAsia="Times New Roman"/>
                <w:sz w:val="18"/>
                <w:lang w:eastAsia="en-US"/>
              </w:rPr>
              <w:t> %</w:t>
            </w:r>
            <w:r w:rsidRPr="002C65E3">
              <w:rPr>
                <w:rFonts w:eastAsia="Times New Roman"/>
                <w:sz w:val="18"/>
                <w:lang w:eastAsia="en-US"/>
              </w:rPr>
              <w:t>*</w:t>
            </w:r>
          </w:p>
        </w:tc>
        <w:tc>
          <w:tcPr>
            <w:tcW w:w="434" w:type="dxa"/>
            <w:tcBorders>
              <w:bottom w:val="single" w:sz="12" w:space="0" w:color="auto"/>
            </w:tcBorders>
            <w:shd w:val="clear" w:color="auto" w:fill="auto"/>
            <w:tcMar>
              <w:top w:w="0" w:type="dxa"/>
              <w:left w:w="0" w:type="dxa"/>
              <w:bottom w:w="0" w:type="dxa"/>
              <w:right w:w="0" w:type="dxa"/>
            </w:tcMar>
            <w:vAlign w:val="bottom"/>
          </w:tcPr>
          <w:p w14:paraId="3C8C6953" w14:textId="12F3E187"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326</w:t>
            </w:r>
          </w:p>
        </w:tc>
        <w:tc>
          <w:tcPr>
            <w:tcW w:w="849" w:type="dxa"/>
            <w:tcBorders>
              <w:bottom w:val="single" w:sz="12" w:space="0" w:color="auto"/>
            </w:tcBorders>
            <w:shd w:val="clear" w:color="auto" w:fill="auto"/>
            <w:tcMar>
              <w:top w:w="0" w:type="dxa"/>
              <w:left w:w="0" w:type="dxa"/>
              <w:bottom w:w="0" w:type="dxa"/>
              <w:right w:w="0" w:type="dxa"/>
            </w:tcMar>
            <w:vAlign w:val="bottom"/>
          </w:tcPr>
          <w:p w14:paraId="71B15A9C" w14:textId="48886B26"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84</w:t>
            </w:r>
            <w:r w:rsidR="00791BE9" w:rsidRPr="002C65E3">
              <w:rPr>
                <w:rFonts w:eastAsia="Times New Roman"/>
                <w:sz w:val="18"/>
                <w:lang w:eastAsia="en-US"/>
              </w:rPr>
              <w:t> %</w:t>
            </w:r>
          </w:p>
        </w:tc>
      </w:tr>
    </w:tbl>
    <w:p w14:paraId="443CB1A6" w14:textId="77777777" w:rsidR="006F4911" w:rsidRPr="002C65E3" w:rsidRDefault="006F4911" w:rsidP="00101D96">
      <w:pPr>
        <w:pStyle w:val="SingleTxtG"/>
        <w:spacing w:before="120" w:after="0"/>
        <w:ind w:firstLine="170"/>
        <w:jc w:val="left"/>
        <w:rPr>
          <w:sz w:val="18"/>
          <w:szCs w:val="18"/>
          <w:lang w:eastAsia="en-US"/>
        </w:rPr>
      </w:pPr>
      <w:r w:rsidRPr="002C65E3">
        <w:rPr>
          <w:i/>
          <w:iCs/>
          <w:sz w:val="18"/>
          <w:szCs w:val="18"/>
          <w:lang w:eastAsia="en-US"/>
        </w:rPr>
        <w:t>Fuente:</w:t>
      </w:r>
      <w:r w:rsidRPr="002C65E3">
        <w:rPr>
          <w:sz w:val="18"/>
          <w:szCs w:val="18"/>
          <w:lang w:eastAsia="en-US"/>
        </w:rPr>
        <w:t xml:space="preserve"> Servicio Civil y SENADIS.</w:t>
      </w:r>
    </w:p>
    <w:p w14:paraId="6777F529" w14:textId="2D06C704" w:rsidR="006F4911" w:rsidRPr="002C65E3" w:rsidRDefault="00101D96" w:rsidP="00064984">
      <w:pPr>
        <w:pStyle w:val="SingleTxtG"/>
        <w:spacing w:after="240"/>
        <w:ind w:left="1304"/>
        <w:jc w:val="left"/>
        <w:rPr>
          <w:sz w:val="18"/>
          <w:szCs w:val="18"/>
          <w:lang w:eastAsia="en-US"/>
        </w:rPr>
      </w:pPr>
      <w:r w:rsidRPr="002C65E3">
        <w:rPr>
          <w:sz w:val="18"/>
          <w:szCs w:val="18"/>
          <w:lang w:eastAsia="en-US"/>
        </w:rPr>
        <w:t xml:space="preserve">*  </w:t>
      </w:r>
      <w:r w:rsidR="006F4911" w:rsidRPr="002C65E3">
        <w:rPr>
          <w:sz w:val="18"/>
          <w:szCs w:val="18"/>
          <w:lang w:eastAsia="en-US"/>
        </w:rPr>
        <w:t>Estimado en relación al total de instituciones que realizaron procesos de selección.</w:t>
      </w:r>
    </w:p>
    <w:p w14:paraId="00050728" w14:textId="3E592250" w:rsidR="006F4911" w:rsidRPr="002C65E3" w:rsidRDefault="00127B97" w:rsidP="00101D96">
      <w:pPr>
        <w:pStyle w:val="H23G"/>
        <w:rPr>
          <w:lang w:eastAsia="en-US"/>
        </w:rPr>
      </w:pPr>
      <w:r w:rsidRPr="002C65E3">
        <w:rPr>
          <w:lang w:eastAsia="en-US"/>
        </w:rPr>
        <w:tab/>
      </w:r>
      <w:r w:rsidRPr="002C65E3">
        <w:rPr>
          <w:lang w:eastAsia="en-US"/>
        </w:rPr>
        <w:tab/>
      </w:r>
      <w:r w:rsidR="006F4911" w:rsidRPr="002C65E3">
        <w:rPr>
          <w:lang w:eastAsia="en-US"/>
        </w:rPr>
        <w:t>Cumplimiento en sector público del 1</w:t>
      </w:r>
      <w:r w:rsidR="00791BE9" w:rsidRPr="002C65E3">
        <w:rPr>
          <w:lang w:eastAsia="en-US"/>
        </w:rPr>
        <w:t> %</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131"/>
        <w:gridCol w:w="520"/>
        <w:gridCol w:w="757"/>
        <w:gridCol w:w="496"/>
        <w:gridCol w:w="745"/>
        <w:gridCol w:w="627"/>
        <w:gridCol w:w="686"/>
        <w:gridCol w:w="698"/>
        <w:gridCol w:w="710"/>
      </w:tblGrid>
      <w:tr w:rsidR="006F4911" w:rsidRPr="002C65E3" w14:paraId="63F10668" w14:textId="77777777" w:rsidTr="00101D96">
        <w:trPr>
          <w:trHeight w:val="240"/>
          <w:tblHeader/>
        </w:trPr>
        <w:tc>
          <w:tcPr>
            <w:tcW w:w="213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BF0342A" w14:textId="733D5530" w:rsidR="006F4911" w:rsidRPr="002C65E3" w:rsidRDefault="006F4911" w:rsidP="00101D96">
            <w:pPr>
              <w:spacing w:before="80" w:after="80" w:line="200" w:lineRule="exact"/>
              <w:rPr>
                <w:rFonts w:eastAsia="Times New Roman"/>
                <w:bCs/>
                <w:i/>
                <w:sz w:val="16"/>
                <w:lang w:eastAsia="en-US"/>
              </w:rPr>
            </w:pPr>
            <w:r w:rsidRPr="002C65E3">
              <w:rPr>
                <w:rFonts w:eastAsia="Times New Roman"/>
                <w:bCs/>
                <w:i/>
                <w:sz w:val="16"/>
                <w:lang w:eastAsia="en-US"/>
              </w:rPr>
              <w:t>1</w:t>
            </w:r>
            <w:r w:rsidR="00791BE9" w:rsidRPr="002C65E3">
              <w:rPr>
                <w:rFonts w:eastAsia="Times New Roman"/>
                <w:bCs/>
                <w:i/>
                <w:sz w:val="16"/>
                <w:lang w:eastAsia="en-US"/>
              </w:rPr>
              <w:t> %</w:t>
            </w:r>
            <w:r w:rsidRPr="002C65E3">
              <w:rPr>
                <w:rFonts w:eastAsia="Times New Roman"/>
                <w:bCs/>
                <w:i/>
                <w:sz w:val="16"/>
                <w:lang w:eastAsia="en-US"/>
              </w:rPr>
              <w:t xml:space="preserve"> sector público</w:t>
            </w:r>
          </w:p>
        </w:tc>
        <w:tc>
          <w:tcPr>
            <w:tcW w:w="1277"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290E16A9" w14:textId="77777777" w:rsidR="006F4911" w:rsidRPr="002C65E3" w:rsidRDefault="006F4911" w:rsidP="00101D9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2018</w:t>
            </w:r>
          </w:p>
        </w:tc>
        <w:tc>
          <w:tcPr>
            <w:tcW w:w="1241"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1C882C36" w14:textId="77777777" w:rsidR="006F4911" w:rsidRPr="002C65E3" w:rsidRDefault="006F4911" w:rsidP="00101D9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2019</w:t>
            </w:r>
          </w:p>
        </w:tc>
        <w:tc>
          <w:tcPr>
            <w:tcW w:w="1313"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2F14CCCA" w14:textId="77777777" w:rsidR="006F4911" w:rsidRPr="002C65E3" w:rsidRDefault="006F4911" w:rsidP="00101D9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2020</w:t>
            </w:r>
          </w:p>
        </w:tc>
        <w:tc>
          <w:tcPr>
            <w:tcW w:w="1408"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4C012B90" w14:textId="77777777" w:rsidR="006F4911" w:rsidRPr="002C65E3" w:rsidRDefault="006F4911" w:rsidP="00101D9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2021</w:t>
            </w:r>
          </w:p>
        </w:tc>
      </w:tr>
      <w:tr w:rsidR="006F4911" w:rsidRPr="002C65E3" w14:paraId="6EA53E0F" w14:textId="77777777" w:rsidTr="00101D96">
        <w:trPr>
          <w:trHeight w:val="240"/>
        </w:trPr>
        <w:tc>
          <w:tcPr>
            <w:tcW w:w="2131" w:type="dxa"/>
            <w:tcBorders>
              <w:top w:val="single" w:sz="12" w:space="0" w:color="auto"/>
            </w:tcBorders>
            <w:shd w:val="clear" w:color="auto" w:fill="auto"/>
            <w:tcMar>
              <w:top w:w="0" w:type="dxa"/>
              <w:left w:w="0" w:type="dxa"/>
              <w:bottom w:w="0" w:type="dxa"/>
              <w:right w:w="0" w:type="dxa"/>
            </w:tcMar>
          </w:tcPr>
          <w:p w14:paraId="308FAE7B" w14:textId="77777777" w:rsidR="006F4911" w:rsidRPr="002C65E3" w:rsidRDefault="006F4911" w:rsidP="00101D96">
            <w:pPr>
              <w:keepNext/>
              <w:keepLines/>
              <w:spacing w:before="40" w:after="40" w:line="220" w:lineRule="exact"/>
              <w:rPr>
                <w:rFonts w:eastAsia="Times New Roman"/>
                <w:sz w:val="18"/>
                <w:lang w:eastAsia="en-US"/>
              </w:rPr>
            </w:pPr>
            <w:r w:rsidRPr="002C65E3">
              <w:rPr>
                <w:rFonts w:eastAsia="Times New Roman"/>
                <w:sz w:val="18"/>
                <w:lang w:eastAsia="en-US"/>
              </w:rPr>
              <w:t>Universo instituciones</w:t>
            </w:r>
          </w:p>
        </w:tc>
        <w:tc>
          <w:tcPr>
            <w:tcW w:w="520" w:type="dxa"/>
            <w:tcBorders>
              <w:top w:val="single" w:sz="12" w:space="0" w:color="auto"/>
            </w:tcBorders>
            <w:shd w:val="clear" w:color="auto" w:fill="auto"/>
            <w:tcMar>
              <w:top w:w="0" w:type="dxa"/>
              <w:left w:w="0" w:type="dxa"/>
              <w:bottom w:w="0" w:type="dxa"/>
              <w:right w:w="0" w:type="dxa"/>
            </w:tcMar>
            <w:vAlign w:val="bottom"/>
          </w:tcPr>
          <w:p w14:paraId="13257157" w14:textId="77777777" w:rsidR="006F4911" w:rsidRPr="002C65E3" w:rsidRDefault="006F4911" w:rsidP="00101D96">
            <w:pPr>
              <w:keepNext/>
              <w:keepLines/>
              <w:spacing w:before="40" w:after="40" w:line="220" w:lineRule="exact"/>
              <w:ind w:left="85" w:right="28"/>
              <w:jc w:val="right"/>
              <w:rPr>
                <w:rFonts w:eastAsia="Times New Roman"/>
                <w:sz w:val="18"/>
                <w:lang w:eastAsia="en-US"/>
              </w:rPr>
            </w:pPr>
            <w:r w:rsidRPr="002C65E3">
              <w:rPr>
                <w:rFonts w:eastAsia="Times New Roman"/>
                <w:sz w:val="18"/>
                <w:lang w:eastAsia="en-US"/>
              </w:rPr>
              <w:t>605</w:t>
            </w:r>
          </w:p>
        </w:tc>
        <w:tc>
          <w:tcPr>
            <w:tcW w:w="757" w:type="dxa"/>
            <w:tcBorders>
              <w:top w:val="single" w:sz="12" w:space="0" w:color="auto"/>
            </w:tcBorders>
            <w:shd w:val="clear" w:color="auto" w:fill="auto"/>
            <w:tcMar>
              <w:top w:w="0" w:type="dxa"/>
              <w:left w:w="0" w:type="dxa"/>
              <w:bottom w:w="0" w:type="dxa"/>
              <w:right w:w="0" w:type="dxa"/>
            </w:tcMar>
            <w:vAlign w:val="bottom"/>
          </w:tcPr>
          <w:p w14:paraId="1E79C31E" w14:textId="1EDACD0E" w:rsidR="006F4911" w:rsidRPr="002C65E3" w:rsidRDefault="006F4911" w:rsidP="00101D96">
            <w:pPr>
              <w:keepNext/>
              <w:keepLines/>
              <w:spacing w:before="40" w:after="40" w:line="220" w:lineRule="exact"/>
              <w:ind w:left="85" w:right="28"/>
              <w:jc w:val="right"/>
              <w:rPr>
                <w:rFonts w:eastAsia="Times New Roman"/>
                <w:sz w:val="18"/>
                <w:lang w:eastAsia="en-US"/>
              </w:rPr>
            </w:pPr>
            <w:r w:rsidRPr="002C65E3">
              <w:rPr>
                <w:rFonts w:eastAsia="Times New Roman"/>
                <w:sz w:val="18"/>
                <w:lang w:eastAsia="en-US"/>
              </w:rPr>
              <w:t>100</w:t>
            </w:r>
            <w:r w:rsidR="00791BE9" w:rsidRPr="002C65E3">
              <w:rPr>
                <w:rFonts w:eastAsia="Times New Roman"/>
                <w:sz w:val="18"/>
                <w:lang w:eastAsia="en-US"/>
              </w:rPr>
              <w:t> %</w:t>
            </w:r>
          </w:p>
        </w:tc>
        <w:tc>
          <w:tcPr>
            <w:tcW w:w="496" w:type="dxa"/>
            <w:tcBorders>
              <w:top w:val="single" w:sz="12" w:space="0" w:color="auto"/>
            </w:tcBorders>
            <w:shd w:val="clear" w:color="auto" w:fill="auto"/>
            <w:tcMar>
              <w:top w:w="0" w:type="dxa"/>
              <w:left w:w="0" w:type="dxa"/>
              <w:bottom w:w="0" w:type="dxa"/>
              <w:right w:w="0" w:type="dxa"/>
            </w:tcMar>
            <w:vAlign w:val="bottom"/>
          </w:tcPr>
          <w:p w14:paraId="403F0554" w14:textId="77777777" w:rsidR="006F4911" w:rsidRPr="002C65E3" w:rsidRDefault="006F4911" w:rsidP="00101D96">
            <w:pPr>
              <w:keepNext/>
              <w:keepLines/>
              <w:spacing w:before="40" w:after="40" w:line="220" w:lineRule="exact"/>
              <w:ind w:left="85" w:right="28"/>
              <w:jc w:val="right"/>
              <w:rPr>
                <w:rFonts w:eastAsia="Times New Roman"/>
                <w:sz w:val="18"/>
                <w:lang w:eastAsia="en-US"/>
              </w:rPr>
            </w:pPr>
            <w:r w:rsidRPr="002C65E3">
              <w:rPr>
                <w:rFonts w:eastAsia="Times New Roman"/>
                <w:sz w:val="18"/>
                <w:lang w:eastAsia="en-US"/>
              </w:rPr>
              <w:t>609</w:t>
            </w:r>
          </w:p>
        </w:tc>
        <w:tc>
          <w:tcPr>
            <w:tcW w:w="745" w:type="dxa"/>
            <w:tcBorders>
              <w:top w:val="single" w:sz="12" w:space="0" w:color="auto"/>
            </w:tcBorders>
            <w:shd w:val="clear" w:color="auto" w:fill="auto"/>
            <w:tcMar>
              <w:top w:w="0" w:type="dxa"/>
              <w:left w:w="0" w:type="dxa"/>
              <w:bottom w:w="0" w:type="dxa"/>
              <w:right w:w="0" w:type="dxa"/>
            </w:tcMar>
            <w:vAlign w:val="bottom"/>
          </w:tcPr>
          <w:p w14:paraId="4CBC4088" w14:textId="58DD0C40" w:rsidR="006F4911" w:rsidRPr="002C65E3" w:rsidRDefault="006F4911" w:rsidP="00101D96">
            <w:pPr>
              <w:keepNext/>
              <w:keepLines/>
              <w:spacing w:before="40" w:after="40" w:line="220" w:lineRule="exact"/>
              <w:ind w:left="85" w:right="28"/>
              <w:jc w:val="right"/>
              <w:rPr>
                <w:rFonts w:eastAsia="Times New Roman"/>
                <w:sz w:val="18"/>
                <w:lang w:eastAsia="en-US"/>
              </w:rPr>
            </w:pPr>
            <w:r w:rsidRPr="002C65E3">
              <w:rPr>
                <w:rFonts w:eastAsia="Times New Roman"/>
                <w:sz w:val="18"/>
                <w:lang w:eastAsia="en-US"/>
              </w:rPr>
              <w:t>100</w:t>
            </w:r>
            <w:r w:rsidR="00791BE9" w:rsidRPr="002C65E3">
              <w:rPr>
                <w:rFonts w:eastAsia="Times New Roman"/>
                <w:sz w:val="18"/>
                <w:lang w:eastAsia="en-US"/>
              </w:rPr>
              <w:t> %</w:t>
            </w:r>
          </w:p>
        </w:tc>
        <w:tc>
          <w:tcPr>
            <w:tcW w:w="627" w:type="dxa"/>
            <w:tcBorders>
              <w:top w:val="single" w:sz="12" w:space="0" w:color="auto"/>
            </w:tcBorders>
            <w:shd w:val="clear" w:color="auto" w:fill="auto"/>
            <w:tcMar>
              <w:top w:w="0" w:type="dxa"/>
              <w:left w:w="0" w:type="dxa"/>
              <w:bottom w:w="0" w:type="dxa"/>
              <w:right w:w="0" w:type="dxa"/>
            </w:tcMar>
            <w:vAlign w:val="bottom"/>
          </w:tcPr>
          <w:p w14:paraId="6D047327" w14:textId="77777777" w:rsidR="006F4911" w:rsidRPr="002C65E3" w:rsidRDefault="006F4911" w:rsidP="00101D96">
            <w:pPr>
              <w:keepNext/>
              <w:keepLines/>
              <w:spacing w:before="40" w:after="40" w:line="220" w:lineRule="exact"/>
              <w:ind w:left="85" w:right="28"/>
              <w:jc w:val="right"/>
              <w:rPr>
                <w:rFonts w:eastAsia="Times New Roman"/>
                <w:sz w:val="18"/>
                <w:lang w:eastAsia="en-US"/>
              </w:rPr>
            </w:pPr>
            <w:r w:rsidRPr="002C65E3">
              <w:rPr>
                <w:rFonts w:eastAsia="Times New Roman"/>
                <w:sz w:val="18"/>
                <w:lang w:eastAsia="en-US"/>
              </w:rPr>
              <w:t>612</w:t>
            </w:r>
          </w:p>
        </w:tc>
        <w:tc>
          <w:tcPr>
            <w:tcW w:w="686" w:type="dxa"/>
            <w:tcBorders>
              <w:top w:val="single" w:sz="12" w:space="0" w:color="auto"/>
            </w:tcBorders>
            <w:shd w:val="clear" w:color="auto" w:fill="auto"/>
            <w:tcMar>
              <w:top w:w="0" w:type="dxa"/>
              <w:left w:w="0" w:type="dxa"/>
              <w:bottom w:w="0" w:type="dxa"/>
              <w:right w:w="0" w:type="dxa"/>
            </w:tcMar>
            <w:vAlign w:val="bottom"/>
          </w:tcPr>
          <w:p w14:paraId="5EC27F86" w14:textId="32D2183E" w:rsidR="006F4911" w:rsidRPr="002C65E3" w:rsidRDefault="006F4911" w:rsidP="00101D96">
            <w:pPr>
              <w:keepNext/>
              <w:keepLines/>
              <w:spacing w:before="40" w:after="40" w:line="220" w:lineRule="exact"/>
              <w:ind w:left="85" w:right="28"/>
              <w:jc w:val="right"/>
              <w:rPr>
                <w:rFonts w:eastAsia="Times New Roman"/>
                <w:sz w:val="18"/>
                <w:lang w:eastAsia="en-US"/>
              </w:rPr>
            </w:pPr>
            <w:r w:rsidRPr="002C65E3">
              <w:rPr>
                <w:rFonts w:eastAsia="Times New Roman"/>
                <w:sz w:val="18"/>
                <w:lang w:eastAsia="en-US"/>
              </w:rPr>
              <w:t>100</w:t>
            </w:r>
            <w:r w:rsidR="00791BE9" w:rsidRPr="002C65E3">
              <w:rPr>
                <w:rFonts w:eastAsia="Times New Roman"/>
                <w:sz w:val="18"/>
                <w:lang w:eastAsia="en-US"/>
              </w:rPr>
              <w:t> %</w:t>
            </w:r>
          </w:p>
        </w:tc>
        <w:tc>
          <w:tcPr>
            <w:tcW w:w="698" w:type="dxa"/>
            <w:tcBorders>
              <w:top w:val="single" w:sz="12" w:space="0" w:color="auto"/>
            </w:tcBorders>
            <w:shd w:val="clear" w:color="auto" w:fill="auto"/>
            <w:tcMar>
              <w:top w:w="0" w:type="dxa"/>
              <w:left w:w="0" w:type="dxa"/>
              <w:bottom w:w="0" w:type="dxa"/>
              <w:right w:w="0" w:type="dxa"/>
            </w:tcMar>
            <w:vAlign w:val="bottom"/>
          </w:tcPr>
          <w:p w14:paraId="66A3284B" w14:textId="77777777" w:rsidR="006F4911" w:rsidRPr="002C65E3" w:rsidRDefault="006F4911" w:rsidP="00101D96">
            <w:pPr>
              <w:keepNext/>
              <w:keepLines/>
              <w:spacing w:before="40" w:after="40" w:line="220" w:lineRule="exact"/>
              <w:ind w:left="85" w:right="28"/>
              <w:jc w:val="right"/>
              <w:rPr>
                <w:rFonts w:eastAsia="Times New Roman"/>
                <w:sz w:val="18"/>
                <w:lang w:eastAsia="en-US"/>
              </w:rPr>
            </w:pPr>
            <w:r w:rsidRPr="002C65E3">
              <w:rPr>
                <w:rFonts w:eastAsia="Times New Roman"/>
                <w:sz w:val="18"/>
                <w:lang w:eastAsia="en-US"/>
              </w:rPr>
              <w:t>617</w:t>
            </w:r>
          </w:p>
        </w:tc>
        <w:tc>
          <w:tcPr>
            <w:tcW w:w="710" w:type="dxa"/>
            <w:tcBorders>
              <w:top w:val="single" w:sz="12" w:space="0" w:color="auto"/>
            </w:tcBorders>
            <w:shd w:val="clear" w:color="auto" w:fill="auto"/>
            <w:tcMar>
              <w:top w:w="0" w:type="dxa"/>
              <w:left w:w="0" w:type="dxa"/>
              <w:bottom w:w="0" w:type="dxa"/>
              <w:right w:w="0" w:type="dxa"/>
            </w:tcMar>
            <w:vAlign w:val="bottom"/>
          </w:tcPr>
          <w:p w14:paraId="1C4DC5AD" w14:textId="263ECC8E" w:rsidR="006F4911" w:rsidRPr="002C65E3" w:rsidRDefault="006F4911" w:rsidP="00101D96">
            <w:pPr>
              <w:keepNext/>
              <w:keepLines/>
              <w:spacing w:before="40" w:after="40" w:line="220" w:lineRule="exact"/>
              <w:ind w:left="85" w:right="28"/>
              <w:jc w:val="right"/>
              <w:rPr>
                <w:rFonts w:eastAsia="Times New Roman"/>
                <w:sz w:val="18"/>
                <w:lang w:eastAsia="en-US"/>
              </w:rPr>
            </w:pPr>
            <w:r w:rsidRPr="002C65E3">
              <w:rPr>
                <w:rFonts w:eastAsia="Times New Roman"/>
                <w:sz w:val="18"/>
                <w:lang w:eastAsia="en-US"/>
              </w:rPr>
              <w:t>100</w:t>
            </w:r>
            <w:r w:rsidR="00791BE9" w:rsidRPr="002C65E3">
              <w:rPr>
                <w:rFonts w:eastAsia="Times New Roman"/>
                <w:sz w:val="18"/>
                <w:lang w:eastAsia="en-US"/>
              </w:rPr>
              <w:t> %</w:t>
            </w:r>
          </w:p>
        </w:tc>
      </w:tr>
      <w:tr w:rsidR="006F4911" w:rsidRPr="002C65E3" w14:paraId="329769ED" w14:textId="77777777" w:rsidTr="00101D96">
        <w:trPr>
          <w:trHeight w:val="240"/>
        </w:trPr>
        <w:tc>
          <w:tcPr>
            <w:tcW w:w="2131" w:type="dxa"/>
            <w:shd w:val="clear" w:color="auto" w:fill="auto"/>
            <w:tcMar>
              <w:top w:w="0" w:type="dxa"/>
              <w:left w:w="0" w:type="dxa"/>
              <w:bottom w:w="0" w:type="dxa"/>
              <w:right w:w="0" w:type="dxa"/>
            </w:tcMar>
          </w:tcPr>
          <w:p w14:paraId="544AB8D6"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Instituciones obligadas que dieron cumplimiento</w:t>
            </w:r>
          </w:p>
        </w:tc>
        <w:tc>
          <w:tcPr>
            <w:tcW w:w="520" w:type="dxa"/>
            <w:shd w:val="clear" w:color="auto" w:fill="auto"/>
            <w:tcMar>
              <w:top w:w="0" w:type="dxa"/>
              <w:left w:w="0" w:type="dxa"/>
              <w:bottom w:w="0" w:type="dxa"/>
              <w:right w:w="0" w:type="dxa"/>
            </w:tcMar>
            <w:vAlign w:val="bottom"/>
          </w:tcPr>
          <w:p w14:paraId="51A1DF74"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70</w:t>
            </w:r>
          </w:p>
        </w:tc>
        <w:tc>
          <w:tcPr>
            <w:tcW w:w="757" w:type="dxa"/>
            <w:shd w:val="clear" w:color="auto" w:fill="auto"/>
            <w:tcMar>
              <w:top w:w="0" w:type="dxa"/>
              <w:left w:w="0" w:type="dxa"/>
              <w:bottom w:w="0" w:type="dxa"/>
              <w:right w:w="0" w:type="dxa"/>
            </w:tcMar>
            <w:vAlign w:val="bottom"/>
          </w:tcPr>
          <w:p w14:paraId="4A064CB1" w14:textId="1AEF62D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11,6</w:t>
            </w:r>
            <w:r w:rsidR="00791BE9" w:rsidRPr="002C65E3">
              <w:rPr>
                <w:rFonts w:eastAsia="Times New Roman"/>
                <w:sz w:val="18"/>
                <w:lang w:eastAsia="en-US"/>
              </w:rPr>
              <w:t> %</w:t>
            </w:r>
          </w:p>
        </w:tc>
        <w:tc>
          <w:tcPr>
            <w:tcW w:w="496" w:type="dxa"/>
            <w:shd w:val="clear" w:color="auto" w:fill="auto"/>
            <w:tcMar>
              <w:top w:w="0" w:type="dxa"/>
              <w:left w:w="0" w:type="dxa"/>
              <w:bottom w:w="0" w:type="dxa"/>
              <w:right w:w="0" w:type="dxa"/>
            </w:tcMar>
            <w:vAlign w:val="bottom"/>
          </w:tcPr>
          <w:p w14:paraId="6EB8FD30"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80</w:t>
            </w:r>
          </w:p>
        </w:tc>
        <w:tc>
          <w:tcPr>
            <w:tcW w:w="745" w:type="dxa"/>
            <w:shd w:val="clear" w:color="auto" w:fill="auto"/>
            <w:tcMar>
              <w:top w:w="0" w:type="dxa"/>
              <w:left w:w="0" w:type="dxa"/>
              <w:bottom w:w="0" w:type="dxa"/>
              <w:right w:w="0" w:type="dxa"/>
            </w:tcMar>
            <w:vAlign w:val="bottom"/>
          </w:tcPr>
          <w:p w14:paraId="49D600F0" w14:textId="24961773"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13,1</w:t>
            </w:r>
            <w:r w:rsidR="00791BE9" w:rsidRPr="002C65E3">
              <w:rPr>
                <w:rFonts w:eastAsia="Times New Roman"/>
                <w:sz w:val="18"/>
                <w:lang w:eastAsia="en-US"/>
              </w:rPr>
              <w:t> %</w:t>
            </w:r>
          </w:p>
        </w:tc>
        <w:tc>
          <w:tcPr>
            <w:tcW w:w="627" w:type="dxa"/>
            <w:shd w:val="clear" w:color="auto" w:fill="auto"/>
            <w:tcMar>
              <w:top w:w="0" w:type="dxa"/>
              <w:left w:w="0" w:type="dxa"/>
              <w:bottom w:w="0" w:type="dxa"/>
              <w:right w:w="0" w:type="dxa"/>
            </w:tcMar>
            <w:vAlign w:val="bottom"/>
          </w:tcPr>
          <w:p w14:paraId="31EEE39C"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93</w:t>
            </w:r>
          </w:p>
        </w:tc>
        <w:tc>
          <w:tcPr>
            <w:tcW w:w="686" w:type="dxa"/>
            <w:shd w:val="clear" w:color="auto" w:fill="auto"/>
            <w:tcMar>
              <w:top w:w="0" w:type="dxa"/>
              <w:left w:w="0" w:type="dxa"/>
              <w:bottom w:w="0" w:type="dxa"/>
              <w:right w:w="0" w:type="dxa"/>
            </w:tcMar>
            <w:vAlign w:val="bottom"/>
          </w:tcPr>
          <w:p w14:paraId="349EAB25" w14:textId="1B4B8E5F"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15,2</w:t>
            </w:r>
            <w:r w:rsidR="00791BE9" w:rsidRPr="002C65E3">
              <w:rPr>
                <w:rFonts w:eastAsia="Times New Roman"/>
                <w:sz w:val="18"/>
                <w:lang w:eastAsia="en-US"/>
              </w:rPr>
              <w:t> %</w:t>
            </w:r>
          </w:p>
        </w:tc>
        <w:tc>
          <w:tcPr>
            <w:tcW w:w="698" w:type="dxa"/>
            <w:shd w:val="clear" w:color="auto" w:fill="auto"/>
            <w:tcMar>
              <w:top w:w="0" w:type="dxa"/>
              <w:left w:w="0" w:type="dxa"/>
              <w:bottom w:w="0" w:type="dxa"/>
              <w:right w:w="0" w:type="dxa"/>
            </w:tcMar>
            <w:vAlign w:val="bottom"/>
          </w:tcPr>
          <w:p w14:paraId="46186B41"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132</w:t>
            </w:r>
          </w:p>
        </w:tc>
        <w:tc>
          <w:tcPr>
            <w:tcW w:w="710" w:type="dxa"/>
            <w:shd w:val="clear" w:color="auto" w:fill="auto"/>
            <w:tcMar>
              <w:top w:w="0" w:type="dxa"/>
              <w:left w:w="0" w:type="dxa"/>
              <w:bottom w:w="0" w:type="dxa"/>
              <w:right w:w="0" w:type="dxa"/>
            </w:tcMar>
            <w:vAlign w:val="bottom"/>
          </w:tcPr>
          <w:p w14:paraId="31D77B06" w14:textId="1B870D9F"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21,4</w:t>
            </w:r>
            <w:r w:rsidR="00791BE9" w:rsidRPr="002C65E3">
              <w:rPr>
                <w:rFonts w:eastAsia="Times New Roman"/>
                <w:sz w:val="18"/>
                <w:lang w:eastAsia="en-US"/>
              </w:rPr>
              <w:t> %</w:t>
            </w:r>
          </w:p>
        </w:tc>
      </w:tr>
      <w:tr w:rsidR="006F4911" w:rsidRPr="002C65E3" w14:paraId="04A175D4" w14:textId="77777777" w:rsidTr="00101D96">
        <w:trPr>
          <w:trHeight w:val="240"/>
        </w:trPr>
        <w:tc>
          <w:tcPr>
            <w:tcW w:w="2131" w:type="dxa"/>
            <w:shd w:val="clear" w:color="auto" w:fill="auto"/>
            <w:tcMar>
              <w:top w:w="0" w:type="dxa"/>
              <w:left w:w="0" w:type="dxa"/>
              <w:bottom w:w="0" w:type="dxa"/>
              <w:right w:w="0" w:type="dxa"/>
            </w:tcMar>
          </w:tcPr>
          <w:p w14:paraId="75C76D48"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Instituciones no obligadas que dieron cumplimiento</w:t>
            </w:r>
          </w:p>
        </w:tc>
        <w:tc>
          <w:tcPr>
            <w:tcW w:w="520" w:type="dxa"/>
            <w:shd w:val="clear" w:color="auto" w:fill="auto"/>
            <w:tcMar>
              <w:top w:w="0" w:type="dxa"/>
              <w:left w:w="0" w:type="dxa"/>
              <w:bottom w:w="0" w:type="dxa"/>
              <w:right w:w="0" w:type="dxa"/>
            </w:tcMar>
            <w:vAlign w:val="bottom"/>
          </w:tcPr>
          <w:p w14:paraId="7EB8483B"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30</w:t>
            </w:r>
          </w:p>
        </w:tc>
        <w:tc>
          <w:tcPr>
            <w:tcW w:w="757" w:type="dxa"/>
            <w:shd w:val="clear" w:color="auto" w:fill="auto"/>
            <w:tcMar>
              <w:top w:w="0" w:type="dxa"/>
              <w:left w:w="0" w:type="dxa"/>
              <w:bottom w:w="0" w:type="dxa"/>
              <w:right w:w="0" w:type="dxa"/>
            </w:tcMar>
            <w:vAlign w:val="bottom"/>
          </w:tcPr>
          <w:p w14:paraId="7EB800FB" w14:textId="6726FFEB"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5</w:t>
            </w:r>
            <w:r w:rsidR="00791BE9" w:rsidRPr="002C65E3">
              <w:rPr>
                <w:rFonts w:eastAsia="Times New Roman"/>
                <w:sz w:val="18"/>
                <w:lang w:eastAsia="en-US"/>
              </w:rPr>
              <w:t> %</w:t>
            </w:r>
          </w:p>
        </w:tc>
        <w:tc>
          <w:tcPr>
            <w:tcW w:w="496" w:type="dxa"/>
            <w:shd w:val="clear" w:color="auto" w:fill="auto"/>
            <w:tcMar>
              <w:top w:w="0" w:type="dxa"/>
              <w:left w:w="0" w:type="dxa"/>
              <w:bottom w:w="0" w:type="dxa"/>
              <w:right w:w="0" w:type="dxa"/>
            </w:tcMar>
            <w:vAlign w:val="bottom"/>
          </w:tcPr>
          <w:p w14:paraId="740A9FA2"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21</w:t>
            </w:r>
          </w:p>
        </w:tc>
        <w:tc>
          <w:tcPr>
            <w:tcW w:w="745" w:type="dxa"/>
            <w:shd w:val="clear" w:color="auto" w:fill="auto"/>
            <w:tcMar>
              <w:top w:w="0" w:type="dxa"/>
              <w:left w:w="0" w:type="dxa"/>
              <w:bottom w:w="0" w:type="dxa"/>
              <w:right w:w="0" w:type="dxa"/>
            </w:tcMar>
            <w:vAlign w:val="bottom"/>
          </w:tcPr>
          <w:p w14:paraId="569AECD5" w14:textId="290EB4FA"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3,4</w:t>
            </w:r>
            <w:r w:rsidR="00791BE9" w:rsidRPr="002C65E3">
              <w:rPr>
                <w:rFonts w:eastAsia="Times New Roman"/>
                <w:sz w:val="18"/>
                <w:lang w:eastAsia="en-US"/>
              </w:rPr>
              <w:t> %</w:t>
            </w:r>
          </w:p>
        </w:tc>
        <w:tc>
          <w:tcPr>
            <w:tcW w:w="627" w:type="dxa"/>
            <w:shd w:val="clear" w:color="auto" w:fill="auto"/>
            <w:tcMar>
              <w:top w:w="0" w:type="dxa"/>
              <w:left w:w="0" w:type="dxa"/>
              <w:bottom w:w="0" w:type="dxa"/>
              <w:right w:w="0" w:type="dxa"/>
            </w:tcMar>
            <w:vAlign w:val="bottom"/>
          </w:tcPr>
          <w:p w14:paraId="107C7F46"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17</w:t>
            </w:r>
          </w:p>
        </w:tc>
        <w:tc>
          <w:tcPr>
            <w:tcW w:w="686" w:type="dxa"/>
            <w:shd w:val="clear" w:color="auto" w:fill="auto"/>
            <w:tcMar>
              <w:top w:w="0" w:type="dxa"/>
              <w:left w:w="0" w:type="dxa"/>
              <w:bottom w:w="0" w:type="dxa"/>
              <w:right w:w="0" w:type="dxa"/>
            </w:tcMar>
            <w:vAlign w:val="bottom"/>
          </w:tcPr>
          <w:p w14:paraId="132B5662" w14:textId="568BD6C6"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2,8</w:t>
            </w:r>
            <w:r w:rsidR="00791BE9" w:rsidRPr="002C65E3">
              <w:rPr>
                <w:rFonts w:eastAsia="Times New Roman"/>
                <w:sz w:val="18"/>
                <w:lang w:eastAsia="en-US"/>
              </w:rPr>
              <w:t> %</w:t>
            </w:r>
          </w:p>
        </w:tc>
        <w:tc>
          <w:tcPr>
            <w:tcW w:w="698" w:type="dxa"/>
            <w:shd w:val="clear" w:color="auto" w:fill="auto"/>
            <w:tcMar>
              <w:top w:w="0" w:type="dxa"/>
              <w:left w:w="0" w:type="dxa"/>
              <w:bottom w:w="0" w:type="dxa"/>
              <w:right w:w="0" w:type="dxa"/>
            </w:tcMar>
            <w:vAlign w:val="bottom"/>
          </w:tcPr>
          <w:p w14:paraId="009D98B1"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34</w:t>
            </w:r>
          </w:p>
        </w:tc>
        <w:tc>
          <w:tcPr>
            <w:tcW w:w="710" w:type="dxa"/>
            <w:shd w:val="clear" w:color="auto" w:fill="auto"/>
            <w:tcMar>
              <w:top w:w="0" w:type="dxa"/>
              <w:left w:w="0" w:type="dxa"/>
              <w:bottom w:w="0" w:type="dxa"/>
              <w:right w:w="0" w:type="dxa"/>
            </w:tcMar>
            <w:vAlign w:val="bottom"/>
          </w:tcPr>
          <w:p w14:paraId="38F75C6C" w14:textId="264B9569"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5,5</w:t>
            </w:r>
            <w:r w:rsidR="00791BE9" w:rsidRPr="002C65E3">
              <w:rPr>
                <w:rFonts w:eastAsia="Times New Roman"/>
                <w:sz w:val="18"/>
                <w:lang w:eastAsia="en-US"/>
              </w:rPr>
              <w:t> %</w:t>
            </w:r>
          </w:p>
        </w:tc>
      </w:tr>
      <w:tr w:rsidR="006F4911" w:rsidRPr="002C65E3" w14:paraId="24708D3E" w14:textId="77777777" w:rsidTr="00101D96">
        <w:trPr>
          <w:trHeight w:val="240"/>
        </w:trPr>
        <w:tc>
          <w:tcPr>
            <w:tcW w:w="2131" w:type="dxa"/>
            <w:shd w:val="clear" w:color="auto" w:fill="auto"/>
            <w:tcMar>
              <w:top w:w="0" w:type="dxa"/>
              <w:left w:w="0" w:type="dxa"/>
              <w:bottom w:w="0" w:type="dxa"/>
              <w:right w:w="0" w:type="dxa"/>
            </w:tcMar>
          </w:tcPr>
          <w:p w14:paraId="4131F5BF"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Instituciones NO obligadas que NO dieron cumplimiento</w:t>
            </w:r>
          </w:p>
        </w:tc>
        <w:tc>
          <w:tcPr>
            <w:tcW w:w="520" w:type="dxa"/>
            <w:shd w:val="clear" w:color="auto" w:fill="auto"/>
            <w:tcMar>
              <w:top w:w="0" w:type="dxa"/>
              <w:left w:w="0" w:type="dxa"/>
              <w:bottom w:w="0" w:type="dxa"/>
              <w:right w:w="0" w:type="dxa"/>
            </w:tcMar>
            <w:vAlign w:val="bottom"/>
          </w:tcPr>
          <w:p w14:paraId="34AD6EEA"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57</w:t>
            </w:r>
          </w:p>
        </w:tc>
        <w:tc>
          <w:tcPr>
            <w:tcW w:w="757" w:type="dxa"/>
            <w:shd w:val="clear" w:color="auto" w:fill="auto"/>
            <w:tcMar>
              <w:top w:w="0" w:type="dxa"/>
              <w:left w:w="0" w:type="dxa"/>
              <w:bottom w:w="0" w:type="dxa"/>
              <w:right w:w="0" w:type="dxa"/>
            </w:tcMar>
            <w:vAlign w:val="bottom"/>
          </w:tcPr>
          <w:p w14:paraId="7C84C844" w14:textId="38629D61"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9,4</w:t>
            </w:r>
            <w:r w:rsidR="00791BE9" w:rsidRPr="002C65E3">
              <w:rPr>
                <w:rFonts w:eastAsia="Times New Roman"/>
                <w:sz w:val="18"/>
                <w:lang w:eastAsia="en-US"/>
              </w:rPr>
              <w:t> %</w:t>
            </w:r>
          </w:p>
        </w:tc>
        <w:tc>
          <w:tcPr>
            <w:tcW w:w="496" w:type="dxa"/>
            <w:shd w:val="clear" w:color="auto" w:fill="auto"/>
            <w:tcMar>
              <w:top w:w="0" w:type="dxa"/>
              <w:left w:w="0" w:type="dxa"/>
              <w:bottom w:w="0" w:type="dxa"/>
              <w:right w:w="0" w:type="dxa"/>
            </w:tcMar>
            <w:vAlign w:val="bottom"/>
          </w:tcPr>
          <w:p w14:paraId="0D03E0ED"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53</w:t>
            </w:r>
          </w:p>
        </w:tc>
        <w:tc>
          <w:tcPr>
            <w:tcW w:w="745" w:type="dxa"/>
            <w:shd w:val="clear" w:color="auto" w:fill="auto"/>
            <w:tcMar>
              <w:top w:w="0" w:type="dxa"/>
              <w:left w:w="0" w:type="dxa"/>
              <w:bottom w:w="0" w:type="dxa"/>
              <w:right w:w="0" w:type="dxa"/>
            </w:tcMar>
            <w:vAlign w:val="bottom"/>
          </w:tcPr>
          <w:p w14:paraId="68D8A043" w14:textId="3B168C6C"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8,7</w:t>
            </w:r>
            <w:r w:rsidR="00791BE9" w:rsidRPr="002C65E3">
              <w:rPr>
                <w:rFonts w:eastAsia="Times New Roman"/>
                <w:sz w:val="18"/>
                <w:lang w:eastAsia="en-US"/>
              </w:rPr>
              <w:t> %</w:t>
            </w:r>
          </w:p>
        </w:tc>
        <w:tc>
          <w:tcPr>
            <w:tcW w:w="627" w:type="dxa"/>
            <w:shd w:val="clear" w:color="auto" w:fill="auto"/>
            <w:tcMar>
              <w:top w:w="0" w:type="dxa"/>
              <w:left w:w="0" w:type="dxa"/>
              <w:bottom w:w="0" w:type="dxa"/>
              <w:right w:w="0" w:type="dxa"/>
            </w:tcMar>
            <w:vAlign w:val="bottom"/>
          </w:tcPr>
          <w:p w14:paraId="59892512"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49</w:t>
            </w:r>
          </w:p>
        </w:tc>
        <w:tc>
          <w:tcPr>
            <w:tcW w:w="686" w:type="dxa"/>
            <w:shd w:val="clear" w:color="auto" w:fill="auto"/>
            <w:tcMar>
              <w:top w:w="0" w:type="dxa"/>
              <w:left w:w="0" w:type="dxa"/>
              <w:bottom w:w="0" w:type="dxa"/>
              <w:right w:w="0" w:type="dxa"/>
            </w:tcMar>
            <w:vAlign w:val="bottom"/>
          </w:tcPr>
          <w:p w14:paraId="7D60119B" w14:textId="3F7838CD"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8</w:t>
            </w:r>
            <w:r w:rsidR="00791BE9" w:rsidRPr="002C65E3">
              <w:rPr>
                <w:rFonts w:eastAsia="Times New Roman"/>
                <w:sz w:val="18"/>
                <w:lang w:eastAsia="en-US"/>
              </w:rPr>
              <w:t> %</w:t>
            </w:r>
          </w:p>
        </w:tc>
        <w:tc>
          <w:tcPr>
            <w:tcW w:w="698" w:type="dxa"/>
            <w:shd w:val="clear" w:color="auto" w:fill="auto"/>
            <w:tcMar>
              <w:top w:w="0" w:type="dxa"/>
              <w:left w:w="0" w:type="dxa"/>
              <w:bottom w:w="0" w:type="dxa"/>
              <w:right w:w="0" w:type="dxa"/>
            </w:tcMar>
            <w:vAlign w:val="bottom"/>
          </w:tcPr>
          <w:p w14:paraId="699060FD"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71</w:t>
            </w:r>
          </w:p>
        </w:tc>
        <w:tc>
          <w:tcPr>
            <w:tcW w:w="710" w:type="dxa"/>
            <w:shd w:val="clear" w:color="auto" w:fill="auto"/>
            <w:tcMar>
              <w:top w:w="0" w:type="dxa"/>
              <w:left w:w="0" w:type="dxa"/>
              <w:bottom w:w="0" w:type="dxa"/>
              <w:right w:w="0" w:type="dxa"/>
            </w:tcMar>
            <w:vAlign w:val="bottom"/>
          </w:tcPr>
          <w:p w14:paraId="62E5C983" w14:textId="51DBBF25"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11,5</w:t>
            </w:r>
            <w:r w:rsidR="00791BE9" w:rsidRPr="002C65E3">
              <w:rPr>
                <w:rFonts w:eastAsia="Times New Roman"/>
                <w:sz w:val="18"/>
                <w:lang w:eastAsia="en-US"/>
              </w:rPr>
              <w:t> %</w:t>
            </w:r>
          </w:p>
        </w:tc>
      </w:tr>
      <w:tr w:rsidR="006F4911" w:rsidRPr="002C65E3" w14:paraId="2B4CD601" w14:textId="77777777" w:rsidTr="00101D96">
        <w:trPr>
          <w:trHeight w:val="240"/>
        </w:trPr>
        <w:tc>
          <w:tcPr>
            <w:tcW w:w="2131" w:type="dxa"/>
            <w:shd w:val="clear" w:color="auto" w:fill="auto"/>
            <w:tcMar>
              <w:top w:w="0" w:type="dxa"/>
              <w:left w:w="0" w:type="dxa"/>
              <w:bottom w:w="0" w:type="dxa"/>
              <w:right w:w="0" w:type="dxa"/>
            </w:tcMar>
          </w:tcPr>
          <w:p w14:paraId="0CE75786"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t>Instituciones obligadas que no dieron cumplimiento</w:t>
            </w:r>
          </w:p>
        </w:tc>
        <w:tc>
          <w:tcPr>
            <w:tcW w:w="520" w:type="dxa"/>
            <w:shd w:val="clear" w:color="auto" w:fill="auto"/>
            <w:tcMar>
              <w:top w:w="0" w:type="dxa"/>
              <w:left w:w="0" w:type="dxa"/>
              <w:bottom w:w="0" w:type="dxa"/>
              <w:right w:w="0" w:type="dxa"/>
            </w:tcMar>
            <w:vAlign w:val="bottom"/>
          </w:tcPr>
          <w:p w14:paraId="2215548C"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184</w:t>
            </w:r>
          </w:p>
        </w:tc>
        <w:tc>
          <w:tcPr>
            <w:tcW w:w="757" w:type="dxa"/>
            <w:shd w:val="clear" w:color="auto" w:fill="auto"/>
            <w:tcMar>
              <w:top w:w="0" w:type="dxa"/>
              <w:left w:w="0" w:type="dxa"/>
              <w:bottom w:w="0" w:type="dxa"/>
              <w:right w:w="0" w:type="dxa"/>
            </w:tcMar>
            <w:vAlign w:val="bottom"/>
          </w:tcPr>
          <w:p w14:paraId="2759406C" w14:textId="307E01BE"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30,4</w:t>
            </w:r>
            <w:r w:rsidR="00791BE9" w:rsidRPr="002C65E3">
              <w:rPr>
                <w:rFonts w:eastAsia="Times New Roman"/>
                <w:sz w:val="18"/>
                <w:lang w:eastAsia="en-US"/>
              </w:rPr>
              <w:t> %</w:t>
            </w:r>
          </w:p>
        </w:tc>
        <w:tc>
          <w:tcPr>
            <w:tcW w:w="496" w:type="dxa"/>
            <w:shd w:val="clear" w:color="auto" w:fill="auto"/>
            <w:tcMar>
              <w:top w:w="0" w:type="dxa"/>
              <w:left w:w="0" w:type="dxa"/>
              <w:bottom w:w="0" w:type="dxa"/>
              <w:right w:w="0" w:type="dxa"/>
            </w:tcMar>
            <w:vAlign w:val="bottom"/>
          </w:tcPr>
          <w:p w14:paraId="2609469A"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180</w:t>
            </w:r>
          </w:p>
        </w:tc>
        <w:tc>
          <w:tcPr>
            <w:tcW w:w="745" w:type="dxa"/>
            <w:shd w:val="clear" w:color="auto" w:fill="auto"/>
            <w:tcMar>
              <w:top w:w="0" w:type="dxa"/>
              <w:left w:w="0" w:type="dxa"/>
              <w:bottom w:w="0" w:type="dxa"/>
              <w:right w:w="0" w:type="dxa"/>
            </w:tcMar>
            <w:vAlign w:val="bottom"/>
          </w:tcPr>
          <w:p w14:paraId="4CE653D7" w14:textId="738A08A5"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29,6</w:t>
            </w:r>
            <w:r w:rsidR="00791BE9" w:rsidRPr="002C65E3">
              <w:rPr>
                <w:rFonts w:eastAsia="Times New Roman"/>
                <w:sz w:val="18"/>
                <w:lang w:eastAsia="en-US"/>
              </w:rPr>
              <w:t> %</w:t>
            </w:r>
          </w:p>
        </w:tc>
        <w:tc>
          <w:tcPr>
            <w:tcW w:w="627" w:type="dxa"/>
            <w:shd w:val="clear" w:color="auto" w:fill="auto"/>
            <w:tcMar>
              <w:top w:w="0" w:type="dxa"/>
              <w:left w:w="0" w:type="dxa"/>
              <w:bottom w:w="0" w:type="dxa"/>
              <w:right w:w="0" w:type="dxa"/>
            </w:tcMar>
            <w:vAlign w:val="bottom"/>
          </w:tcPr>
          <w:p w14:paraId="3B2B4D67"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206</w:t>
            </w:r>
          </w:p>
        </w:tc>
        <w:tc>
          <w:tcPr>
            <w:tcW w:w="686" w:type="dxa"/>
            <w:shd w:val="clear" w:color="auto" w:fill="auto"/>
            <w:tcMar>
              <w:top w:w="0" w:type="dxa"/>
              <w:left w:w="0" w:type="dxa"/>
              <w:bottom w:w="0" w:type="dxa"/>
              <w:right w:w="0" w:type="dxa"/>
            </w:tcMar>
            <w:vAlign w:val="bottom"/>
          </w:tcPr>
          <w:p w14:paraId="07452A49" w14:textId="270D49D0"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33,7</w:t>
            </w:r>
            <w:r w:rsidR="00791BE9" w:rsidRPr="002C65E3">
              <w:rPr>
                <w:rFonts w:eastAsia="Times New Roman"/>
                <w:sz w:val="18"/>
                <w:lang w:eastAsia="en-US"/>
              </w:rPr>
              <w:t> %</w:t>
            </w:r>
          </w:p>
        </w:tc>
        <w:tc>
          <w:tcPr>
            <w:tcW w:w="698" w:type="dxa"/>
            <w:shd w:val="clear" w:color="auto" w:fill="auto"/>
            <w:tcMar>
              <w:top w:w="0" w:type="dxa"/>
              <w:left w:w="0" w:type="dxa"/>
              <w:bottom w:w="0" w:type="dxa"/>
              <w:right w:w="0" w:type="dxa"/>
            </w:tcMar>
            <w:vAlign w:val="bottom"/>
          </w:tcPr>
          <w:p w14:paraId="0373D909"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258</w:t>
            </w:r>
          </w:p>
        </w:tc>
        <w:tc>
          <w:tcPr>
            <w:tcW w:w="710" w:type="dxa"/>
            <w:shd w:val="clear" w:color="auto" w:fill="auto"/>
            <w:tcMar>
              <w:top w:w="0" w:type="dxa"/>
              <w:left w:w="0" w:type="dxa"/>
              <w:bottom w:w="0" w:type="dxa"/>
              <w:right w:w="0" w:type="dxa"/>
            </w:tcMar>
            <w:vAlign w:val="bottom"/>
          </w:tcPr>
          <w:p w14:paraId="0E59EFAF" w14:textId="70179B03"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41,8</w:t>
            </w:r>
            <w:r w:rsidR="00791BE9" w:rsidRPr="002C65E3">
              <w:rPr>
                <w:rFonts w:eastAsia="Times New Roman"/>
                <w:sz w:val="18"/>
                <w:lang w:eastAsia="en-US"/>
              </w:rPr>
              <w:t> %</w:t>
            </w:r>
          </w:p>
        </w:tc>
      </w:tr>
      <w:tr w:rsidR="006F4911" w:rsidRPr="002C65E3" w14:paraId="68584266" w14:textId="77777777" w:rsidTr="00101D96">
        <w:trPr>
          <w:trHeight w:val="240"/>
        </w:trPr>
        <w:tc>
          <w:tcPr>
            <w:tcW w:w="2131" w:type="dxa"/>
            <w:shd w:val="clear" w:color="auto" w:fill="auto"/>
            <w:tcMar>
              <w:top w:w="0" w:type="dxa"/>
              <w:left w:w="0" w:type="dxa"/>
              <w:bottom w:w="0" w:type="dxa"/>
              <w:right w:w="0" w:type="dxa"/>
            </w:tcMar>
          </w:tcPr>
          <w:p w14:paraId="3DBABE81" w14:textId="77777777" w:rsidR="006F4911" w:rsidRPr="002C65E3" w:rsidRDefault="006F4911" w:rsidP="00101D96">
            <w:pPr>
              <w:spacing w:before="40" w:after="40" w:line="220" w:lineRule="exact"/>
              <w:rPr>
                <w:rFonts w:eastAsia="Times New Roman"/>
                <w:sz w:val="18"/>
                <w:lang w:eastAsia="en-US"/>
              </w:rPr>
            </w:pPr>
            <w:r w:rsidRPr="002C65E3">
              <w:rPr>
                <w:rFonts w:eastAsia="Times New Roman"/>
                <w:sz w:val="18"/>
                <w:lang w:eastAsia="en-US"/>
              </w:rPr>
              <w:lastRenderedPageBreak/>
              <w:t>Instituciones que no entregaron reporte completo</w:t>
            </w:r>
          </w:p>
        </w:tc>
        <w:tc>
          <w:tcPr>
            <w:tcW w:w="520" w:type="dxa"/>
            <w:shd w:val="clear" w:color="auto" w:fill="auto"/>
            <w:tcMar>
              <w:top w:w="0" w:type="dxa"/>
              <w:left w:w="0" w:type="dxa"/>
              <w:bottom w:w="0" w:type="dxa"/>
              <w:right w:w="0" w:type="dxa"/>
            </w:tcMar>
            <w:vAlign w:val="bottom"/>
          </w:tcPr>
          <w:p w14:paraId="402B220C"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49</w:t>
            </w:r>
          </w:p>
        </w:tc>
        <w:tc>
          <w:tcPr>
            <w:tcW w:w="757" w:type="dxa"/>
            <w:shd w:val="clear" w:color="auto" w:fill="auto"/>
            <w:tcMar>
              <w:top w:w="0" w:type="dxa"/>
              <w:left w:w="0" w:type="dxa"/>
              <w:bottom w:w="0" w:type="dxa"/>
              <w:right w:w="0" w:type="dxa"/>
            </w:tcMar>
            <w:vAlign w:val="bottom"/>
          </w:tcPr>
          <w:p w14:paraId="51C5EF44" w14:textId="0238721B"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8,1</w:t>
            </w:r>
            <w:r w:rsidR="00791BE9" w:rsidRPr="002C65E3">
              <w:rPr>
                <w:rFonts w:eastAsia="Times New Roman"/>
                <w:sz w:val="18"/>
                <w:lang w:eastAsia="en-US"/>
              </w:rPr>
              <w:t> %</w:t>
            </w:r>
          </w:p>
        </w:tc>
        <w:tc>
          <w:tcPr>
            <w:tcW w:w="496" w:type="dxa"/>
            <w:shd w:val="clear" w:color="auto" w:fill="auto"/>
            <w:tcMar>
              <w:top w:w="0" w:type="dxa"/>
              <w:left w:w="0" w:type="dxa"/>
              <w:bottom w:w="0" w:type="dxa"/>
              <w:right w:w="0" w:type="dxa"/>
            </w:tcMar>
            <w:vAlign w:val="bottom"/>
          </w:tcPr>
          <w:p w14:paraId="3178D36E"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56</w:t>
            </w:r>
          </w:p>
        </w:tc>
        <w:tc>
          <w:tcPr>
            <w:tcW w:w="745" w:type="dxa"/>
            <w:shd w:val="clear" w:color="auto" w:fill="auto"/>
            <w:tcMar>
              <w:top w:w="0" w:type="dxa"/>
              <w:left w:w="0" w:type="dxa"/>
              <w:bottom w:w="0" w:type="dxa"/>
              <w:right w:w="0" w:type="dxa"/>
            </w:tcMar>
            <w:vAlign w:val="bottom"/>
          </w:tcPr>
          <w:p w14:paraId="0353E0A2" w14:textId="62CC60AB"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9,2</w:t>
            </w:r>
            <w:r w:rsidR="00791BE9" w:rsidRPr="002C65E3">
              <w:rPr>
                <w:rFonts w:eastAsia="Times New Roman"/>
                <w:sz w:val="18"/>
                <w:lang w:eastAsia="en-US"/>
              </w:rPr>
              <w:t> %</w:t>
            </w:r>
          </w:p>
        </w:tc>
        <w:tc>
          <w:tcPr>
            <w:tcW w:w="627" w:type="dxa"/>
            <w:shd w:val="clear" w:color="auto" w:fill="auto"/>
            <w:tcMar>
              <w:top w:w="0" w:type="dxa"/>
              <w:left w:w="0" w:type="dxa"/>
              <w:bottom w:w="0" w:type="dxa"/>
              <w:right w:w="0" w:type="dxa"/>
            </w:tcMar>
            <w:vAlign w:val="bottom"/>
          </w:tcPr>
          <w:p w14:paraId="43DD46C5"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w:t>
            </w:r>
          </w:p>
        </w:tc>
        <w:tc>
          <w:tcPr>
            <w:tcW w:w="686" w:type="dxa"/>
            <w:shd w:val="clear" w:color="auto" w:fill="auto"/>
            <w:tcMar>
              <w:top w:w="0" w:type="dxa"/>
              <w:left w:w="0" w:type="dxa"/>
              <w:bottom w:w="0" w:type="dxa"/>
              <w:right w:w="0" w:type="dxa"/>
            </w:tcMar>
            <w:vAlign w:val="bottom"/>
          </w:tcPr>
          <w:p w14:paraId="1AF0DBF2" w14:textId="47C8D261"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0,3</w:t>
            </w:r>
            <w:r w:rsidR="00791BE9" w:rsidRPr="002C65E3">
              <w:rPr>
                <w:rFonts w:eastAsia="Times New Roman"/>
                <w:sz w:val="18"/>
                <w:lang w:eastAsia="en-US"/>
              </w:rPr>
              <w:t> %</w:t>
            </w:r>
          </w:p>
        </w:tc>
        <w:tc>
          <w:tcPr>
            <w:tcW w:w="698" w:type="dxa"/>
            <w:shd w:val="clear" w:color="auto" w:fill="auto"/>
            <w:tcMar>
              <w:top w:w="0" w:type="dxa"/>
              <w:left w:w="0" w:type="dxa"/>
              <w:bottom w:w="0" w:type="dxa"/>
              <w:right w:w="0" w:type="dxa"/>
            </w:tcMar>
            <w:vAlign w:val="bottom"/>
          </w:tcPr>
          <w:p w14:paraId="25329E5E" w14:textId="77777777"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35</w:t>
            </w:r>
          </w:p>
        </w:tc>
        <w:tc>
          <w:tcPr>
            <w:tcW w:w="710" w:type="dxa"/>
            <w:shd w:val="clear" w:color="auto" w:fill="auto"/>
            <w:tcMar>
              <w:top w:w="0" w:type="dxa"/>
              <w:left w:w="0" w:type="dxa"/>
              <w:bottom w:w="0" w:type="dxa"/>
              <w:right w:w="0" w:type="dxa"/>
            </w:tcMar>
            <w:vAlign w:val="bottom"/>
          </w:tcPr>
          <w:p w14:paraId="21F2529E" w14:textId="50EA7B44" w:rsidR="006F4911" w:rsidRPr="002C65E3" w:rsidRDefault="006F4911"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5,7</w:t>
            </w:r>
            <w:r w:rsidR="00791BE9" w:rsidRPr="002C65E3">
              <w:rPr>
                <w:rFonts w:eastAsia="Times New Roman"/>
                <w:sz w:val="18"/>
                <w:lang w:eastAsia="en-US"/>
              </w:rPr>
              <w:t> %</w:t>
            </w:r>
          </w:p>
        </w:tc>
      </w:tr>
      <w:tr w:rsidR="007B1418" w:rsidRPr="002C65E3" w14:paraId="390CE893" w14:textId="77777777" w:rsidTr="00101D96">
        <w:trPr>
          <w:trHeight w:val="240"/>
        </w:trPr>
        <w:tc>
          <w:tcPr>
            <w:tcW w:w="2131" w:type="dxa"/>
            <w:tcBorders>
              <w:bottom w:val="single" w:sz="12" w:space="0" w:color="auto"/>
            </w:tcBorders>
            <w:shd w:val="clear" w:color="auto" w:fill="auto"/>
            <w:tcMar>
              <w:top w:w="0" w:type="dxa"/>
              <w:left w:w="0" w:type="dxa"/>
              <w:bottom w:w="0" w:type="dxa"/>
              <w:right w:w="0" w:type="dxa"/>
            </w:tcMar>
          </w:tcPr>
          <w:p w14:paraId="57509EA3" w14:textId="55FF8C6B" w:rsidR="007B1418" w:rsidRPr="002C65E3" w:rsidRDefault="007B1418" w:rsidP="00101D96">
            <w:pPr>
              <w:spacing w:before="40" w:after="40" w:line="220" w:lineRule="exact"/>
              <w:rPr>
                <w:rFonts w:eastAsia="Times New Roman"/>
                <w:sz w:val="18"/>
                <w:lang w:eastAsia="en-US"/>
              </w:rPr>
            </w:pPr>
            <w:r w:rsidRPr="002C65E3">
              <w:rPr>
                <w:rFonts w:eastAsia="Times New Roman"/>
                <w:sz w:val="18"/>
                <w:lang w:eastAsia="en-US"/>
              </w:rPr>
              <w:t>Instituciones que no entregaron información</w:t>
            </w:r>
          </w:p>
        </w:tc>
        <w:tc>
          <w:tcPr>
            <w:tcW w:w="520" w:type="dxa"/>
            <w:tcBorders>
              <w:bottom w:val="single" w:sz="12" w:space="0" w:color="auto"/>
            </w:tcBorders>
            <w:shd w:val="clear" w:color="auto" w:fill="auto"/>
            <w:tcMar>
              <w:top w:w="0" w:type="dxa"/>
              <w:left w:w="0" w:type="dxa"/>
              <w:bottom w:w="0" w:type="dxa"/>
              <w:right w:w="0" w:type="dxa"/>
            </w:tcMar>
            <w:vAlign w:val="bottom"/>
          </w:tcPr>
          <w:p w14:paraId="4AE2BCDD" w14:textId="47BACB99"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215</w:t>
            </w:r>
          </w:p>
        </w:tc>
        <w:tc>
          <w:tcPr>
            <w:tcW w:w="757" w:type="dxa"/>
            <w:tcBorders>
              <w:bottom w:val="single" w:sz="12" w:space="0" w:color="auto"/>
            </w:tcBorders>
            <w:shd w:val="clear" w:color="auto" w:fill="auto"/>
            <w:tcMar>
              <w:top w:w="0" w:type="dxa"/>
              <w:left w:w="0" w:type="dxa"/>
              <w:bottom w:w="0" w:type="dxa"/>
              <w:right w:w="0" w:type="dxa"/>
            </w:tcMar>
            <w:vAlign w:val="bottom"/>
          </w:tcPr>
          <w:p w14:paraId="77744878" w14:textId="4A1941D2"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35,5</w:t>
            </w:r>
            <w:r w:rsidR="00791BE9" w:rsidRPr="002C65E3">
              <w:rPr>
                <w:rFonts w:eastAsia="Times New Roman"/>
                <w:sz w:val="18"/>
                <w:lang w:eastAsia="en-US"/>
              </w:rPr>
              <w:t> %</w:t>
            </w:r>
          </w:p>
        </w:tc>
        <w:tc>
          <w:tcPr>
            <w:tcW w:w="496" w:type="dxa"/>
            <w:tcBorders>
              <w:bottom w:val="single" w:sz="12" w:space="0" w:color="auto"/>
            </w:tcBorders>
            <w:shd w:val="clear" w:color="auto" w:fill="auto"/>
            <w:tcMar>
              <w:top w:w="0" w:type="dxa"/>
              <w:left w:w="0" w:type="dxa"/>
              <w:bottom w:w="0" w:type="dxa"/>
              <w:right w:w="0" w:type="dxa"/>
            </w:tcMar>
            <w:vAlign w:val="bottom"/>
          </w:tcPr>
          <w:p w14:paraId="430D09CC" w14:textId="7559CCF7"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219</w:t>
            </w:r>
          </w:p>
        </w:tc>
        <w:tc>
          <w:tcPr>
            <w:tcW w:w="745" w:type="dxa"/>
            <w:tcBorders>
              <w:bottom w:val="single" w:sz="12" w:space="0" w:color="auto"/>
            </w:tcBorders>
            <w:shd w:val="clear" w:color="auto" w:fill="auto"/>
            <w:tcMar>
              <w:top w:w="0" w:type="dxa"/>
              <w:left w:w="0" w:type="dxa"/>
              <w:bottom w:w="0" w:type="dxa"/>
              <w:right w:w="0" w:type="dxa"/>
            </w:tcMar>
            <w:vAlign w:val="bottom"/>
          </w:tcPr>
          <w:p w14:paraId="663DA7A8" w14:textId="5FC6DB0E"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36</w:t>
            </w:r>
            <w:r w:rsidR="00791BE9" w:rsidRPr="002C65E3">
              <w:rPr>
                <w:rFonts w:eastAsia="Times New Roman"/>
                <w:sz w:val="18"/>
                <w:lang w:eastAsia="en-US"/>
              </w:rPr>
              <w:t> %</w:t>
            </w:r>
          </w:p>
        </w:tc>
        <w:tc>
          <w:tcPr>
            <w:tcW w:w="627" w:type="dxa"/>
            <w:tcBorders>
              <w:bottom w:val="single" w:sz="12" w:space="0" w:color="auto"/>
            </w:tcBorders>
            <w:shd w:val="clear" w:color="auto" w:fill="auto"/>
            <w:tcMar>
              <w:top w:w="0" w:type="dxa"/>
              <w:left w:w="0" w:type="dxa"/>
              <w:bottom w:w="0" w:type="dxa"/>
              <w:right w:w="0" w:type="dxa"/>
            </w:tcMar>
            <w:vAlign w:val="bottom"/>
          </w:tcPr>
          <w:p w14:paraId="6655BBFC" w14:textId="0855EEC1"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245</w:t>
            </w:r>
          </w:p>
        </w:tc>
        <w:tc>
          <w:tcPr>
            <w:tcW w:w="686" w:type="dxa"/>
            <w:tcBorders>
              <w:bottom w:val="single" w:sz="12" w:space="0" w:color="auto"/>
            </w:tcBorders>
            <w:shd w:val="clear" w:color="auto" w:fill="auto"/>
            <w:tcMar>
              <w:top w:w="0" w:type="dxa"/>
              <w:left w:w="0" w:type="dxa"/>
              <w:bottom w:w="0" w:type="dxa"/>
              <w:right w:w="0" w:type="dxa"/>
            </w:tcMar>
            <w:vAlign w:val="bottom"/>
          </w:tcPr>
          <w:p w14:paraId="0219983B" w14:textId="130A085B"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40</w:t>
            </w:r>
            <w:r w:rsidR="00791BE9" w:rsidRPr="002C65E3">
              <w:rPr>
                <w:rFonts w:eastAsia="Times New Roman"/>
                <w:sz w:val="18"/>
                <w:lang w:eastAsia="en-US"/>
              </w:rPr>
              <w:t> %</w:t>
            </w:r>
          </w:p>
        </w:tc>
        <w:tc>
          <w:tcPr>
            <w:tcW w:w="698" w:type="dxa"/>
            <w:tcBorders>
              <w:bottom w:val="single" w:sz="12" w:space="0" w:color="auto"/>
            </w:tcBorders>
            <w:shd w:val="clear" w:color="auto" w:fill="auto"/>
            <w:tcMar>
              <w:top w:w="0" w:type="dxa"/>
              <w:left w:w="0" w:type="dxa"/>
              <w:bottom w:w="0" w:type="dxa"/>
              <w:right w:w="0" w:type="dxa"/>
            </w:tcMar>
            <w:vAlign w:val="bottom"/>
          </w:tcPr>
          <w:p w14:paraId="2AF1AF34" w14:textId="3682A296"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87</w:t>
            </w:r>
          </w:p>
        </w:tc>
        <w:tc>
          <w:tcPr>
            <w:tcW w:w="710" w:type="dxa"/>
            <w:tcBorders>
              <w:bottom w:val="single" w:sz="12" w:space="0" w:color="auto"/>
            </w:tcBorders>
            <w:shd w:val="clear" w:color="auto" w:fill="auto"/>
            <w:tcMar>
              <w:top w:w="0" w:type="dxa"/>
              <w:left w:w="0" w:type="dxa"/>
              <w:bottom w:w="0" w:type="dxa"/>
              <w:right w:w="0" w:type="dxa"/>
            </w:tcMar>
            <w:vAlign w:val="bottom"/>
          </w:tcPr>
          <w:p w14:paraId="14DB3856" w14:textId="2DDA6F7B" w:rsidR="007B1418" w:rsidRPr="002C65E3" w:rsidRDefault="007B1418" w:rsidP="00101D96">
            <w:pPr>
              <w:spacing w:before="40" w:after="40" w:line="220" w:lineRule="exact"/>
              <w:ind w:left="85" w:right="28"/>
              <w:jc w:val="right"/>
              <w:rPr>
                <w:rFonts w:eastAsia="Times New Roman"/>
                <w:sz w:val="18"/>
                <w:lang w:eastAsia="en-US"/>
              </w:rPr>
            </w:pPr>
            <w:r w:rsidRPr="002C65E3">
              <w:rPr>
                <w:rFonts w:eastAsia="Times New Roman"/>
                <w:sz w:val="18"/>
                <w:lang w:eastAsia="en-US"/>
              </w:rPr>
              <w:t>14.1</w:t>
            </w:r>
            <w:r w:rsidR="00791BE9" w:rsidRPr="002C65E3">
              <w:rPr>
                <w:rFonts w:eastAsia="Times New Roman"/>
                <w:sz w:val="18"/>
                <w:lang w:eastAsia="en-US"/>
              </w:rPr>
              <w:t> %</w:t>
            </w:r>
          </w:p>
        </w:tc>
      </w:tr>
    </w:tbl>
    <w:p w14:paraId="2A5D3D32" w14:textId="5D1A8453" w:rsidR="007B1418" w:rsidRPr="002C65E3" w:rsidRDefault="006F4911" w:rsidP="00101D96">
      <w:pPr>
        <w:pStyle w:val="SingleTxtG"/>
        <w:spacing w:before="120" w:after="240"/>
        <w:ind w:firstLine="170"/>
        <w:jc w:val="left"/>
        <w:rPr>
          <w:sz w:val="18"/>
          <w:szCs w:val="18"/>
          <w:lang w:eastAsia="en-US"/>
        </w:rPr>
      </w:pPr>
      <w:r w:rsidRPr="002C65E3">
        <w:rPr>
          <w:i/>
          <w:sz w:val="18"/>
          <w:szCs w:val="18"/>
          <w:lang w:eastAsia="en-US"/>
        </w:rPr>
        <w:t>Fuente:</w:t>
      </w:r>
      <w:r w:rsidRPr="002C65E3">
        <w:rPr>
          <w:sz w:val="18"/>
          <w:szCs w:val="18"/>
          <w:lang w:eastAsia="en-US"/>
        </w:rPr>
        <w:t xml:space="preserve"> Servicio Civil y SENADIS</w:t>
      </w:r>
      <w:r w:rsidR="00101D96" w:rsidRPr="002C65E3">
        <w:rPr>
          <w:sz w:val="18"/>
          <w:szCs w:val="18"/>
          <w:lang w:eastAsia="en-US"/>
        </w:rPr>
        <w:t>.</w:t>
      </w:r>
    </w:p>
    <w:p w14:paraId="5601759D" w14:textId="0A349D41" w:rsidR="006F4911" w:rsidRPr="002C65E3" w:rsidRDefault="007B1418" w:rsidP="00064984">
      <w:pPr>
        <w:pStyle w:val="H23G"/>
        <w:rPr>
          <w:lang w:eastAsia="en-US"/>
        </w:rPr>
      </w:pPr>
      <w:r w:rsidRPr="002C65E3">
        <w:rPr>
          <w:lang w:eastAsia="en-US"/>
        </w:rPr>
        <w:tab/>
      </w:r>
      <w:r w:rsidRPr="002C65E3">
        <w:rPr>
          <w:lang w:eastAsia="en-US"/>
        </w:rPr>
        <w:tab/>
      </w:r>
      <w:r w:rsidR="006F4911" w:rsidRPr="002C65E3">
        <w:rPr>
          <w:lang w:eastAsia="en-US"/>
        </w:rPr>
        <w:t xml:space="preserve">PcD </w:t>
      </w:r>
      <w:r w:rsidR="00791BE9" w:rsidRPr="002C65E3">
        <w:rPr>
          <w:lang w:eastAsia="en-US"/>
        </w:rPr>
        <w:t>“</w:t>
      </w:r>
      <w:r w:rsidR="006F4911" w:rsidRPr="002C65E3">
        <w:rPr>
          <w:lang w:eastAsia="en-US"/>
        </w:rPr>
        <w:t>contratadas</w:t>
      </w:r>
      <w:r w:rsidR="00791BE9" w:rsidRPr="002C65E3">
        <w:rPr>
          <w:lang w:eastAsia="en-US"/>
        </w:rPr>
        <w:t>”</w:t>
      </w:r>
      <w:r w:rsidR="006F4911" w:rsidRPr="002C65E3">
        <w:rPr>
          <w:lang w:eastAsia="en-US"/>
        </w:rPr>
        <w:t xml:space="preserve"> en el sector público</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439"/>
        <w:gridCol w:w="1266"/>
        <w:gridCol w:w="892"/>
        <w:gridCol w:w="851"/>
        <w:gridCol w:w="922"/>
      </w:tblGrid>
      <w:tr w:rsidR="006F4911" w:rsidRPr="002C65E3" w14:paraId="4BBC81FA" w14:textId="77777777" w:rsidTr="00064984">
        <w:trPr>
          <w:trHeight w:val="240"/>
          <w:tblHeader/>
        </w:trPr>
        <w:tc>
          <w:tcPr>
            <w:tcW w:w="45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09E8B2" w14:textId="6598DF7A" w:rsidR="006F4911" w:rsidRPr="002C65E3" w:rsidRDefault="006F4911" w:rsidP="00064984">
            <w:pPr>
              <w:spacing w:before="80" w:after="80" w:line="200" w:lineRule="exact"/>
              <w:rPr>
                <w:rFonts w:eastAsia="Times New Roman"/>
                <w:bCs/>
                <w:i/>
                <w:sz w:val="16"/>
                <w:lang w:eastAsia="en-US"/>
              </w:rPr>
            </w:pPr>
            <w:r w:rsidRPr="002C65E3">
              <w:rPr>
                <w:rFonts w:eastAsia="Times New Roman"/>
                <w:bCs/>
                <w:i/>
                <w:sz w:val="16"/>
                <w:lang w:eastAsia="en-US"/>
              </w:rPr>
              <w:t xml:space="preserve">PcD </w:t>
            </w:r>
            <w:r w:rsidR="00791BE9" w:rsidRPr="002C65E3">
              <w:rPr>
                <w:rFonts w:eastAsia="Times New Roman"/>
                <w:bCs/>
                <w:i/>
                <w:sz w:val="16"/>
                <w:lang w:eastAsia="en-US"/>
              </w:rPr>
              <w:t>“</w:t>
            </w:r>
            <w:r w:rsidRPr="002C65E3">
              <w:rPr>
                <w:rFonts w:eastAsia="Times New Roman"/>
                <w:bCs/>
                <w:i/>
                <w:sz w:val="16"/>
                <w:lang w:eastAsia="en-US"/>
              </w:rPr>
              <w:t>contratadas</w:t>
            </w:r>
            <w:r w:rsidR="00791BE9" w:rsidRPr="002C65E3">
              <w:rPr>
                <w:rFonts w:eastAsia="Times New Roman"/>
                <w:bCs/>
                <w:i/>
                <w:sz w:val="16"/>
                <w:lang w:eastAsia="en-US"/>
              </w:rPr>
              <w:t>”</w:t>
            </w:r>
          </w:p>
        </w:tc>
        <w:tc>
          <w:tcPr>
            <w:tcW w:w="14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B80E9CD" w14:textId="024A9B16" w:rsidR="006F4911" w:rsidRPr="002C65E3" w:rsidRDefault="006F4911" w:rsidP="0031261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2018</w:t>
            </w:r>
            <w:r w:rsidR="00312616" w:rsidRPr="002C65E3">
              <w:rPr>
                <w:rFonts w:eastAsia="Times New Roman"/>
                <w:bCs/>
                <w:i/>
                <w:sz w:val="16"/>
                <w:lang w:eastAsia="en-US"/>
              </w:rPr>
              <w:br/>
            </w:r>
            <w:r w:rsidRPr="002C65E3">
              <w:rPr>
                <w:rFonts w:eastAsia="Times New Roman"/>
                <w:bCs/>
                <w:i/>
                <w:sz w:val="16"/>
                <w:lang w:eastAsia="en-US"/>
              </w:rPr>
              <w:t>(abril-diciembre)</w:t>
            </w:r>
          </w:p>
        </w:tc>
        <w:tc>
          <w:tcPr>
            <w:tcW w:w="10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FC59DF" w14:textId="7951FE3B" w:rsidR="006F4911" w:rsidRPr="002C65E3" w:rsidRDefault="006F4911" w:rsidP="0031261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2019</w:t>
            </w:r>
          </w:p>
        </w:tc>
        <w:tc>
          <w:tcPr>
            <w:tcW w:w="96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710652C" w14:textId="6830C630" w:rsidR="006F4911" w:rsidRPr="002C65E3" w:rsidRDefault="006F4911" w:rsidP="0031261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2020</w:t>
            </w:r>
          </w:p>
        </w:tc>
        <w:tc>
          <w:tcPr>
            <w:tcW w:w="106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B064CC8" w14:textId="323012E7" w:rsidR="006F4911" w:rsidRPr="002C65E3" w:rsidRDefault="006F4911" w:rsidP="00312616">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2021</w:t>
            </w:r>
          </w:p>
        </w:tc>
      </w:tr>
      <w:tr w:rsidR="006F4911" w:rsidRPr="002C65E3" w14:paraId="480F2AF5" w14:textId="77777777" w:rsidTr="00064984">
        <w:trPr>
          <w:trHeight w:val="240"/>
        </w:trPr>
        <w:tc>
          <w:tcPr>
            <w:tcW w:w="4530" w:type="dxa"/>
            <w:tcBorders>
              <w:top w:val="single" w:sz="12" w:space="0" w:color="auto"/>
            </w:tcBorders>
            <w:shd w:val="clear" w:color="auto" w:fill="auto"/>
            <w:tcMar>
              <w:top w:w="0" w:type="dxa"/>
              <w:left w:w="0" w:type="dxa"/>
              <w:bottom w:w="0" w:type="dxa"/>
              <w:right w:w="0" w:type="dxa"/>
            </w:tcMar>
          </w:tcPr>
          <w:p w14:paraId="19D32E30" w14:textId="173BD95A"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N</w:t>
            </w:r>
            <w:r w:rsidR="00405113" w:rsidRPr="002C65E3">
              <w:rPr>
                <w:rFonts w:eastAsia="Times New Roman"/>
                <w:sz w:val="18"/>
                <w:lang w:eastAsia="en-US"/>
              </w:rPr>
              <w:t>º </w:t>
            </w:r>
            <w:r w:rsidRPr="002C65E3">
              <w:rPr>
                <w:rFonts w:eastAsia="Times New Roman"/>
                <w:sz w:val="18"/>
                <w:lang w:eastAsia="en-US"/>
              </w:rPr>
              <w:t>PcD o asignatarias en dotación</w:t>
            </w:r>
          </w:p>
        </w:tc>
        <w:tc>
          <w:tcPr>
            <w:tcW w:w="1485" w:type="dxa"/>
            <w:tcBorders>
              <w:top w:val="single" w:sz="12" w:space="0" w:color="auto"/>
            </w:tcBorders>
            <w:shd w:val="clear" w:color="auto" w:fill="auto"/>
            <w:tcMar>
              <w:top w:w="0" w:type="dxa"/>
              <w:left w:w="0" w:type="dxa"/>
              <w:bottom w:w="0" w:type="dxa"/>
              <w:right w:w="0" w:type="dxa"/>
            </w:tcMar>
            <w:vAlign w:val="bottom"/>
          </w:tcPr>
          <w:p w14:paraId="559F9D29"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1.311</w:t>
            </w:r>
          </w:p>
        </w:tc>
        <w:tc>
          <w:tcPr>
            <w:tcW w:w="1020" w:type="dxa"/>
            <w:tcBorders>
              <w:top w:val="single" w:sz="12" w:space="0" w:color="auto"/>
            </w:tcBorders>
            <w:shd w:val="clear" w:color="auto" w:fill="auto"/>
            <w:tcMar>
              <w:top w:w="0" w:type="dxa"/>
              <w:left w:w="0" w:type="dxa"/>
              <w:bottom w:w="0" w:type="dxa"/>
              <w:right w:w="0" w:type="dxa"/>
            </w:tcMar>
            <w:vAlign w:val="bottom"/>
          </w:tcPr>
          <w:p w14:paraId="675D10CC"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1.262</w:t>
            </w:r>
          </w:p>
        </w:tc>
        <w:tc>
          <w:tcPr>
            <w:tcW w:w="960" w:type="dxa"/>
            <w:tcBorders>
              <w:top w:val="single" w:sz="12" w:space="0" w:color="auto"/>
            </w:tcBorders>
            <w:shd w:val="clear" w:color="auto" w:fill="auto"/>
            <w:tcMar>
              <w:top w:w="0" w:type="dxa"/>
              <w:left w:w="0" w:type="dxa"/>
              <w:bottom w:w="0" w:type="dxa"/>
              <w:right w:w="0" w:type="dxa"/>
            </w:tcMar>
            <w:vAlign w:val="bottom"/>
          </w:tcPr>
          <w:p w14:paraId="785A5951"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1.426</w:t>
            </w:r>
          </w:p>
        </w:tc>
        <w:tc>
          <w:tcPr>
            <w:tcW w:w="1065" w:type="dxa"/>
            <w:tcBorders>
              <w:top w:val="single" w:sz="12" w:space="0" w:color="auto"/>
            </w:tcBorders>
            <w:shd w:val="clear" w:color="auto" w:fill="auto"/>
            <w:tcMar>
              <w:top w:w="0" w:type="dxa"/>
              <w:left w:w="0" w:type="dxa"/>
              <w:bottom w:w="0" w:type="dxa"/>
              <w:right w:w="0" w:type="dxa"/>
            </w:tcMar>
            <w:vAlign w:val="bottom"/>
          </w:tcPr>
          <w:p w14:paraId="3D217841"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1.916</w:t>
            </w:r>
          </w:p>
        </w:tc>
      </w:tr>
      <w:tr w:rsidR="006F4911" w:rsidRPr="002C65E3" w14:paraId="4A43E14E" w14:textId="77777777" w:rsidTr="00064984">
        <w:trPr>
          <w:trHeight w:val="240"/>
        </w:trPr>
        <w:tc>
          <w:tcPr>
            <w:tcW w:w="4530" w:type="dxa"/>
            <w:shd w:val="clear" w:color="auto" w:fill="auto"/>
            <w:tcMar>
              <w:top w:w="0" w:type="dxa"/>
              <w:left w:w="0" w:type="dxa"/>
              <w:bottom w:w="0" w:type="dxa"/>
              <w:right w:w="0" w:type="dxa"/>
            </w:tcMar>
          </w:tcPr>
          <w:p w14:paraId="08EFCE93" w14:textId="6E0E150E"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N</w:t>
            </w:r>
            <w:r w:rsidR="00405113" w:rsidRPr="002C65E3">
              <w:rPr>
                <w:rFonts w:eastAsia="Times New Roman"/>
                <w:sz w:val="18"/>
                <w:lang w:eastAsia="en-US"/>
              </w:rPr>
              <w:t>º </w:t>
            </w:r>
            <w:r w:rsidRPr="002C65E3">
              <w:rPr>
                <w:rFonts w:eastAsia="Times New Roman"/>
                <w:sz w:val="18"/>
                <w:lang w:eastAsia="en-US"/>
              </w:rPr>
              <w:t>Instituciones públicas con PcD en sus dotaciones</w:t>
            </w:r>
          </w:p>
        </w:tc>
        <w:tc>
          <w:tcPr>
            <w:tcW w:w="1485" w:type="dxa"/>
            <w:shd w:val="clear" w:color="auto" w:fill="auto"/>
            <w:tcMar>
              <w:top w:w="0" w:type="dxa"/>
              <w:left w:w="0" w:type="dxa"/>
              <w:bottom w:w="0" w:type="dxa"/>
              <w:right w:w="0" w:type="dxa"/>
            </w:tcMar>
            <w:vAlign w:val="bottom"/>
          </w:tcPr>
          <w:p w14:paraId="72D4A182"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228</w:t>
            </w:r>
          </w:p>
        </w:tc>
        <w:tc>
          <w:tcPr>
            <w:tcW w:w="1020" w:type="dxa"/>
            <w:shd w:val="clear" w:color="auto" w:fill="auto"/>
            <w:tcMar>
              <w:top w:w="0" w:type="dxa"/>
              <w:left w:w="0" w:type="dxa"/>
              <w:bottom w:w="0" w:type="dxa"/>
              <w:right w:w="0" w:type="dxa"/>
            </w:tcMar>
            <w:vAlign w:val="bottom"/>
          </w:tcPr>
          <w:p w14:paraId="6244FCB3"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241</w:t>
            </w:r>
          </w:p>
        </w:tc>
        <w:tc>
          <w:tcPr>
            <w:tcW w:w="960" w:type="dxa"/>
            <w:shd w:val="clear" w:color="auto" w:fill="auto"/>
            <w:tcMar>
              <w:top w:w="0" w:type="dxa"/>
              <w:left w:w="0" w:type="dxa"/>
              <w:bottom w:w="0" w:type="dxa"/>
              <w:right w:w="0" w:type="dxa"/>
            </w:tcMar>
            <w:vAlign w:val="bottom"/>
          </w:tcPr>
          <w:p w14:paraId="0B9F3E44"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259</w:t>
            </w:r>
          </w:p>
        </w:tc>
        <w:tc>
          <w:tcPr>
            <w:tcW w:w="1065" w:type="dxa"/>
            <w:shd w:val="clear" w:color="auto" w:fill="auto"/>
            <w:tcMar>
              <w:top w:w="0" w:type="dxa"/>
              <w:left w:w="0" w:type="dxa"/>
              <w:bottom w:w="0" w:type="dxa"/>
              <w:right w:w="0" w:type="dxa"/>
            </w:tcMar>
            <w:vAlign w:val="bottom"/>
          </w:tcPr>
          <w:p w14:paraId="77246501"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317</w:t>
            </w:r>
          </w:p>
        </w:tc>
      </w:tr>
      <w:tr w:rsidR="006F4911" w:rsidRPr="002C65E3" w14:paraId="5EDDBC64" w14:textId="77777777" w:rsidTr="00064984">
        <w:trPr>
          <w:trHeight w:val="240"/>
        </w:trPr>
        <w:tc>
          <w:tcPr>
            <w:tcW w:w="4530" w:type="dxa"/>
            <w:shd w:val="clear" w:color="auto" w:fill="auto"/>
            <w:tcMar>
              <w:top w:w="0" w:type="dxa"/>
              <w:left w:w="0" w:type="dxa"/>
              <w:bottom w:w="0" w:type="dxa"/>
              <w:right w:w="0" w:type="dxa"/>
            </w:tcMar>
          </w:tcPr>
          <w:p w14:paraId="2927569D"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Porcentaje género femenino*</w:t>
            </w:r>
          </w:p>
        </w:tc>
        <w:tc>
          <w:tcPr>
            <w:tcW w:w="1485" w:type="dxa"/>
            <w:shd w:val="clear" w:color="auto" w:fill="auto"/>
            <w:tcMar>
              <w:top w:w="0" w:type="dxa"/>
              <w:left w:w="0" w:type="dxa"/>
              <w:bottom w:w="0" w:type="dxa"/>
              <w:right w:w="0" w:type="dxa"/>
            </w:tcMar>
            <w:vAlign w:val="bottom"/>
          </w:tcPr>
          <w:p w14:paraId="65328060"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5D73DDAE" w14:textId="2BA8BA23"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39,5</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410C5140" w14:textId="3DCC09DF"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41,4</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1095D374" w14:textId="38A730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46,4</w:t>
            </w:r>
            <w:r w:rsidR="00791BE9" w:rsidRPr="002C65E3">
              <w:rPr>
                <w:rFonts w:eastAsia="Times New Roman"/>
                <w:sz w:val="18"/>
                <w:lang w:eastAsia="en-US"/>
              </w:rPr>
              <w:t> %</w:t>
            </w:r>
          </w:p>
        </w:tc>
      </w:tr>
      <w:tr w:rsidR="006F4911" w:rsidRPr="002C65E3" w14:paraId="142B339F" w14:textId="77777777" w:rsidTr="00064984">
        <w:trPr>
          <w:trHeight w:val="240"/>
        </w:trPr>
        <w:tc>
          <w:tcPr>
            <w:tcW w:w="4530" w:type="dxa"/>
            <w:shd w:val="clear" w:color="auto" w:fill="auto"/>
            <w:tcMar>
              <w:top w:w="0" w:type="dxa"/>
              <w:left w:w="0" w:type="dxa"/>
              <w:bottom w:w="0" w:type="dxa"/>
              <w:right w:w="0" w:type="dxa"/>
            </w:tcMar>
          </w:tcPr>
          <w:p w14:paraId="7B912B74"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Porcentaje género masculino*</w:t>
            </w:r>
          </w:p>
        </w:tc>
        <w:tc>
          <w:tcPr>
            <w:tcW w:w="1485" w:type="dxa"/>
            <w:shd w:val="clear" w:color="auto" w:fill="auto"/>
            <w:tcMar>
              <w:top w:w="0" w:type="dxa"/>
              <w:left w:w="0" w:type="dxa"/>
              <w:bottom w:w="0" w:type="dxa"/>
              <w:right w:w="0" w:type="dxa"/>
            </w:tcMar>
            <w:vAlign w:val="bottom"/>
          </w:tcPr>
          <w:p w14:paraId="0B3D0D43"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40326A3A" w14:textId="3B909679"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45,9</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69221752" w14:textId="7A03FA7C"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54,4</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5BE5A657" w14:textId="69D76321"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50,6</w:t>
            </w:r>
            <w:r w:rsidR="00791BE9" w:rsidRPr="002C65E3">
              <w:rPr>
                <w:rFonts w:eastAsia="Times New Roman"/>
                <w:sz w:val="18"/>
                <w:lang w:eastAsia="en-US"/>
              </w:rPr>
              <w:t> %</w:t>
            </w:r>
          </w:p>
        </w:tc>
      </w:tr>
      <w:tr w:rsidR="006F4911" w:rsidRPr="002C65E3" w14:paraId="35CB40DC" w14:textId="77777777" w:rsidTr="00064984">
        <w:trPr>
          <w:trHeight w:val="240"/>
        </w:trPr>
        <w:tc>
          <w:tcPr>
            <w:tcW w:w="4530" w:type="dxa"/>
            <w:shd w:val="clear" w:color="auto" w:fill="auto"/>
            <w:tcMar>
              <w:top w:w="0" w:type="dxa"/>
              <w:left w:w="0" w:type="dxa"/>
              <w:bottom w:w="0" w:type="dxa"/>
              <w:right w:w="0" w:type="dxa"/>
            </w:tcMar>
          </w:tcPr>
          <w:p w14:paraId="58681056"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Género otro*</w:t>
            </w:r>
          </w:p>
        </w:tc>
        <w:tc>
          <w:tcPr>
            <w:tcW w:w="1485" w:type="dxa"/>
            <w:shd w:val="clear" w:color="auto" w:fill="auto"/>
            <w:tcMar>
              <w:top w:w="0" w:type="dxa"/>
              <w:left w:w="0" w:type="dxa"/>
              <w:bottom w:w="0" w:type="dxa"/>
              <w:right w:w="0" w:type="dxa"/>
            </w:tcMar>
            <w:vAlign w:val="bottom"/>
          </w:tcPr>
          <w:p w14:paraId="2B478836"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724158B4"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w:t>
            </w:r>
          </w:p>
        </w:tc>
        <w:tc>
          <w:tcPr>
            <w:tcW w:w="960" w:type="dxa"/>
            <w:shd w:val="clear" w:color="auto" w:fill="auto"/>
            <w:tcMar>
              <w:top w:w="0" w:type="dxa"/>
              <w:left w:w="0" w:type="dxa"/>
              <w:bottom w:w="0" w:type="dxa"/>
              <w:right w:w="0" w:type="dxa"/>
            </w:tcMar>
            <w:vAlign w:val="bottom"/>
          </w:tcPr>
          <w:p w14:paraId="4FF4F078"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w:t>
            </w:r>
          </w:p>
        </w:tc>
        <w:tc>
          <w:tcPr>
            <w:tcW w:w="1065" w:type="dxa"/>
            <w:shd w:val="clear" w:color="auto" w:fill="auto"/>
            <w:tcMar>
              <w:top w:w="0" w:type="dxa"/>
              <w:left w:w="0" w:type="dxa"/>
              <w:bottom w:w="0" w:type="dxa"/>
              <w:right w:w="0" w:type="dxa"/>
            </w:tcMar>
            <w:vAlign w:val="bottom"/>
          </w:tcPr>
          <w:p w14:paraId="02BA07D6" w14:textId="11941E32"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0,1</w:t>
            </w:r>
            <w:r w:rsidR="00791BE9" w:rsidRPr="002C65E3">
              <w:rPr>
                <w:rFonts w:eastAsia="Times New Roman"/>
                <w:sz w:val="18"/>
                <w:lang w:eastAsia="en-US"/>
              </w:rPr>
              <w:t> %</w:t>
            </w:r>
          </w:p>
        </w:tc>
      </w:tr>
      <w:tr w:rsidR="006F4911" w:rsidRPr="002C65E3" w14:paraId="4E37C455" w14:textId="77777777" w:rsidTr="00064984">
        <w:trPr>
          <w:trHeight w:val="240"/>
        </w:trPr>
        <w:tc>
          <w:tcPr>
            <w:tcW w:w="4530" w:type="dxa"/>
            <w:shd w:val="clear" w:color="auto" w:fill="auto"/>
            <w:tcMar>
              <w:top w:w="0" w:type="dxa"/>
              <w:left w:w="0" w:type="dxa"/>
              <w:bottom w:w="0" w:type="dxa"/>
              <w:right w:w="0" w:type="dxa"/>
            </w:tcMar>
          </w:tcPr>
          <w:p w14:paraId="51840087"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Género sin información*</w:t>
            </w:r>
          </w:p>
        </w:tc>
        <w:tc>
          <w:tcPr>
            <w:tcW w:w="1485" w:type="dxa"/>
            <w:shd w:val="clear" w:color="auto" w:fill="auto"/>
            <w:tcMar>
              <w:top w:w="0" w:type="dxa"/>
              <w:left w:w="0" w:type="dxa"/>
              <w:bottom w:w="0" w:type="dxa"/>
              <w:right w:w="0" w:type="dxa"/>
            </w:tcMar>
            <w:vAlign w:val="bottom"/>
          </w:tcPr>
          <w:p w14:paraId="50152C42"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574FCB6C" w14:textId="7DCD76BC"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14,6</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2B3BDA35" w14:textId="133842D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4,2</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322EF347" w14:textId="049DE6E6"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3</w:t>
            </w:r>
            <w:r w:rsidR="00791BE9" w:rsidRPr="002C65E3">
              <w:rPr>
                <w:rFonts w:eastAsia="Times New Roman"/>
                <w:sz w:val="18"/>
                <w:lang w:eastAsia="en-US"/>
              </w:rPr>
              <w:t> %</w:t>
            </w:r>
          </w:p>
        </w:tc>
      </w:tr>
      <w:tr w:rsidR="006F4911" w:rsidRPr="002C65E3" w14:paraId="72DFDB72" w14:textId="77777777" w:rsidTr="00064984">
        <w:trPr>
          <w:trHeight w:val="240"/>
        </w:trPr>
        <w:tc>
          <w:tcPr>
            <w:tcW w:w="4530" w:type="dxa"/>
            <w:shd w:val="clear" w:color="auto" w:fill="auto"/>
            <w:tcMar>
              <w:top w:w="0" w:type="dxa"/>
              <w:left w:w="0" w:type="dxa"/>
              <w:bottom w:w="0" w:type="dxa"/>
              <w:right w:w="0" w:type="dxa"/>
            </w:tcMar>
          </w:tcPr>
          <w:p w14:paraId="4C73CD0A"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Estamento directivo</w:t>
            </w:r>
          </w:p>
        </w:tc>
        <w:tc>
          <w:tcPr>
            <w:tcW w:w="1485" w:type="dxa"/>
            <w:shd w:val="clear" w:color="auto" w:fill="auto"/>
            <w:tcMar>
              <w:top w:w="0" w:type="dxa"/>
              <w:left w:w="0" w:type="dxa"/>
              <w:bottom w:w="0" w:type="dxa"/>
              <w:right w:w="0" w:type="dxa"/>
            </w:tcMar>
            <w:vAlign w:val="bottom"/>
          </w:tcPr>
          <w:p w14:paraId="118DE282"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0B3761F5" w14:textId="47128852"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1,7</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66B5A77A" w14:textId="23C661A5"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1,6</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61E6EB5B" w14:textId="71D25613"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1,3</w:t>
            </w:r>
            <w:r w:rsidR="00791BE9" w:rsidRPr="002C65E3">
              <w:rPr>
                <w:rFonts w:eastAsia="Times New Roman"/>
                <w:sz w:val="18"/>
                <w:lang w:eastAsia="en-US"/>
              </w:rPr>
              <w:t> %</w:t>
            </w:r>
          </w:p>
        </w:tc>
      </w:tr>
      <w:tr w:rsidR="006F4911" w:rsidRPr="002C65E3" w14:paraId="6A5EC0A6" w14:textId="77777777" w:rsidTr="00064984">
        <w:trPr>
          <w:trHeight w:val="240"/>
        </w:trPr>
        <w:tc>
          <w:tcPr>
            <w:tcW w:w="4530" w:type="dxa"/>
            <w:shd w:val="clear" w:color="auto" w:fill="auto"/>
            <w:tcMar>
              <w:top w:w="0" w:type="dxa"/>
              <w:left w:w="0" w:type="dxa"/>
              <w:bottom w:w="0" w:type="dxa"/>
              <w:right w:w="0" w:type="dxa"/>
            </w:tcMar>
          </w:tcPr>
          <w:p w14:paraId="10F29901"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Estamento profesional</w:t>
            </w:r>
          </w:p>
        </w:tc>
        <w:tc>
          <w:tcPr>
            <w:tcW w:w="1485" w:type="dxa"/>
            <w:shd w:val="clear" w:color="auto" w:fill="auto"/>
            <w:tcMar>
              <w:top w:w="0" w:type="dxa"/>
              <w:left w:w="0" w:type="dxa"/>
              <w:bottom w:w="0" w:type="dxa"/>
              <w:right w:w="0" w:type="dxa"/>
            </w:tcMar>
            <w:vAlign w:val="bottom"/>
          </w:tcPr>
          <w:p w14:paraId="45E4871E"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6B2055E0" w14:textId="1978D1E8"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23,8</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528B5342" w14:textId="2985C94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26,6</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4605DF92" w14:textId="4391CAB5"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26,7</w:t>
            </w:r>
            <w:r w:rsidR="00791BE9" w:rsidRPr="002C65E3">
              <w:rPr>
                <w:rFonts w:eastAsia="Times New Roman"/>
                <w:sz w:val="18"/>
                <w:lang w:eastAsia="en-US"/>
              </w:rPr>
              <w:t> %</w:t>
            </w:r>
          </w:p>
        </w:tc>
      </w:tr>
      <w:tr w:rsidR="006F4911" w:rsidRPr="002C65E3" w14:paraId="453F28EF" w14:textId="77777777" w:rsidTr="00064984">
        <w:trPr>
          <w:trHeight w:val="240"/>
        </w:trPr>
        <w:tc>
          <w:tcPr>
            <w:tcW w:w="4530" w:type="dxa"/>
            <w:shd w:val="clear" w:color="auto" w:fill="auto"/>
            <w:tcMar>
              <w:top w:w="0" w:type="dxa"/>
              <w:left w:w="0" w:type="dxa"/>
              <w:bottom w:w="0" w:type="dxa"/>
              <w:right w:w="0" w:type="dxa"/>
            </w:tcMar>
          </w:tcPr>
          <w:p w14:paraId="50118DA0"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Estamento administrativo</w:t>
            </w:r>
          </w:p>
        </w:tc>
        <w:tc>
          <w:tcPr>
            <w:tcW w:w="1485" w:type="dxa"/>
            <w:shd w:val="clear" w:color="auto" w:fill="auto"/>
            <w:tcMar>
              <w:top w:w="0" w:type="dxa"/>
              <w:left w:w="0" w:type="dxa"/>
              <w:bottom w:w="0" w:type="dxa"/>
              <w:right w:w="0" w:type="dxa"/>
            </w:tcMar>
            <w:vAlign w:val="bottom"/>
          </w:tcPr>
          <w:p w14:paraId="4C730D7D"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74D9507E" w14:textId="4DA8C2D9"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22,8</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4FF1FB0B" w14:textId="0427FD7B"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28,4</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1138A5D9" w14:textId="20EA9214"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28,4</w:t>
            </w:r>
            <w:r w:rsidR="00791BE9" w:rsidRPr="002C65E3">
              <w:rPr>
                <w:rFonts w:eastAsia="Times New Roman"/>
                <w:sz w:val="18"/>
                <w:lang w:eastAsia="en-US"/>
              </w:rPr>
              <w:t> %</w:t>
            </w:r>
          </w:p>
        </w:tc>
      </w:tr>
      <w:tr w:rsidR="006F4911" w:rsidRPr="002C65E3" w14:paraId="43318030" w14:textId="77777777" w:rsidTr="00064984">
        <w:trPr>
          <w:trHeight w:val="240"/>
        </w:trPr>
        <w:tc>
          <w:tcPr>
            <w:tcW w:w="4530" w:type="dxa"/>
            <w:shd w:val="clear" w:color="auto" w:fill="auto"/>
            <w:tcMar>
              <w:top w:w="0" w:type="dxa"/>
              <w:left w:w="0" w:type="dxa"/>
              <w:bottom w:w="0" w:type="dxa"/>
              <w:right w:w="0" w:type="dxa"/>
            </w:tcMar>
          </w:tcPr>
          <w:p w14:paraId="23122E05"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Estamento técnico</w:t>
            </w:r>
          </w:p>
        </w:tc>
        <w:tc>
          <w:tcPr>
            <w:tcW w:w="1485" w:type="dxa"/>
            <w:shd w:val="clear" w:color="auto" w:fill="auto"/>
            <w:tcMar>
              <w:top w:w="0" w:type="dxa"/>
              <w:left w:w="0" w:type="dxa"/>
              <w:bottom w:w="0" w:type="dxa"/>
              <w:right w:w="0" w:type="dxa"/>
            </w:tcMar>
            <w:vAlign w:val="bottom"/>
          </w:tcPr>
          <w:p w14:paraId="0B7C3D74"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384E3121" w14:textId="38C0F0E0"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15,5</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2ABF9C5A" w14:textId="7063746F"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14,8</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13DDE89D" w14:textId="0ECDFBB2"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17,3</w:t>
            </w:r>
            <w:r w:rsidR="00791BE9" w:rsidRPr="002C65E3">
              <w:rPr>
                <w:rFonts w:eastAsia="Times New Roman"/>
                <w:sz w:val="18"/>
                <w:lang w:eastAsia="en-US"/>
              </w:rPr>
              <w:t> %</w:t>
            </w:r>
          </w:p>
        </w:tc>
      </w:tr>
      <w:tr w:rsidR="006F4911" w:rsidRPr="002C65E3" w14:paraId="403EF253" w14:textId="77777777" w:rsidTr="00064984">
        <w:trPr>
          <w:trHeight w:val="240"/>
        </w:trPr>
        <w:tc>
          <w:tcPr>
            <w:tcW w:w="4530" w:type="dxa"/>
            <w:shd w:val="clear" w:color="auto" w:fill="auto"/>
            <w:tcMar>
              <w:top w:w="0" w:type="dxa"/>
              <w:left w:w="0" w:type="dxa"/>
              <w:bottom w:w="0" w:type="dxa"/>
              <w:right w:w="0" w:type="dxa"/>
            </w:tcMar>
          </w:tcPr>
          <w:p w14:paraId="5D0F9145"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Estamento auxiliar</w:t>
            </w:r>
          </w:p>
        </w:tc>
        <w:tc>
          <w:tcPr>
            <w:tcW w:w="1485" w:type="dxa"/>
            <w:shd w:val="clear" w:color="auto" w:fill="auto"/>
            <w:tcMar>
              <w:top w:w="0" w:type="dxa"/>
              <w:left w:w="0" w:type="dxa"/>
              <w:bottom w:w="0" w:type="dxa"/>
              <w:right w:w="0" w:type="dxa"/>
            </w:tcMar>
            <w:vAlign w:val="bottom"/>
          </w:tcPr>
          <w:p w14:paraId="3944EA1F"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23D669E0" w14:textId="49D9B088"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16,2</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73A87C35" w14:textId="68023ED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20,6</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21B1E22F" w14:textId="42D4E01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21,1</w:t>
            </w:r>
            <w:r w:rsidR="00791BE9" w:rsidRPr="002C65E3">
              <w:rPr>
                <w:rFonts w:eastAsia="Times New Roman"/>
                <w:sz w:val="18"/>
                <w:lang w:eastAsia="en-US"/>
              </w:rPr>
              <w:t> %</w:t>
            </w:r>
          </w:p>
        </w:tc>
      </w:tr>
      <w:tr w:rsidR="006F4911" w:rsidRPr="002C65E3" w14:paraId="430BF326" w14:textId="77777777" w:rsidTr="00064984">
        <w:trPr>
          <w:trHeight w:val="240"/>
        </w:trPr>
        <w:tc>
          <w:tcPr>
            <w:tcW w:w="4530" w:type="dxa"/>
            <w:shd w:val="clear" w:color="auto" w:fill="auto"/>
            <w:tcMar>
              <w:top w:w="0" w:type="dxa"/>
              <w:left w:w="0" w:type="dxa"/>
              <w:bottom w:w="0" w:type="dxa"/>
              <w:right w:w="0" w:type="dxa"/>
            </w:tcMar>
          </w:tcPr>
          <w:p w14:paraId="49E33E68" w14:textId="676D45D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Estamento indeterminable u otro (de</w:t>
            </w:r>
            <w:r w:rsidR="00536B1E" w:rsidRPr="002C65E3">
              <w:rPr>
                <w:rFonts w:eastAsia="Times New Roman"/>
                <w:sz w:val="18"/>
                <w:lang w:eastAsia="en-US"/>
              </w:rPr>
              <w:t> </w:t>
            </w:r>
            <w:r w:rsidRPr="002C65E3">
              <w:rPr>
                <w:rFonts w:eastAsia="Times New Roman"/>
                <w:sz w:val="18"/>
                <w:lang w:eastAsia="en-US"/>
              </w:rPr>
              <w:t>organismos autónomos)</w:t>
            </w:r>
          </w:p>
        </w:tc>
        <w:tc>
          <w:tcPr>
            <w:tcW w:w="1485" w:type="dxa"/>
            <w:shd w:val="clear" w:color="auto" w:fill="auto"/>
            <w:tcMar>
              <w:top w:w="0" w:type="dxa"/>
              <w:left w:w="0" w:type="dxa"/>
              <w:bottom w:w="0" w:type="dxa"/>
              <w:right w:w="0" w:type="dxa"/>
            </w:tcMar>
            <w:vAlign w:val="bottom"/>
          </w:tcPr>
          <w:p w14:paraId="2DDDF6F8"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shd w:val="clear" w:color="auto" w:fill="auto"/>
            <w:tcMar>
              <w:top w:w="0" w:type="dxa"/>
              <w:left w:w="0" w:type="dxa"/>
              <w:bottom w:w="0" w:type="dxa"/>
              <w:right w:w="0" w:type="dxa"/>
            </w:tcMar>
            <w:vAlign w:val="bottom"/>
          </w:tcPr>
          <w:p w14:paraId="3758641B" w14:textId="1C19BF5E"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0,9</w:t>
            </w:r>
            <w:r w:rsidR="00791BE9" w:rsidRPr="002C65E3">
              <w:rPr>
                <w:rFonts w:eastAsia="Times New Roman"/>
                <w:sz w:val="18"/>
                <w:lang w:eastAsia="en-US"/>
              </w:rPr>
              <w:t> %</w:t>
            </w:r>
          </w:p>
        </w:tc>
        <w:tc>
          <w:tcPr>
            <w:tcW w:w="960" w:type="dxa"/>
            <w:shd w:val="clear" w:color="auto" w:fill="auto"/>
            <w:tcMar>
              <w:top w:w="0" w:type="dxa"/>
              <w:left w:w="0" w:type="dxa"/>
              <w:bottom w:w="0" w:type="dxa"/>
              <w:right w:w="0" w:type="dxa"/>
            </w:tcMar>
            <w:vAlign w:val="bottom"/>
          </w:tcPr>
          <w:p w14:paraId="55053BBF" w14:textId="022639D5"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1,4</w:t>
            </w:r>
            <w:r w:rsidR="00791BE9" w:rsidRPr="002C65E3">
              <w:rPr>
                <w:rFonts w:eastAsia="Times New Roman"/>
                <w:sz w:val="18"/>
                <w:lang w:eastAsia="en-US"/>
              </w:rPr>
              <w:t> %</w:t>
            </w:r>
          </w:p>
        </w:tc>
        <w:tc>
          <w:tcPr>
            <w:tcW w:w="1065" w:type="dxa"/>
            <w:shd w:val="clear" w:color="auto" w:fill="auto"/>
            <w:tcMar>
              <w:top w:w="0" w:type="dxa"/>
              <w:left w:w="0" w:type="dxa"/>
              <w:bottom w:w="0" w:type="dxa"/>
              <w:right w:w="0" w:type="dxa"/>
            </w:tcMar>
            <w:vAlign w:val="bottom"/>
          </w:tcPr>
          <w:p w14:paraId="44D1E35B" w14:textId="0B27F0A1"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1,0</w:t>
            </w:r>
            <w:r w:rsidR="00791BE9" w:rsidRPr="002C65E3">
              <w:rPr>
                <w:rFonts w:eastAsia="Times New Roman"/>
                <w:sz w:val="18"/>
                <w:lang w:eastAsia="en-US"/>
              </w:rPr>
              <w:t> %</w:t>
            </w:r>
          </w:p>
        </w:tc>
      </w:tr>
      <w:tr w:rsidR="006F4911" w:rsidRPr="002C65E3" w14:paraId="7A640BF1" w14:textId="77777777" w:rsidTr="00064984">
        <w:trPr>
          <w:trHeight w:val="240"/>
        </w:trPr>
        <w:tc>
          <w:tcPr>
            <w:tcW w:w="4530" w:type="dxa"/>
            <w:tcBorders>
              <w:bottom w:val="single" w:sz="12" w:space="0" w:color="auto"/>
            </w:tcBorders>
            <w:shd w:val="clear" w:color="auto" w:fill="auto"/>
            <w:tcMar>
              <w:top w:w="0" w:type="dxa"/>
              <w:left w:w="0" w:type="dxa"/>
              <w:bottom w:w="0" w:type="dxa"/>
              <w:right w:w="0" w:type="dxa"/>
            </w:tcMar>
          </w:tcPr>
          <w:p w14:paraId="3C7BD185" w14:textId="77777777" w:rsidR="006F4911" w:rsidRPr="002C65E3" w:rsidRDefault="006F4911" w:rsidP="00064984">
            <w:pPr>
              <w:spacing w:before="40" w:after="40" w:line="220" w:lineRule="exact"/>
              <w:rPr>
                <w:rFonts w:eastAsia="Times New Roman"/>
                <w:sz w:val="18"/>
                <w:lang w:eastAsia="en-US"/>
              </w:rPr>
            </w:pPr>
            <w:r w:rsidRPr="002C65E3">
              <w:rPr>
                <w:rFonts w:eastAsia="Times New Roman"/>
                <w:sz w:val="18"/>
                <w:lang w:eastAsia="en-US"/>
              </w:rPr>
              <w:t>Sin información de estamento</w:t>
            </w:r>
          </w:p>
        </w:tc>
        <w:tc>
          <w:tcPr>
            <w:tcW w:w="1485" w:type="dxa"/>
            <w:tcBorders>
              <w:bottom w:val="single" w:sz="12" w:space="0" w:color="auto"/>
            </w:tcBorders>
            <w:shd w:val="clear" w:color="auto" w:fill="auto"/>
            <w:tcMar>
              <w:top w:w="0" w:type="dxa"/>
              <w:left w:w="0" w:type="dxa"/>
              <w:bottom w:w="0" w:type="dxa"/>
              <w:right w:w="0" w:type="dxa"/>
            </w:tcMar>
            <w:vAlign w:val="bottom"/>
          </w:tcPr>
          <w:p w14:paraId="7521B78D" w14:textId="77777777"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N/A</w:t>
            </w:r>
          </w:p>
        </w:tc>
        <w:tc>
          <w:tcPr>
            <w:tcW w:w="1020" w:type="dxa"/>
            <w:tcBorders>
              <w:bottom w:val="single" w:sz="12" w:space="0" w:color="auto"/>
            </w:tcBorders>
            <w:shd w:val="clear" w:color="auto" w:fill="auto"/>
            <w:tcMar>
              <w:top w:w="0" w:type="dxa"/>
              <w:left w:w="0" w:type="dxa"/>
              <w:bottom w:w="0" w:type="dxa"/>
              <w:right w:w="0" w:type="dxa"/>
            </w:tcMar>
            <w:vAlign w:val="bottom"/>
          </w:tcPr>
          <w:p w14:paraId="298B8D11" w14:textId="3F447753"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19,2</w:t>
            </w:r>
            <w:r w:rsidR="00791BE9" w:rsidRPr="002C65E3">
              <w:rPr>
                <w:rFonts w:eastAsia="Times New Roman"/>
                <w:sz w:val="18"/>
                <w:lang w:eastAsia="en-US"/>
              </w:rPr>
              <w:t> %</w:t>
            </w:r>
          </w:p>
        </w:tc>
        <w:tc>
          <w:tcPr>
            <w:tcW w:w="960" w:type="dxa"/>
            <w:tcBorders>
              <w:bottom w:val="single" w:sz="12" w:space="0" w:color="auto"/>
            </w:tcBorders>
            <w:shd w:val="clear" w:color="auto" w:fill="auto"/>
            <w:tcMar>
              <w:top w:w="0" w:type="dxa"/>
              <w:left w:w="0" w:type="dxa"/>
              <w:bottom w:w="0" w:type="dxa"/>
              <w:right w:w="0" w:type="dxa"/>
            </w:tcMar>
            <w:vAlign w:val="bottom"/>
          </w:tcPr>
          <w:p w14:paraId="69AF8DEE" w14:textId="32D5587A"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6,6</w:t>
            </w:r>
            <w:r w:rsidR="00791BE9" w:rsidRPr="002C65E3">
              <w:rPr>
                <w:rFonts w:eastAsia="Times New Roman"/>
                <w:sz w:val="18"/>
                <w:lang w:eastAsia="en-US"/>
              </w:rPr>
              <w:t> %</w:t>
            </w:r>
          </w:p>
        </w:tc>
        <w:tc>
          <w:tcPr>
            <w:tcW w:w="1065" w:type="dxa"/>
            <w:tcBorders>
              <w:bottom w:val="single" w:sz="12" w:space="0" w:color="auto"/>
            </w:tcBorders>
            <w:shd w:val="clear" w:color="auto" w:fill="auto"/>
            <w:tcMar>
              <w:top w:w="0" w:type="dxa"/>
              <w:left w:w="0" w:type="dxa"/>
              <w:bottom w:w="0" w:type="dxa"/>
              <w:right w:w="0" w:type="dxa"/>
            </w:tcMar>
            <w:vAlign w:val="bottom"/>
          </w:tcPr>
          <w:p w14:paraId="0EE4CB9D" w14:textId="26029E6D" w:rsidR="006F4911" w:rsidRPr="002C65E3" w:rsidRDefault="006F4911" w:rsidP="00312616">
            <w:pPr>
              <w:spacing w:before="40" w:after="40" w:line="220" w:lineRule="exact"/>
              <w:ind w:left="85" w:right="28"/>
              <w:jc w:val="right"/>
              <w:rPr>
                <w:rFonts w:eastAsia="Times New Roman"/>
                <w:sz w:val="18"/>
                <w:lang w:eastAsia="en-US"/>
              </w:rPr>
            </w:pPr>
            <w:r w:rsidRPr="002C65E3">
              <w:rPr>
                <w:rFonts w:eastAsia="Times New Roman"/>
                <w:sz w:val="18"/>
                <w:lang w:eastAsia="en-US"/>
              </w:rPr>
              <w:t>4,3</w:t>
            </w:r>
            <w:r w:rsidR="00791BE9" w:rsidRPr="002C65E3">
              <w:rPr>
                <w:rFonts w:eastAsia="Times New Roman"/>
                <w:sz w:val="18"/>
                <w:lang w:eastAsia="en-US"/>
              </w:rPr>
              <w:t> %</w:t>
            </w:r>
          </w:p>
        </w:tc>
      </w:tr>
    </w:tbl>
    <w:p w14:paraId="6B2B0872" w14:textId="5FC23017" w:rsidR="006F4911" w:rsidRPr="002C65E3" w:rsidRDefault="006F4911" w:rsidP="00064984">
      <w:pPr>
        <w:pStyle w:val="SingleTxtG"/>
        <w:spacing w:before="120" w:after="0"/>
        <w:ind w:firstLine="170"/>
        <w:jc w:val="left"/>
        <w:rPr>
          <w:sz w:val="18"/>
          <w:szCs w:val="18"/>
          <w:lang w:eastAsia="en-US"/>
        </w:rPr>
      </w:pPr>
      <w:r w:rsidRPr="002C65E3">
        <w:rPr>
          <w:i/>
          <w:iCs/>
          <w:sz w:val="18"/>
          <w:szCs w:val="18"/>
          <w:lang w:eastAsia="en-US"/>
        </w:rPr>
        <w:t>Fuente:</w:t>
      </w:r>
      <w:r w:rsidRPr="002C65E3">
        <w:rPr>
          <w:sz w:val="18"/>
          <w:szCs w:val="18"/>
          <w:lang w:eastAsia="en-US"/>
        </w:rPr>
        <w:t xml:space="preserve"> Servicio Civil y SENADIS</w:t>
      </w:r>
      <w:r w:rsidR="00CE62FA" w:rsidRPr="002C65E3">
        <w:rPr>
          <w:sz w:val="18"/>
          <w:szCs w:val="18"/>
          <w:lang w:eastAsia="en-US"/>
        </w:rPr>
        <w:t>.</w:t>
      </w:r>
    </w:p>
    <w:p w14:paraId="6CEFECD4" w14:textId="2F2701DE" w:rsidR="006F4911" w:rsidRPr="002C65E3" w:rsidRDefault="006F4911" w:rsidP="00064984">
      <w:pPr>
        <w:pStyle w:val="SingleTxtG"/>
        <w:spacing w:after="240"/>
        <w:ind w:left="1304"/>
        <w:jc w:val="left"/>
        <w:rPr>
          <w:sz w:val="18"/>
          <w:szCs w:val="18"/>
          <w:lang w:eastAsia="en-US"/>
        </w:rPr>
      </w:pPr>
      <w:r w:rsidRPr="002C65E3">
        <w:rPr>
          <w:sz w:val="18"/>
          <w:szCs w:val="18"/>
          <w:lang w:eastAsia="en-US"/>
        </w:rPr>
        <w:t>*</w:t>
      </w:r>
      <w:r w:rsidR="00064984" w:rsidRPr="002C65E3">
        <w:rPr>
          <w:sz w:val="18"/>
          <w:szCs w:val="18"/>
          <w:lang w:eastAsia="en-US"/>
        </w:rPr>
        <w:t xml:space="preserve">  </w:t>
      </w:r>
      <w:r w:rsidRPr="002C65E3">
        <w:rPr>
          <w:sz w:val="18"/>
          <w:szCs w:val="18"/>
          <w:lang w:eastAsia="en-US"/>
        </w:rPr>
        <w:t>Porcentajes estimados en relación a las contrataciones que entregaron información de detalle.</w:t>
      </w:r>
    </w:p>
    <w:p w14:paraId="5DC88C5D" w14:textId="63F588FF" w:rsidR="006F4911" w:rsidRPr="002C65E3" w:rsidRDefault="00156F70" w:rsidP="00B547A7">
      <w:pPr>
        <w:pStyle w:val="SingleTxtG"/>
        <w:rPr>
          <w:lang w:eastAsia="en-US"/>
        </w:rPr>
      </w:pPr>
      <w:r w:rsidRPr="002C65E3">
        <w:rPr>
          <w:lang w:eastAsia="en-US"/>
        </w:rPr>
        <w:t>164.</w:t>
      </w:r>
      <w:r w:rsidRPr="002C65E3">
        <w:rPr>
          <w:lang w:eastAsia="en-US"/>
        </w:rPr>
        <w:tab/>
      </w:r>
      <w:r w:rsidR="006F4911" w:rsidRPr="002C65E3">
        <w:rPr>
          <w:lang w:eastAsia="en-US"/>
        </w:rPr>
        <w:t>En 2019, se pudo determinar que, según instituciones informantes, el 73</w:t>
      </w:r>
      <w:r w:rsidR="00791BE9" w:rsidRPr="002C65E3">
        <w:rPr>
          <w:lang w:eastAsia="en-US"/>
        </w:rPr>
        <w:t> %</w:t>
      </w:r>
      <w:r w:rsidR="006F4911" w:rsidRPr="002C65E3">
        <w:rPr>
          <w:lang w:eastAsia="en-US"/>
        </w:rPr>
        <w:t xml:space="preserve"> de las contrataciones fueron antes de la entrada en vigencia de la ley. El 4,3</w:t>
      </w:r>
      <w:r w:rsidR="00791BE9" w:rsidRPr="002C65E3">
        <w:rPr>
          <w:lang w:eastAsia="en-US"/>
        </w:rPr>
        <w:t> %</w:t>
      </w:r>
      <w:r w:rsidR="006F4911" w:rsidRPr="002C65E3">
        <w:rPr>
          <w:lang w:eastAsia="en-US"/>
        </w:rPr>
        <w:t xml:space="preserve"> de los contratos iniciaron durante el primer año de vigencia y un 7,8</w:t>
      </w:r>
      <w:r w:rsidR="00791BE9" w:rsidRPr="002C65E3">
        <w:rPr>
          <w:lang w:eastAsia="en-US"/>
        </w:rPr>
        <w:t> %</w:t>
      </w:r>
      <w:r w:rsidR="006F4911" w:rsidRPr="002C65E3">
        <w:rPr>
          <w:lang w:eastAsia="en-US"/>
        </w:rPr>
        <w:t xml:space="preserve"> durante el segundo año. Un 14,9</w:t>
      </w:r>
      <w:r w:rsidR="00791BE9" w:rsidRPr="002C65E3">
        <w:rPr>
          <w:lang w:eastAsia="en-US"/>
        </w:rPr>
        <w:t> %</w:t>
      </w:r>
      <w:r w:rsidR="006F4911" w:rsidRPr="002C65E3">
        <w:rPr>
          <w:lang w:eastAsia="en-US"/>
        </w:rPr>
        <w:t xml:space="preserve"> no se tiene información.</w:t>
      </w:r>
    </w:p>
    <w:p w14:paraId="71BDBC06" w14:textId="08E8DDE4" w:rsidR="006F4911" w:rsidRPr="002C65E3" w:rsidRDefault="00156F70" w:rsidP="00B547A7">
      <w:pPr>
        <w:pStyle w:val="SingleTxtG"/>
        <w:rPr>
          <w:lang w:eastAsia="en-US"/>
        </w:rPr>
      </w:pPr>
      <w:r w:rsidRPr="002C65E3">
        <w:rPr>
          <w:lang w:eastAsia="en-US"/>
        </w:rPr>
        <w:t>165.</w:t>
      </w:r>
      <w:r w:rsidRPr="002C65E3">
        <w:rPr>
          <w:lang w:eastAsia="en-US"/>
        </w:rPr>
        <w:tab/>
      </w:r>
      <w:r w:rsidR="006F4911" w:rsidRPr="002C65E3">
        <w:rPr>
          <w:lang w:eastAsia="en-US"/>
        </w:rPr>
        <w:t>En resumen, se puede estimar la siguiente evaluación del cumplimiento de la Ley N</w:t>
      </w:r>
      <w:r w:rsidR="00405113" w:rsidRPr="002C65E3">
        <w:rPr>
          <w:lang w:eastAsia="en-US"/>
        </w:rPr>
        <w:t>º </w:t>
      </w:r>
      <w:r w:rsidR="006F4911" w:rsidRPr="002C65E3">
        <w:rPr>
          <w:lang w:eastAsia="en-US"/>
        </w:rPr>
        <w:t>21.015 en el sector público:</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700"/>
        <w:gridCol w:w="472"/>
        <w:gridCol w:w="709"/>
        <w:gridCol w:w="473"/>
        <w:gridCol w:w="698"/>
        <w:gridCol w:w="473"/>
        <w:gridCol w:w="698"/>
        <w:gridCol w:w="461"/>
        <w:gridCol w:w="686"/>
      </w:tblGrid>
      <w:tr w:rsidR="006F4911" w:rsidRPr="002C65E3" w14:paraId="31E77A93" w14:textId="77777777" w:rsidTr="00B547A7">
        <w:trPr>
          <w:trHeight w:val="240"/>
          <w:tblHeader/>
        </w:trPr>
        <w:tc>
          <w:tcPr>
            <w:tcW w:w="27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E33622" w14:textId="77777777" w:rsidR="006F4911" w:rsidRPr="002C65E3" w:rsidRDefault="006F4911" w:rsidP="00B547A7">
            <w:pPr>
              <w:spacing w:before="80" w:after="80" w:line="200" w:lineRule="exact"/>
              <w:rPr>
                <w:rFonts w:eastAsia="Times New Roman"/>
                <w:i/>
                <w:sz w:val="16"/>
                <w:lang w:eastAsia="en-US"/>
              </w:rPr>
            </w:pPr>
            <w:r w:rsidRPr="002C65E3">
              <w:rPr>
                <w:rFonts w:eastAsia="Times New Roman"/>
                <w:i/>
                <w:sz w:val="16"/>
                <w:lang w:eastAsia="en-US"/>
              </w:rPr>
              <w:t>Cumplimiento 21.015 sector público</w:t>
            </w:r>
          </w:p>
        </w:tc>
        <w:tc>
          <w:tcPr>
            <w:tcW w:w="1181"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25A064E2" w14:textId="77777777" w:rsidR="006F4911" w:rsidRPr="002C65E3" w:rsidRDefault="006F4911" w:rsidP="00B547A7">
            <w:pPr>
              <w:spacing w:before="80" w:after="80" w:line="200" w:lineRule="exact"/>
              <w:ind w:left="85" w:right="28"/>
              <w:jc w:val="right"/>
              <w:rPr>
                <w:rFonts w:eastAsia="Times New Roman"/>
                <w:i/>
                <w:sz w:val="16"/>
                <w:lang w:eastAsia="en-US"/>
              </w:rPr>
            </w:pPr>
            <w:r w:rsidRPr="002C65E3">
              <w:rPr>
                <w:rFonts w:eastAsia="Times New Roman"/>
                <w:i/>
                <w:sz w:val="16"/>
                <w:lang w:eastAsia="en-US"/>
              </w:rPr>
              <w:t>2018</w:t>
            </w:r>
          </w:p>
        </w:tc>
        <w:tc>
          <w:tcPr>
            <w:tcW w:w="1171"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154B043A" w14:textId="77777777" w:rsidR="006F4911" w:rsidRPr="002C65E3" w:rsidRDefault="006F4911" w:rsidP="00B547A7">
            <w:pPr>
              <w:spacing w:before="80" w:after="80" w:line="200" w:lineRule="exact"/>
              <w:ind w:left="85" w:right="28"/>
              <w:jc w:val="right"/>
              <w:rPr>
                <w:rFonts w:eastAsia="Times New Roman"/>
                <w:i/>
                <w:sz w:val="16"/>
                <w:lang w:eastAsia="en-US"/>
              </w:rPr>
            </w:pPr>
            <w:r w:rsidRPr="002C65E3">
              <w:rPr>
                <w:rFonts w:eastAsia="Times New Roman"/>
                <w:i/>
                <w:sz w:val="16"/>
                <w:lang w:eastAsia="en-US"/>
              </w:rPr>
              <w:t>2019</w:t>
            </w:r>
          </w:p>
        </w:tc>
        <w:tc>
          <w:tcPr>
            <w:tcW w:w="1171"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79EDDB8A" w14:textId="77777777" w:rsidR="006F4911" w:rsidRPr="002C65E3" w:rsidRDefault="006F4911" w:rsidP="00B547A7">
            <w:pPr>
              <w:spacing w:before="80" w:after="80" w:line="200" w:lineRule="exact"/>
              <w:ind w:left="85" w:right="28"/>
              <w:jc w:val="right"/>
              <w:rPr>
                <w:rFonts w:eastAsia="Times New Roman"/>
                <w:i/>
                <w:sz w:val="16"/>
                <w:lang w:eastAsia="en-US"/>
              </w:rPr>
            </w:pPr>
            <w:r w:rsidRPr="002C65E3">
              <w:rPr>
                <w:rFonts w:eastAsia="Times New Roman"/>
                <w:i/>
                <w:sz w:val="16"/>
                <w:lang w:eastAsia="en-US"/>
              </w:rPr>
              <w:t>2020</w:t>
            </w:r>
          </w:p>
        </w:tc>
        <w:tc>
          <w:tcPr>
            <w:tcW w:w="1147"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350C3F5C" w14:textId="77777777" w:rsidR="006F4911" w:rsidRPr="002C65E3" w:rsidRDefault="006F4911" w:rsidP="00B547A7">
            <w:pPr>
              <w:spacing w:before="80" w:after="80" w:line="200" w:lineRule="exact"/>
              <w:ind w:left="85" w:right="28"/>
              <w:jc w:val="right"/>
              <w:rPr>
                <w:rFonts w:eastAsia="Times New Roman"/>
                <w:i/>
                <w:sz w:val="16"/>
                <w:lang w:eastAsia="en-US"/>
              </w:rPr>
            </w:pPr>
            <w:r w:rsidRPr="002C65E3">
              <w:rPr>
                <w:rFonts w:eastAsia="Times New Roman"/>
                <w:i/>
                <w:sz w:val="16"/>
                <w:lang w:eastAsia="en-US"/>
              </w:rPr>
              <w:t>2021</w:t>
            </w:r>
          </w:p>
        </w:tc>
      </w:tr>
      <w:tr w:rsidR="006F4911" w:rsidRPr="002C65E3" w14:paraId="1AEEFB45" w14:textId="77777777" w:rsidTr="00B547A7">
        <w:trPr>
          <w:trHeight w:val="240"/>
        </w:trPr>
        <w:tc>
          <w:tcPr>
            <w:tcW w:w="2700" w:type="dxa"/>
            <w:tcBorders>
              <w:top w:val="single" w:sz="12" w:space="0" w:color="auto"/>
            </w:tcBorders>
            <w:shd w:val="clear" w:color="auto" w:fill="auto"/>
            <w:tcMar>
              <w:top w:w="0" w:type="dxa"/>
              <w:left w:w="0" w:type="dxa"/>
              <w:bottom w:w="0" w:type="dxa"/>
              <w:right w:w="0" w:type="dxa"/>
            </w:tcMar>
          </w:tcPr>
          <w:p w14:paraId="18561E30" w14:textId="77777777" w:rsidR="006F4911" w:rsidRPr="002C65E3" w:rsidRDefault="006F4911" w:rsidP="00B547A7">
            <w:pPr>
              <w:spacing w:before="40" w:after="40" w:line="220" w:lineRule="exact"/>
              <w:rPr>
                <w:rFonts w:eastAsia="Times New Roman"/>
                <w:sz w:val="18"/>
                <w:lang w:eastAsia="en-US"/>
              </w:rPr>
            </w:pPr>
            <w:r w:rsidRPr="002C65E3">
              <w:rPr>
                <w:rFonts w:eastAsia="Times New Roman"/>
                <w:sz w:val="18"/>
                <w:lang w:eastAsia="en-US"/>
              </w:rPr>
              <w:t>Cumplimiento selección preferente y cuota PcD</w:t>
            </w:r>
          </w:p>
        </w:tc>
        <w:tc>
          <w:tcPr>
            <w:tcW w:w="472" w:type="dxa"/>
            <w:tcBorders>
              <w:top w:val="single" w:sz="12" w:space="0" w:color="auto"/>
            </w:tcBorders>
            <w:shd w:val="clear" w:color="auto" w:fill="auto"/>
            <w:tcMar>
              <w:top w:w="0" w:type="dxa"/>
              <w:left w:w="0" w:type="dxa"/>
              <w:bottom w:w="0" w:type="dxa"/>
              <w:right w:w="0" w:type="dxa"/>
            </w:tcMar>
            <w:vAlign w:val="bottom"/>
          </w:tcPr>
          <w:p w14:paraId="3AD0E789"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146</w:t>
            </w:r>
          </w:p>
        </w:tc>
        <w:tc>
          <w:tcPr>
            <w:tcW w:w="709" w:type="dxa"/>
            <w:tcBorders>
              <w:top w:val="single" w:sz="12" w:space="0" w:color="auto"/>
            </w:tcBorders>
            <w:shd w:val="clear" w:color="auto" w:fill="auto"/>
            <w:tcMar>
              <w:top w:w="0" w:type="dxa"/>
              <w:left w:w="0" w:type="dxa"/>
              <w:bottom w:w="0" w:type="dxa"/>
              <w:right w:w="0" w:type="dxa"/>
            </w:tcMar>
            <w:vAlign w:val="bottom"/>
          </w:tcPr>
          <w:p w14:paraId="7B4F5346" w14:textId="28A3A7F8"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24,1</w:t>
            </w:r>
            <w:r w:rsidR="00791BE9" w:rsidRPr="002C65E3">
              <w:rPr>
                <w:rFonts w:eastAsia="Times New Roman"/>
                <w:sz w:val="18"/>
                <w:lang w:eastAsia="en-US"/>
              </w:rPr>
              <w:t> %</w:t>
            </w:r>
          </w:p>
        </w:tc>
        <w:tc>
          <w:tcPr>
            <w:tcW w:w="473" w:type="dxa"/>
            <w:tcBorders>
              <w:top w:val="single" w:sz="12" w:space="0" w:color="auto"/>
            </w:tcBorders>
            <w:shd w:val="clear" w:color="auto" w:fill="auto"/>
            <w:tcMar>
              <w:top w:w="0" w:type="dxa"/>
              <w:left w:w="0" w:type="dxa"/>
              <w:bottom w:w="0" w:type="dxa"/>
              <w:right w:w="0" w:type="dxa"/>
            </w:tcMar>
            <w:vAlign w:val="bottom"/>
          </w:tcPr>
          <w:p w14:paraId="2D3AA2D6"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146</w:t>
            </w:r>
          </w:p>
        </w:tc>
        <w:tc>
          <w:tcPr>
            <w:tcW w:w="698" w:type="dxa"/>
            <w:tcBorders>
              <w:top w:val="single" w:sz="12" w:space="0" w:color="auto"/>
            </w:tcBorders>
            <w:shd w:val="clear" w:color="auto" w:fill="auto"/>
            <w:tcMar>
              <w:top w:w="0" w:type="dxa"/>
              <w:left w:w="0" w:type="dxa"/>
              <w:bottom w:w="0" w:type="dxa"/>
              <w:right w:w="0" w:type="dxa"/>
            </w:tcMar>
            <w:vAlign w:val="bottom"/>
          </w:tcPr>
          <w:p w14:paraId="3D85AFB4" w14:textId="3A0A55DB"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24</w:t>
            </w:r>
            <w:r w:rsidR="00791BE9" w:rsidRPr="002C65E3">
              <w:rPr>
                <w:rFonts w:eastAsia="Times New Roman"/>
                <w:sz w:val="18"/>
                <w:lang w:eastAsia="en-US"/>
              </w:rPr>
              <w:t> %</w:t>
            </w:r>
          </w:p>
        </w:tc>
        <w:tc>
          <w:tcPr>
            <w:tcW w:w="473" w:type="dxa"/>
            <w:tcBorders>
              <w:top w:val="single" w:sz="12" w:space="0" w:color="auto"/>
            </w:tcBorders>
            <w:shd w:val="clear" w:color="auto" w:fill="auto"/>
            <w:tcMar>
              <w:top w:w="0" w:type="dxa"/>
              <w:left w:w="0" w:type="dxa"/>
              <w:bottom w:w="0" w:type="dxa"/>
              <w:right w:w="0" w:type="dxa"/>
            </w:tcMar>
            <w:vAlign w:val="bottom"/>
          </w:tcPr>
          <w:p w14:paraId="4CB25C90"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156</w:t>
            </w:r>
          </w:p>
        </w:tc>
        <w:tc>
          <w:tcPr>
            <w:tcW w:w="698" w:type="dxa"/>
            <w:tcBorders>
              <w:top w:val="single" w:sz="12" w:space="0" w:color="auto"/>
            </w:tcBorders>
            <w:shd w:val="clear" w:color="auto" w:fill="auto"/>
            <w:tcMar>
              <w:top w:w="0" w:type="dxa"/>
              <w:left w:w="0" w:type="dxa"/>
              <w:bottom w:w="0" w:type="dxa"/>
              <w:right w:w="0" w:type="dxa"/>
            </w:tcMar>
            <w:vAlign w:val="bottom"/>
          </w:tcPr>
          <w:p w14:paraId="7195E7C9" w14:textId="5C58403D"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25,5</w:t>
            </w:r>
            <w:r w:rsidR="00791BE9" w:rsidRPr="002C65E3">
              <w:rPr>
                <w:rFonts w:eastAsia="Times New Roman"/>
                <w:sz w:val="18"/>
                <w:lang w:eastAsia="en-US"/>
              </w:rPr>
              <w:t> %</w:t>
            </w:r>
          </w:p>
        </w:tc>
        <w:tc>
          <w:tcPr>
            <w:tcW w:w="461" w:type="dxa"/>
            <w:tcBorders>
              <w:top w:val="single" w:sz="12" w:space="0" w:color="auto"/>
            </w:tcBorders>
            <w:shd w:val="clear" w:color="auto" w:fill="auto"/>
            <w:tcMar>
              <w:top w:w="0" w:type="dxa"/>
              <w:left w:w="0" w:type="dxa"/>
              <w:bottom w:w="0" w:type="dxa"/>
              <w:right w:w="0" w:type="dxa"/>
            </w:tcMar>
            <w:vAlign w:val="bottom"/>
          </w:tcPr>
          <w:p w14:paraId="1EEA044E"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228</w:t>
            </w:r>
          </w:p>
        </w:tc>
        <w:tc>
          <w:tcPr>
            <w:tcW w:w="686" w:type="dxa"/>
            <w:tcBorders>
              <w:top w:val="single" w:sz="12" w:space="0" w:color="auto"/>
            </w:tcBorders>
            <w:shd w:val="clear" w:color="auto" w:fill="auto"/>
            <w:tcMar>
              <w:top w:w="0" w:type="dxa"/>
              <w:left w:w="0" w:type="dxa"/>
              <w:bottom w:w="0" w:type="dxa"/>
              <w:right w:w="0" w:type="dxa"/>
            </w:tcMar>
            <w:vAlign w:val="bottom"/>
          </w:tcPr>
          <w:p w14:paraId="12B3E899" w14:textId="20FD1882"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37,0</w:t>
            </w:r>
            <w:r w:rsidR="00791BE9" w:rsidRPr="002C65E3">
              <w:rPr>
                <w:rFonts w:eastAsia="Times New Roman"/>
                <w:sz w:val="18"/>
                <w:lang w:eastAsia="en-US"/>
              </w:rPr>
              <w:t> %</w:t>
            </w:r>
          </w:p>
        </w:tc>
      </w:tr>
      <w:tr w:rsidR="006F4911" w:rsidRPr="002C65E3" w14:paraId="104C215F" w14:textId="77777777" w:rsidTr="00B547A7">
        <w:trPr>
          <w:trHeight w:val="240"/>
        </w:trPr>
        <w:tc>
          <w:tcPr>
            <w:tcW w:w="2700" w:type="dxa"/>
            <w:shd w:val="clear" w:color="auto" w:fill="auto"/>
            <w:tcMar>
              <w:top w:w="0" w:type="dxa"/>
              <w:left w:w="0" w:type="dxa"/>
              <w:bottom w:w="0" w:type="dxa"/>
              <w:right w:w="0" w:type="dxa"/>
            </w:tcMar>
          </w:tcPr>
          <w:p w14:paraId="5D2A36B2" w14:textId="77777777" w:rsidR="006F4911" w:rsidRPr="002C65E3" w:rsidRDefault="006F4911" w:rsidP="00B547A7">
            <w:pPr>
              <w:spacing w:before="40" w:after="40" w:line="220" w:lineRule="exact"/>
              <w:rPr>
                <w:rFonts w:eastAsia="Times New Roman"/>
                <w:sz w:val="18"/>
                <w:lang w:eastAsia="en-US"/>
              </w:rPr>
            </w:pPr>
            <w:r w:rsidRPr="002C65E3">
              <w:rPr>
                <w:rFonts w:eastAsia="Times New Roman"/>
                <w:sz w:val="18"/>
                <w:lang w:eastAsia="en-US"/>
              </w:rPr>
              <w:t>Cumplimiento selección preferente, no así la cuota, entregando excusas por razones fundadas</w:t>
            </w:r>
          </w:p>
        </w:tc>
        <w:tc>
          <w:tcPr>
            <w:tcW w:w="472" w:type="dxa"/>
            <w:shd w:val="clear" w:color="auto" w:fill="auto"/>
            <w:tcMar>
              <w:top w:w="0" w:type="dxa"/>
              <w:left w:w="0" w:type="dxa"/>
              <w:bottom w:w="0" w:type="dxa"/>
              <w:right w:w="0" w:type="dxa"/>
            </w:tcMar>
            <w:vAlign w:val="bottom"/>
          </w:tcPr>
          <w:p w14:paraId="37812015"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104</w:t>
            </w:r>
          </w:p>
        </w:tc>
        <w:tc>
          <w:tcPr>
            <w:tcW w:w="709" w:type="dxa"/>
            <w:shd w:val="clear" w:color="auto" w:fill="auto"/>
            <w:tcMar>
              <w:top w:w="0" w:type="dxa"/>
              <w:left w:w="0" w:type="dxa"/>
              <w:bottom w:w="0" w:type="dxa"/>
              <w:right w:w="0" w:type="dxa"/>
            </w:tcMar>
            <w:vAlign w:val="bottom"/>
          </w:tcPr>
          <w:p w14:paraId="6FB8A22A" w14:textId="66AEF2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17,2</w:t>
            </w:r>
            <w:r w:rsidR="00791BE9" w:rsidRPr="002C65E3">
              <w:rPr>
                <w:rFonts w:eastAsia="Times New Roman"/>
                <w:sz w:val="18"/>
                <w:lang w:eastAsia="en-US"/>
              </w:rPr>
              <w:t> %</w:t>
            </w:r>
          </w:p>
        </w:tc>
        <w:tc>
          <w:tcPr>
            <w:tcW w:w="473" w:type="dxa"/>
            <w:shd w:val="clear" w:color="auto" w:fill="auto"/>
            <w:tcMar>
              <w:top w:w="0" w:type="dxa"/>
              <w:left w:w="0" w:type="dxa"/>
              <w:bottom w:w="0" w:type="dxa"/>
              <w:right w:w="0" w:type="dxa"/>
            </w:tcMar>
            <w:vAlign w:val="bottom"/>
          </w:tcPr>
          <w:p w14:paraId="19320B9D"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110</w:t>
            </w:r>
          </w:p>
        </w:tc>
        <w:tc>
          <w:tcPr>
            <w:tcW w:w="698" w:type="dxa"/>
            <w:shd w:val="clear" w:color="auto" w:fill="auto"/>
            <w:tcMar>
              <w:top w:w="0" w:type="dxa"/>
              <w:left w:w="0" w:type="dxa"/>
              <w:bottom w:w="0" w:type="dxa"/>
              <w:right w:w="0" w:type="dxa"/>
            </w:tcMar>
            <w:vAlign w:val="bottom"/>
          </w:tcPr>
          <w:p w14:paraId="2FF43E4F" w14:textId="5C235775"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18,1</w:t>
            </w:r>
            <w:r w:rsidR="00791BE9" w:rsidRPr="002C65E3">
              <w:rPr>
                <w:rFonts w:eastAsia="Times New Roman"/>
                <w:sz w:val="18"/>
                <w:lang w:eastAsia="en-US"/>
              </w:rPr>
              <w:t> %</w:t>
            </w:r>
          </w:p>
        </w:tc>
        <w:tc>
          <w:tcPr>
            <w:tcW w:w="473" w:type="dxa"/>
            <w:shd w:val="clear" w:color="auto" w:fill="auto"/>
            <w:tcMar>
              <w:top w:w="0" w:type="dxa"/>
              <w:left w:w="0" w:type="dxa"/>
              <w:bottom w:w="0" w:type="dxa"/>
              <w:right w:w="0" w:type="dxa"/>
            </w:tcMar>
            <w:vAlign w:val="bottom"/>
          </w:tcPr>
          <w:p w14:paraId="48071FFC"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150</w:t>
            </w:r>
          </w:p>
        </w:tc>
        <w:tc>
          <w:tcPr>
            <w:tcW w:w="698" w:type="dxa"/>
            <w:shd w:val="clear" w:color="auto" w:fill="auto"/>
            <w:tcMar>
              <w:top w:w="0" w:type="dxa"/>
              <w:left w:w="0" w:type="dxa"/>
              <w:bottom w:w="0" w:type="dxa"/>
              <w:right w:w="0" w:type="dxa"/>
            </w:tcMar>
            <w:vAlign w:val="bottom"/>
          </w:tcPr>
          <w:p w14:paraId="5462E4BB" w14:textId="4F620DE0"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24,5</w:t>
            </w:r>
            <w:r w:rsidR="00791BE9" w:rsidRPr="002C65E3">
              <w:rPr>
                <w:rFonts w:eastAsia="Times New Roman"/>
                <w:sz w:val="18"/>
                <w:lang w:eastAsia="en-US"/>
              </w:rPr>
              <w:t> %</w:t>
            </w:r>
          </w:p>
        </w:tc>
        <w:tc>
          <w:tcPr>
            <w:tcW w:w="461" w:type="dxa"/>
            <w:shd w:val="clear" w:color="auto" w:fill="auto"/>
            <w:tcMar>
              <w:top w:w="0" w:type="dxa"/>
              <w:left w:w="0" w:type="dxa"/>
              <w:bottom w:w="0" w:type="dxa"/>
              <w:right w:w="0" w:type="dxa"/>
            </w:tcMar>
            <w:vAlign w:val="bottom"/>
          </w:tcPr>
          <w:p w14:paraId="70EDC022"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176</w:t>
            </w:r>
          </w:p>
        </w:tc>
        <w:tc>
          <w:tcPr>
            <w:tcW w:w="686" w:type="dxa"/>
            <w:shd w:val="clear" w:color="auto" w:fill="auto"/>
            <w:tcMar>
              <w:top w:w="0" w:type="dxa"/>
              <w:left w:w="0" w:type="dxa"/>
              <w:bottom w:w="0" w:type="dxa"/>
              <w:right w:w="0" w:type="dxa"/>
            </w:tcMar>
            <w:vAlign w:val="bottom"/>
          </w:tcPr>
          <w:p w14:paraId="6BF0CF43" w14:textId="47891940"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28,5</w:t>
            </w:r>
            <w:r w:rsidR="00791BE9" w:rsidRPr="002C65E3">
              <w:rPr>
                <w:rFonts w:eastAsia="Times New Roman"/>
                <w:sz w:val="18"/>
                <w:lang w:eastAsia="en-US"/>
              </w:rPr>
              <w:t> %</w:t>
            </w:r>
          </w:p>
        </w:tc>
      </w:tr>
      <w:tr w:rsidR="006F4911" w:rsidRPr="002C65E3" w14:paraId="5095D5C6" w14:textId="77777777" w:rsidTr="00B547A7">
        <w:trPr>
          <w:trHeight w:val="240"/>
        </w:trPr>
        <w:tc>
          <w:tcPr>
            <w:tcW w:w="2700" w:type="dxa"/>
            <w:shd w:val="clear" w:color="auto" w:fill="auto"/>
            <w:tcMar>
              <w:top w:w="0" w:type="dxa"/>
              <w:left w:w="0" w:type="dxa"/>
              <w:bottom w:w="0" w:type="dxa"/>
              <w:right w:w="0" w:type="dxa"/>
            </w:tcMar>
          </w:tcPr>
          <w:p w14:paraId="53A8FFDE" w14:textId="77777777" w:rsidR="006F4911" w:rsidRPr="002C65E3" w:rsidRDefault="006F4911" w:rsidP="00B547A7">
            <w:pPr>
              <w:spacing w:before="40" w:after="40" w:line="220" w:lineRule="exact"/>
              <w:rPr>
                <w:rFonts w:eastAsia="Times New Roman"/>
                <w:sz w:val="18"/>
                <w:lang w:eastAsia="en-US"/>
              </w:rPr>
            </w:pPr>
            <w:r w:rsidRPr="002C65E3">
              <w:rPr>
                <w:rFonts w:eastAsia="Times New Roman"/>
                <w:sz w:val="18"/>
                <w:lang w:eastAsia="en-US"/>
              </w:rPr>
              <w:t>Cumplimiento selección preferente, no así la cuota, sin excusas</w:t>
            </w:r>
          </w:p>
        </w:tc>
        <w:tc>
          <w:tcPr>
            <w:tcW w:w="472" w:type="dxa"/>
            <w:shd w:val="clear" w:color="auto" w:fill="auto"/>
            <w:tcMar>
              <w:top w:w="0" w:type="dxa"/>
              <w:left w:w="0" w:type="dxa"/>
              <w:bottom w:w="0" w:type="dxa"/>
              <w:right w:w="0" w:type="dxa"/>
            </w:tcMar>
            <w:vAlign w:val="bottom"/>
          </w:tcPr>
          <w:p w14:paraId="156CD6FF"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73</w:t>
            </w:r>
          </w:p>
        </w:tc>
        <w:tc>
          <w:tcPr>
            <w:tcW w:w="709" w:type="dxa"/>
            <w:shd w:val="clear" w:color="auto" w:fill="auto"/>
            <w:tcMar>
              <w:top w:w="0" w:type="dxa"/>
              <w:left w:w="0" w:type="dxa"/>
              <w:bottom w:w="0" w:type="dxa"/>
              <w:right w:w="0" w:type="dxa"/>
            </w:tcMar>
            <w:vAlign w:val="bottom"/>
          </w:tcPr>
          <w:p w14:paraId="0B80A4F8" w14:textId="4FAF76AF"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12,1</w:t>
            </w:r>
            <w:r w:rsidR="00791BE9" w:rsidRPr="002C65E3">
              <w:rPr>
                <w:rFonts w:eastAsia="Times New Roman"/>
                <w:sz w:val="18"/>
                <w:lang w:eastAsia="en-US"/>
              </w:rPr>
              <w:t> %</w:t>
            </w:r>
          </w:p>
        </w:tc>
        <w:tc>
          <w:tcPr>
            <w:tcW w:w="473" w:type="dxa"/>
            <w:shd w:val="clear" w:color="auto" w:fill="auto"/>
            <w:tcMar>
              <w:top w:w="0" w:type="dxa"/>
              <w:left w:w="0" w:type="dxa"/>
              <w:bottom w:w="0" w:type="dxa"/>
              <w:right w:w="0" w:type="dxa"/>
            </w:tcMar>
            <w:vAlign w:val="bottom"/>
          </w:tcPr>
          <w:p w14:paraId="614577A3"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59</w:t>
            </w:r>
          </w:p>
        </w:tc>
        <w:tc>
          <w:tcPr>
            <w:tcW w:w="698" w:type="dxa"/>
            <w:shd w:val="clear" w:color="auto" w:fill="auto"/>
            <w:tcMar>
              <w:top w:w="0" w:type="dxa"/>
              <w:left w:w="0" w:type="dxa"/>
              <w:bottom w:w="0" w:type="dxa"/>
              <w:right w:w="0" w:type="dxa"/>
            </w:tcMar>
            <w:vAlign w:val="bottom"/>
          </w:tcPr>
          <w:p w14:paraId="410B953C" w14:textId="69334A7D"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9,7</w:t>
            </w:r>
            <w:r w:rsidR="00791BE9" w:rsidRPr="002C65E3">
              <w:rPr>
                <w:rFonts w:eastAsia="Times New Roman"/>
                <w:sz w:val="18"/>
                <w:lang w:eastAsia="en-US"/>
              </w:rPr>
              <w:t> %</w:t>
            </w:r>
          </w:p>
        </w:tc>
        <w:tc>
          <w:tcPr>
            <w:tcW w:w="473" w:type="dxa"/>
            <w:shd w:val="clear" w:color="auto" w:fill="auto"/>
            <w:tcMar>
              <w:top w:w="0" w:type="dxa"/>
              <w:left w:w="0" w:type="dxa"/>
              <w:bottom w:w="0" w:type="dxa"/>
              <w:right w:w="0" w:type="dxa"/>
            </w:tcMar>
            <w:vAlign w:val="bottom"/>
          </w:tcPr>
          <w:p w14:paraId="746903A6"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47</w:t>
            </w:r>
          </w:p>
        </w:tc>
        <w:tc>
          <w:tcPr>
            <w:tcW w:w="698" w:type="dxa"/>
            <w:shd w:val="clear" w:color="auto" w:fill="auto"/>
            <w:tcMar>
              <w:top w:w="0" w:type="dxa"/>
              <w:left w:w="0" w:type="dxa"/>
              <w:bottom w:w="0" w:type="dxa"/>
              <w:right w:w="0" w:type="dxa"/>
            </w:tcMar>
            <w:vAlign w:val="bottom"/>
          </w:tcPr>
          <w:p w14:paraId="7BBDE3DF" w14:textId="56BC3412"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7,7</w:t>
            </w:r>
            <w:r w:rsidR="00791BE9" w:rsidRPr="002C65E3">
              <w:rPr>
                <w:rFonts w:eastAsia="Times New Roman"/>
                <w:sz w:val="18"/>
                <w:lang w:eastAsia="en-US"/>
              </w:rPr>
              <w:t> %</w:t>
            </w:r>
          </w:p>
        </w:tc>
        <w:tc>
          <w:tcPr>
            <w:tcW w:w="461" w:type="dxa"/>
            <w:shd w:val="clear" w:color="auto" w:fill="auto"/>
            <w:tcMar>
              <w:top w:w="0" w:type="dxa"/>
              <w:left w:w="0" w:type="dxa"/>
              <w:bottom w:w="0" w:type="dxa"/>
              <w:right w:w="0" w:type="dxa"/>
            </w:tcMar>
            <w:vAlign w:val="bottom"/>
          </w:tcPr>
          <w:p w14:paraId="3EDBE9DB"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47</w:t>
            </w:r>
          </w:p>
        </w:tc>
        <w:tc>
          <w:tcPr>
            <w:tcW w:w="686" w:type="dxa"/>
            <w:shd w:val="clear" w:color="auto" w:fill="auto"/>
            <w:tcMar>
              <w:top w:w="0" w:type="dxa"/>
              <w:left w:w="0" w:type="dxa"/>
              <w:bottom w:w="0" w:type="dxa"/>
              <w:right w:w="0" w:type="dxa"/>
            </w:tcMar>
            <w:vAlign w:val="bottom"/>
          </w:tcPr>
          <w:p w14:paraId="15A75C8A" w14:textId="18167AE0"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7,6</w:t>
            </w:r>
            <w:r w:rsidR="00791BE9" w:rsidRPr="002C65E3">
              <w:rPr>
                <w:rFonts w:eastAsia="Times New Roman"/>
                <w:sz w:val="18"/>
                <w:lang w:eastAsia="en-US"/>
              </w:rPr>
              <w:t> %</w:t>
            </w:r>
          </w:p>
        </w:tc>
      </w:tr>
      <w:tr w:rsidR="00D050D4" w:rsidRPr="002C65E3" w14:paraId="0364C506" w14:textId="77777777" w:rsidTr="00B547A7">
        <w:trPr>
          <w:trHeight w:val="240"/>
        </w:trPr>
        <w:tc>
          <w:tcPr>
            <w:tcW w:w="2700" w:type="dxa"/>
            <w:tcBorders>
              <w:bottom w:val="single" w:sz="12" w:space="0" w:color="auto"/>
            </w:tcBorders>
            <w:shd w:val="clear" w:color="auto" w:fill="auto"/>
            <w:tcMar>
              <w:top w:w="0" w:type="dxa"/>
              <w:left w:w="0" w:type="dxa"/>
              <w:bottom w:w="0" w:type="dxa"/>
              <w:right w:w="0" w:type="dxa"/>
            </w:tcMar>
          </w:tcPr>
          <w:p w14:paraId="10C82861" w14:textId="672C171F" w:rsidR="00D050D4" w:rsidRPr="002C65E3" w:rsidRDefault="00D050D4" w:rsidP="00B547A7">
            <w:pPr>
              <w:spacing w:before="40" w:after="40" w:line="220" w:lineRule="exact"/>
              <w:rPr>
                <w:rFonts w:eastAsia="Times New Roman"/>
                <w:sz w:val="18"/>
                <w:lang w:eastAsia="en-US"/>
              </w:rPr>
            </w:pPr>
            <w:r w:rsidRPr="002C65E3">
              <w:rPr>
                <w:rFonts w:eastAsia="Times New Roman"/>
                <w:sz w:val="18"/>
                <w:lang w:eastAsia="en-US"/>
              </w:rPr>
              <w:t>No entregan información, o es insuficiente</w:t>
            </w:r>
          </w:p>
        </w:tc>
        <w:tc>
          <w:tcPr>
            <w:tcW w:w="472" w:type="dxa"/>
            <w:tcBorders>
              <w:bottom w:val="single" w:sz="12" w:space="0" w:color="auto"/>
            </w:tcBorders>
            <w:shd w:val="clear" w:color="auto" w:fill="auto"/>
            <w:tcMar>
              <w:top w:w="0" w:type="dxa"/>
              <w:left w:w="0" w:type="dxa"/>
              <w:bottom w:w="0" w:type="dxa"/>
              <w:right w:w="0" w:type="dxa"/>
            </w:tcMar>
            <w:vAlign w:val="bottom"/>
          </w:tcPr>
          <w:p w14:paraId="69C1D8DE" w14:textId="217FE21F" w:rsidR="00D050D4" w:rsidRPr="002C65E3" w:rsidRDefault="00D050D4"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282</w:t>
            </w:r>
          </w:p>
        </w:tc>
        <w:tc>
          <w:tcPr>
            <w:tcW w:w="709" w:type="dxa"/>
            <w:tcBorders>
              <w:bottom w:val="single" w:sz="12" w:space="0" w:color="auto"/>
            </w:tcBorders>
            <w:shd w:val="clear" w:color="auto" w:fill="auto"/>
            <w:tcMar>
              <w:top w:w="0" w:type="dxa"/>
              <w:left w:w="0" w:type="dxa"/>
              <w:bottom w:w="0" w:type="dxa"/>
              <w:right w:w="0" w:type="dxa"/>
            </w:tcMar>
            <w:vAlign w:val="bottom"/>
          </w:tcPr>
          <w:p w14:paraId="4CA9AF5D" w14:textId="64A30EA3" w:rsidR="00D050D4" w:rsidRPr="002C65E3" w:rsidRDefault="00D050D4"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46,6</w:t>
            </w:r>
            <w:r w:rsidR="00791BE9" w:rsidRPr="002C65E3">
              <w:rPr>
                <w:rFonts w:eastAsia="Times New Roman"/>
                <w:sz w:val="18"/>
                <w:lang w:eastAsia="en-US"/>
              </w:rPr>
              <w:t> %</w:t>
            </w:r>
          </w:p>
        </w:tc>
        <w:tc>
          <w:tcPr>
            <w:tcW w:w="473" w:type="dxa"/>
            <w:tcBorders>
              <w:bottom w:val="single" w:sz="12" w:space="0" w:color="auto"/>
            </w:tcBorders>
            <w:shd w:val="clear" w:color="auto" w:fill="auto"/>
            <w:tcMar>
              <w:top w:w="0" w:type="dxa"/>
              <w:left w:w="0" w:type="dxa"/>
              <w:bottom w:w="0" w:type="dxa"/>
              <w:right w:w="0" w:type="dxa"/>
            </w:tcMar>
            <w:vAlign w:val="bottom"/>
          </w:tcPr>
          <w:p w14:paraId="24B96026" w14:textId="5A103F96" w:rsidR="00D050D4" w:rsidRPr="002C65E3" w:rsidRDefault="00D050D4"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294</w:t>
            </w:r>
          </w:p>
        </w:tc>
        <w:tc>
          <w:tcPr>
            <w:tcW w:w="698" w:type="dxa"/>
            <w:tcBorders>
              <w:bottom w:val="single" w:sz="12" w:space="0" w:color="auto"/>
            </w:tcBorders>
            <w:shd w:val="clear" w:color="auto" w:fill="auto"/>
            <w:tcMar>
              <w:top w:w="0" w:type="dxa"/>
              <w:left w:w="0" w:type="dxa"/>
              <w:bottom w:w="0" w:type="dxa"/>
              <w:right w:w="0" w:type="dxa"/>
            </w:tcMar>
            <w:vAlign w:val="bottom"/>
          </w:tcPr>
          <w:p w14:paraId="76AA51B7" w14:textId="58EFA334" w:rsidR="00D050D4" w:rsidRPr="002C65E3" w:rsidRDefault="00D050D4"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48,3</w:t>
            </w:r>
            <w:r w:rsidR="00791BE9" w:rsidRPr="002C65E3">
              <w:rPr>
                <w:rFonts w:eastAsia="Times New Roman"/>
                <w:sz w:val="18"/>
                <w:lang w:eastAsia="en-US"/>
              </w:rPr>
              <w:t> %</w:t>
            </w:r>
          </w:p>
        </w:tc>
        <w:tc>
          <w:tcPr>
            <w:tcW w:w="473" w:type="dxa"/>
            <w:tcBorders>
              <w:bottom w:val="single" w:sz="12" w:space="0" w:color="auto"/>
            </w:tcBorders>
            <w:shd w:val="clear" w:color="auto" w:fill="auto"/>
            <w:tcMar>
              <w:top w:w="0" w:type="dxa"/>
              <w:left w:w="0" w:type="dxa"/>
              <w:bottom w:w="0" w:type="dxa"/>
              <w:right w:w="0" w:type="dxa"/>
            </w:tcMar>
            <w:vAlign w:val="bottom"/>
          </w:tcPr>
          <w:p w14:paraId="7F0DD75B" w14:textId="6FEFD868" w:rsidR="00D050D4" w:rsidRPr="002C65E3" w:rsidRDefault="00D050D4"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259</w:t>
            </w:r>
          </w:p>
        </w:tc>
        <w:tc>
          <w:tcPr>
            <w:tcW w:w="698" w:type="dxa"/>
            <w:tcBorders>
              <w:bottom w:val="single" w:sz="12" w:space="0" w:color="auto"/>
            </w:tcBorders>
            <w:shd w:val="clear" w:color="auto" w:fill="auto"/>
            <w:tcMar>
              <w:top w:w="0" w:type="dxa"/>
              <w:left w:w="0" w:type="dxa"/>
              <w:bottom w:w="0" w:type="dxa"/>
              <w:right w:w="0" w:type="dxa"/>
            </w:tcMar>
            <w:vAlign w:val="bottom"/>
          </w:tcPr>
          <w:p w14:paraId="510BC441" w14:textId="5FDD16D3" w:rsidR="00D050D4" w:rsidRPr="002C65E3" w:rsidRDefault="00D050D4"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42,3</w:t>
            </w:r>
            <w:r w:rsidR="00791BE9" w:rsidRPr="002C65E3">
              <w:rPr>
                <w:rFonts w:eastAsia="Times New Roman"/>
                <w:sz w:val="18"/>
                <w:lang w:eastAsia="en-US"/>
              </w:rPr>
              <w:t> %</w:t>
            </w:r>
          </w:p>
        </w:tc>
        <w:tc>
          <w:tcPr>
            <w:tcW w:w="461" w:type="dxa"/>
            <w:tcBorders>
              <w:bottom w:val="single" w:sz="12" w:space="0" w:color="auto"/>
            </w:tcBorders>
            <w:shd w:val="clear" w:color="auto" w:fill="auto"/>
            <w:tcMar>
              <w:top w:w="0" w:type="dxa"/>
              <w:left w:w="0" w:type="dxa"/>
              <w:bottom w:w="0" w:type="dxa"/>
              <w:right w:w="0" w:type="dxa"/>
            </w:tcMar>
            <w:vAlign w:val="bottom"/>
          </w:tcPr>
          <w:p w14:paraId="4B74D7BD" w14:textId="4BB2C563" w:rsidR="00D050D4" w:rsidRPr="002C65E3" w:rsidRDefault="00D050D4"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166</w:t>
            </w:r>
          </w:p>
        </w:tc>
        <w:tc>
          <w:tcPr>
            <w:tcW w:w="686" w:type="dxa"/>
            <w:tcBorders>
              <w:bottom w:val="single" w:sz="12" w:space="0" w:color="auto"/>
            </w:tcBorders>
            <w:shd w:val="clear" w:color="auto" w:fill="auto"/>
            <w:tcMar>
              <w:top w:w="0" w:type="dxa"/>
              <w:left w:w="0" w:type="dxa"/>
              <w:bottom w:w="0" w:type="dxa"/>
              <w:right w:w="0" w:type="dxa"/>
            </w:tcMar>
            <w:vAlign w:val="bottom"/>
          </w:tcPr>
          <w:p w14:paraId="5C855D9A" w14:textId="00FED6FF" w:rsidR="00D050D4" w:rsidRPr="002C65E3" w:rsidRDefault="009E0B33"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26.9</w:t>
            </w:r>
            <w:r w:rsidR="00791BE9" w:rsidRPr="002C65E3">
              <w:rPr>
                <w:rFonts w:eastAsia="Times New Roman"/>
                <w:sz w:val="18"/>
                <w:lang w:eastAsia="en-US"/>
              </w:rPr>
              <w:t> %</w:t>
            </w:r>
          </w:p>
        </w:tc>
      </w:tr>
    </w:tbl>
    <w:p w14:paraId="0F593E7C" w14:textId="37BBBE98" w:rsidR="006F4911" w:rsidRPr="002C65E3" w:rsidRDefault="006F4911" w:rsidP="00B547A7">
      <w:pPr>
        <w:pStyle w:val="SingleTxtG"/>
        <w:spacing w:before="120" w:after="240"/>
        <w:ind w:firstLine="170"/>
        <w:jc w:val="left"/>
        <w:rPr>
          <w:sz w:val="18"/>
          <w:szCs w:val="18"/>
          <w:lang w:eastAsia="en-US"/>
        </w:rPr>
      </w:pPr>
      <w:r w:rsidRPr="002C65E3">
        <w:rPr>
          <w:i/>
          <w:iCs/>
          <w:sz w:val="18"/>
          <w:szCs w:val="18"/>
          <w:lang w:eastAsia="en-US"/>
        </w:rPr>
        <w:t>Fuente:</w:t>
      </w:r>
      <w:r w:rsidRPr="002C65E3">
        <w:rPr>
          <w:sz w:val="18"/>
          <w:szCs w:val="18"/>
          <w:lang w:eastAsia="en-US"/>
        </w:rPr>
        <w:t xml:space="preserve"> Servicio Civil y SENADIS</w:t>
      </w:r>
      <w:r w:rsidR="00CE62FA" w:rsidRPr="002C65E3">
        <w:rPr>
          <w:sz w:val="18"/>
          <w:szCs w:val="18"/>
          <w:lang w:eastAsia="en-US"/>
        </w:rPr>
        <w:t>.</w:t>
      </w:r>
    </w:p>
    <w:p w14:paraId="4B0BA79A" w14:textId="5945189D" w:rsidR="006F4911" w:rsidRPr="002C65E3" w:rsidRDefault="00156F70" w:rsidP="00156F70">
      <w:pPr>
        <w:pStyle w:val="SingleTxtG"/>
        <w:tabs>
          <w:tab w:val="clear" w:pos="2268"/>
          <w:tab w:val="clear" w:pos="2835"/>
        </w:tabs>
        <w:rPr>
          <w:rFonts w:eastAsia="Times New Roman"/>
          <w:lang w:eastAsia="en-US"/>
        </w:rPr>
      </w:pPr>
      <w:r w:rsidRPr="002C65E3">
        <w:rPr>
          <w:rFonts w:eastAsia="Times New Roman"/>
          <w:lang w:eastAsia="en-US"/>
        </w:rPr>
        <w:t>166.</w:t>
      </w:r>
      <w:r w:rsidRPr="002C65E3">
        <w:rPr>
          <w:rFonts w:eastAsia="Times New Roman"/>
          <w:lang w:eastAsia="en-US"/>
        </w:rPr>
        <w:tab/>
      </w:r>
      <w:r w:rsidR="006F4911" w:rsidRPr="002C65E3">
        <w:rPr>
          <w:rFonts w:eastAsia="Times New Roman"/>
          <w:lang w:eastAsia="en-US"/>
        </w:rPr>
        <w:t>En el sector privado, al 30.06.2022, había 15.235 empresas con 57.438 contratos vigentes de PcD o asignataria de pensión de invalidez.</w:t>
      </w:r>
    </w:p>
    <w:p w14:paraId="1929A5AD" w14:textId="46388F8F" w:rsidR="006F4911" w:rsidRPr="002C65E3" w:rsidRDefault="009E0B33" w:rsidP="00B547A7">
      <w:pPr>
        <w:pStyle w:val="H23G"/>
        <w:rPr>
          <w:lang w:eastAsia="en-US"/>
        </w:rPr>
      </w:pPr>
      <w:r w:rsidRPr="002C65E3">
        <w:rPr>
          <w:lang w:eastAsia="en-US"/>
        </w:rPr>
        <w:lastRenderedPageBreak/>
        <w:tab/>
      </w:r>
      <w:r w:rsidRPr="002C65E3">
        <w:rPr>
          <w:lang w:eastAsia="en-US"/>
        </w:rPr>
        <w:tab/>
      </w:r>
      <w:r w:rsidR="006F4911" w:rsidRPr="002C65E3">
        <w:rPr>
          <w:lang w:eastAsia="en-US"/>
        </w:rPr>
        <w:t>Número de contratos registrados, según vigencia de los contratos</w:t>
      </w:r>
      <w:r w:rsidR="006F4911" w:rsidRPr="002C65E3">
        <w:rPr>
          <w:rStyle w:val="Refdenotaalpie"/>
          <w:b w:val="0"/>
        </w:rPr>
        <w:footnoteReference w:id="250"/>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560"/>
        <w:gridCol w:w="726"/>
        <w:gridCol w:w="726"/>
        <w:gridCol w:w="726"/>
        <w:gridCol w:w="727"/>
        <w:gridCol w:w="726"/>
        <w:gridCol w:w="726"/>
        <w:gridCol w:w="726"/>
        <w:gridCol w:w="727"/>
      </w:tblGrid>
      <w:tr w:rsidR="00B547A7" w:rsidRPr="002C65E3" w14:paraId="4B28C309" w14:textId="77777777" w:rsidTr="00B547A7">
        <w:trPr>
          <w:trHeight w:val="240"/>
          <w:tblHeader/>
        </w:trPr>
        <w:tc>
          <w:tcPr>
            <w:tcW w:w="1560" w:type="dxa"/>
            <w:vMerge w:val="restart"/>
            <w:tcBorders>
              <w:top w:val="single" w:sz="4" w:space="0" w:color="auto"/>
            </w:tcBorders>
            <w:shd w:val="clear" w:color="auto" w:fill="auto"/>
            <w:vAlign w:val="bottom"/>
          </w:tcPr>
          <w:p w14:paraId="4F900CE2" w14:textId="4249BF29" w:rsidR="00B547A7" w:rsidRPr="002C65E3" w:rsidRDefault="00B547A7" w:rsidP="00B547A7">
            <w:pPr>
              <w:spacing w:before="80" w:after="80" w:line="200" w:lineRule="exact"/>
              <w:rPr>
                <w:rFonts w:eastAsia="Times New Roman"/>
                <w:i/>
                <w:sz w:val="16"/>
                <w:lang w:eastAsia="en-US"/>
              </w:rPr>
            </w:pPr>
            <w:r w:rsidRPr="002C65E3">
              <w:rPr>
                <w:rFonts w:eastAsia="Times New Roman"/>
                <w:i/>
                <w:sz w:val="16"/>
                <w:lang w:eastAsia="en-US"/>
              </w:rPr>
              <w:t>Vigencia contratos</w:t>
            </w:r>
          </w:p>
        </w:tc>
        <w:tc>
          <w:tcPr>
            <w:tcW w:w="1452" w:type="dxa"/>
            <w:gridSpan w:val="2"/>
            <w:tcBorders>
              <w:top w:val="single" w:sz="4" w:space="0" w:color="auto"/>
              <w:bottom w:val="single" w:sz="4" w:space="0" w:color="auto"/>
              <w:right w:val="single" w:sz="24" w:space="0" w:color="FFFFFF" w:themeColor="background1"/>
            </w:tcBorders>
            <w:shd w:val="clear" w:color="auto" w:fill="auto"/>
            <w:vAlign w:val="bottom"/>
          </w:tcPr>
          <w:p w14:paraId="644B227A" w14:textId="77777777" w:rsidR="00B547A7" w:rsidRPr="002C65E3" w:rsidRDefault="00B547A7" w:rsidP="00B547A7">
            <w:pPr>
              <w:spacing w:before="80" w:after="80" w:line="200" w:lineRule="exact"/>
              <w:ind w:left="85" w:right="28"/>
              <w:jc w:val="center"/>
              <w:rPr>
                <w:rFonts w:eastAsia="Times New Roman"/>
                <w:bCs/>
                <w:i/>
                <w:sz w:val="16"/>
                <w:lang w:eastAsia="en-US"/>
              </w:rPr>
            </w:pPr>
            <w:r w:rsidRPr="002C65E3">
              <w:rPr>
                <w:rFonts w:eastAsia="Times New Roman"/>
                <w:bCs/>
                <w:i/>
                <w:sz w:val="16"/>
                <w:lang w:eastAsia="en-US"/>
              </w:rPr>
              <w:t>28.02.2019</w:t>
            </w:r>
          </w:p>
        </w:tc>
        <w:tc>
          <w:tcPr>
            <w:tcW w:w="14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1767D22" w14:textId="77777777" w:rsidR="00B547A7" w:rsidRPr="002C65E3" w:rsidRDefault="00B547A7" w:rsidP="00B547A7">
            <w:pPr>
              <w:spacing w:before="80" w:after="80" w:line="200" w:lineRule="exact"/>
              <w:ind w:left="85" w:right="28"/>
              <w:jc w:val="center"/>
              <w:rPr>
                <w:rFonts w:eastAsia="Times New Roman"/>
                <w:bCs/>
                <w:i/>
                <w:sz w:val="16"/>
                <w:lang w:eastAsia="en-US"/>
              </w:rPr>
            </w:pPr>
            <w:r w:rsidRPr="002C65E3">
              <w:rPr>
                <w:rFonts w:eastAsia="Times New Roman"/>
                <w:bCs/>
                <w:i/>
                <w:sz w:val="16"/>
                <w:lang w:eastAsia="en-US"/>
              </w:rPr>
              <w:t>28.02.2020</w:t>
            </w:r>
          </w:p>
        </w:tc>
        <w:tc>
          <w:tcPr>
            <w:tcW w:w="145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9AB60E3" w14:textId="77777777" w:rsidR="00B547A7" w:rsidRPr="002C65E3" w:rsidRDefault="00B547A7" w:rsidP="00B547A7">
            <w:pPr>
              <w:spacing w:before="80" w:after="80" w:line="200" w:lineRule="exact"/>
              <w:ind w:left="85" w:right="28"/>
              <w:jc w:val="center"/>
              <w:rPr>
                <w:rFonts w:eastAsia="Times New Roman"/>
                <w:bCs/>
                <w:i/>
                <w:sz w:val="16"/>
                <w:lang w:eastAsia="en-US"/>
              </w:rPr>
            </w:pPr>
            <w:r w:rsidRPr="002C65E3">
              <w:rPr>
                <w:rFonts w:eastAsia="Times New Roman"/>
                <w:bCs/>
                <w:i/>
                <w:sz w:val="16"/>
                <w:lang w:eastAsia="en-US"/>
              </w:rPr>
              <w:t>30.09.2021</w:t>
            </w:r>
          </w:p>
        </w:tc>
        <w:tc>
          <w:tcPr>
            <w:tcW w:w="1453" w:type="dxa"/>
            <w:gridSpan w:val="2"/>
            <w:tcBorders>
              <w:top w:val="single" w:sz="4" w:space="0" w:color="auto"/>
              <w:left w:val="single" w:sz="24" w:space="0" w:color="FFFFFF" w:themeColor="background1"/>
              <w:bottom w:val="single" w:sz="4" w:space="0" w:color="auto"/>
            </w:tcBorders>
            <w:shd w:val="clear" w:color="auto" w:fill="auto"/>
            <w:vAlign w:val="bottom"/>
          </w:tcPr>
          <w:p w14:paraId="2EB0AEA5" w14:textId="77777777" w:rsidR="00B547A7" w:rsidRPr="002C65E3" w:rsidRDefault="00B547A7" w:rsidP="00B547A7">
            <w:pPr>
              <w:spacing w:before="80" w:after="80" w:line="200" w:lineRule="exact"/>
              <w:ind w:left="85" w:right="28"/>
              <w:jc w:val="center"/>
              <w:rPr>
                <w:rFonts w:eastAsia="Times New Roman"/>
                <w:bCs/>
                <w:i/>
                <w:sz w:val="16"/>
                <w:lang w:eastAsia="en-US"/>
              </w:rPr>
            </w:pPr>
            <w:r w:rsidRPr="002C65E3">
              <w:rPr>
                <w:rFonts w:eastAsia="Times New Roman"/>
                <w:bCs/>
                <w:i/>
                <w:sz w:val="16"/>
                <w:lang w:eastAsia="en-US"/>
              </w:rPr>
              <w:t>30.06.2022</w:t>
            </w:r>
          </w:p>
        </w:tc>
      </w:tr>
      <w:tr w:rsidR="00B547A7" w:rsidRPr="002C65E3" w14:paraId="384A1F9C" w14:textId="77777777" w:rsidTr="00B547A7">
        <w:trPr>
          <w:trHeight w:val="240"/>
        </w:trPr>
        <w:tc>
          <w:tcPr>
            <w:tcW w:w="1560" w:type="dxa"/>
            <w:vMerge/>
            <w:tcBorders>
              <w:bottom w:val="single" w:sz="12" w:space="0" w:color="auto"/>
            </w:tcBorders>
            <w:shd w:val="clear" w:color="auto" w:fill="auto"/>
          </w:tcPr>
          <w:p w14:paraId="75CF1AF7" w14:textId="113BE841" w:rsidR="00B547A7" w:rsidRPr="002C65E3" w:rsidRDefault="00B547A7" w:rsidP="00B547A7">
            <w:pPr>
              <w:spacing w:before="80" w:after="80" w:line="200" w:lineRule="exact"/>
              <w:rPr>
                <w:rFonts w:eastAsia="Times New Roman"/>
                <w:i/>
                <w:sz w:val="16"/>
                <w:lang w:eastAsia="en-US"/>
              </w:rPr>
            </w:pPr>
          </w:p>
        </w:tc>
        <w:tc>
          <w:tcPr>
            <w:tcW w:w="726" w:type="dxa"/>
            <w:tcBorders>
              <w:top w:val="single" w:sz="4" w:space="0" w:color="auto"/>
              <w:bottom w:val="single" w:sz="12" w:space="0" w:color="auto"/>
            </w:tcBorders>
            <w:shd w:val="clear" w:color="auto" w:fill="auto"/>
            <w:vAlign w:val="bottom"/>
          </w:tcPr>
          <w:p w14:paraId="254A68BF" w14:textId="77777777" w:rsidR="00B547A7" w:rsidRPr="002C65E3" w:rsidRDefault="00B547A7" w:rsidP="00B547A7">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p>
        </w:tc>
        <w:tc>
          <w:tcPr>
            <w:tcW w:w="726" w:type="dxa"/>
            <w:tcBorders>
              <w:top w:val="single" w:sz="4" w:space="0" w:color="auto"/>
              <w:bottom w:val="single" w:sz="12" w:space="0" w:color="auto"/>
              <w:right w:val="single" w:sz="24" w:space="0" w:color="FFFFFF" w:themeColor="background1"/>
            </w:tcBorders>
            <w:shd w:val="clear" w:color="auto" w:fill="auto"/>
            <w:vAlign w:val="bottom"/>
          </w:tcPr>
          <w:p w14:paraId="32A13A55" w14:textId="59567CEC" w:rsidR="00B547A7" w:rsidRPr="002C65E3" w:rsidRDefault="00B547A7" w:rsidP="00B547A7">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w:t>
            </w:r>
          </w:p>
        </w:tc>
        <w:tc>
          <w:tcPr>
            <w:tcW w:w="726" w:type="dxa"/>
            <w:tcBorders>
              <w:top w:val="single" w:sz="4" w:space="0" w:color="auto"/>
              <w:left w:val="single" w:sz="24" w:space="0" w:color="FFFFFF" w:themeColor="background1"/>
              <w:bottom w:val="single" w:sz="12" w:space="0" w:color="auto"/>
            </w:tcBorders>
            <w:shd w:val="clear" w:color="auto" w:fill="auto"/>
            <w:vAlign w:val="bottom"/>
          </w:tcPr>
          <w:p w14:paraId="6E47ABA3" w14:textId="1A0AA794" w:rsidR="00B547A7" w:rsidRPr="002C65E3" w:rsidRDefault="00B547A7" w:rsidP="00B547A7">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p>
        </w:tc>
        <w:tc>
          <w:tcPr>
            <w:tcW w:w="727" w:type="dxa"/>
            <w:tcBorders>
              <w:top w:val="single" w:sz="4" w:space="0" w:color="auto"/>
              <w:bottom w:val="single" w:sz="12" w:space="0" w:color="auto"/>
              <w:right w:val="single" w:sz="24" w:space="0" w:color="FFFFFF" w:themeColor="background1"/>
            </w:tcBorders>
            <w:shd w:val="clear" w:color="auto" w:fill="auto"/>
            <w:vAlign w:val="bottom"/>
          </w:tcPr>
          <w:p w14:paraId="4E908779" w14:textId="66035A33" w:rsidR="00B547A7" w:rsidRPr="002C65E3" w:rsidRDefault="00B547A7" w:rsidP="00B547A7">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w:t>
            </w:r>
          </w:p>
        </w:tc>
        <w:tc>
          <w:tcPr>
            <w:tcW w:w="726" w:type="dxa"/>
            <w:tcBorders>
              <w:top w:val="single" w:sz="4" w:space="0" w:color="auto"/>
              <w:left w:val="single" w:sz="24" w:space="0" w:color="FFFFFF" w:themeColor="background1"/>
              <w:bottom w:val="single" w:sz="12" w:space="0" w:color="auto"/>
            </w:tcBorders>
            <w:shd w:val="clear" w:color="auto" w:fill="auto"/>
            <w:vAlign w:val="bottom"/>
          </w:tcPr>
          <w:p w14:paraId="19A9FF28" w14:textId="0DB5EDDA" w:rsidR="00B547A7" w:rsidRPr="002C65E3" w:rsidRDefault="00B547A7" w:rsidP="00B547A7">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p>
        </w:tc>
        <w:tc>
          <w:tcPr>
            <w:tcW w:w="726" w:type="dxa"/>
            <w:tcBorders>
              <w:top w:val="single" w:sz="4" w:space="0" w:color="auto"/>
              <w:bottom w:val="single" w:sz="12" w:space="0" w:color="auto"/>
              <w:right w:val="single" w:sz="24" w:space="0" w:color="FFFFFF" w:themeColor="background1"/>
            </w:tcBorders>
            <w:shd w:val="clear" w:color="auto" w:fill="auto"/>
            <w:vAlign w:val="bottom"/>
          </w:tcPr>
          <w:p w14:paraId="29AE5EF9" w14:textId="29A84905" w:rsidR="00B547A7" w:rsidRPr="002C65E3" w:rsidRDefault="00B547A7" w:rsidP="00B547A7">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w:t>
            </w:r>
          </w:p>
        </w:tc>
        <w:tc>
          <w:tcPr>
            <w:tcW w:w="726" w:type="dxa"/>
            <w:tcBorders>
              <w:top w:val="single" w:sz="4" w:space="0" w:color="auto"/>
              <w:left w:val="single" w:sz="24" w:space="0" w:color="FFFFFF" w:themeColor="background1"/>
              <w:bottom w:val="single" w:sz="12" w:space="0" w:color="auto"/>
            </w:tcBorders>
            <w:shd w:val="clear" w:color="auto" w:fill="auto"/>
            <w:vAlign w:val="bottom"/>
          </w:tcPr>
          <w:p w14:paraId="217E4E33" w14:textId="77777777" w:rsidR="00B547A7" w:rsidRPr="002C65E3" w:rsidRDefault="00B547A7" w:rsidP="00B547A7">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p>
        </w:tc>
        <w:tc>
          <w:tcPr>
            <w:tcW w:w="727" w:type="dxa"/>
            <w:tcBorders>
              <w:top w:val="single" w:sz="4" w:space="0" w:color="auto"/>
              <w:bottom w:val="single" w:sz="12" w:space="0" w:color="auto"/>
            </w:tcBorders>
            <w:shd w:val="clear" w:color="auto" w:fill="auto"/>
            <w:vAlign w:val="bottom"/>
          </w:tcPr>
          <w:p w14:paraId="058AC8E8" w14:textId="38060D46" w:rsidR="00B547A7" w:rsidRPr="002C65E3" w:rsidRDefault="00B547A7" w:rsidP="00B547A7">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w:t>
            </w:r>
          </w:p>
        </w:tc>
      </w:tr>
      <w:tr w:rsidR="00B547A7" w:rsidRPr="002C65E3" w14:paraId="09F8C566" w14:textId="77777777" w:rsidTr="00B547A7">
        <w:trPr>
          <w:trHeight w:val="240"/>
        </w:trPr>
        <w:tc>
          <w:tcPr>
            <w:tcW w:w="1560" w:type="dxa"/>
            <w:tcBorders>
              <w:top w:val="single" w:sz="12" w:space="0" w:color="auto"/>
            </w:tcBorders>
            <w:shd w:val="clear" w:color="auto" w:fill="auto"/>
          </w:tcPr>
          <w:p w14:paraId="0EAB6769" w14:textId="328C0A88" w:rsidR="006F4911" w:rsidRPr="002C65E3" w:rsidRDefault="006F4911" w:rsidP="00B547A7">
            <w:pPr>
              <w:spacing w:before="40" w:after="40" w:line="220" w:lineRule="exact"/>
              <w:rPr>
                <w:rFonts w:eastAsia="Times New Roman"/>
                <w:sz w:val="18"/>
                <w:lang w:eastAsia="en-US"/>
              </w:rPr>
            </w:pPr>
            <w:r w:rsidRPr="002C65E3">
              <w:rPr>
                <w:rFonts w:eastAsia="Times New Roman"/>
                <w:sz w:val="18"/>
                <w:lang w:eastAsia="en-US"/>
              </w:rPr>
              <w:t>Contratos vigentes</w:t>
            </w:r>
            <w:r w:rsidR="00791BE9" w:rsidRPr="002C65E3">
              <w:rPr>
                <w:rFonts w:eastAsia="Times New Roman"/>
                <w:sz w:val="18"/>
                <w:lang w:eastAsia="en-US"/>
              </w:rPr>
              <w:t xml:space="preserve"> </w:t>
            </w:r>
          </w:p>
        </w:tc>
        <w:tc>
          <w:tcPr>
            <w:tcW w:w="726" w:type="dxa"/>
            <w:tcBorders>
              <w:top w:val="single" w:sz="12" w:space="0" w:color="auto"/>
            </w:tcBorders>
            <w:shd w:val="clear" w:color="auto" w:fill="auto"/>
            <w:vAlign w:val="bottom"/>
          </w:tcPr>
          <w:p w14:paraId="60AAE269"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11.426</w:t>
            </w:r>
          </w:p>
        </w:tc>
        <w:tc>
          <w:tcPr>
            <w:tcW w:w="726" w:type="dxa"/>
            <w:tcBorders>
              <w:top w:val="single" w:sz="12" w:space="0" w:color="auto"/>
            </w:tcBorders>
            <w:shd w:val="clear" w:color="auto" w:fill="auto"/>
            <w:vAlign w:val="bottom"/>
          </w:tcPr>
          <w:p w14:paraId="16BCC9FD"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89,2</w:t>
            </w:r>
          </w:p>
        </w:tc>
        <w:tc>
          <w:tcPr>
            <w:tcW w:w="726" w:type="dxa"/>
            <w:tcBorders>
              <w:top w:val="single" w:sz="12" w:space="0" w:color="auto"/>
            </w:tcBorders>
            <w:shd w:val="clear" w:color="auto" w:fill="auto"/>
            <w:vAlign w:val="bottom"/>
          </w:tcPr>
          <w:p w14:paraId="639D9B57"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20.071</w:t>
            </w:r>
          </w:p>
        </w:tc>
        <w:tc>
          <w:tcPr>
            <w:tcW w:w="727" w:type="dxa"/>
            <w:tcBorders>
              <w:top w:val="single" w:sz="12" w:space="0" w:color="auto"/>
            </w:tcBorders>
            <w:shd w:val="clear" w:color="auto" w:fill="auto"/>
            <w:vAlign w:val="bottom"/>
          </w:tcPr>
          <w:p w14:paraId="305D4DCB"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79,6</w:t>
            </w:r>
          </w:p>
        </w:tc>
        <w:tc>
          <w:tcPr>
            <w:tcW w:w="726" w:type="dxa"/>
            <w:tcBorders>
              <w:top w:val="single" w:sz="12" w:space="0" w:color="auto"/>
            </w:tcBorders>
            <w:shd w:val="clear" w:color="auto" w:fill="auto"/>
            <w:vAlign w:val="bottom"/>
          </w:tcPr>
          <w:p w14:paraId="067E41E3"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22.745</w:t>
            </w:r>
          </w:p>
        </w:tc>
        <w:tc>
          <w:tcPr>
            <w:tcW w:w="726" w:type="dxa"/>
            <w:tcBorders>
              <w:top w:val="single" w:sz="12" w:space="0" w:color="auto"/>
            </w:tcBorders>
            <w:shd w:val="clear" w:color="auto" w:fill="auto"/>
            <w:vAlign w:val="bottom"/>
          </w:tcPr>
          <w:p w14:paraId="34B24C7A"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63,38</w:t>
            </w:r>
          </w:p>
        </w:tc>
        <w:tc>
          <w:tcPr>
            <w:tcW w:w="726" w:type="dxa"/>
            <w:tcBorders>
              <w:top w:val="single" w:sz="12" w:space="0" w:color="auto"/>
            </w:tcBorders>
            <w:shd w:val="clear" w:color="auto" w:fill="auto"/>
            <w:vAlign w:val="bottom"/>
          </w:tcPr>
          <w:p w14:paraId="372CA1D6"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57.438</w:t>
            </w:r>
          </w:p>
        </w:tc>
        <w:tc>
          <w:tcPr>
            <w:tcW w:w="727" w:type="dxa"/>
            <w:tcBorders>
              <w:top w:val="single" w:sz="12" w:space="0" w:color="auto"/>
            </w:tcBorders>
            <w:shd w:val="clear" w:color="auto" w:fill="auto"/>
            <w:vAlign w:val="bottom"/>
          </w:tcPr>
          <w:p w14:paraId="46496D74"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64,7</w:t>
            </w:r>
          </w:p>
        </w:tc>
      </w:tr>
      <w:tr w:rsidR="00B547A7" w:rsidRPr="002C65E3" w14:paraId="1FBF4F9B" w14:textId="77777777" w:rsidTr="00B547A7">
        <w:trPr>
          <w:trHeight w:val="240"/>
        </w:trPr>
        <w:tc>
          <w:tcPr>
            <w:tcW w:w="1560" w:type="dxa"/>
            <w:tcBorders>
              <w:bottom w:val="single" w:sz="4" w:space="0" w:color="auto"/>
            </w:tcBorders>
            <w:shd w:val="clear" w:color="auto" w:fill="auto"/>
          </w:tcPr>
          <w:p w14:paraId="27B98DC2" w14:textId="77777777" w:rsidR="006F4911" w:rsidRPr="002C65E3" w:rsidRDefault="006F4911" w:rsidP="00B547A7">
            <w:pPr>
              <w:spacing w:before="40" w:after="40" w:line="220" w:lineRule="exact"/>
              <w:rPr>
                <w:rFonts w:eastAsia="Times New Roman"/>
                <w:sz w:val="18"/>
                <w:lang w:eastAsia="en-US"/>
              </w:rPr>
            </w:pPr>
            <w:r w:rsidRPr="002C65E3">
              <w:rPr>
                <w:rFonts w:eastAsia="Times New Roman"/>
                <w:sz w:val="18"/>
                <w:lang w:eastAsia="en-US"/>
              </w:rPr>
              <w:t xml:space="preserve">Contratos terminados </w:t>
            </w:r>
          </w:p>
        </w:tc>
        <w:tc>
          <w:tcPr>
            <w:tcW w:w="726" w:type="dxa"/>
            <w:tcBorders>
              <w:bottom w:val="single" w:sz="4" w:space="0" w:color="auto"/>
            </w:tcBorders>
            <w:shd w:val="clear" w:color="auto" w:fill="auto"/>
            <w:vAlign w:val="bottom"/>
          </w:tcPr>
          <w:p w14:paraId="14800BB1"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1.377</w:t>
            </w:r>
          </w:p>
        </w:tc>
        <w:tc>
          <w:tcPr>
            <w:tcW w:w="726" w:type="dxa"/>
            <w:tcBorders>
              <w:bottom w:val="single" w:sz="4" w:space="0" w:color="auto"/>
            </w:tcBorders>
            <w:shd w:val="clear" w:color="auto" w:fill="auto"/>
            <w:vAlign w:val="bottom"/>
          </w:tcPr>
          <w:p w14:paraId="0F4D5255"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10,8</w:t>
            </w:r>
          </w:p>
        </w:tc>
        <w:tc>
          <w:tcPr>
            <w:tcW w:w="726" w:type="dxa"/>
            <w:tcBorders>
              <w:bottom w:val="single" w:sz="4" w:space="0" w:color="auto"/>
            </w:tcBorders>
            <w:shd w:val="clear" w:color="auto" w:fill="auto"/>
            <w:vAlign w:val="bottom"/>
          </w:tcPr>
          <w:p w14:paraId="245C2FDE"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5.138</w:t>
            </w:r>
          </w:p>
        </w:tc>
        <w:tc>
          <w:tcPr>
            <w:tcW w:w="727" w:type="dxa"/>
            <w:tcBorders>
              <w:bottom w:val="single" w:sz="4" w:space="0" w:color="auto"/>
            </w:tcBorders>
            <w:shd w:val="clear" w:color="auto" w:fill="auto"/>
            <w:vAlign w:val="bottom"/>
          </w:tcPr>
          <w:p w14:paraId="7FA518D5"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20,4</w:t>
            </w:r>
          </w:p>
        </w:tc>
        <w:tc>
          <w:tcPr>
            <w:tcW w:w="726" w:type="dxa"/>
            <w:tcBorders>
              <w:bottom w:val="single" w:sz="4" w:space="0" w:color="auto"/>
            </w:tcBorders>
            <w:shd w:val="clear" w:color="auto" w:fill="auto"/>
            <w:vAlign w:val="bottom"/>
          </w:tcPr>
          <w:p w14:paraId="7BB6A4A0"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13.138</w:t>
            </w:r>
          </w:p>
        </w:tc>
        <w:tc>
          <w:tcPr>
            <w:tcW w:w="726" w:type="dxa"/>
            <w:tcBorders>
              <w:bottom w:val="single" w:sz="4" w:space="0" w:color="auto"/>
            </w:tcBorders>
            <w:shd w:val="clear" w:color="auto" w:fill="auto"/>
            <w:vAlign w:val="bottom"/>
          </w:tcPr>
          <w:p w14:paraId="28D69B11"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36,61</w:t>
            </w:r>
          </w:p>
        </w:tc>
        <w:tc>
          <w:tcPr>
            <w:tcW w:w="726" w:type="dxa"/>
            <w:tcBorders>
              <w:bottom w:val="single" w:sz="4" w:space="0" w:color="auto"/>
            </w:tcBorders>
            <w:shd w:val="clear" w:color="auto" w:fill="auto"/>
            <w:vAlign w:val="bottom"/>
          </w:tcPr>
          <w:p w14:paraId="4C07A847"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31.189</w:t>
            </w:r>
          </w:p>
        </w:tc>
        <w:tc>
          <w:tcPr>
            <w:tcW w:w="727" w:type="dxa"/>
            <w:tcBorders>
              <w:bottom w:val="single" w:sz="4" w:space="0" w:color="auto"/>
            </w:tcBorders>
            <w:shd w:val="clear" w:color="auto" w:fill="auto"/>
            <w:vAlign w:val="bottom"/>
          </w:tcPr>
          <w:p w14:paraId="5CCF821C" w14:textId="77777777" w:rsidR="006F4911" w:rsidRPr="002C65E3" w:rsidRDefault="006F4911" w:rsidP="00B547A7">
            <w:pPr>
              <w:spacing w:before="40" w:after="40" w:line="220" w:lineRule="exact"/>
              <w:ind w:left="85" w:right="28"/>
              <w:jc w:val="right"/>
              <w:rPr>
                <w:rFonts w:eastAsia="Times New Roman"/>
                <w:sz w:val="18"/>
                <w:lang w:eastAsia="en-US"/>
              </w:rPr>
            </w:pPr>
            <w:r w:rsidRPr="002C65E3">
              <w:rPr>
                <w:rFonts w:eastAsia="Times New Roman"/>
                <w:sz w:val="18"/>
                <w:lang w:eastAsia="en-US"/>
              </w:rPr>
              <w:t>35,2</w:t>
            </w:r>
          </w:p>
        </w:tc>
      </w:tr>
      <w:tr w:rsidR="00B547A7" w:rsidRPr="002C65E3" w14:paraId="42033BB9" w14:textId="77777777" w:rsidTr="00B547A7">
        <w:trPr>
          <w:trHeight w:val="240"/>
        </w:trPr>
        <w:tc>
          <w:tcPr>
            <w:tcW w:w="1560" w:type="dxa"/>
            <w:tcBorders>
              <w:top w:val="single" w:sz="4" w:space="0" w:color="auto"/>
              <w:bottom w:val="single" w:sz="12" w:space="0" w:color="auto"/>
            </w:tcBorders>
            <w:shd w:val="clear" w:color="auto" w:fill="auto"/>
          </w:tcPr>
          <w:p w14:paraId="095DA236" w14:textId="77777777" w:rsidR="006F4911" w:rsidRPr="002C65E3" w:rsidRDefault="006F4911" w:rsidP="00B547A7">
            <w:pPr>
              <w:spacing w:before="80" w:after="80" w:line="220" w:lineRule="exact"/>
              <w:ind w:left="283"/>
              <w:rPr>
                <w:rFonts w:eastAsia="Times New Roman"/>
                <w:b/>
                <w:sz w:val="18"/>
                <w:lang w:eastAsia="en-US"/>
              </w:rPr>
            </w:pPr>
            <w:r w:rsidRPr="002C65E3">
              <w:rPr>
                <w:rFonts w:eastAsia="Times New Roman"/>
                <w:b/>
                <w:sz w:val="18"/>
                <w:lang w:eastAsia="en-US"/>
              </w:rPr>
              <w:t xml:space="preserve">Total contratos registrados </w:t>
            </w:r>
          </w:p>
        </w:tc>
        <w:tc>
          <w:tcPr>
            <w:tcW w:w="726" w:type="dxa"/>
            <w:tcBorders>
              <w:top w:val="single" w:sz="4" w:space="0" w:color="auto"/>
              <w:bottom w:val="single" w:sz="12" w:space="0" w:color="auto"/>
            </w:tcBorders>
            <w:shd w:val="clear" w:color="auto" w:fill="auto"/>
            <w:vAlign w:val="bottom"/>
          </w:tcPr>
          <w:p w14:paraId="6824AE3B" w14:textId="77777777" w:rsidR="006F4911" w:rsidRPr="002C65E3" w:rsidRDefault="006F4911" w:rsidP="00B547A7">
            <w:pPr>
              <w:spacing w:before="80" w:after="80" w:line="220" w:lineRule="exact"/>
              <w:ind w:left="85" w:right="28"/>
              <w:jc w:val="right"/>
              <w:rPr>
                <w:rFonts w:eastAsia="Times New Roman"/>
                <w:b/>
                <w:sz w:val="18"/>
                <w:lang w:eastAsia="en-US"/>
              </w:rPr>
            </w:pPr>
            <w:r w:rsidRPr="002C65E3">
              <w:rPr>
                <w:rFonts w:eastAsia="Times New Roman"/>
                <w:b/>
                <w:sz w:val="18"/>
                <w:lang w:eastAsia="en-US"/>
              </w:rPr>
              <w:t>12.803</w:t>
            </w:r>
          </w:p>
        </w:tc>
        <w:tc>
          <w:tcPr>
            <w:tcW w:w="726" w:type="dxa"/>
            <w:tcBorders>
              <w:top w:val="single" w:sz="4" w:space="0" w:color="auto"/>
              <w:bottom w:val="single" w:sz="12" w:space="0" w:color="auto"/>
            </w:tcBorders>
            <w:shd w:val="clear" w:color="auto" w:fill="auto"/>
            <w:vAlign w:val="bottom"/>
          </w:tcPr>
          <w:p w14:paraId="623D0B9C" w14:textId="77777777" w:rsidR="006F4911" w:rsidRPr="002C65E3" w:rsidRDefault="006F4911" w:rsidP="00B547A7">
            <w:pPr>
              <w:spacing w:before="80" w:after="80" w:line="220" w:lineRule="exact"/>
              <w:ind w:left="85" w:right="28"/>
              <w:jc w:val="right"/>
              <w:rPr>
                <w:rFonts w:eastAsia="Times New Roman"/>
                <w:b/>
                <w:sz w:val="18"/>
                <w:lang w:eastAsia="en-US"/>
              </w:rPr>
            </w:pPr>
            <w:r w:rsidRPr="002C65E3">
              <w:rPr>
                <w:rFonts w:eastAsia="Times New Roman"/>
                <w:b/>
                <w:sz w:val="18"/>
                <w:lang w:eastAsia="en-US"/>
              </w:rPr>
              <w:t>100</w:t>
            </w:r>
          </w:p>
        </w:tc>
        <w:tc>
          <w:tcPr>
            <w:tcW w:w="726" w:type="dxa"/>
            <w:tcBorders>
              <w:top w:val="single" w:sz="4" w:space="0" w:color="auto"/>
              <w:bottom w:val="single" w:sz="12" w:space="0" w:color="auto"/>
            </w:tcBorders>
            <w:shd w:val="clear" w:color="auto" w:fill="auto"/>
            <w:vAlign w:val="bottom"/>
          </w:tcPr>
          <w:p w14:paraId="5AF35B61" w14:textId="77777777" w:rsidR="006F4911" w:rsidRPr="002C65E3" w:rsidRDefault="006F4911" w:rsidP="00B547A7">
            <w:pPr>
              <w:spacing w:before="80" w:after="80" w:line="220" w:lineRule="exact"/>
              <w:ind w:left="85" w:right="28"/>
              <w:jc w:val="right"/>
              <w:rPr>
                <w:rFonts w:eastAsia="Times New Roman"/>
                <w:b/>
                <w:sz w:val="18"/>
                <w:lang w:eastAsia="en-US"/>
              </w:rPr>
            </w:pPr>
            <w:r w:rsidRPr="002C65E3">
              <w:rPr>
                <w:rFonts w:eastAsia="Times New Roman"/>
                <w:b/>
                <w:sz w:val="18"/>
                <w:lang w:eastAsia="en-US"/>
              </w:rPr>
              <w:t>25.209</w:t>
            </w:r>
          </w:p>
        </w:tc>
        <w:tc>
          <w:tcPr>
            <w:tcW w:w="727" w:type="dxa"/>
            <w:tcBorders>
              <w:top w:val="single" w:sz="4" w:space="0" w:color="auto"/>
              <w:bottom w:val="single" w:sz="12" w:space="0" w:color="auto"/>
            </w:tcBorders>
            <w:shd w:val="clear" w:color="auto" w:fill="auto"/>
            <w:vAlign w:val="bottom"/>
          </w:tcPr>
          <w:p w14:paraId="45056DCE" w14:textId="77777777" w:rsidR="006F4911" w:rsidRPr="002C65E3" w:rsidRDefault="006F4911" w:rsidP="00B547A7">
            <w:pPr>
              <w:spacing w:before="80" w:after="80" w:line="220" w:lineRule="exact"/>
              <w:ind w:left="85" w:right="28"/>
              <w:jc w:val="right"/>
              <w:rPr>
                <w:rFonts w:eastAsia="Times New Roman"/>
                <w:b/>
                <w:sz w:val="18"/>
                <w:lang w:eastAsia="en-US"/>
              </w:rPr>
            </w:pPr>
            <w:r w:rsidRPr="002C65E3">
              <w:rPr>
                <w:rFonts w:eastAsia="Times New Roman"/>
                <w:b/>
                <w:sz w:val="18"/>
                <w:lang w:eastAsia="en-US"/>
              </w:rPr>
              <w:t>100</w:t>
            </w:r>
          </w:p>
        </w:tc>
        <w:tc>
          <w:tcPr>
            <w:tcW w:w="726" w:type="dxa"/>
            <w:tcBorders>
              <w:top w:val="single" w:sz="4" w:space="0" w:color="auto"/>
              <w:bottom w:val="single" w:sz="12" w:space="0" w:color="auto"/>
            </w:tcBorders>
            <w:shd w:val="clear" w:color="auto" w:fill="auto"/>
            <w:vAlign w:val="bottom"/>
          </w:tcPr>
          <w:p w14:paraId="7C52624E" w14:textId="77777777" w:rsidR="006F4911" w:rsidRPr="002C65E3" w:rsidRDefault="006F4911" w:rsidP="00B547A7">
            <w:pPr>
              <w:spacing w:before="80" w:after="80" w:line="220" w:lineRule="exact"/>
              <w:ind w:left="85" w:right="28"/>
              <w:jc w:val="right"/>
              <w:rPr>
                <w:rFonts w:eastAsia="Times New Roman"/>
                <w:b/>
                <w:sz w:val="18"/>
                <w:lang w:eastAsia="en-US"/>
              </w:rPr>
            </w:pPr>
            <w:r w:rsidRPr="002C65E3">
              <w:rPr>
                <w:rFonts w:eastAsia="Times New Roman"/>
                <w:b/>
                <w:sz w:val="18"/>
                <w:lang w:eastAsia="en-US"/>
              </w:rPr>
              <w:t>35.883</w:t>
            </w:r>
          </w:p>
        </w:tc>
        <w:tc>
          <w:tcPr>
            <w:tcW w:w="726" w:type="dxa"/>
            <w:tcBorders>
              <w:top w:val="single" w:sz="4" w:space="0" w:color="auto"/>
              <w:bottom w:val="single" w:sz="12" w:space="0" w:color="auto"/>
            </w:tcBorders>
            <w:shd w:val="clear" w:color="auto" w:fill="auto"/>
            <w:vAlign w:val="bottom"/>
          </w:tcPr>
          <w:p w14:paraId="7F924ECE" w14:textId="77777777" w:rsidR="006F4911" w:rsidRPr="002C65E3" w:rsidRDefault="006F4911" w:rsidP="00B547A7">
            <w:pPr>
              <w:spacing w:before="80" w:after="80" w:line="220" w:lineRule="exact"/>
              <w:ind w:left="85" w:right="28"/>
              <w:jc w:val="right"/>
              <w:rPr>
                <w:rFonts w:eastAsia="Times New Roman"/>
                <w:b/>
                <w:sz w:val="18"/>
                <w:lang w:eastAsia="en-US"/>
              </w:rPr>
            </w:pPr>
            <w:r w:rsidRPr="002C65E3">
              <w:rPr>
                <w:rFonts w:eastAsia="Times New Roman"/>
                <w:b/>
                <w:sz w:val="18"/>
                <w:lang w:eastAsia="en-US"/>
              </w:rPr>
              <w:t>100</w:t>
            </w:r>
          </w:p>
        </w:tc>
        <w:tc>
          <w:tcPr>
            <w:tcW w:w="726" w:type="dxa"/>
            <w:tcBorders>
              <w:top w:val="single" w:sz="4" w:space="0" w:color="auto"/>
              <w:bottom w:val="single" w:sz="12" w:space="0" w:color="auto"/>
            </w:tcBorders>
            <w:shd w:val="clear" w:color="auto" w:fill="auto"/>
            <w:vAlign w:val="bottom"/>
          </w:tcPr>
          <w:p w14:paraId="2AE63A6F" w14:textId="77777777" w:rsidR="006F4911" w:rsidRPr="002C65E3" w:rsidRDefault="006F4911" w:rsidP="00B547A7">
            <w:pPr>
              <w:spacing w:before="80" w:after="80" w:line="220" w:lineRule="exact"/>
              <w:ind w:left="85" w:right="28"/>
              <w:jc w:val="right"/>
              <w:rPr>
                <w:rFonts w:eastAsia="Times New Roman"/>
                <w:b/>
                <w:sz w:val="18"/>
                <w:lang w:eastAsia="en-US"/>
              </w:rPr>
            </w:pPr>
            <w:r w:rsidRPr="002C65E3">
              <w:rPr>
                <w:rFonts w:eastAsia="Times New Roman"/>
                <w:b/>
                <w:sz w:val="18"/>
                <w:lang w:eastAsia="en-US"/>
              </w:rPr>
              <w:t>88.627</w:t>
            </w:r>
          </w:p>
        </w:tc>
        <w:tc>
          <w:tcPr>
            <w:tcW w:w="727" w:type="dxa"/>
            <w:tcBorders>
              <w:top w:val="single" w:sz="4" w:space="0" w:color="auto"/>
              <w:bottom w:val="single" w:sz="12" w:space="0" w:color="auto"/>
            </w:tcBorders>
            <w:shd w:val="clear" w:color="auto" w:fill="auto"/>
            <w:vAlign w:val="bottom"/>
          </w:tcPr>
          <w:p w14:paraId="5D5C8911" w14:textId="77777777" w:rsidR="006F4911" w:rsidRPr="002C65E3" w:rsidRDefault="006F4911" w:rsidP="00B547A7">
            <w:pPr>
              <w:spacing w:before="80" w:after="80" w:line="220" w:lineRule="exact"/>
              <w:ind w:left="85" w:right="28"/>
              <w:jc w:val="right"/>
              <w:rPr>
                <w:rFonts w:eastAsia="Times New Roman"/>
                <w:b/>
                <w:sz w:val="18"/>
                <w:lang w:eastAsia="en-US"/>
              </w:rPr>
            </w:pPr>
            <w:r w:rsidRPr="002C65E3">
              <w:rPr>
                <w:rFonts w:eastAsia="Times New Roman"/>
                <w:b/>
                <w:sz w:val="18"/>
                <w:lang w:eastAsia="en-US"/>
              </w:rPr>
              <w:t>100</w:t>
            </w:r>
          </w:p>
        </w:tc>
      </w:tr>
    </w:tbl>
    <w:p w14:paraId="11170D4A" w14:textId="388B97B3" w:rsidR="006F4911" w:rsidRPr="002C65E3" w:rsidRDefault="006F4911" w:rsidP="00B547A7">
      <w:pPr>
        <w:pStyle w:val="SingleTxtG"/>
        <w:spacing w:before="120" w:after="240"/>
        <w:ind w:firstLine="170"/>
        <w:jc w:val="left"/>
        <w:rPr>
          <w:sz w:val="18"/>
          <w:szCs w:val="18"/>
          <w:lang w:eastAsia="en-US"/>
        </w:rPr>
      </w:pPr>
      <w:r w:rsidRPr="002C65E3">
        <w:rPr>
          <w:i/>
          <w:iCs/>
          <w:sz w:val="18"/>
          <w:szCs w:val="18"/>
          <w:lang w:eastAsia="en-US"/>
        </w:rPr>
        <w:t>Fuente:</w:t>
      </w:r>
      <w:r w:rsidRPr="002C65E3">
        <w:rPr>
          <w:sz w:val="18"/>
          <w:szCs w:val="18"/>
          <w:lang w:eastAsia="en-US"/>
        </w:rPr>
        <w:t xml:space="preserve"> DT. Actualizado al 30.06.2022</w:t>
      </w:r>
      <w:r w:rsidR="00CE62FA" w:rsidRPr="002C65E3">
        <w:rPr>
          <w:sz w:val="18"/>
          <w:szCs w:val="18"/>
          <w:lang w:eastAsia="en-US"/>
        </w:rPr>
        <w:t>.</w:t>
      </w:r>
    </w:p>
    <w:p w14:paraId="1D9E0FE6" w14:textId="3E819C74" w:rsidR="006F4911" w:rsidRPr="002C65E3" w:rsidRDefault="00156F70" w:rsidP="00A670F5">
      <w:pPr>
        <w:pStyle w:val="SingleTxtG"/>
        <w:rPr>
          <w:lang w:eastAsia="en-US"/>
        </w:rPr>
      </w:pPr>
      <w:r w:rsidRPr="002C65E3">
        <w:rPr>
          <w:lang w:eastAsia="en-US"/>
        </w:rPr>
        <w:t>167.</w:t>
      </w:r>
      <w:r w:rsidRPr="002C65E3">
        <w:rPr>
          <w:lang w:eastAsia="en-US"/>
        </w:rPr>
        <w:tab/>
      </w:r>
      <w:r w:rsidR="006F4911" w:rsidRPr="002C65E3">
        <w:rPr>
          <w:lang w:eastAsia="en-US"/>
        </w:rPr>
        <w:t>Producto de este informe, en junio de 2021, el Poder Ejecutivo presentó un PdL que introduce modificaciones al CdT y otros cuerpos legales en materia de inclusión laboral de PcD y asignatarias de pensión de invalidez, (Boletín N</w:t>
      </w:r>
      <w:r w:rsidR="00405113" w:rsidRPr="002C65E3">
        <w:rPr>
          <w:lang w:eastAsia="en-US"/>
        </w:rPr>
        <w:t>º </w:t>
      </w:r>
      <w:r w:rsidR="006F4911" w:rsidRPr="002C65E3">
        <w:rPr>
          <w:lang w:eastAsia="en-US"/>
        </w:rPr>
        <w:t>14.445-13)</w:t>
      </w:r>
      <w:r w:rsidR="006F4911" w:rsidRPr="002C65E3">
        <w:rPr>
          <w:rStyle w:val="Refdenotaalpie"/>
        </w:rPr>
        <w:footnoteReference w:id="251"/>
      </w:r>
      <w:r w:rsidR="006F4911" w:rsidRPr="002C65E3">
        <w:rPr>
          <w:lang w:eastAsia="en-US"/>
        </w:rPr>
        <w:t>. Este PdL, refuerza las atribuciones de la DT y de la CGR como entes fiscalizadores.</w:t>
      </w:r>
    </w:p>
    <w:p w14:paraId="53D4A440" w14:textId="5EBBD26F" w:rsidR="006F4911" w:rsidRPr="002C65E3" w:rsidRDefault="00156F70" w:rsidP="00A670F5">
      <w:pPr>
        <w:pStyle w:val="SingleTxtG"/>
        <w:rPr>
          <w:lang w:eastAsia="en-US"/>
        </w:rPr>
      </w:pPr>
      <w:r w:rsidRPr="002C65E3">
        <w:rPr>
          <w:lang w:eastAsia="en-US"/>
        </w:rPr>
        <w:t>168.</w:t>
      </w:r>
      <w:r w:rsidRPr="002C65E3">
        <w:rPr>
          <w:lang w:eastAsia="en-US"/>
        </w:rPr>
        <w:tab/>
      </w:r>
      <w:r w:rsidR="006F4911" w:rsidRPr="002C65E3">
        <w:rPr>
          <w:lang w:eastAsia="en-US"/>
        </w:rPr>
        <w:t>La DT, entre el 01.01.2016 y 30.06.2021, realizó 86 capacitaciones a unas 2.300</w:t>
      </w:r>
      <w:r w:rsidR="00A670F5" w:rsidRPr="002C65E3">
        <w:rPr>
          <w:lang w:eastAsia="en-US"/>
        </w:rPr>
        <w:t> </w:t>
      </w:r>
      <w:r w:rsidR="006F4911" w:rsidRPr="002C65E3">
        <w:rPr>
          <w:lang w:eastAsia="en-US"/>
        </w:rPr>
        <w:t xml:space="preserve">personas. Desde el área de diálogo social, se realizaron Mesas de Trabajo y Consejos Tripartitos Regionales de Usuarios. MINTRAB participó en la redacción y lanzamiento del </w:t>
      </w:r>
      <w:r w:rsidR="00791BE9" w:rsidRPr="002C65E3">
        <w:rPr>
          <w:lang w:eastAsia="en-US"/>
        </w:rPr>
        <w:t>“</w:t>
      </w:r>
      <w:r w:rsidR="006F4911" w:rsidRPr="002C65E3">
        <w:rPr>
          <w:lang w:eastAsia="en-US"/>
        </w:rPr>
        <w:t>Manual de Buenas Prácticas para la Inclusión Laboral de [PcD]</w:t>
      </w:r>
      <w:r w:rsidR="00791BE9" w:rsidRPr="002C65E3">
        <w:rPr>
          <w:lang w:eastAsia="en-US"/>
        </w:rPr>
        <w:t>”</w:t>
      </w:r>
      <w:r w:rsidR="006F4911" w:rsidRPr="002C65E3">
        <w:rPr>
          <w:rStyle w:val="Refdenotaalpie"/>
        </w:rPr>
        <w:footnoteReference w:id="252"/>
      </w:r>
      <w:r w:rsidR="006F4911" w:rsidRPr="002C65E3">
        <w:rPr>
          <w:lang w:eastAsia="en-US"/>
        </w:rPr>
        <w:t>,</w:t>
      </w:r>
      <w:r w:rsidR="00791BE9" w:rsidRPr="002C65E3">
        <w:rPr>
          <w:lang w:eastAsia="en-US"/>
        </w:rPr>
        <w:t xml:space="preserve"> </w:t>
      </w:r>
      <w:r w:rsidR="006F4911" w:rsidRPr="002C65E3">
        <w:rPr>
          <w:lang w:eastAsia="en-US"/>
        </w:rPr>
        <w:t xml:space="preserve">dirigido a empleadores privados. Además, ha generado distintas alianzas público-privadas para promover materias de inclusión laboral, tales como el Consejo Consultivo de </w:t>
      </w:r>
      <w:r w:rsidR="00791BE9" w:rsidRPr="002C65E3">
        <w:rPr>
          <w:lang w:eastAsia="en-US"/>
        </w:rPr>
        <w:t>“</w:t>
      </w:r>
      <w:r w:rsidR="006F4911" w:rsidRPr="002C65E3">
        <w:rPr>
          <w:lang w:eastAsia="en-US"/>
        </w:rPr>
        <w:t>Pacto de Productividad</w:t>
      </w:r>
      <w:r w:rsidR="00791BE9" w:rsidRPr="002C65E3">
        <w:rPr>
          <w:lang w:eastAsia="en-US"/>
        </w:rPr>
        <w:t>”</w:t>
      </w:r>
      <w:r w:rsidR="006F4911" w:rsidRPr="002C65E3">
        <w:rPr>
          <w:lang w:eastAsia="en-US"/>
        </w:rPr>
        <w:t>, Programa Empresarial de Promoción Laboral para PcD</w:t>
      </w:r>
      <w:r w:rsidR="006F4911" w:rsidRPr="002C65E3">
        <w:rPr>
          <w:rStyle w:val="Refdenotaalpie"/>
        </w:rPr>
        <w:footnoteReference w:id="253"/>
      </w:r>
      <w:r w:rsidR="006F4911" w:rsidRPr="002C65E3">
        <w:rPr>
          <w:lang w:eastAsia="en-US"/>
        </w:rPr>
        <w:t>, Comité de Inclusión Laboral de la SOFOFA</w:t>
      </w:r>
      <w:r w:rsidR="006F4911" w:rsidRPr="002C65E3">
        <w:rPr>
          <w:rStyle w:val="Refdenotaalpie"/>
        </w:rPr>
        <w:footnoteReference w:id="254"/>
      </w:r>
      <w:r w:rsidR="006F4911" w:rsidRPr="002C65E3">
        <w:rPr>
          <w:lang w:eastAsia="en-US"/>
        </w:rPr>
        <w:t>.</w:t>
      </w:r>
    </w:p>
    <w:p w14:paraId="1FADFFD9" w14:textId="7074143D" w:rsidR="006F4911" w:rsidRPr="002C65E3" w:rsidRDefault="00156F70" w:rsidP="00A670F5">
      <w:pPr>
        <w:pStyle w:val="SingleTxtG"/>
        <w:rPr>
          <w:lang w:eastAsia="en-US"/>
        </w:rPr>
      </w:pPr>
      <w:r w:rsidRPr="002C65E3">
        <w:rPr>
          <w:lang w:eastAsia="en-US"/>
        </w:rPr>
        <w:t>169.</w:t>
      </w:r>
      <w:r w:rsidRPr="002C65E3">
        <w:rPr>
          <w:lang w:eastAsia="en-US"/>
        </w:rPr>
        <w:tab/>
      </w:r>
      <w:r w:rsidR="006F4911" w:rsidRPr="002C65E3">
        <w:rPr>
          <w:lang w:eastAsia="en-US"/>
        </w:rPr>
        <w:t>La DT se ha pronunciado sobre la inclusión laboral de PcD por medio del Ordinario N</w:t>
      </w:r>
      <w:r w:rsidR="00405113" w:rsidRPr="002C65E3">
        <w:rPr>
          <w:lang w:eastAsia="en-US"/>
        </w:rPr>
        <w:t>º </w:t>
      </w:r>
      <w:r w:rsidR="006F4911" w:rsidRPr="002C65E3">
        <w:rPr>
          <w:lang w:eastAsia="en-US"/>
        </w:rPr>
        <w:t>3376/35</w:t>
      </w:r>
      <w:r w:rsidR="006F4911" w:rsidRPr="002C65E3">
        <w:rPr>
          <w:rStyle w:val="Refdenotaalpie"/>
        </w:rPr>
        <w:footnoteReference w:id="255"/>
      </w:r>
      <w:r w:rsidR="006F4911" w:rsidRPr="002C65E3">
        <w:rPr>
          <w:lang w:eastAsia="en-US"/>
        </w:rPr>
        <w:t xml:space="preserve"> de 2020, que reconsidera doctrina anterior respecto a la oportunidad del cumplimiento de la obligación de contratación de, a lo menos, un 1</w:t>
      </w:r>
      <w:r w:rsidR="00791BE9" w:rsidRPr="002C65E3">
        <w:rPr>
          <w:lang w:eastAsia="en-US"/>
        </w:rPr>
        <w:t> %</w:t>
      </w:r>
      <w:r w:rsidR="006F4911" w:rsidRPr="002C65E3">
        <w:rPr>
          <w:lang w:eastAsia="en-US"/>
        </w:rPr>
        <w:t xml:space="preserve"> de PcD y/o asignatarias de pensión de invalidez, por parte de las empresas que cuenten con 100 o más trabajadores y el Ordinario N</w:t>
      </w:r>
      <w:r w:rsidR="00405113" w:rsidRPr="002C65E3">
        <w:rPr>
          <w:lang w:eastAsia="en-US"/>
        </w:rPr>
        <w:t>º </w:t>
      </w:r>
      <w:r w:rsidR="006F4911" w:rsidRPr="002C65E3">
        <w:rPr>
          <w:lang w:eastAsia="en-US"/>
        </w:rPr>
        <w:t>2930/60</w:t>
      </w:r>
      <w:r w:rsidR="006F4911" w:rsidRPr="002C65E3">
        <w:rPr>
          <w:rStyle w:val="Refdenotaalpie"/>
        </w:rPr>
        <w:footnoteReference w:id="256"/>
      </w:r>
      <w:r w:rsidR="006F4911" w:rsidRPr="002C65E3">
        <w:rPr>
          <w:lang w:eastAsia="en-US"/>
        </w:rPr>
        <w:t xml:space="preserve"> de 2021, que complementa el anterior. </w:t>
      </w:r>
    </w:p>
    <w:p w14:paraId="713CDE14" w14:textId="540A64E8" w:rsidR="006F4911" w:rsidRPr="002C65E3" w:rsidRDefault="00156F70" w:rsidP="00A670F5">
      <w:pPr>
        <w:pStyle w:val="SingleTxtG"/>
        <w:rPr>
          <w:lang w:eastAsia="en-US"/>
        </w:rPr>
      </w:pPr>
      <w:r w:rsidRPr="002C65E3">
        <w:rPr>
          <w:lang w:eastAsia="en-US"/>
        </w:rPr>
        <w:t>170.</w:t>
      </w:r>
      <w:r w:rsidRPr="002C65E3">
        <w:rPr>
          <w:lang w:eastAsia="en-US"/>
        </w:rPr>
        <w:tab/>
      </w:r>
      <w:r w:rsidR="006F4911" w:rsidRPr="002C65E3">
        <w:rPr>
          <w:lang w:eastAsia="en-US"/>
        </w:rPr>
        <w:t xml:space="preserve">SENCE implementa el programa </w:t>
      </w:r>
      <w:r w:rsidR="00791BE9" w:rsidRPr="002C65E3">
        <w:rPr>
          <w:lang w:eastAsia="en-US"/>
        </w:rPr>
        <w:t>“</w:t>
      </w:r>
      <w:hyperlink r:id="rId19">
        <w:r w:rsidR="006F4911" w:rsidRPr="002C65E3">
          <w:rPr>
            <w:lang w:eastAsia="en-US"/>
          </w:rPr>
          <w:t>Fórmate para el Trabajo</w:t>
        </w:r>
      </w:hyperlink>
      <w:r w:rsidR="002C65E3" w:rsidRPr="002C65E3">
        <w:rPr>
          <w:lang w:eastAsia="en-US"/>
        </w:rPr>
        <w:t>”</w:t>
      </w:r>
      <w:r w:rsidR="006F4911" w:rsidRPr="002C65E3">
        <w:rPr>
          <w:lang w:eastAsia="en-US"/>
        </w:rPr>
        <w:t>, que busca generar competencias laborales en personas vulnerables mediante formación en oficios. Una de las líneas es discapacidad</w:t>
      </w:r>
      <w:r w:rsidR="006F4911" w:rsidRPr="002C65E3">
        <w:rPr>
          <w:rStyle w:val="Refdenotaalpie"/>
        </w:rPr>
        <w:footnoteReference w:id="257"/>
      </w:r>
      <w:r w:rsidR="006F4911" w:rsidRPr="002C65E3">
        <w:rPr>
          <w:lang w:eastAsia="en-US"/>
        </w:rPr>
        <w:t>, en la que 2.706</w:t>
      </w:r>
      <w:r w:rsidR="006F4911" w:rsidRPr="002C65E3">
        <w:rPr>
          <w:rStyle w:val="Refdenotaalpie"/>
        </w:rPr>
        <w:footnoteReference w:id="258"/>
      </w:r>
      <w:r w:rsidR="006F4911" w:rsidRPr="002C65E3">
        <w:rPr>
          <w:lang w:eastAsia="en-US"/>
        </w:rPr>
        <w:t xml:space="preserve"> personas han participado. 81 cursos pasaron a modalidad en línea, de un total de 140 ejecutados a la fecha.</w:t>
      </w:r>
    </w:p>
    <w:p w14:paraId="47209296" w14:textId="101A411D" w:rsidR="006F4911" w:rsidRPr="002C65E3" w:rsidRDefault="00156F70" w:rsidP="00A670F5">
      <w:pPr>
        <w:pStyle w:val="SingleTxtG"/>
        <w:rPr>
          <w:lang w:eastAsia="en-US"/>
        </w:rPr>
      </w:pPr>
      <w:r w:rsidRPr="002C65E3">
        <w:rPr>
          <w:lang w:eastAsia="en-US"/>
        </w:rPr>
        <w:t>171.</w:t>
      </w:r>
      <w:r w:rsidRPr="002C65E3">
        <w:rPr>
          <w:lang w:eastAsia="en-US"/>
        </w:rPr>
        <w:tab/>
      </w:r>
      <w:r w:rsidR="006F4911" w:rsidRPr="002C65E3">
        <w:rPr>
          <w:lang w:eastAsia="en-US"/>
        </w:rPr>
        <w:t>SENADIS, desde 2019, ejecuta el Programa de Apoyo al Cumplimiento de la Ley de Inclusión Laboral de PcD, que busca que las instituciones públicas y privadas obligadas por la Ley, cuenten con procesos inclusivos para la contratación de PcD. Tiene dos componentes: a) Promoción del derecho al trabajo de PcD</w:t>
      </w:r>
      <w:r w:rsidR="006F4911" w:rsidRPr="002C65E3">
        <w:rPr>
          <w:rStyle w:val="Refdenotaalpie"/>
        </w:rPr>
        <w:footnoteReference w:id="259"/>
      </w:r>
      <w:r w:rsidR="006F4911" w:rsidRPr="002C65E3">
        <w:rPr>
          <w:lang w:eastAsia="en-US"/>
        </w:rPr>
        <w:t xml:space="preserve">, orientado a generar un cambio cultural en las instituciones públicas y privadas mediante seminarios, conversatorios, networking de buenas prácticas u otros formatos de difusión; b) Fortalecimiento de competencias para la inclusión </w:t>
      </w:r>
      <w:r w:rsidR="006F4911" w:rsidRPr="002C65E3">
        <w:rPr>
          <w:lang w:eastAsia="en-US"/>
        </w:rPr>
        <w:lastRenderedPageBreak/>
        <w:t>laboral de PcD</w:t>
      </w:r>
      <w:r w:rsidR="006F4911" w:rsidRPr="002C65E3">
        <w:rPr>
          <w:rStyle w:val="Refdenotaalpie"/>
        </w:rPr>
        <w:footnoteReference w:id="260"/>
      </w:r>
      <w:r w:rsidR="006F4911" w:rsidRPr="002C65E3">
        <w:rPr>
          <w:lang w:eastAsia="en-US"/>
        </w:rPr>
        <w:t>. Busca entregar capacitación sobre los procesos de gestión de RRHH inclusivos, en formato presencial y en línea. Se crearon 5 cursos especializados en inclusión laboral en línea</w:t>
      </w:r>
      <w:r w:rsidR="006F4911" w:rsidRPr="002C65E3">
        <w:rPr>
          <w:rStyle w:val="Refdenotaalpie"/>
        </w:rPr>
        <w:footnoteReference w:id="261"/>
      </w:r>
      <w:r w:rsidR="006F4911" w:rsidRPr="002C65E3">
        <w:rPr>
          <w:lang w:eastAsia="en-US"/>
        </w:rPr>
        <w:t xml:space="preserve">. Se cuenta con una guía de inclusión laboral y se está elaborando el documento </w:t>
      </w:r>
      <w:r w:rsidR="00791BE9" w:rsidRPr="002C65E3">
        <w:rPr>
          <w:lang w:eastAsia="en-US"/>
        </w:rPr>
        <w:t>“</w:t>
      </w:r>
      <w:r w:rsidR="006F4911" w:rsidRPr="002C65E3">
        <w:rPr>
          <w:lang w:eastAsia="en-US"/>
        </w:rPr>
        <w:t>Orientaciones sobre las competencias del gestor o gestora de inclusión</w:t>
      </w:r>
      <w:r w:rsidR="00791BE9" w:rsidRPr="002C65E3">
        <w:rPr>
          <w:lang w:eastAsia="en-US"/>
        </w:rPr>
        <w:t>”</w:t>
      </w:r>
      <w:r w:rsidR="006F4911" w:rsidRPr="002C65E3">
        <w:rPr>
          <w:lang w:eastAsia="en-US"/>
        </w:rPr>
        <w:t>; se está coordinando la realización de mesas territoriales a nivel nacional, con la finalidad de vincular a los diferentes actores y que puedan desarrollar planes de trabajo a corto y mediano plazo, operativizando acciones de inclusión de PcD.</w:t>
      </w:r>
    </w:p>
    <w:p w14:paraId="47A45EEE" w14:textId="2223EF0A" w:rsidR="006F4911" w:rsidRPr="002C65E3" w:rsidRDefault="00156F70" w:rsidP="00A670F5">
      <w:pPr>
        <w:pStyle w:val="SingleTxtG"/>
        <w:rPr>
          <w:lang w:eastAsia="en-US"/>
        </w:rPr>
      </w:pPr>
      <w:r w:rsidRPr="002C65E3">
        <w:rPr>
          <w:lang w:eastAsia="en-US"/>
        </w:rPr>
        <w:t>172.</w:t>
      </w:r>
      <w:r w:rsidRPr="002C65E3">
        <w:rPr>
          <w:lang w:eastAsia="en-US"/>
        </w:rPr>
        <w:tab/>
      </w:r>
      <w:r w:rsidR="006F4911" w:rsidRPr="002C65E3">
        <w:rPr>
          <w:lang w:eastAsia="en-US"/>
        </w:rPr>
        <w:t>En 2020, se publicó la Ley N</w:t>
      </w:r>
      <w:r w:rsidR="00405113" w:rsidRPr="002C65E3">
        <w:rPr>
          <w:lang w:eastAsia="en-US"/>
        </w:rPr>
        <w:t>º </w:t>
      </w:r>
      <w:r w:rsidR="006F4911" w:rsidRPr="002C65E3">
        <w:rPr>
          <w:lang w:eastAsia="en-US"/>
        </w:rPr>
        <w:t>21.275</w:t>
      </w:r>
      <w:r w:rsidR="006F4911" w:rsidRPr="002C65E3">
        <w:rPr>
          <w:rStyle w:val="Refdenotaalpie"/>
        </w:rPr>
        <w:footnoteReference w:id="262"/>
      </w:r>
      <w:r w:rsidR="006F4911" w:rsidRPr="002C65E3">
        <w:rPr>
          <w:lang w:eastAsia="en-US"/>
        </w:rPr>
        <w:t>, que modifica el CdT, para exigir de las empresas pertinentes, la adopción de medidas que faciliten la inclusión laboral de los trabajadores con discapacidad. Exigirá que al menos uno de las o los trabajadores de RRHH cuente con conocimientos específicos en materias que fomenten la inclusión laboral de PcD.</w:t>
      </w:r>
    </w:p>
    <w:p w14:paraId="07DAB385" w14:textId="31E82F4E" w:rsidR="006F4911" w:rsidRPr="002C65E3" w:rsidRDefault="00156F70" w:rsidP="00A670F5">
      <w:pPr>
        <w:pStyle w:val="SingleTxtG"/>
        <w:rPr>
          <w:lang w:eastAsia="en-US"/>
        </w:rPr>
      </w:pPr>
      <w:r w:rsidRPr="002C65E3">
        <w:rPr>
          <w:lang w:eastAsia="en-US"/>
        </w:rPr>
        <w:t>173.</w:t>
      </w:r>
      <w:r w:rsidRPr="002C65E3">
        <w:rPr>
          <w:lang w:eastAsia="en-US"/>
        </w:rPr>
        <w:tab/>
      </w:r>
      <w:r w:rsidR="006F4911" w:rsidRPr="002C65E3">
        <w:rPr>
          <w:lang w:eastAsia="en-US"/>
        </w:rPr>
        <w:t>En materia de sanciones por incumplimiento, en el sector privado, durante 2019, se aplicaron 205 sanciones y el monto inicial total fue de $625.244.320. Por su parte, durante el</w:t>
      </w:r>
      <w:r w:rsidR="00A670F5" w:rsidRPr="002C65E3">
        <w:rPr>
          <w:lang w:eastAsia="en-US"/>
        </w:rPr>
        <w:t> </w:t>
      </w:r>
      <w:r w:rsidR="006F4911" w:rsidRPr="002C65E3">
        <w:rPr>
          <w:lang w:eastAsia="en-US"/>
        </w:rPr>
        <w:t>2020, se aplicaron 201 sanciones por un monto inicial total de $615.289.980. En 2021, 337</w:t>
      </w:r>
      <w:r w:rsidR="00A670F5" w:rsidRPr="002C65E3">
        <w:rPr>
          <w:lang w:eastAsia="en-US"/>
        </w:rPr>
        <w:t> </w:t>
      </w:r>
      <w:r w:rsidR="006F4911" w:rsidRPr="002C65E3">
        <w:rPr>
          <w:lang w:eastAsia="en-US"/>
        </w:rPr>
        <w:t>sanciones por un monto de $1.035.285.450 y hasta abril 2022, se cursaron 2 sanciones por un total de $22.101.768. En el sector público, le corresponde exclusivamente al CGR informar sobre los asuntos que se relacionen con el Estatuto Administrativo y con el funcionamiento de los Servicios Públicos sometidos a su fiscalización.</w:t>
      </w:r>
    </w:p>
    <w:p w14:paraId="6C25ADBC" w14:textId="4026722A" w:rsidR="006F4911" w:rsidRPr="002C65E3" w:rsidRDefault="00360061" w:rsidP="00A670F5">
      <w:pPr>
        <w:pStyle w:val="H1G"/>
        <w:rPr>
          <w:lang w:eastAsia="en-US"/>
        </w:rPr>
      </w:pPr>
      <w:bookmarkStart w:id="46" w:name="_Toc122692630"/>
      <w:r w:rsidRPr="002C65E3">
        <w:rPr>
          <w:lang w:eastAsia="en-US"/>
        </w:rPr>
        <w:tab/>
      </w:r>
      <w:r w:rsidRPr="002C65E3">
        <w:rPr>
          <w:lang w:eastAsia="en-US"/>
        </w:rPr>
        <w:tab/>
      </w:r>
      <w:r w:rsidR="006F4911" w:rsidRPr="002C65E3">
        <w:rPr>
          <w:lang w:eastAsia="en-US"/>
        </w:rPr>
        <w:t>Artículo 28</w:t>
      </w:r>
      <w:bookmarkEnd w:id="46"/>
    </w:p>
    <w:p w14:paraId="7C86FCE1" w14:textId="0D7F4732" w:rsidR="006F4911" w:rsidRPr="002C65E3" w:rsidRDefault="00156F70" w:rsidP="00A670F5">
      <w:pPr>
        <w:pStyle w:val="SingleTxtG"/>
        <w:rPr>
          <w:lang w:eastAsia="en-US"/>
        </w:rPr>
      </w:pPr>
      <w:r w:rsidRPr="002C65E3">
        <w:rPr>
          <w:lang w:eastAsia="en-US"/>
        </w:rPr>
        <w:t>174.</w:t>
      </w:r>
      <w:r w:rsidRPr="002C65E3">
        <w:rPr>
          <w:lang w:eastAsia="en-US"/>
        </w:rPr>
        <w:tab/>
      </w:r>
      <w:r w:rsidR="006F4911" w:rsidRPr="002C65E3">
        <w:rPr>
          <w:lang w:eastAsia="en-US"/>
        </w:rPr>
        <w:t>En la línea de mejorar la vida de las PcD, desde 2016, la SES incorporó el enfoque de DDHH en el diseño e implementación de los programas sociales, a fin de promover políticas públicas orientadas a generar acciones positivas para la plena realización de los derechos. Esto se aplica en la reportabilidad de los distintos Servicios que cuentan con programas sociales, debiendo informar cómo se aborda el enfoque de DDHH y las etapas en que se incorpora.</w:t>
      </w:r>
    </w:p>
    <w:p w14:paraId="61A0400B" w14:textId="25932460" w:rsidR="006F4911" w:rsidRPr="002C65E3" w:rsidRDefault="00035951" w:rsidP="00A670F5">
      <w:pPr>
        <w:pStyle w:val="H23G"/>
      </w:pPr>
      <w:r w:rsidRPr="002C65E3">
        <w:tab/>
      </w:r>
      <w:r w:rsidRPr="002C65E3">
        <w:tab/>
      </w:r>
      <w:r w:rsidR="006F4911" w:rsidRPr="002C65E3">
        <w:t>Programas sociales con enfoque de discapacidad</w:t>
      </w:r>
      <w:r w:rsidR="006F4911" w:rsidRPr="002C65E3">
        <w:rPr>
          <w:rStyle w:val="Refdenotaalpie"/>
          <w:b w:val="0"/>
        </w:rPr>
        <w:footnoteReference w:id="263"/>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339"/>
        <w:gridCol w:w="2778"/>
        <w:gridCol w:w="3253"/>
      </w:tblGrid>
      <w:tr w:rsidR="006F4911" w:rsidRPr="002C65E3" w14:paraId="08C24E78" w14:textId="77777777" w:rsidTr="00A670F5">
        <w:trPr>
          <w:trHeight w:val="240"/>
          <w:tblHeader/>
        </w:trPr>
        <w:tc>
          <w:tcPr>
            <w:tcW w:w="908"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BC5CD05" w14:textId="77777777" w:rsidR="006F4911" w:rsidRPr="002C65E3" w:rsidRDefault="006F4911" w:rsidP="00A670F5">
            <w:pPr>
              <w:spacing w:before="80" w:after="80" w:line="200" w:lineRule="exact"/>
              <w:rPr>
                <w:rFonts w:eastAsia="Times New Roman"/>
                <w:bCs/>
                <w:i/>
                <w:sz w:val="16"/>
                <w:lang w:eastAsia="en-US"/>
              </w:rPr>
            </w:pPr>
            <w:r w:rsidRPr="002C65E3">
              <w:rPr>
                <w:rFonts w:eastAsia="Times New Roman"/>
                <w:bCs/>
                <w:i/>
                <w:sz w:val="16"/>
                <w:lang w:eastAsia="en-US"/>
              </w:rPr>
              <w:t>Año</w:t>
            </w:r>
          </w:p>
        </w:tc>
        <w:tc>
          <w:tcPr>
            <w:tcW w:w="1885"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E572FA7" w14:textId="2D4A9F3E" w:rsidR="006F4911" w:rsidRPr="002C65E3" w:rsidRDefault="006F4911" w:rsidP="00A670F5">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r w:rsidR="00405113" w:rsidRPr="002C65E3">
              <w:rPr>
                <w:rFonts w:eastAsia="Times New Roman"/>
                <w:bCs/>
                <w:i/>
                <w:sz w:val="16"/>
                <w:lang w:eastAsia="en-US"/>
              </w:rPr>
              <w:t>º </w:t>
            </w:r>
            <w:r w:rsidRPr="002C65E3">
              <w:rPr>
                <w:rFonts w:eastAsia="Times New Roman"/>
                <w:bCs/>
                <w:i/>
                <w:sz w:val="16"/>
                <w:lang w:eastAsia="en-US"/>
              </w:rPr>
              <w:t xml:space="preserve">programas sociales </w:t>
            </w:r>
          </w:p>
        </w:tc>
        <w:tc>
          <w:tcPr>
            <w:tcW w:w="220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1CBF6A8" w14:textId="22CBC965" w:rsidR="006F4911" w:rsidRPr="002C65E3" w:rsidRDefault="006F4911" w:rsidP="00A670F5">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r w:rsidR="00405113" w:rsidRPr="002C65E3">
              <w:rPr>
                <w:rFonts w:eastAsia="Times New Roman"/>
                <w:bCs/>
                <w:i/>
                <w:sz w:val="16"/>
                <w:lang w:eastAsia="en-US"/>
              </w:rPr>
              <w:t>º </w:t>
            </w:r>
            <w:r w:rsidRPr="002C65E3">
              <w:rPr>
                <w:rFonts w:eastAsia="Times New Roman"/>
                <w:bCs/>
                <w:i/>
                <w:sz w:val="16"/>
                <w:lang w:eastAsia="en-US"/>
              </w:rPr>
              <w:t>programas enfoque discapacidad</w:t>
            </w:r>
          </w:p>
        </w:tc>
      </w:tr>
      <w:tr w:rsidR="006F4911" w:rsidRPr="002C65E3" w14:paraId="63CB619B" w14:textId="77777777" w:rsidTr="00A670F5">
        <w:trPr>
          <w:trHeight w:val="240"/>
        </w:trPr>
        <w:tc>
          <w:tcPr>
            <w:tcW w:w="908" w:type="pct"/>
            <w:tcBorders>
              <w:top w:val="single" w:sz="12" w:space="0" w:color="auto"/>
            </w:tcBorders>
            <w:shd w:val="clear" w:color="auto" w:fill="auto"/>
            <w:tcMar>
              <w:top w:w="0" w:type="dxa"/>
              <w:left w:w="0" w:type="dxa"/>
              <w:bottom w:w="0" w:type="dxa"/>
              <w:right w:w="0" w:type="dxa"/>
            </w:tcMar>
          </w:tcPr>
          <w:p w14:paraId="2149175B" w14:textId="77777777" w:rsidR="006F4911" w:rsidRPr="002C65E3" w:rsidRDefault="006F4911" w:rsidP="00A670F5">
            <w:pPr>
              <w:spacing w:before="40" w:after="40" w:line="220" w:lineRule="exact"/>
              <w:rPr>
                <w:rFonts w:eastAsia="Times New Roman"/>
                <w:sz w:val="18"/>
                <w:lang w:eastAsia="en-US"/>
              </w:rPr>
            </w:pPr>
            <w:r w:rsidRPr="002C65E3">
              <w:rPr>
                <w:rFonts w:eastAsia="Times New Roman"/>
                <w:sz w:val="18"/>
                <w:lang w:eastAsia="en-US"/>
              </w:rPr>
              <w:t>2016</w:t>
            </w:r>
          </w:p>
        </w:tc>
        <w:tc>
          <w:tcPr>
            <w:tcW w:w="1885" w:type="pct"/>
            <w:tcBorders>
              <w:top w:val="single" w:sz="12" w:space="0" w:color="auto"/>
            </w:tcBorders>
            <w:shd w:val="clear" w:color="auto" w:fill="auto"/>
            <w:tcMar>
              <w:top w:w="0" w:type="dxa"/>
              <w:left w:w="0" w:type="dxa"/>
              <w:bottom w:w="0" w:type="dxa"/>
              <w:right w:w="0" w:type="dxa"/>
            </w:tcMar>
            <w:vAlign w:val="bottom"/>
          </w:tcPr>
          <w:p w14:paraId="0C11CCA7"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444</w:t>
            </w:r>
          </w:p>
        </w:tc>
        <w:tc>
          <w:tcPr>
            <w:tcW w:w="2207" w:type="pct"/>
            <w:tcBorders>
              <w:top w:val="single" w:sz="12" w:space="0" w:color="auto"/>
            </w:tcBorders>
            <w:shd w:val="clear" w:color="auto" w:fill="auto"/>
            <w:tcMar>
              <w:top w:w="0" w:type="dxa"/>
              <w:left w:w="0" w:type="dxa"/>
              <w:bottom w:w="0" w:type="dxa"/>
              <w:right w:w="0" w:type="dxa"/>
            </w:tcMar>
            <w:vAlign w:val="bottom"/>
          </w:tcPr>
          <w:p w14:paraId="21E4DBA7"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58</w:t>
            </w:r>
          </w:p>
        </w:tc>
      </w:tr>
      <w:tr w:rsidR="006F4911" w:rsidRPr="002C65E3" w14:paraId="3E1ECBD4" w14:textId="77777777" w:rsidTr="00A670F5">
        <w:trPr>
          <w:trHeight w:val="240"/>
        </w:trPr>
        <w:tc>
          <w:tcPr>
            <w:tcW w:w="908" w:type="pct"/>
            <w:shd w:val="clear" w:color="auto" w:fill="auto"/>
            <w:tcMar>
              <w:top w:w="0" w:type="dxa"/>
              <w:left w:w="0" w:type="dxa"/>
              <w:bottom w:w="0" w:type="dxa"/>
              <w:right w:w="0" w:type="dxa"/>
            </w:tcMar>
          </w:tcPr>
          <w:p w14:paraId="0C6C67E4" w14:textId="77777777" w:rsidR="006F4911" w:rsidRPr="002C65E3" w:rsidRDefault="006F4911" w:rsidP="00A670F5">
            <w:pPr>
              <w:spacing w:before="40" w:after="40" w:line="220" w:lineRule="exact"/>
              <w:rPr>
                <w:rFonts w:eastAsia="Times New Roman"/>
                <w:sz w:val="18"/>
                <w:lang w:eastAsia="en-US"/>
              </w:rPr>
            </w:pPr>
            <w:r w:rsidRPr="002C65E3">
              <w:rPr>
                <w:rFonts w:eastAsia="Times New Roman"/>
                <w:sz w:val="18"/>
                <w:lang w:eastAsia="en-US"/>
              </w:rPr>
              <w:t>2017</w:t>
            </w:r>
          </w:p>
        </w:tc>
        <w:tc>
          <w:tcPr>
            <w:tcW w:w="1885" w:type="pct"/>
            <w:shd w:val="clear" w:color="auto" w:fill="auto"/>
            <w:tcMar>
              <w:top w:w="0" w:type="dxa"/>
              <w:left w:w="0" w:type="dxa"/>
              <w:bottom w:w="0" w:type="dxa"/>
              <w:right w:w="0" w:type="dxa"/>
            </w:tcMar>
            <w:vAlign w:val="bottom"/>
          </w:tcPr>
          <w:p w14:paraId="35DA5944"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459</w:t>
            </w:r>
          </w:p>
        </w:tc>
        <w:tc>
          <w:tcPr>
            <w:tcW w:w="2207" w:type="pct"/>
            <w:shd w:val="clear" w:color="auto" w:fill="auto"/>
            <w:tcMar>
              <w:top w:w="0" w:type="dxa"/>
              <w:left w:w="0" w:type="dxa"/>
              <w:bottom w:w="0" w:type="dxa"/>
              <w:right w:w="0" w:type="dxa"/>
            </w:tcMar>
            <w:vAlign w:val="bottom"/>
          </w:tcPr>
          <w:p w14:paraId="149F4B77"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161</w:t>
            </w:r>
          </w:p>
        </w:tc>
      </w:tr>
      <w:tr w:rsidR="006F4911" w:rsidRPr="002C65E3" w14:paraId="6F7D71C2" w14:textId="77777777" w:rsidTr="00A670F5">
        <w:trPr>
          <w:trHeight w:val="240"/>
        </w:trPr>
        <w:tc>
          <w:tcPr>
            <w:tcW w:w="908" w:type="pct"/>
            <w:shd w:val="clear" w:color="auto" w:fill="auto"/>
            <w:tcMar>
              <w:top w:w="0" w:type="dxa"/>
              <w:left w:w="0" w:type="dxa"/>
              <w:bottom w:w="0" w:type="dxa"/>
              <w:right w:w="0" w:type="dxa"/>
            </w:tcMar>
          </w:tcPr>
          <w:p w14:paraId="3E7E5550" w14:textId="77777777" w:rsidR="006F4911" w:rsidRPr="002C65E3" w:rsidRDefault="006F4911" w:rsidP="00A670F5">
            <w:pPr>
              <w:spacing w:before="40" w:after="40" w:line="220" w:lineRule="exact"/>
              <w:rPr>
                <w:rFonts w:eastAsia="Times New Roman"/>
                <w:sz w:val="18"/>
                <w:lang w:eastAsia="en-US"/>
              </w:rPr>
            </w:pPr>
            <w:r w:rsidRPr="002C65E3">
              <w:rPr>
                <w:rFonts w:eastAsia="Times New Roman"/>
                <w:sz w:val="18"/>
                <w:lang w:eastAsia="en-US"/>
              </w:rPr>
              <w:t>2018</w:t>
            </w:r>
          </w:p>
        </w:tc>
        <w:tc>
          <w:tcPr>
            <w:tcW w:w="1885" w:type="pct"/>
            <w:shd w:val="clear" w:color="auto" w:fill="auto"/>
            <w:tcMar>
              <w:top w:w="0" w:type="dxa"/>
              <w:left w:w="0" w:type="dxa"/>
              <w:bottom w:w="0" w:type="dxa"/>
              <w:right w:w="0" w:type="dxa"/>
            </w:tcMar>
            <w:vAlign w:val="bottom"/>
          </w:tcPr>
          <w:p w14:paraId="0F9BBAFA"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448</w:t>
            </w:r>
          </w:p>
        </w:tc>
        <w:tc>
          <w:tcPr>
            <w:tcW w:w="2207" w:type="pct"/>
            <w:shd w:val="clear" w:color="auto" w:fill="auto"/>
            <w:tcMar>
              <w:top w:w="0" w:type="dxa"/>
              <w:left w:w="0" w:type="dxa"/>
              <w:bottom w:w="0" w:type="dxa"/>
              <w:right w:w="0" w:type="dxa"/>
            </w:tcMar>
            <w:vAlign w:val="bottom"/>
          </w:tcPr>
          <w:p w14:paraId="6460C549"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172</w:t>
            </w:r>
          </w:p>
        </w:tc>
      </w:tr>
      <w:tr w:rsidR="006F4911" w:rsidRPr="002C65E3" w14:paraId="7B0FDE06" w14:textId="77777777" w:rsidTr="00A670F5">
        <w:trPr>
          <w:trHeight w:val="240"/>
        </w:trPr>
        <w:tc>
          <w:tcPr>
            <w:tcW w:w="908" w:type="pct"/>
            <w:shd w:val="clear" w:color="auto" w:fill="auto"/>
            <w:tcMar>
              <w:top w:w="0" w:type="dxa"/>
              <w:left w:w="0" w:type="dxa"/>
              <w:bottom w:w="0" w:type="dxa"/>
              <w:right w:w="0" w:type="dxa"/>
            </w:tcMar>
          </w:tcPr>
          <w:p w14:paraId="3A82236D" w14:textId="77777777" w:rsidR="006F4911" w:rsidRPr="002C65E3" w:rsidRDefault="006F4911" w:rsidP="00A670F5">
            <w:pPr>
              <w:spacing w:before="40" w:after="40" w:line="220" w:lineRule="exact"/>
              <w:rPr>
                <w:rFonts w:eastAsia="Times New Roman"/>
                <w:sz w:val="18"/>
                <w:lang w:eastAsia="en-US"/>
              </w:rPr>
            </w:pPr>
            <w:r w:rsidRPr="002C65E3">
              <w:rPr>
                <w:rFonts w:eastAsia="Times New Roman"/>
                <w:sz w:val="18"/>
                <w:lang w:eastAsia="en-US"/>
              </w:rPr>
              <w:t>2019</w:t>
            </w:r>
          </w:p>
        </w:tc>
        <w:tc>
          <w:tcPr>
            <w:tcW w:w="1885" w:type="pct"/>
            <w:shd w:val="clear" w:color="auto" w:fill="auto"/>
            <w:tcMar>
              <w:top w:w="0" w:type="dxa"/>
              <w:left w:w="0" w:type="dxa"/>
              <w:bottom w:w="0" w:type="dxa"/>
              <w:right w:w="0" w:type="dxa"/>
            </w:tcMar>
            <w:vAlign w:val="bottom"/>
          </w:tcPr>
          <w:p w14:paraId="2D95E17E"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470</w:t>
            </w:r>
          </w:p>
        </w:tc>
        <w:tc>
          <w:tcPr>
            <w:tcW w:w="2207" w:type="pct"/>
            <w:shd w:val="clear" w:color="auto" w:fill="auto"/>
            <w:tcMar>
              <w:top w:w="0" w:type="dxa"/>
              <w:left w:w="0" w:type="dxa"/>
              <w:bottom w:w="0" w:type="dxa"/>
              <w:right w:w="0" w:type="dxa"/>
            </w:tcMar>
            <w:vAlign w:val="bottom"/>
          </w:tcPr>
          <w:p w14:paraId="69F870E5"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196</w:t>
            </w:r>
          </w:p>
        </w:tc>
      </w:tr>
      <w:tr w:rsidR="006F4911" w:rsidRPr="002C65E3" w14:paraId="0414D2ED" w14:textId="77777777" w:rsidTr="00A670F5">
        <w:trPr>
          <w:trHeight w:val="240"/>
        </w:trPr>
        <w:tc>
          <w:tcPr>
            <w:tcW w:w="908" w:type="pct"/>
            <w:tcBorders>
              <w:bottom w:val="single" w:sz="12" w:space="0" w:color="auto"/>
            </w:tcBorders>
            <w:shd w:val="clear" w:color="auto" w:fill="auto"/>
            <w:tcMar>
              <w:top w:w="0" w:type="dxa"/>
              <w:left w:w="0" w:type="dxa"/>
              <w:bottom w:w="0" w:type="dxa"/>
              <w:right w:w="0" w:type="dxa"/>
            </w:tcMar>
          </w:tcPr>
          <w:p w14:paraId="2AC58E68" w14:textId="77777777" w:rsidR="006F4911" w:rsidRPr="002C65E3" w:rsidRDefault="006F4911" w:rsidP="00A670F5">
            <w:pPr>
              <w:spacing w:before="40" w:after="40" w:line="220" w:lineRule="exact"/>
              <w:rPr>
                <w:rFonts w:eastAsia="Times New Roman"/>
                <w:sz w:val="18"/>
                <w:lang w:eastAsia="en-US"/>
              </w:rPr>
            </w:pPr>
            <w:r w:rsidRPr="002C65E3">
              <w:rPr>
                <w:rFonts w:eastAsia="Times New Roman"/>
                <w:sz w:val="18"/>
                <w:lang w:eastAsia="en-US"/>
              </w:rPr>
              <w:t>2020</w:t>
            </w:r>
          </w:p>
        </w:tc>
        <w:tc>
          <w:tcPr>
            <w:tcW w:w="1885" w:type="pct"/>
            <w:tcBorders>
              <w:bottom w:val="single" w:sz="12" w:space="0" w:color="auto"/>
            </w:tcBorders>
            <w:shd w:val="clear" w:color="auto" w:fill="auto"/>
            <w:tcMar>
              <w:top w:w="0" w:type="dxa"/>
              <w:left w:w="0" w:type="dxa"/>
              <w:bottom w:w="0" w:type="dxa"/>
              <w:right w:w="0" w:type="dxa"/>
            </w:tcMar>
            <w:vAlign w:val="bottom"/>
          </w:tcPr>
          <w:p w14:paraId="77F4F9EE"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469</w:t>
            </w:r>
          </w:p>
        </w:tc>
        <w:tc>
          <w:tcPr>
            <w:tcW w:w="2207" w:type="pct"/>
            <w:tcBorders>
              <w:bottom w:val="single" w:sz="12" w:space="0" w:color="auto"/>
            </w:tcBorders>
            <w:shd w:val="clear" w:color="auto" w:fill="auto"/>
            <w:tcMar>
              <w:top w:w="0" w:type="dxa"/>
              <w:left w:w="0" w:type="dxa"/>
              <w:bottom w:w="0" w:type="dxa"/>
              <w:right w:w="0" w:type="dxa"/>
            </w:tcMar>
            <w:vAlign w:val="bottom"/>
          </w:tcPr>
          <w:p w14:paraId="0C250A9D" w14:textId="77777777" w:rsidR="006F4911" w:rsidRPr="002C65E3" w:rsidRDefault="006F4911" w:rsidP="00A670F5">
            <w:pPr>
              <w:spacing w:before="40" w:after="40" w:line="220" w:lineRule="exact"/>
              <w:ind w:left="85" w:right="28"/>
              <w:jc w:val="right"/>
              <w:rPr>
                <w:rFonts w:eastAsia="Times New Roman"/>
                <w:sz w:val="18"/>
                <w:lang w:eastAsia="en-US"/>
              </w:rPr>
            </w:pPr>
            <w:r w:rsidRPr="002C65E3">
              <w:rPr>
                <w:rFonts w:eastAsia="Times New Roman"/>
                <w:sz w:val="18"/>
                <w:lang w:eastAsia="en-US"/>
              </w:rPr>
              <w:t>196</w:t>
            </w:r>
          </w:p>
        </w:tc>
      </w:tr>
    </w:tbl>
    <w:p w14:paraId="2DEC6FD1" w14:textId="6B5E33B9" w:rsidR="006F4911" w:rsidRPr="002C65E3" w:rsidRDefault="00035951" w:rsidP="00D56F9E">
      <w:pPr>
        <w:pStyle w:val="H23G"/>
      </w:pPr>
      <w:r w:rsidRPr="002C65E3">
        <w:tab/>
      </w:r>
      <w:r w:rsidRPr="002C65E3">
        <w:tab/>
      </w:r>
      <w:r w:rsidR="006F4911" w:rsidRPr="002C65E3">
        <w:t>Enfoque discapacidad y género</w:t>
      </w:r>
      <w:r w:rsidR="006F4911" w:rsidRPr="002C65E3">
        <w:rPr>
          <w:rStyle w:val="Refdenotaalpie"/>
          <w:b w:val="0"/>
        </w:rPr>
        <w:footnoteReference w:id="264"/>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567"/>
        <w:gridCol w:w="3713"/>
        <w:gridCol w:w="3090"/>
      </w:tblGrid>
      <w:tr w:rsidR="006F4911" w:rsidRPr="002C65E3" w14:paraId="6784DA55" w14:textId="77777777" w:rsidTr="00766AA8">
        <w:trPr>
          <w:trHeight w:val="240"/>
          <w:tblHeader/>
        </w:trPr>
        <w:tc>
          <w:tcPr>
            <w:tcW w:w="385"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28A74B9" w14:textId="77777777" w:rsidR="006F4911" w:rsidRPr="002C65E3" w:rsidRDefault="006F4911" w:rsidP="00766AA8">
            <w:pPr>
              <w:spacing w:before="80" w:after="80" w:line="200" w:lineRule="exact"/>
              <w:rPr>
                <w:rFonts w:eastAsia="Times New Roman"/>
                <w:i/>
                <w:sz w:val="16"/>
                <w:lang w:eastAsia="en-US"/>
              </w:rPr>
            </w:pPr>
            <w:r w:rsidRPr="002C65E3">
              <w:rPr>
                <w:rFonts w:eastAsia="Times New Roman"/>
                <w:i/>
                <w:sz w:val="16"/>
                <w:lang w:eastAsia="en-US"/>
              </w:rPr>
              <w:t>Año</w:t>
            </w:r>
          </w:p>
        </w:tc>
        <w:tc>
          <w:tcPr>
            <w:tcW w:w="2519"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4ACC834" w14:textId="7EF9E02F" w:rsidR="006F4911" w:rsidRPr="002C65E3" w:rsidRDefault="006F4911" w:rsidP="00766AA8">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r w:rsidR="00405113" w:rsidRPr="002C65E3">
              <w:rPr>
                <w:rFonts w:eastAsia="Times New Roman"/>
                <w:bCs/>
                <w:i/>
                <w:sz w:val="16"/>
                <w:lang w:eastAsia="en-US"/>
              </w:rPr>
              <w:t>º </w:t>
            </w:r>
            <w:r w:rsidRPr="002C65E3">
              <w:rPr>
                <w:rFonts w:eastAsia="Times New Roman"/>
                <w:bCs/>
                <w:i/>
                <w:sz w:val="16"/>
                <w:lang w:eastAsia="en-US"/>
              </w:rPr>
              <w:t>programas enfoque discapacidad</w:t>
            </w:r>
          </w:p>
        </w:tc>
        <w:tc>
          <w:tcPr>
            <w:tcW w:w="2096"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3895B6B" w14:textId="531A69A1" w:rsidR="006F4911" w:rsidRPr="002C65E3" w:rsidRDefault="006F4911" w:rsidP="00766AA8">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r w:rsidR="00405113" w:rsidRPr="002C65E3">
              <w:rPr>
                <w:rFonts w:eastAsia="Times New Roman"/>
                <w:bCs/>
                <w:i/>
                <w:sz w:val="16"/>
                <w:lang w:eastAsia="en-US"/>
              </w:rPr>
              <w:t>º </w:t>
            </w:r>
            <w:r w:rsidRPr="002C65E3">
              <w:rPr>
                <w:rFonts w:eastAsia="Times New Roman"/>
                <w:bCs/>
                <w:i/>
                <w:sz w:val="16"/>
                <w:lang w:eastAsia="en-US"/>
              </w:rPr>
              <w:t>programas enfoque género</w:t>
            </w:r>
          </w:p>
        </w:tc>
      </w:tr>
      <w:tr w:rsidR="006F4911" w:rsidRPr="002C65E3" w14:paraId="2EDA4307" w14:textId="77777777" w:rsidTr="00766AA8">
        <w:trPr>
          <w:trHeight w:val="240"/>
        </w:trPr>
        <w:tc>
          <w:tcPr>
            <w:tcW w:w="385" w:type="pct"/>
            <w:tcBorders>
              <w:top w:val="single" w:sz="12" w:space="0" w:color="auto"/>
            </w:tcBorders>
            <w:shd w:val="clear" w:color="auto" w:fill="auto"/>
            <w:tcMar>
              <w:top w:w="0" w:type="dxa"/>
              <w:left w:w="0" w:type="dxa"/>
              <w:bottom w:w="0" w:type="dxa"/>
              <w:right w:w="0" w:type="dxa"/>
            </w:tcMar>
          </w:tcPr>
          <w:p w14:paraId="6EB8CD23" w14:textId="77777777" w:rsidR="006F4911" w:rsidRPr="002C65E3" w:rsidRDefault="006F4911" w:rsidP="00536B1E">
            <w:pPr>
              <w:keepNext/>
              <w:spacing w:before="40" w:after="40" w:line="220" w:lineRule="exact"/>
              <w:rPr>
                <w:rFonts w:eastAsia="Times New Roman"/>
                <w:sz w:val="18"/>
                <w:lang w:eastAsia="en-US"/>
              </w:rPr>
            </w:pPr>
            <w:r w:rsidRPr="002C65E3">
              <w:rPr>
                <w:rFonts w:eastAsia="Times New Roman"/>
                <w:sz w:val="18"/>
                <w:lang w:eastAsia="en-US"/>
              </w:rPr>
              <w:t>2016</w:t>
            </w:r>
          </w:p>
        </w:tc>
        <w:tc>
          <w:tcPr>
            <w:tcW w:w="2519" w:type="pct"/>
            <w:tcBorders>
              <w:top w:val="single" w:sz="12" w:space="0" w:color="auto"/>
            </w:tcBorders>
            <w:shd w:val="clear" w:color="auto" w:fill="auto"/>
            <w:tcMar>
              <w:top w:w="0" w:type="dxa"/>
              <w:left w:w="0" w:type="dxa"/>
              <w:bottom w:w="0" w:type="dxa"/>
              <w:right w:w="0" w:type="dxa"/>
            </w:tcMar>
            <w:vAlign w:val="bottom"/>
          </w:tcPr>
          <w:p w14:paraId="42A2A4E3" w14:textId="77777777" w:rsidR="006F4911" w:rsidRPr="002C65E3" w:rsidRDefault="006F4911" w:rsidP="00536B1E">
            <w:pPr>
              <w:keepNext/>
              <w:spacing w:before="40" w:after="40" w:line="220" w:lineRule="exact"/>
              <w:ind w:left="85" w:right="28"/>
              <w:jc w:val="right"/>
              <w:rPr>
                <w:rFonts w:eastAsia="Times New Roman"/>
                <w:sz w:val="18"/>
                <w:lang w:eastAsia="en-US"/>
              </w:rPr>
            </w:pPr>
            <w:r w:rsidRPr="002C65E3">
              <w:rPr>
                <w:rFonts w:eastAsia="Times New Roman"/>
                <w:sz w:val="18"/>
                <w:lang w:eastAsia="en-US"/>
              </w:rPr>
              <w:t>58</w:t>
            </w:r>
          </w:p>
        </w:tc>
        <w:tc>
          <w:tcPr>
            <w:tcW w:w="2096" w:type="pct"/>
            <w:tcBorders>
              <w:top w:val="single" w:sz="12" w:space="0" w:color="auto"/>
            </w:tcBorders>
            <w:shd w:val="clear" w:color="auto" w:fill="auto"/>
            <w:tcMar>
              <w:top w:w="0" w:type="dxa"/>
              <w:left w:w="0" w:type="dxa"/>
              <w:bottom w:w="0" w:type="dxa"/>
              <w:right w:w="0" w:type="dxa"/>
            </w:tcMar>
            <w:vAlign w:val="bottom"/>
          </w:tcPr>
          <w:p w14:paraId="749C64F7" w14:textId="77777777" w:rsidR="006F4911" w:rsidRPr="002C65E3" w:rsidRDefault="006F4911" w:rsidP="00536B1E">
            <w:pPr>
              <w:keepNext/>
              <w:spacing w:before="40" w:after="40" w:line="220" w:lineRule="exact"/>
              <w:ind w:left="85" w:right="28"/>
              <w:jc w:val="right"/>
              <w:rPr>
                <w:rFonts w:eastAsia="Times New Roman"/>
                <w:sz w:val="18"/>
                <w:lang w:eastAsia="en-US"/>
              </w:rPr>
            </w:pPr>
            <w:r w:rsidRPr="002C65E3">
              <w:rPr>
                <w:rFonts w:eastAsia="Times New Roman"/>
                <w:sz w:val="18"/>
                <w:lang w:eastAsia="en-US"/>
              </w:rPr>
              <w:t>32</w:t>
            </w:r>
          </w:p>
        </w:tc>
      </w:tr>
      <w:tr w:rsidR="006F4911" w:rsidRPr="002C65E3" w14:paraId="5E0C89DE" w14:textId="77777777" w:rsidTr="00766AA8">
        <w:trPr>
          <w:trHeight w:val="240"/>
        </w:trPr>
        <w:tc>
          <w:tcPr>
            <w:tcW w:w="385" w:type="pct"/>
            <w:shd w:val="clear" w:color="auto" w:fill="auto"/>
            <w:tcMar>
              <w:top w:w="0" w:type="dxa"/>
              <w:left w:w="0" w:type="dxa"/>
              <w:bottom w:w="0" w:type="dxa"/>
              <w:right w:w="0" w:type="dxa"/>
            </w:tcMar>
          </w:tcPr>
          <w:p w14:paraId="064A4195"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lastRenderedPageBreak/>
              <w:t>2017</w:t>
            </w:r>
          </w:p>
        </w:tc>
        <w:tc>
          <w:tcPr>
            <w:tcW w:w="2519" w:type="pct"/>
            <w:shd w:val="clear" w:color="auto" w:fill="auto"/>
            <w:tcMar>
              <w:top w:w="0" w:type="dxa"/>
              <w:left w:w="0" w:type="dxa"/>
              <w:bottom w:w="0" w:type="dxa"/>
              <w:right w:w="0" w:type="dxa"/>
            </w:tcMar>
            <w:vAlign w:val="bottom"/>
          </w:tcPr>
          <w:p w14:paraId="69C2A307"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161</w:t>
            </w:r>
          </w:p>
        </w:tc>
        <w:tc>
          <w:tcPr>
            <w:tcW w:w="2096" w:type="pct"/>
            <w:shd w:val="clear" w:color="auto" w:fill="auto"/>
            <w:tcMar>
              <w:top w:w="0" w:type="dxa"/>
              <w:left w:w="0" w:type="dxa"/>
              <w:bottom w:w="0" w:type="dxa"/>
              <w:right w:w="0" w:type="dxa"/>
            </w:tcMar>
            <w:vAlign w:val="bottom"/>
          </w:tcPr>
          <w:p w14:paraId="6AF542B2"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126</w:t>
            </w:r>
          </w:p>
        </w:tc>
      </w:tr>
      <w:tr w:rsidR="006F4911" w:rsidRPr="002C65E3" w14:paraId="15664824" w14:textId="77777777" w:rsidTr="00766AA8">
        <w:trPr>
          <w:trHeight w:val="240"/>
        </w:trPr>
        <w:tc>
          <w:tcPr>
            <w:tcW w:w="385" w:type="pct"/>
            <w:shd w:val="clear" w:color="auto" w:fill="auto"/>
            <w:tcMar>
              <w:top w:w="0" w:type="dxa"/>
              <w:left w:w="0" w:type="dxa"/>
              <w:bottom w:w="0" w:type="dxa"/>
              <w:right w:w="0" w:type="dxa"/>
            </w:tcMar>
          </w:tcPr>
          <w:p w14:paraId="2211F65F"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2018</w:t>
            </w:r>
          </w:p>
        </w:tc>
        <w:tc>
          <w:tcPr>
            <w:tcW w:w="2519" w:type="pct"/>
            <w:shd w:val="clear" w:color="auto" w:fill="auto"/>
            <w:tcMar>
              <w:top w:w="0" w:type="dxa"/>
              <w:left w:w="0" w:type="dxa"/>
              <w:bottom w:w="0" w:type="dxa"/>
              <w:right w:w="0" w:type="dxa"/>
            </w:tcMar>
            <w:vAlign w:val="bottom"/>
          </w:tcPr>
          <w:p w14:paraId="2625637E"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172</w:t>
            </w:r>
          </w:p>
        </w:tc>
        <w:tc>
          <w:tcPr>
            <w:tcW w:w="2096" w:type="pct"/>
            <w:shd w:val="clear" w:color="auto" w:fill="auto"/>
            <w:tcMar>
              <w:top w:w="0" w:type="dxa"/>
              <w:left w:w="0" w:type="dxa"/>
              <w:bottom w:w="0" w:type="dxa"/>
              <w:right w:w="0" w:type="dxa"/>
            </w:tcMar>
            <w:vAlign w:val="bottom"/>
          </w:tcPr>
          <w:p w14:paraId="0366AF78"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133</w:t>
            </w:r>
          </w:p>
        </w:tc>
      </w:tr>
      <w:tr w:rsidR="006F4911" w:rsidRPr="002C65E3" w14:paraId="5189A248" w14:textId="77777777" w:rsidTr="00766AA8">
        <w:trPr>
          <w:trHeight w:val="240"/>
        </w:trPr>
        <w:tc>
          <w:tcPr>
            <w:tcW w:w="385" w:type="pct"/>
            <w:shd w:val="clear" w:color="auto" w:fill="auto"/>
            <w:tcMar>
              <w:top w:w="0" w:type="dxa"/>
              <w:left w:w="0" w:type="dxa"/>
              <w:bottom w:w="0" w:type="dxa"/>
              <w:right w:w="0" w:type="dxa"/>
            </w:tcMar>
          </w:tcPr>
          <w:p w14:paraId="0FEA53BD"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2019</w:t>
            </w:r>
          </w:p>
        </w:tc>
        <w:tc>
          <w:tcPr>
            <w:tcW w:w="2519" w:type="pct"/>
            <w:shd w:val="clear" w:color="auto" w:fill="auto"/>
            <w:tcMar>
              <w:top w:w="0" w:type="dxa"/>
              <w:left w:w="0" w:type="dxa"/>
              <w:bottom w:w="0" w:type="dxa"/>
              <w:right w:w="0" w:type="dxa"/>
            </w:tcMar>
            <w:vAlign w:val="bottom"/>
          </w:tcPr>
          <w:p w14:paraId="2B9B3827"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196</w:t>
            </w:r>
          </w:p>
        </w:tc>
        <w:tc>
          <w:tcPr>
            <w:tcW w:w="2096" w:type="pct"/>
            <w:shd w:val="clear" w:color="auto" w:fill="auto"/>
            <w:tcMar>
              <w:top w:w="0" w:type="dxa"/>
              <w:left w:w="0" w:type="dxa"/>
              <w:bottom w:w="0" w:type="dxa"/>
              <w:right w:w="0" w:type="dxa"/>
            </w:tcMar>
            <w:vAlign w:val="bottom"/>
          </w:tcPr>
          <w:p w14:paraId="7CC5F65F"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153</w:t>
            </w:r>
          </w:p>
        </w:tc>
      </w:tr>
      <w:tr w:rsidR="006F4911" w:rsidRPr="002C65E3" w14:paraId="06C03773" w14:textId="77777777" w:rsidTr="00766AA8">
        <w:trPr>
          <w:trHeight w:val="240"/>
        </w:trPr>
        <w:tc>
          <w:tcPr>
            <w:tcW w:w="385" w:type="pct"/>
            <w:tcBorders>
              <w:bottom w:val="single" w:sz="12" w:space="0" w:color="auto"/>
            </w:tcBorders>
            <w:shd w:val="clear" w:color="auto" w:fill="auto"/>
            <w:tcMar>
              <w:top w:w="0" w:type="dxa"/>
              <w:left w:w="0" w:type="dxa"/>
              <w:bottom w:w="0" w:type="dxa"/>
              <w:right w:w="0" w:type="dxa"/>
            </w:tcMar>
          </w:tcPr>
          <w:p w14:paraId="28238318"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2020</w:t>
            </w:r>
          </w:p>
        </w:tc>
        <w:tc>
          <w:tcPr>
            <w:tcW w:w="2519" w:type="pct"/>
            <w:tcBorders>
              <w:bottom w:val="single" w:sz="12" w:space="0" w:color="auto"/>
            </w:tcBorders>
            <w:shd w:val="clear" w:color="auto" w:fill="auto"/>
            <w:tcMar>
              <w:top w:w="0" w:type="dxa"/>
              <w:left w:w="0" w:type="dxa"/>
              <w:bottom w:w="0" w:type="dxa"/>
              <w:right w:w="0" w:type="dxa"/>
            </w:tcMar>
            <w:vAlign w:val="bottom"/>
          </w:tcPr>
          <w:p w14:paraId="7568E883"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196</w:t>
            </w:r>
          </w:p>
        </w:tc>
        <w:tc>
          <w:tcPr>
            <w:tcW w:w="2096" w:type="pct"/>
            <w:tcBorders>
              <w:bottom w:val="single" w:sz="12" w:space="0" w:color="auto"/>
            </w:tcBorders>
            <w:shd w:val="clear" w:color="auto" w:fill="auto"/>
            <w:tcMar>
              <w:top w:w="0" w:type="dxa"/>
              <w:left w:w="0" w:type="dxa"/>
              <w:bottom w:w="0" w:type="dxa"/>
              <w:right w:w="0" w:type="dxa"/>
            </w:tcMar>
            <w:vAlign w:val="bottom"/>
          </w:tcPr>
          <w:p w14:paraId="54ACDDA7"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153</w:t>
            </w:r>
          </w:p>
        </w:tc>
      </w:tr>
    </w:tbl>
    <w:p w14:paraId="171BD9D9" w14:textId="0C56E2A2" w:rsidR="006F4911" w:rsidRPr="002C65E3" w:rsidRDefault="00035951" w:rsidP="00766AA8">
      <w:pPr>
        <w:pStyle w:val="H23G"/>
      </w:pPr>
      <w:r w:rsidRPr="002C65E3">
        <w:tab/>
      </w:r>
      <w:r w:rsidRPr="002C65E3">
        <w:tab/>
      </w:r>
      <w:r w:rsidR="006F4911" w:rsidRPr="002C65E3">
        <w:t>Enfoque discapacidad y NNA</w:t>
      </w:r>
      <w:r w:rsidR="006F4911" w:rsidRPr="002C65E3">
        <w:rPr>
          <w:rStyle w:val="Refdenotaalpie"/>
          <w:b w:val="0"/>
        </w:rPr>
        <w:footnoteReference w:id="265"/>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334"/>
        <w:gridCol w:w="2811"/>
        <w:gridCol w:w="3225"/>
      </w:tblGrid>
      <w:tr w:rsidR="006F4911" w:rsidRPr="002C65E3" w14:paraId="0E6676F5" w14:textId="77777777" w:rsidTr="00766AA8">
        <w:trPr>
          <w:trHeight w:val="240"/>
          <w:tblHeader/>
        </w:trPr>
        <w:tc>
          <w:tcPr>
            <w:tcW w:w="905"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2810D9C" w14:textId="77777777" w:rsidR="006F4911" w:rsidRPr="002C65E3" w:rsidRDefault="006F4911" w:rsidP="00766AA8">
            <w:pPr>
              <w:spacing w:before="80" w:after="80" w:line="200" w:lineRule="exact"/>
              <w:rPr>
                <w:rFonts w:eastAsia="Times New Roman"/>
                <w:bCs/>
                <w:i/>
                <w:sz w:val="16"/>
                <w:lang w:eastAsia="en-US"/>
              </w:rPr>
            </w:pPr>
            <w:r w:rsidRPr="002C65E3">
              <w:rPr>
                <w:rFonts w:eastAsia="Times New Roman"/>
                <w:bCs/>
                <w:i/>
                <w:sz w:val="16"/>
                <w:lang w:eastAsia="en-US"/>
              </w:rPr>
              <w:t>Año</w:t>
            </w:r>
          </w:p>
        </w:tc>
        <w:tc>
          <w:tcPr>
            <w:tcW w:w="190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BF3E0DA" w14:textId="37531763" w:rsidR="006F4911" w:rsidRPr="002C65E3" w:rsidRDefault="006F4911" w:rsidP="00766AA8">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r w:rsidR="00405113" w:rsidRPr="002C65E3">
              <w:rPr>
                <w:rFonts w:eastAsia="Times New Roman"/>
                <w:bCs/>
                <w:i/>
                <w:sz w:val="16"/>
                <w:lang w:eastAsia="en-US"/>
              </w:rPr>
              <w:t>º </w:t>
            </w:r>
            <w:r w:rsidRPr="002C65E3">
              <w:rPr>
                <w:rFonts w:eastAsia="Times New Roman"/>
                <w:bCs/>
                <w:i/>
                <w:sz w:val="16"/>
                <w:lang w:eastAsia="en-US"/>
              </w:rPr>
              <w:t>programas enfoque discapacidad</w:t>
            </w:r>
          </w:p>
        </w:tc>
        <w:tc>
          <w:tcPr>
            <w:tcW w:w="2188"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6605FA76" w14:textId="09B4F8E6" w:rsidR="006F4911" w:rsidRPr="002C65E3" w:rsidRDefault="006F4911" w:rsidP="00766AA8">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r w:rsidR="00405113" w:rsidRPr="002C65E3">
              <w:rPr>
                <w:rFonts w:eastAsia="Times New Roman"/>
                <w:bCs/>
                <w:i/>
                <w:sz w:val="16"/>
                <w:lang w:eastAsia="en-US"/>
              </w:rPr>
              <w:t>º </w:t>
            </w:r>
            <w:r w:rsidRPr="002C65E3">
              <w:rPr>
                <w:rFonts w:eastAsia="Times New Roman"/>
                <w:bCs/>
                <w:i/>
                <w:sz w:val="16"/>
                <w:lang w:eastAsia="en-US"/>
              </w:rPr>
              <w:t>programas enfoque NNA</w:t>
            </w:r>
          </w:p>
        </w:tc>
      </w:tr>
      <w:tr w:rsidR="006F4911" w:rsidRPr="002C65E3" w14:paraId="7C605993" w14:textId="77777777" w:rsidTr="00766AA8">
        <w:trPr>
          <w:trHeight w:val="240"/>
        </w:trPr>
        <w:tc>
          <w:tcPr>
            <w:tcW w:w="905" w:type="pct"/>
            <w:tcBorders>
              <w:top w:val="single" w:sz="12" w:space="0" w:color="auto"/>
            </w:tcBorders>
            <w:shd w:val="clear" w:color="auto" w:fill="auto"/>
            <w:tcMar>
              <w:top w:w="0" w:type="dxa"/>
              <w:left w:w="0" w:type="dxa"/>
              <w:bottom w:w="0" w:type="dxa"/>
              <w:right w:w="0" w:type="dxa"/>
            </w:tcMar>
          </w:tcPr>
          <w:p w14:paraId="0BEE52AC"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2016</w:t>
            </w:r>
          </w:p>
        </w:tc>
        <w:tc>
          <w:tcPr>
            <w:tcW w:w="1907" w:type="pct"/>
            <w:tcBorders>
              <w:top w:val="single" w:sz="12" w:space="0" w:color="auto"/>
            </w:tcBorders>
            <w:shd w:val="clear" w:color="auto" w:fill="auto"/>
            <w:tcMar>
              <w:top w:w="0" w:type="dxa"/>
              <w:left w:w="0" w:type="dxa"/>
              <w:bottom w:w="0" w:type="dxa"/>
              <w:right w:w="0" w:type="dxa"/>
            </w:tcMar>
            <w:vAlign w:val="bottom"/>
          </w:tcPr>
          <w:p w14:paraId="50E656C4"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58</w:t>
            </w:r>
          </w:p>
        </w:tc>
        <w:tc>
          <w:tcPr>
            <w:tcW w:w="2188" w:type="pct"/>
            <w:tcBorders>
              <w:top w:val="single" w:sz="12" w:space="0" w:color="auto"/>
            </w:tcBorders>
            <w:shd w:val="clear" w:color="auto" w:fill="auto"/>
            <w:tcMar>
              <w:top w:w="0" w:type="dxa"/>
              <w:left w:w="0" w:type="dxa"/>
              <w:bottom w:w="0" w:type="dxa"/>
              <w:right w:w="0" w:type="dxa"/>
            </w:tcMar>
            <w:vAlign w:val="bottom"/>
          </w:tcPr>
          <w:p w14:paraId="2F9B8594"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25</w:t>
            </w:r>
          </w:p>
        </w:tc>
      </w:tr>
      <w:tr w:rsidR="006F4911" w:rsidRPr="002C65E3" w14:paraId="1BF45BEE" w14:textId="77777777" w:rsidTr="00766AA8">
        <w:trPr>
          <w:trHeight w:val="240"/>
        </w:trPr>
        <w:tc>
          <w:tcPr>
            <w:tcW w:w="905" w:type="pct"/>
            <w:shd w:val="clear" w:color="auto" w:fill="auto"/>
            <w:tcMar>
              <w:top w:w="0" w:type="dxa"/>
              <w:left w:w="0" w:type="dxa"/>
              <w:bottom w:w="0" w:type="dxa"/>
              <w:right w:w="0" w:type="dxa"/>
            </w:tcMar>
          </w:tcPr>
          <w:p w14:paraId="1759624D"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2017</w:t>
            </w:r>
          </w:p>
        </w:tc>
        <w:tc>
          <w:tcPr>
            <w:tcW w:w="1907" w:type="pct"/>
            <w:shd w:val="clear" w:color="auto" w:fill="auto"/>
            <w:tcMar>
              <w:top w:w="0" w:type="dxa"/>
              <w:left w:w="0" w:type="dxa"/>
              <w:bottom w:w="0" w:type="dxa"/>
              <w:right w:w="0" w:type="dxa"/>
            </w:tcMar>
            <w:vAlign w:val="bottom"/>
          </w:tcPr>
          <w:p w14:paraId="5B1CEE3A"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161</w:t>
            </w:r>
          </w:p>
        </w:tc>
        <w:tc>
          <w:tcPr>
            <w:tcW w:w="2188" w:type="pct"/>
            <w:shd w:val="clear" w:color="auto" w:fill="auto"/>
            <w:tcMar>
              <w:top w:w="0" w:type="dxa"/>
              <w:left w:w="0" w:type="dxa"/>
              <w:bottom w:w="0" w:type="dxa"/>
              <w:right w:w="0" w:type="dxa"/>
            </w:tcMar>
            <w:vAlign w:val="bottom"/>
          </w:tcPr>
          <w:p w14:paraId="7FEC0121"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104</w:t>
            </w:r>
          </w:p>
        </w:tc>
      </w:tr>
      <w:tr w:rsidR="006F4911" w:rsidRPr="002C65E3" w14:paraId="3F6101B6" w14:textId="77777777" w:rsidTr="00766AA8">
        <w:trPr>
          <w:trHeight w:val="240"/>
        </w:trPr>
        <w:tc>
          <w:tcPr>
            <w:tcW w:w="905" w:type="pct"/>
            <w:shd w:val="clear" w:color="auto" w:fill="auto"/>
            <w:tcMar>
              <w:top w:w="0" w:type="dxa"/>
              <w:left w:w="0" w:type="dxa"/>
              <w:bottom w:w="0" w:type="dxa"/>
              <w:right w:w="0" w:type="dxa"/>
            </w:tcMar>
          </w:tcPr>
          <w:p w14:paraId="08778691"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2018</w:t>
            </w:r>
          </w:p>
        </w:tc>
        <w:tc>
          <w:tcPr>
            <w:tcW w:w="1907" w:type="pct"/>
            <w:shd w:val="clear" w:color="auto" w:fill="auto"/>
            <w:tcMar>
              <w:top w:w="0" w:type="dxa"/>
              <w:left w:w="0" w:type="dxa"/>
              <w:bottom w:w="0" w:type="dxa"/>
              <w:right w:w="0" w:type="dxa"/>
            </w:tcMar>
            <w:vAlign w:val="bottom"/>
          </w:tcPr>
          <w:p w14:paraId="6C7218A1"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172</w:t>
            </w:r>
          </w:p>
        </w:tc>
        <w:tc>
          <w:tcPr>
            <w:tcW w:w="2188" w:type="pct"/>
            <w:shd w:val="clear" w:color="auto" w:fill="auto"/>
            <w:tcMar>
              <w:top w:w="0" w:type="dxa"/>
              <w:left w:w="0" w:type="dxa"/>
              <w:bottom w:w="0" w:type="dxa"/>
              <w:right w:w="0" w:type="dxa"/>
            </w:tcMar>
            <w:vAlign w:val="bottom"/>
          </w:tcPr>
          <w:p w14:paraId="7027BBEA"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115</w:t>
            </w:r>
          </w:p>
        </w:tc>
      </w:tr>
      <w:tr w:rsidR="006F4911" w:rsidRPr="002C65E3" w14:paraId="1F38585E" w14:textId="77777777" w:rsidTr="00766AA8">
        <w:trPr>
          <w:trHeight w:val="240"/>
        </w:trPr>
        <w:tc>
          <w:tcPr>
            <w:tcW w:w="905" w:type="pct"/>
            <w:shd w:val="clear" w:color="auto" w:fill="auto"/>
            <w:tcMar>
              <w:top w:w="0" w:type="dxa"/>
              <w:left w:w="0" w:type="dxa"/>
              <w:bottom w:w="0" w:type="dxa"/>
              <w:right w:w="0" w:type="dxa"/>
            </w:tcMar>
          </w:tcPr>
          <w:p w14:paraId="078B66C8"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2019</w:t>
            </w:r>
          </w:p>
        </w:tc>
        <w:tc>
          <w:tcPr>
            <w:tcW w:w="1907" w:type="pct"/>
            <w:shd w:val="clear" w:color="auto" w:fill="auto"/>
            <w:tcMar>
              <w:top w:w="0" w:type="dxa"/>
              <w:left w:w="0" w:type="dxa"/>
              <w:bottom w:w="0" w:type="dxa"/>
              <w:right w:w="0" w:type="dxa"/>
            </w:tcMar>
            <w:vAlign w:val="bottom"/>
          </w:tcPr>
          <w:p w14:paraId="09F2BAF6"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196</w:t>
            </w:r>
          </w:p>
        </w:tc>
        <w:tc>
          <w:tcPr>
            <w:tcW w:w="2188" w:type="pct"/>
            <w:shd w:val="clear" w:color="auto" w:fill="auto"/>
            <w:tcMar>
              <w:top w:w="0" w:type="dxa"/>
              <w:left w:w="0" w:type="dxa"/>
              <w:bottom w:w="0" w:type="dxa"/>
              <w:right w:w="0" w:type="dxa"/>
            </w:tcMar>
            <w:vAlign w:val="bottom"/>
          </w:tcPr>
          <w:p w14:paraId="3FFB1A9A"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131</w:t>
            </w:r>
          </w:p>
        </w:tc>
      </w:tr>
      <w:tr w:rsidR="006F4911" w:rsidRPr="002C65E3" w14:paraId="71511743" w14:textId="77777777" w:rsidTr="00766AA8">
        <w:trPr>
          <w:trHeight w:val="240"/>
        </w:trPr>
        <w:tc>
          <w:tcPr>
            <w:tcW w:w="905" w:type="pct"/>
            <w:tcBorders>
              <w:bottom w:val="single" w:sz="12" w:space="0" w:color="auto"/>
            </w:tcBorders>
            <w:shd w:val="clear" w:color="auto" w:fill="auto"/>
            <w:tcMar>
              <w:top w:w="0" w:type="dxa"/>
              <w:left w:w="0" w:type="dxa"/>
              <w:bottom w:w="0" w:type="dxa"/>
              <w:right w:w="0" w:type="dxa"/>
            </w:tcMar>
          </w:tcPr>
          <w:p w14:paraId="4FA2E07E"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2020</w:t>
            </w:r>
          </w:p>
        </w:tc>
        <w:tc>
          <w:tcPr>
            <w:tcW w:w="1907" w:type="pct"/>
            <w:tcBorders>
              <w:bottom w:val="single" w:sz="12" w:space="0" w:color="auto"/>
            </w:tcBorders>
            <w:shd w:val="clear" w:color="auto" w:fill="auto"/>
            <w:tcMar>
              <w:top w:w="0" w:type="dxa"/>
              <w:left w:w="0" w:type="dxa"/>
              <w:bottom w:w="0" w:type="dxa"/>
              <w:right w:w="0" w:type="dxa"/>
            </w:tcMar>
            <w:vAlign w:val="bottom"/>
          </w:tcPr>
          <w:p w14:paraId="368B3384"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196</w:t>
            </w:r>
          </w:p>
        </w:tc>
        <w:tc>
          <w:tcPr>
            <w:tcW w:w="2188" w:type="pct"/>
            <w:tcBorders>
              <w:bottom w:val="single" w:sz="12" w:space="0" w:color="auto"/>
            </w:tcBorders>
            <w:shd w:val="clear" w:color="auto" w:fill="auto"/>
            <w:tcMar>
              <w:top w:w="0" w:type="dxa"/>
              <w:left w:w="0" w:type="dxa"/>
              <w:bottom w:w="0" w:type="dxa"/>
              <w:right w:w="0" w:type="dxa"/>
            </w:tcMar>
            <w:vAlign w:val="bottom"/>
          </w:tcPr>
          <w:p w14:paraId="15441E74"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S/I</w:t>
            </w:r>
          </w:p>
        </w:tc>
      </w:tr>
    </w:tbl>
    <w:p w14:paraId="4EF65E59" w14:textId="59D69A65" w:rsidR="006F4911" w:rsidRPr="002C65E3" w:rsidRDefault="00035951" w:rsidP="00766AA8">
      <w:pPr>
        <w:pStyle w:val="H23G"/>
      </w:pPr>
      <w:r w:rsidRPr="002C65E3">
        <w:tab/>
      </w:r>
      <w:r w:rsidRPr="002C65E3">
        <w:tab/>
      </w:r>
      <w:r w:rsidR="006F4911" w:rsidRPr="002C65E3">
        <w:t>Enfoque discapacidad y personas mayores</w:t>
      </w:r>
      <w:r w:rsidR="006F4911" w:rsidRPr="002C65E3">
        <w:rPr>
          <w:rStyle w:val="Refdenotaalpie"/>
          <w:b w:val="0"/>
        </w:rPr>
        <w:footnoteReference w:id="266"/>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316"/>
        <w:gridCol w:w="2886"/>
        <w:gridCol w:w="3168"/>
      </w:tblGrid>
      <w:tr w:rsidR="006F4911" w:rsidRPr="002C65E3" w14:paraId="4033AEF5" w14:textId="77777777" w:rsidTr="00766AA8">
        <w:trPr>
          <w:trHeight w:val="240"/>
          <w:tblHeader/>
        </w:trPr>
        <w:tc>
          <w:tcPr>
            <w:tcW w:w="89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C8E63A8" w14:textId="77777777" w:rsidR="006F4911" w:rsidRPr="002C65E3" w:rsidRDefault="006F4911" w:rsidP="00766AA8">
            <w:pPr>
              <w:spacing w:before="80" w:after="80" w:line="200" w:lineRule="exact"/>
              <w:rPr>
                <w:rFonts w:eastAsia="Times New Roman"/>
                <w:bCs/>
                <w:i/>
                <w:sz w:val="16"/>
                <w:lang w:eastAsia="en-US"/>
              </w:rPr>
            </w:pPr>
            <w:r w:rsidRPr="002C65E3">
              <w:rPr>
                <w:rFonts w:eastAsia="Times New Roman"/>
                <w:bCs/>
                <w:i/>
                <w:sz w:val="16"/>
                <w:lang w:eastAsia="en-US"/>
              </w:rPr>
              <w:t>Año</w:t>
            </w:r>
          </w:p>
        </w:tc>
        <w:tc>
          <w:tcPr>
            <w:tcW w:w="1958"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5D921060" w14:textId="7EBD516A" w:rsidR="006F4911" w:rsidRPr="002C65E3" w:rsidRDefault="006F4911" w:rsidP="00766AA8">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r w:rsidR="00405113" w:rsidRPr="002C65E3">
              <w:rPr>
                <w:rFonts w:eastAsia="Times New Roman"/>
                <w:bCs/>
                <w:i/>
                <w:sz w:val="16"/>
                <w:lang w:eastAsia="en-US"/>
              </w:rPr>
              <w:t>º </w:t>
            </w:r>
            <w:r w:rsidRPr="002C65E3">
              <w:rPr>
                <w:rFonts w:eastAsia="Times New Roman"/>
                <w:bCs/>
                <w:i/>
                <w:sz w:val="16"/>
                <w:lang w:eastAsia="en-US"/>
              </w:rPr>
              <w:t>programas enfoque discapacidad</w:t>
            </w:r>
          </w:p>
        </w:tc>
        <w:tc>
          <w:tcPr>
            <w:tcW w:w="2149"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478B25BD" w14:textId="3FE942BF" w:rsidR="006F4911" w:rsidRPr="002C65E3" w:rsidRDefault="006F4911" w:rsidP="00766AA8">
            <w:pPr>
              <w:spacing w:before="80" w:after="80" w:line="200" w:lineRule="exact"/>
              <w:ind w:left="85" w:right="28"/>
              <w:jc w:val="right"/>
              <w:rPr>
                <w:rFonts w:eastAsia="Times New Roman"/>
                <w:bCs/>
                <w:i/>
                <w:sz w:val="16"/>
                <w:lang w:eastAsia="en-US"/>
              </w:rPr>
            </w:pPr>
            <w:r w:rsidRPr="002C65E3">
              <w:rPr>
                <w:rFonts w:eastAsia="Times New Roman"/>
                <w:bCs/>
                <w:i/>
                <w:sz w:val="16"/>
                <w:lang w:eastAsia="en-US"/>
              </w:rPr>
              <w:t>N</w:t>
            </w:r>
            <w:r w:rsidR="00405113" w:rsidRPr="002C65E3">
              <w:rPr>
                <w:rFonts w:eastAsia="Times New Roman"/>
                <w:bCs/>
                <w:i/>
                <w:sz w:val="16"/>
                <w:lang w:eastAsia="en-US"/>
              </w:rPr>
              <w:t>º </w:t>
            </w:r>
            <w:r w:rsidRPr="002C65E3">
              <w:rPr>
                <w:rFonts w:eastAsia="Times New Roman"/>
                <w:bCs/>
                <w:i/>
                <w:sz w:val="16"/>
                <w:lang w:eastAsia="en-US"/>
              </w:rPr>
              <w:t>programas enfoque personas mayores</w:t>
            </w:r>
          </w:p>
        </w:tc>
      </w:tr>
      <w:tr w:rsidR="006F4911" w:rsidRPr="002C65E3" w14:paraId="473A692C" w14:textId="77777777" w:rsidTr="00766AA8">
        <w:trPr>
          <w:trHeight w:val="240"/>
        </w:trPr>
        <w:tc>
          <w:tcPr>
            <w:tcW w:w="893" w:type="pct"/>
            <w:tcBorders>
              <w:top w:val="single" w:sz="12" w:space="0" w:color="auto"/>
            </w:tcBorders>
            <w:shd w:val="clear" w:color="auto" w:fill="auto"/>
            <w:tcMar>
              <w:top w:w="0" w:type="dxa"/>
              <w:left w:w="0" w:type="dxa"/>
              <w:bottom w:w="0" w:type="dxa"/>
              <w:right w:w="0" w:type="dxa"/>
            </w:tcMar>
          </w:tcPr>
          <w:p w14:paraId="19CBCB0B"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2016</w:t>
            </w:r>
          </w:p>
        </w:tc>
        <w:tc>
          <w:tcPr>
            <w:tcW w:w="1958" w:type="pct"/>
            <w:tcBorders>
              <w:top w:val="single" w:sz="12" w:space="0" w:color="auto"/>
            </w:tcBorders>
            <w:shd w:val="clear" w:color="auto" w:fill="auto"/>
            <w:tcMar>
              <w:top w:w="0" w:type="dxa"/>
              <w:left w:w="0" w:type="dxa"/>
              <w:bottom w:w="0" w:type="dxa"/>
              <w:right w:w="0" w:type="dxa"/>
            </w:tcMar>
            <w:vAlign w:val="bottom"/>
          </w:tcPr>
          <w:p w14:paraId="3A3916E6"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58</w:t>
            </w:r>
          </w:p>
        </w:tc>
        <w:tc>
          <w:tcPr>
            <w:tcW w:w="2149" w:type="pct"/>
            <w:tcBorders>
              <w:top w:val="single" w:sz="12" w:space="0" w:color="auto"/>
            </w:tcBorders>
            <w:shd w:val="clear" w:color="auto" w:fill="auto"/>
            <w:tcMar>
              <w:top w:w="0" w:type="dxa"/>
              <w:left w:w="0" w:type="dxa"/>
              <w:bottom w:w="0" w:type="dxa"/>
              <w:right w:w="0" w:type="dxa"/>
            </w:tcMar>
            <w:vAlign w:val="bottom"/>
          </w:tcPr>
          <w:p w14:paraId="3B304E58"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S/I</w:t>
            </w:r>
          </w:p>
        </w:tc>
      </w:tr>
      <w:tr w:rsidR="006F4911" w:rsidRPr="002C65E3" w14:paraId="4971F8D1" w14:textId="77777777" w:rsidTr="00766AA8">
        <w:trPr>
          <w:trHeight w:val="240"/>
        </w:trPr>
        <w:tc>
          <w:tcPr>
            <w:tcW w:w="893" w:type="pct"/>
            <w:shd w:val="clear" w:color="auto" w:fill="auto"/>
            <w:tcMar>
              <w:top w:w="0" w:type="dxa"/>
              <w:left w:w="0" w:type="dxa"/>
              <w:bottom w:w="0" w:type="dxa"/>
              <w:right w:w="0" w:type="dxa"/>
            </w:tcMar>
          </w:tcPr>
          <w:p w14:paraId="26E1A9B5"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2017</w:t>
            </w:r>
          </w:p>
        </w:tc>
        <w:tc>
          <w:tcPr>
            <w:tcW w:w="1958" w:type="pct"/>
            <w:shd w:val="clear" w:color="auto" w:fill="auto"/>
            <w:tcMar>
              <w:top w:w="0" w:type="dxa"/>
              <w:left w:w="0" w:type="dxa"/>
              <w:bottom w:w="0" w:type="dxa"/>
              <w:right w:w="0" w:type="dxa"/>
            </w:tcMar>
            <w:vAlign w:val="bottom"/>
          </w:tcPr>
          <w:p w14:paraId="3A384DBC"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161</w:t>
            </w:r>
          </w:p>
        </w:tc>
        <w:tc>
          <w:tcPr>
            <w:tcW w:w="2149" w:type="pct"/>
            <w:shd w:val="clear" w:color="auto" w:fill="auto"/>
            <w:tcMar>
              <w:top w:w="0" w:type="dxa"/>
              <w:left w:w="0" w:type="dxa"/>
              <w:bottom w:w="0" w:type="dxa"/>
              <w:right w:w="0" w:type="dxa"/>
            </w:tcMar>
            <w:vAlign w:val="bottom"/>
          </w:tcPr>
          <w:p w14:paraId="1D0AFBFE"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22</w:t>
            </w:r>
          </w:p>
        </w:tc>
      </w:tr>
      <w:tr w:rsidR="006F4911" w:rsidRPr="002C65E3" w14:paraId="3FEAE256" w14:textId="77777777" w:rsidTr="00766AA8">
        <w:trPr>
          <w:trHeight w:val="240"/>
        </w:trPr>
        <w:tc>
          <w:tcPr>
            <w:tcW w:w="893" w:type="pct"/>
            <w:shd w:val="clear" w:color="auto" w:fill="auto"/>
            <w:tcMar>
              <w:top w:w="0" w:type="dxa"/>
              <w:left w:w="0" w:type="dxa"/>
              <w:bottom w:w="0" w:type="dxa"/>
              <w:right w:w="0" w:type="dxa"/>
            </w:tcMar>
          </w:tcPr>
          <w:p w14:paraId="346356F3"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2018</w:t>
            </w:r>
          </w:p>
        </w:tc>
        <w:tc>
          <w:tcPr>
            <w:tcW w:w="1958" w:type="pct"/>
            <w:shd w:val="clear" w:color="auto" w:fill="auto"/>
            <w:tcMar>
              <w:top w:w="0" w:type="dxa"/>
              <w:left w:w="0" w:type="dxa"/>
              <w:bottom w:w="0" w:type="dxa"/>
              <w:right w:w="0" w:type="dxa"/>
            </w:tcMar>
            <w:vAlign w:val="bottom"/>
          </w:tcPr>
          <w:p w14:paraId="620B66C4"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172</w:t>
            </w:r>
          </w:p>
        </w:tc>
        <w:tc>
          <w:tcPr>
            <w:tcW w:w="2149" w:type="pct"/>
            <w:shd w:val="clear" w:color="auto" w:fill="auto"/>
            <w:tcMar>
              <w:top w:w="0" w:type="dxa"/>
              <w:left w:w="0" w:type="dxa"/>
              <w:bottom w:w="0" w:type="dxa"/>
              <w:right w:w="0" w:type="dxa"/>
            </w:tcMar>
            <w:vAlign w:val="bottom"/>
          </w:tcPr>
          <w:p w14:paraId="6A7259C6"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22</w:t>
            </w:r>
          </w:p>
        </w:tc>
      </w:tr>
      <w:tr w:rsidR="006F4911" w:rsidRPr="002C65E3" w14:paraId="1DAB24E0" w14:textId="77777777" w:rsidTr="00766AA8">
        <w:trPr>
          <w:trHeight w:val="240"/>
        </w:trPr>
        <w:tc>
          <w:tcPr>
            <w:tcW w:w="893" w:type="pct"/>
            <w:shd w:val="clear" w:color="auto" w:fill="auto"/>
            <w:tcMar>
              <w:top w:w="0" w:type="dxa"/>
              <w:left w:w="0" w:type="dxa"/>
              <w:bottom w:w="0" w:type="dxa"/>
              <w:right w:w="0" w:type="dxa"/>
            </w:tcMar>
          </w:tcPr>
          <w:p w14:paraId="30F9DC2D"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2019</w:t>
            </w:r>
          </w:p>
        </w:tc>
        <w:tc>
          <w:tcPr>
            <w:tcW w:w="1958" w:type="pct"/>
            <w:shd w:val="clear" w:color="auto" w:fill="auto"/>
            <w:tcMar>
              <w:top w:w="0" w:type="dxa"/>
              <w:left w:w="0" w:type="dxa"/>
              <w:bottom w:w="0" w:type="dxa"/>
              <w:right w:w="0" w:type="dxa"/>
            </w:tcMar>
            <w:vAlign w:val="bottom"/>
          </w:tcPr>
          <w:p w14:paraId="7C808981"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196</w:t>
            </w:r>
          </w:p>
        </w:tc>
        <w:tc>
          <w:tcPr>
            <w:tcW w:w="2149" w:type="pct"/>
            <w:shd w:val="clear" w:color="auto" w:fill="auto"/>
            <w:tcMar>
              <w:top w:w="0" w:type="dxa"/>
              <w:left w:w="0" w:type="dxa"/>
              <w:bottom w:w="0" w:type="dxa"/>
              <w:right w:w="0" w:type="dxa"/>
            </w:tcMar>
            <w:vAlign w:val="bottom"/>
          </w:tcPr>
          <w:p w14:paraId="6A280DED"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13</w:t>
            </w:r>
          </w:p>
        </w:tc>
      </w:tr>
      <w:tr w:rsidR="006F4911" w:rsidRPr="002C65E3" w14:paraId="56191344" w14:textId="77777777" w:rsidTr="00766AA8">
        <w:trPr>
          <w:trHeight w:val="240"/>
        </w:trPr>
        <w:tc>
          <w:tcPr>
            <w:tcW w:w="893" w:type="pct"/>
            <w:tcBorders>
              <w:bottom w:val="single" w:sz="12" w:space="0" w:color="auto"/>
            </w:tcBorders>
            <w:shd w:val="clear" w:color="auto" w:fill="auto"/>
            <w:tcMar>
              <w:top w:w="0" w:type="dxa"/>
              <w:left w:w="0" w:type="dxa"/>
              <w:bottom w:w="0" w:type="dxa"/>
              <w:right w:w="0" w:type="dxa"/>
            </w:tcMar>
          </w:tcPr>
          <w:p w14:paraId="49B26ECE" w14:textId="77777777" w:rsidR="006F4911" w:rsidRPr="002C65E3" w:rsidRDefault="006F4911" w:rsidP="00766AA8">
            <w:pPr>
              <w:spacing w:before="40" w:after="40" w:line="220" w:lineRule="exact"/>
              <w:rPr>
                <w:rFonts w:eastAsia="Times New Roman"/>
                <w:sz w:val="18"/>
                <w:lang w:eastAsia="en-US"/>
              </w:rPr>
            </w:pPr>
            <w:r w:rsidRPr="002C65E3">
              <w:rPr>
                <w:rFonts w:eastAsia="Times New Roman"/>
                <w:sz w:val="18"/>
                <w:lang w:eastAsia="en-US"/>
              </w:rPr>
              <w:t>2020</w:t>
            </w:r>
          </w:p>
        </w:tc>
        <w:tc>
          <w:tcPr>
            <w:tcW w:w="1958" w:type="pct"/>
            <w:tcBorders>
              <w:bottom w:val="single" w:sz="12" w:space="0" w:color="auto"/>
            </w:tcBorders>
            <w:shd w:val="clear" w:color="auto" w:fill="auto"/>
            <w:tcMar>
              <w:top w:w="0" w:type="dxa"/>
              <w:left w:w="0" w:type="dxa"/>
              <w:bottom w:w="0" w:type="dxa"/>
              <w:right w:w="0" w:type="dxa"/>
            </w:tcMar>
            <w:vAlign w:val="bottom"/>
          </w:tcPr>
          <w:p w14:paraId="5D51AEF9"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196</w:t>
            </w:r>
          </w:p>
        </w:tc>
        <w:tc>
          <w:tcPr>
            <w:tcW w:w="2149" w:type="pct"/>
            <w:tcBorders>
              <w:bottom w:val="single" w:sz="12" w:space="0" w:color="auto"/>
            </w:tcBorders>
            <w:shd w:val="clear" w:color="auto" w:fill="auto"/>
            <w:tcMar>
              <w:top w:w="0" w:type="dxa"/>
              <w:left w:w="0" w:type="dxa"/>
              <w:bottom w:w="0" w:type="dxa"/>
              <w:right w:w="0" w:type="dxa"/>
            </w:tcMar>
            <w:vAlign w:val="bottom"/>
          </w:tcPr>
          <w:p w14:paraId="21B27401" w14:textId="77777777" w:rsidR="006F4911" w:rsidRPr="002C65E3" w:rsidRDefault="006F4911" w:rsidP="00766AA8">
            <w:pPr>
              <w:spacing w:before="40" w:after="40" w:line="220" w:lineRule="exact"/>
              <w:ind w:left="85" w:right="28"/>
              <w:jc w:val="right"/>
              <w:rPr>
                <w:rFonts w:eastAsia="Times New Roman"/>
                <w:sz w:val="18"/>
                <w:lang w:eastAsia="en-US"/>
              </w:rPr>
            </w:pPr>
            <w:r w:rsidRPr="002C65E3">
              <w:rPr>
                <w:rFonts w:eastAsia="Times New Roman"/>
                <w:sz w:val="18"/>
                <w:lang w:eastAsia="en-US"/>
              </w:rPr>
              <w:t>13</w:t>
            </w:r>
          </w:p>
        </w:tc>
      </w:tr>
    </w:tbl>
    <w:p w14:paraId="2BEEE26A" w14:textId="49A657B3" w:rsidR="006F4911" w:rsidRPr="002C65E3" w:rsidRDefault="00156F70" w:rsidP="00536B1E">
      <w:pPr>
        <w:pStyle w:val="SingleTxtG"/>
        <w:spacing w:before="240"/>
        <w:rPr>
          <w:lang w:eastAsia="en-US"/>
        </w:rPr>
      </w:pPr>
      <w:r w:rsidRPr="002C65E3">
        <w:rPr>
          <w:lang w:eastAsia="en-US"/>
        </w:rPr>
        <w:t>175.</w:t>
      </w:r>
      <w:r w:rsidRPr="002C65E3">
        <w:rPr>
          <w:lang w:eastAsia="en-US"/>
        </w:rPr>
        <w:tab/>
      </w:r>
      <w:r w:rsidR="006F4911" w:rsidRPr="002C65E3">
        <w:rPr>
          <w:lang w:eastAsia="en-US"/>
        </w:rPr>
        <w:t>Desde 2016 SENADIS ejecuta el programa TVI</w:t>
      </w:r>
      <w:r w:rsidR="006F4911" w:rsidRPr="002C65E3">
        <w:rPr>
          <w:rStyle w:val="Refdenotaalpie"/>
        </w:rPr>
        <w:footnoteReference w:id="267"/>
      </w:r>
      <w:r w:rsidR="006F4911" w:rsidRPr="002C65E3">
        <w:rPr>
          <w:lang w:eastAsia="en-US"/>
        </w:rPr>
        <w:t>, destinado a PcD y dependencia entre 18 y 59 años, del 70</w:t>
      </w:r>
      <w:r w:rsidR="00791BE9" w:rsidRPr="002C65E3">
        <w:rPr>
          <w:lang w:eastAsia="en-US"/>
        </w:rPr>
        <w:t> %</w:t>
      </w:r>
      <w:r w:rsidR="006F4911" w:rsidRPr="002C65E3">
        <w:rPr>
          <w:lang w:eastAsia="en-US"/>
        </w:rPr>
        <w:t xml:space="preserve"> más vulnerable de la población según el RSH. Este programa se difunde a través de las Direcciones Regionales y también por la página web del Servicio</w:t>
      </w:r>
      <w:r w:rsidR="006F4911" w:rsidRPr="002C65E3">
        <w:rPr>
          <w:rStyle w:val="Refdenotaalpie"/>
        </w:rPr>
        <w:footnoteReference w:id="268"/>
      </w:r>
      <w:r w:rsidR="006F4911" w:rsidRPr="002C65E3">
        <w:rPr>
          <w:lang w:eastAsia="en-US"/>
        </w:rPr>
        <w:t xml:space="preserve">. Los postulantes pueden presentar proyectos, individual o colectivamente, a fin de solicitar servicios de apoyo, cuidados, intermediación, modificaciones a su entorno domiciliario y/o capacitaciones para transitar a una vida independiente de manera autónoma. </w:t>
      </w:r>
    </w:p>
    <w:p w14:paraId="0670C2CB" w14:textId="494A7CE6" w:rsidR="006F4911" w:rsidRPr="002C65E3" w:rsidRDefault="00156F70" w:rsidP="00536B1E">
      <w:pPr>
        <w:pStyle w:val="SingleTxtG"/>
        <w:rPr>
          <w:lang w:eastAsia="en-US"/>
        </w:rPr>
      </w:pPr>
      <w:r w:rsidRPr="002C65E3">
        <w:rPr>
          <w:lang w:eastAsia="en-US"/>
        </w:rPr>
        <w:t>176.</w:t>
      </w:r>
      <w:r w:rsidRPr="002C65E3">
        <w:rPr>
          <w:lang w:eastAsia="en-US"/>
        </w:rPr>
        <w:tab/>
      </w:r>
      <w:r w:rsidR="006F4911" w:rsidRPr="002C65E3">
        <w:rPr>
          <w:lang w:eastAsia="en-US"/>
        </w:rPr>
        <w:t xml:space="preserve">En el TVI también se realizan capacitaciones dirigidas a PcD y dependencias beneficiarias del programa, a los asistentes personales, familiares, equipos de atención y otras personas relevantes, entendiendo que para lograr una vida independiente se requiere de un cambio cultural que debe ser respaldado por toda la sociedad. </w:t>
      </w:r>
    </w:p>
    <w:p w14:paraId="2EEDA7C2" w14:textId="2C580F2A" w:rsidR="006F4911" w:rsidRPr="002C65E3" w:rsidRDefault="00156F70" w:rsidP="00536B1E">
      <w:pPr>
        <w:pStyle w:val="SingleTxtG"/>
        <w:rPr>
          <w:lang w:eastAsia="en-US"/>
        </w:rPr>
      </w:pPr>
      <w:r w:rsidRPr="002C65E3">
        <w:rPr>
          <w:lang w:eastAsia="en-US"/>
        </w:rPr>
        <w:t>177.</w:t>
      </w:r>
      <w:r w:rsidRPr="002C65E3">
        <w:rPr>
          <w:lang w:eastAsia="en-US"/>
        </w:rPr>
        <w:tab/>
      </w:r>
      <w:r w:rsidR="006F4911" w:rsidRPr="002C65E3">
        <w:rPr>
          <w:lang w:eastAsia="en-US"/>
        </w:rPr>
        <w:t xml:space="preserve">Respecto a programas destinados a PcD que se encuentren en situación de pobreza, en 2017 y 2018, se contabilizaron 32 programas que consideran a personas u hogares en </w:t>
      </w:r>
      <w:r w:rsidR="006F4911" w:rsidRPr="002C65E3">
        <w:rPr>
          <w:lang w:eastAsia="en-US"/>
        </w:rPr>
        <w:lastRenderedPageBreak/>
        <w:t>situación de vulnerabilidad; en 2019 incrementó a 38 intervenciones</w:t>
      </w:r>
      <w:r w:rsidR="006F4911" w:rsidRPr="002C65E3">
        <w:rPr>
          <w:rStyle w:val="Refdenotaalpie"/>
        </w:rPr>
        <w:footnoteReference w:id="269"/>
      </w:r>
      <w:r w:rsidR="006F4911" w:rsidRPr="002C65E3">
        <w:rPr>
          <w:lang w:eastAsia="en-US"/>
        </w:rPr>
        <w:t>. Estos programas abordan al menos uno de los gastos relacionados con la discapacidad, entre ellos AATT, asesoramiento a la diada del cuidado, transferencias monetarias y entrega de servicios de cuidados. En el 2021, los programas que reportan implementar el enfoque de discapacidad y consideran hogares o personas en situación de vulnerabilidad dentro de sus poblaciones, corresponden a 20.</w:t>
      </w:r>
    </w:p>
    <w:p w14:paraId="6E49984A" w14:textId="5D58A252" w:rsidR="006F4911" w:rsidRPr="002C65E3" w:rsidRDefault="00156F70" w:rsidP="00536B1E">
      <w:pPr>
        <w:pStyle w:val="SingleTxtG"/>
        <w:rPr>
          <w:lang w:eastAsia="en-US"/>
        </w:rPr>
      </w:pPr>
      <w:r w:rsidRPr="002C65E3">
        <w:rPr>
          <w:lang w:eastAsia="en-US"/>
        </w:rPr>
        <w:t>178.</w:t>
      </w:r>
      <w:r w:rsidRPr="002C65E3">
        <w:rPr>
          <w:lang w:eastAsia="en-US"/>
        </w:rPr>
        <w:tab/>
      </w:r>
      <w:r w:rsidR="006F4911" w:rsidRPr="002C65E3">
        <w:rPr>
          <w:lang w:eastAsia="en-US"/>
        </w:rPr>
        <w:t xml:space="preserve">En materia de cuidados, el programa RLAC se concibe como un modelo de gestión local basado en la lógica de protección integral, siendo su misión acompañar, promover y apoyar a las personas con dependencia y su red de apoyo. El grupo objetivo son hogares con integrantes con dependencia moderada o severa, incluidas personas de 60 años o más con dependencia, PcD de cualquier edad con dependencia, cuidadoras/es no remuneradas y/o red de esas personas, con la finalidad de implementar un plan de trabajo dirigido al desarrollo de los componentes: Plan de Cuidados, Servicio de Atención Domiciliaria y Servicios Especializados. Con la finalidad de avanzar en la reducción de las brechas de género relacionadas a autonomía económica y atendiendo a la diversidad de las mujeres de nuestro país y sus necesidades, el MMEG propuso incorporar dos nuevos componentes al programa: a) </w:t>
      </w:r>
      <w:r w:rsidR="00791BE9" w:rsidRPr="002C65E3">
        <w:rPr>
          <w:lang w:eastAsia="en-US"/>
        </w:rPr>
        <w:t>“</w:t>
      </w:r>
      <w:r w:rsidR="006F4911" w:rsidRPr="002C65E3">
        <w:rPr>
          <w:lang w:eastAsia="en-US"/>
        </w:rPr>
        <w:t>Empoderamiento</w:t>
      </w:r>
      <w:r w:rsidR="00791BE9" w:rsidRPr="002C65E3">
        <w:rPr>
          <w:lang w:eastAsia="en-US"/>
        </w:rPr>
        <w:t>”</w:t>
      </w:r>
      <w:r w:rsidR="006F4911" w:rsidRPr="002C65E3">
        <w:rPr>
          <w:rStyle w:val="Refdenotaalpie"/>
        </w:rPr>
        <w:footnoteReference w:id="270"/>
      </w:r>
      <w:r w:rsidR="006F4911" w:rsidRPr="002C65E3">
        <w:rPr>
          <w:lang w:eastAsia="en-US"/>
        </w:rPr>
        <w:t xml:space="preserve">, b) </w:t>
      </w:r>
      <w:r w:rsidR="00791BE9" w:rsidRPr="002C65E3">
        <w:rPr>
          <w:lang w:eastAsia="en-US"/>
        </w:rPr>
        <w:t>“</w:t>
      </w:r>
      <w:r w:rsidR="006F4911" w:rsidRPr="002C65E3">
        <w:rPr>
          <w:lang w:eastAsia="en-US"/>
        </w:rPr>
        <w:t>Colectividad Laboral para Cuidadores y Cuidadoras</w:t>
      </w:r>
      <w:r w:rsidR="00791BE9" w:rsidRPr="002C65E3">
        <w:rPr>
          <w:lang w:eastAsia="en-US"/>
        </w:rPr>
        <w:t>”</w:t>
      </w:r>
      <w:r w:rsidR="006F4911" w:rsidRPr="002C65E3">
        <w:rPr>
          <w:rStyle w:val="Refdenotaalpie"/>
        </w:rPr>
        <w:footnoteReference w:id="271"/>
      </w:r>
      <w:r w:rsidR="006F4911" w:rsidRPr="002C65E3">
        <w:rPr>
          <w:lang w:eastAsia="en-US"/>
        </w:rPr>
        <w:t xml:space="preserve">. </w:t>
      </w:r>
    </w:p>
    <w:p w14:paraId="18642E6B" w14:textId="4C621695" w:rsidR="006F4911" w:rsidRPr="002C65E3" w:rsidRDefault="00156F70" w:rsidP="00536B1E">
      <w:pPr>
        <w:pStyle w:val="SingleTxtG"/>
        <w:rPr>
          <w:lang w:eastAsia="en-US"/>
        </w:rPr>
      </w:pPr>
      <w:r w:rsidRPr="002C65E3">
        <w:rPr>
          <w:lang w:eastAsia="en-US"/>
        </w:rPr>
        <w:t>179.</w:t>
      </w:r>
      <w:r w:rsidRPr="002C65E3">
        <w:rPr>
          <w:lang w:eastAsia="en-US"/>
        </w:rPr>
        <w:tab/>
      </w:r>
      <w:r w:rsidR="006F4911" w:rsidRPr="002C65E3">
        <w:rPr>
          <w:lang w:eastAsia="en-US"/>
        </w:rPr>
        <w:t>Respecto a capacitaciones, desde SENADIS, destacan las iniciativas mencionadas en los párrafos</w:t>
      </w:r>
      <w:r w:rsidR="00776BAA" w:rsidRPr="002C65E3">
        <w:rPr>
          <w:lang w:eastAsia="en-US"/>
        </w:rPr>
        <w:t xml:space="preserve"> 18</w:t>
      </w:r>
      <w:r w:rsidR="006F4911" w:rsidRPr="002C65E3">
        <w:rPr>
          <w:lang w:eastAsia="en-US"/>
        </w:rPr>
        <w:t xml:space="preserve"> y</w:t>
      </w:r>
      <w:r w:rsidR="00776BAA" w:rsidRPr="002C65E3">
        <w:rPr>
          <w:lang w:eastAsia="en-US"/>
        </w:rPr>
        <w:t xml:space="preserve"> 32</w:t>
      </w:r>
      <w:r w:rsidR="006F4911" w:rsidRPr="002C65E3">
        <w:rPr>
          <w:lang w:eastAsia="en-US"/>
        </w:rPr>
        <w:t>. Sobre asesoramiento, en 2020 SENADIS habilitó el fono Conectados al Cuidar</w:t>
      </w:r>
      <w:r w:rsidR="006F4911" w:rsidRPr="002C65E3">
        <w:rPr>
          <w:rStyle w:val="Refdenotaalpie"/>
        </w:rPr>
        <w:footnoteReference w:id="272"/>
      </w:r>
      <w:r w:rsidR="006F4911" w:rsidRPr="002C65E3">
        <w:rPr>
          <w:lang w:eastAsia="en-US"/>
        </w:rPr>
        <w:t xml:space="preserve"> (párr.</w:t>
      </w:r>
      <w:r w:rsidR="00776BAA" w:rsidRPr="002C65E3">
        <w:rPr>
          <w:lang w:eastAsia="en-US"/>
        </w:rPr>
        <w:t xml:space="preserve"> 56</w:t>
      </w:r>
      <w:r w:rsidR="006F4911" w:rsidRPr="002C65E3">
        <w:rPr>
          <w:lang w:eastAsia="en-US"/>
        </w:rPr>
        <w:t>).</w:t>
      </w:r>
    </w:p>
    <w:p w14:paraId="56558920" w14:textId="2FA8683F" w:rsidR="006F4911" w:rsidRPr="002C65E3" w:rsidRDefault="00156F70" w:rsidP="00536B1E">
      <w:pPr>
        <w:pStyle w:val="SingleTxtG"/>
        <w:rPr>
          <w:lang w:eastAsia="en-US"/>
        </w:rPr>
      </w:pPr>
      <w:r w:rsidRPr="002C65E3">
        <w:rPr>
          <w:lang w:eastAsia="en-US"/>
        </w:rPr>
        <w:t>180.</w:t>
      </w:r>
      <w:r w:rsidRPr="002C65E3">
        <w:rPr>
          <w:lang w:eastAsia="en-US"/>
        </w:rPr>
        <w:tab/>
      </w:r>
      <w:r w:rsidR="006F4911" w:rsidRPr="002C65E3">
        <w:rPr>
          <w:lang w:eastAsia="en-US"/>
        </w:rPr>
        <w:t>En cuanto al acceso a los programas, para 2020, de los 469 programas sociales, 311</w:t>
      </w:r>
      <w:r w:rsidR="00536B1E" w:rsidRPr="002C65E3">
        <w:rPr>
          <w:lang w:eastAsia="en-US"/>
        </w:rPr>
        <w:t> </w:t>
      </w:r>
      <w:r w:rsidR="006F4911" w:rsidRPr="002C65E3">
        <w:rPr>
          <w:lang w:eastAsia="en-US"/>
        </w:rPr>
        <w:t>declararon impactos en eficacia, eficiencia, focalización y/o estrategia a consecuencia del COVID-19; 132 señalaron incorporar enfoque de discapacidad.</w:t>
      </w:r>
    </w:p>
    <w:p w14:paraId="2A7A6AB1" w14:textId="2D56A834" w:rsidR="006F4911" w:rsidRPr="002C65E3" w:rsidRDefault="00156F70" w:rsidP="00536B1E">
      <w:pPr>
        <w:pStyle w:val="SingleTxtG"/>
        <w:rPr>
          <w:lang w:eastAsia="en-US"/>
        </w:rPr>
      </w:pPr>
      <w:r w:rsidRPr="002C65E3">
        <w:rPr>
          <w:lang w:eastAsia="en-US"/>
        </w:rPr>
        <w:t>181.</w:t>
      </w:r>
      <w:r w:rsidRPr="002C65E3">
        <w:rPr>
          <w:lang w:eastAsia="en-US"/>
        </w:rPr>
        <w:tab/>
      </w:r>
      <w:r w:rsidR="006F4911" w:rsidRPr="002C65E3">
        <w:rPr>
          <w:lang w:eastAsia="en-US"/>
        </w:rPr>
        <w:t>El programa RLAC, producto del COVID-19, adecuó su intervención, alcanzando a 1.810 beneficiarias de tres tipos de prioridad: críticos, media y baja. Su protocolo contempló la provisión y correcto uso de EPP, capacitación sobre los mismos, consentimiento de ingreso a domicilio, planificación de visitas, protocolos de ingreso y salida de domicilio, sistema de turno en la organización del equipo de trabajo, modalidad de intervención remota en el caso de ser posible. Durante 2021, se implementó en 62 comunas, de las 16 regiones del país, con cobertura de 3.766 diadas de cuidado, compuesta por personas con dependencia funcional moderada o severa y sus cuidadores principales. En 2022, se incorporan otras 28 comunas a nivel nacional, con cobertura de 1.340 diadas y un presupuesto de $2.316.753.745, de las cuales 540 acceden a SAD. De este modo, el Programa se implementará en 90 comunas, con una cobertura de 5.335 diadas del cuidado y un presupuesto anual de $9.976.253.020, de los cuales 2.380 accederán al SAD.</w:t>
      </w:r>
    </w:p>
    <w:p w14:paraId="355BC884" w14:textId="520BE4D5" w:rsidR="006F4911" w:rsidRPr="002C65E3" w:rsidRDefault="00156F70" w:rsidP="00536B1E">
      <w:pPr>
        <w:pStyle w:val="SingleTxtG"/>
        <w:rPr>
          <w:lang w:eastAsia="en-US"/>
        </w:rPr>
      </w:pPr>
      <w:r w:rsidRPr="002C65E3">
        <w:rPr>
          <w:lang w:eastAsia="en-US"/>
        </w:rPr>
        <w:t>182.</w:t>
      </w:r>
      <w:r w:rsidRPr="002C65E3">
        <w:rPr>
          <w:lang w:eastAsia="en-US"/>
        </w:rPr>
        <w:tab/>
      </w:r>
      <w:r w:rsidR="006F4911" w:rsidRPr="002C65E3">
        <w:rPr>
          <w:lang w:eastAsia="en-US"/>
        </w:rPr>
        <w:t>En cuanto al IFE, se consideró a las familias que reciben Aporte Previsional Solidario de Vejez o que un integrante reciba Aporte Previsional Solidario de Invalidez, siempre que la pensión final sea igual o inferior a la Pensión Básica Solidaria. Con la información del RSH, a nivel nacional se contabiliza a 185.211 personas con dependencia moderada o severa en julio de 2021. En particular, un total de 182.549</w:t>
      </w:r>
      <w:r w:rsidR="006F4911" w:rsidRPr="002C65E3">
        <w:rPr>
          <w:rStyle w:val="Refdenotaalpie"/>
        </w:rPr>
        <w:footnoteReference w:id="273"/>
      </w:r>
      <w:r w:rsidR="006F4911" w:rsidRPr="002C65E3">
        <w:rPr>
          <w:lang w:eastAsia="en-US"/>
        </w:rPr>
        <w:t xml:space="preserve"> personas con dependencia severa o moderada fueron beneficiarias del IFE Universal en junio de 2021, que equivale al 98,56</w:t>
      </w:r>
      <w:r w:rsidR="00791BE9" w:rsidRPr="002C65E3">
        <w:rPr>
          <w:lang w:eastAsia="en-US"/>
        </w:rPr>
        <w:t> %</w:t>
      </w:r>
      <w:r w:rsidR="006F4911" w:rsidRPr="002C65E3">
        <w:rPr>
          <w:lang w:eastAsia="en-US"/>
        </w:rPr>
        <w:t xml:space="preserve"> del total reportado</w:t>
      </w:r>
      <w:r w:rsidR="004978F3" w:rsidRPr="002C65E3">
        <w:rPr>
          <w:lang w:eastAsia="en-US"/>
        </w:rPr>
        <w:t>.</w:t>
      </w:r>
    </w:p>
    <w:p w14:paraId="1D283CFB" w14:textId="7D1CB9AC" w:rsidR="006F4911" w:rsidRPr="002C65E3" w:rsidRDefault="00156F70" w:rsidP="00536B1E">
      <w:pPr>
        <w:pStyle w:val="SingleTxtG"/>
        <w:rPr>
          <w:lang w:eastAsia="en-US"/>
        </w:rPr>
      </w:pPr>
      <w:r w:rsidRPr="002C65E3">
        <w:rPr>
          <w:lang w:eastAsia="en-US"/>
        </w:rPr>
        <w:t>183.</w:t>
      </w:r>
      <w:r w:rsidRPr="002C65E3">
        <w:rPr>
          <w:lang w:eastAsia="en-US"/>
        </w:rPr>
        <w:tab/>
      </w:r>
      <w:r w:rsidR="006F4911" w:rsidRPr="002C65E3">
        <w:rPr>
          <w:lang w:eastAsia="en-US"/>
        </w:rPr>
        <w:t xml:space="preserve">El Subsidio al Empleo tiene dos líneas: </w:t>
      </w:r>
      <w:r w:rsidR="00791BE9" w:rsidRPr="002C65E3">
        <w:rPr>
          <w:lang w:eastAsia="en-US"/>
        </w:rPr>
        <w:t>“</w:t>
      </w:r>
      <w:r w:rsidR="006F4911" w:rsidRPr="002C65E3">
        <w:rPr>
          <w:lang w:eastAsia="en-US"/>
        </w:rPr>
        <w:t>Regresa</w:t>
      </w:r>
      <w:r w:rsidR="00791BE9" w:rsidRPr="002C65E3">
        <w:rPr>
          <w:lang w:eastAsia="en-US"/>
        </w:rPr>
        <w:t>”</w:t>
      </w:r>
      <w:r w:rsidR="006F4911" w:rsidRPr="002C65E3">
        <w:rPr>
          <w:lang w:eastAsia="en-US"/>
        </w:rPr>
        <w:t xml:space="preserve"> y </w:t>
      </w:r>
      <w:r w:rsidR="00791BE9" w:rsidRPr="002C65E3">
        <w:rPr>
          <w:lang w:eastAsia="en-US"/>
        </w:rPr>
        <w:t>“</w:t>
      </w:r>
      <w:r w:rsidR="006F4911" w:rsidRPr="002C65E3">
        <w:rPr>
          <w:lang w:eastAsia="en-US"/>
        </w:rPr>
        <w:t>Contrata</w:t>
      </w:r>
      <w:r w:rsidR="00791BE9" w:rsidRPr="002C65E3">
        <w:rPr>
          <w:lang w:eastAsia="en-US"/>
        </w:rPr>
        <w:t>”</w:t>
      </w:r>
      <w:r w:rsidR="006F4911" w:rsidRPr="002C65E3">
        <w:rPr>
          <w:lang w:eastAsia="en-US"/>
        </w:rPr>
        <w:t xml:space="preserve">. En esta última, se busca incorporar nuevas personas en empresas de diversos tamaños, para lo cual el Estado </w:t>
      </w:r>
      <w:r w:rsidR="006F4911" w:rsidRPr="002C65E3">
        <w:rPr>
          <w:lang w:eastAsia="en-US"/>
        </w:rPr>
        <w:lastRenderedPageBreak/>
        <w:t>otorga un aporte equivalente al 50</w:t>
      </w:r>
      <w:r w:rsidR="00791BE9" w:rsidRPr="002C65E3">
        <w:rPr>
          <w:lang w:eastAsia="en-US"/>
        </w:rPr>
        <w:t> %</w:t>
      </w:r>
      <w:r w:rsidR="006F4911" w:rsidRPr="002C65E3">
        <w:rPr>
          <w:lang w:eastAsia="en-US"/>
        </w:rPr>
        <w:t xml:space="preserve"> de la remuneración bruta mensual, con tope de hasta $250.000 por cada nueva persona contratada</w:t>
      </w:r>
      <w:r w:rsidR="006F4911" w:rsidRPr="002C65E3">
        <w:rPr>
          <w:rStyle w:val="Refdenotaalpie"/>
        </w:rPr>
        <w:footnoteReference w:id="274"/>
      </w:r>
      <w:r w:rsidR="006F4911" w:rsidRPr="002C65E3">
        <w:rPr>
          <w:lang w:eastAsia="en-US"/>
        </w:rPr>
        <w:t xml:space="preserve">. </w:t>
      </w:r>
    </w:p>
    <w:p w14:paraId="2BB83889" w14:textId="549936F2" w:rsidR="006F4911" w:rsidRPr="002C65E3" w:rsidRDefault="002276D5" w:rsidP="00536B1E">
      <w:pPr>
        <w:pStyle w:val="H1G"/>
        <w:rPr>
          <w:lang w:eastAsia="en-US"/>
        </w:rPr>
      </w:pPr>
      <w:bookmarkStart w:id="48" w:name="_Toc122692631"/>
      <w:r w:rsidRPr="002C65E3">
        <w:rPr>
          <w:lang w:eastAsia="en-US"/>
        </w:rPr>
        <w:tab/>
      </w:r>
      <w:r w:rsidRPr="002C65E3">
        <w:rPr>
          <w:lang w:eastAsia="en-US"/>
        </w:rPr>
        <w:tab/>
      </w:r>
      <w:r w:rsidR="006F4911" w:rsidRPr="002C65E3">
        <w:rPr>
          <w:lang w:eastAsia="en-US"/>
        </w:rPr>
        <w:t>Artículo 29</w:t>
      </w:r>
      <w:bookmarkEnd w:id="48"/>
      <w:r w:rsidR="006F4911" w:rsidRPr="002C65E3">
        <w:rPr>
          <w:lang w:eastAsia="en-US"/>
        </w:rPr>
        <w:t xml:space="preserve"> </w:t>
      </w:r>
    </w:p>
    <w:p w14:paraId="555DA0F5" w14:textId="3E667ED6" w:rsidR="006F4911" w:rsidRPr="002C65E3" w:rsidRDefault="00156F70" w:rsidP="00536B1E">
      <w:pPr>
        <w:pStyle w:val="SingleTxtG"/>
        <w:rPr>
          <w:lang w:eastAsia="en-US"/>
        </w:rPr>
      </w:pPr>
      <w:r w:rsidRPr="002C65E3">
        <w:rPr>
          <w:lang w:eastAsia="en-US"/>
        </w:rPr>
        <w:t>184.</w:t>
      </w:r>
      <w:r w:rsidRPr="002C65E3">
        <w:rPr>
          <w:lang w:eastAsia="en-US"/>
        </w:rPr>
        <w:tab/>
      </w:r>
      <w:r w:rsidR="006F4911" w:rsidRPr="002C65E3">
        <w:rPr>
          <w:lang w:eastAsia="en-US"/>
        </w:rPr>
        <w:t>Se encuentran en tramitación dos proyectos de reforma constitucional</w:t>
      </w:r>
      <w:r w:rsidR="006F4911" w:rsidRPr="002C65E3">
        <w:rPr>
          <w:rStyle w:val="Refdenotaalpie"/>
        </w:rPr>
        <w:footnoteReference w:id="275"/>
      </w:r>
      <w:r w:rsidR="006F4911" w:rsidRPr="002C65E3">
        <w:rPr>
          <w:lang w:eastAsia="en-US"/>
        </w:rPr>
        <w:t xml:space="preserve"> que buscan eliminar la causal de suspensión del derecho a sufragio por interdicción en caso de demencia prevista en la actual CPR. </w:t>
      </w:r>
    </w:p>
    <w:p w14:paraId="03F4B1E5" w14:textId="3BF00E06" w:rsidR="006F4911" w:rsidRPr="002C65E3" w:rsidRDefault="00156F70" w:rsidP="00536B1E">
      <w:pPr>
        <w:pStyle w:val="SingleTxtG"/>
        <w:rPr>
          <w:lang w:eastAsia="en-US"/>
        </w:rPr>
      </w:pPr>
      <w:r w:rsidRPr="002C65E3">
        <w:rPr>
          <w:lang w:eastAsia="en-US"/>
        </w:rPr>
        <w:t>185.</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18.700</w:t>
      </w:r>
      <w:r w:rsidR="006F4911" w:rsidRPr="002C65E3">
        <w:rPr>
          <w:rStyle w:val="Refdenotaalpie"/>
        </w:rPr>
        <w:footnoteReference w:id="276"/>
      </w:r>
      <w:r w:rsidR="006F4911" w:rsidRPr="002C65E3">
        <w:rPr>
          <w:lang w:eastAsia="en-US"/>
        </w:rPr>
        <w:t xml:space="preserve"> contempla el derecho al voto asistido, que busca facilitar el ejercicio del derecho a sufragio para PcD que lo requieran, incluyendo la posibilidad de utilizar una plantilla en Braille para personas ciegas. Si una persona no puede entrar a la cámara secreta por algún motivo, puede ejercer su voto fuera de ella, debiendo adoptarse las medidas para mantener el secreto del voto. Además, en 2021, se publicó la Ley N</w:t>
      </w:r>
      <w:r w:rsidR="00405113" w:rsidRPr="002C65E3">
        <w:rPr>
          <w:lang w:eastAsia="en-US"/>
        </w:rPr>
        <w:t>º </w:t>
      </w:r>
      <w:r w:rsidR="006F4911" w:rsidRPr="002C65E3">
        <w:rPr>
          <w:lang w:eastAsia="en-US"/>
        </w:rPr>
        <w:t>21.385</w:t>
      </w:r>
      <w:r w:rsidR="006F4911" w:rsidRPr="002C65E3">
        <w:rPr>
          <w:rStyle w:val="Refdenotaalpie"/>
        </w:rPr>
        <w:footnoteReference w:id="277"/>
      </w:r>
      <w:r w:rsidR="006F4911" w:rsidRPr="002C65E3">
        <w:rPr>
          <w:lang w:eastAsia="en-US"/>
        </w:rPr>
        <w:t xml:space="preserve"> que estableció que se debe procurar que el local de votación sea el más cercano al domicilio electoral respectivo. </w:t>
      </w:r>
    </w:p>
    <w:p w14:paraId="5D595E54" w14:textId="3329E8D6" w:rsidR="006F4911" w:rsidRPr="002C65E3" w:rsidRDefault="00156F70" w:rsidP="00536B1E">
      <w:pPr>
        <w:pStyle w:val="SingleTxtG"/>
        <w:rPr>
          <w:lang w:eastAsia="en-US"/>
        </w:rPr>
      </w:pPr>
      <w:r w:rsidRPr="002C65E3">
        <w:rPr>
          <w:lang w:eastAsia="en-US"/>
        </w:rPr>
        <w:t>186.</w:t>
      </w:r>
      <w:r w:rsidRPr="002C65E3">
        <w:rPr>
          <w:lang w:eastAsia="en-US"/>
        </w:rPr>
        <w:tab/>
      </w:r>
      <w:r w:rsidR="006F4911" w:rsidRPr="002C65E3">
        <w:rPr>
          <w:lang w:eastAsia="en-US"/>
        </w:rPr>
        <w:t>En cuanto al proceso eleccionario de los convencionales constituyentes, la reforma constitucional de la Ley N</w:t>
      </w:r>
      <w:r w:rsidR="00405113" w:rsidRPr="002C65E3">
        <w:rPr>
          <w:lang w:eastAsia="en-US"/>
        </w:rPr>
        <w:t>º </w:t>
      </w:r>
      <w:r w:rsidR="006F4911" w:rsidRPr="002C65E3">
        <w:rPr>
          <w:lang w:eastAsia="en-US"/>
        </w:rPr>
        <w:t>21.298</w:t>
      </w:r>
      <w:r w:rsidR="006F4911" w:rsidRPr="002C65E3">
        <w:rPr>
          <w:rStyle w:val="Refdenotaalpie"/>
        </w:rPr>
        <w:footnoteReference w:id="278"/>
      </w:r>
      <w:r w:rsidR="006F4911" w:rsidRPr="002C65E3">
        <w:rPr>
          <w:lang w:eastAsia="en-US"/>
        </w:rPr>
        <w:t xml:space="preserve"> estableció que, de la totalidad de las candidaturas de listas de partidos políticos o pactos electorales, se debía establecer como mínimo el 5</w:t>
      </w:r>
      <w:r w:rsidR="00791BE9" w:rsidRPr="002C65E3">
        <w:rPr>
          <w:lang w:eastAsia="en-US"/>
        </w:rPr>
        <w:t> %</w:t>
      </w:r>
      <w:r w:rsidR="006F4911" w:rsidRPr="002C65E3">
        <w:rPr>
          <w:lang w:eastAsia="en-US"/>
        </w:rPr>
        <w:t xml:space="preserve"> de candidaturas de PcD. </w:t>
      </w:r>
    </w:p>
    <w:p w14:paraId="4884A8F0" w14:textId="0F10EC59" w:rsidR="006F4911" w:rsidRPr="002C65E3" w:rsidRDefault="00156F70" w:rsidP="00536B1E">
      <w:pPr>
        <w:pStyle w:val="SingleTxtG"/>
        <w:rPr>
          <w:lang w:eastAsia="en-US"/>
        </w:rPr>
      </w:pPr>
      <w:r w:rsidRPr="002C65E3">
        <w:rPr>
          <w:lang w:eastAsia="en-US"/>
        </w:rPr>
        <w:t>187.</w:t>
      </w:r>
      <w:r w:rsidRPr="002C65E3">
        <w:rPr>
          <w:lang w:eastAsia="en-US"/>
        </w:rPr>
        <w:tab/>
      </w:r>
      <w:r w:rsidR="006F4911" w:rsidRPr="002C65E3">
        <w:rPr>
          <w:lang w:eastAsia="en-US"/>
        </w:rPr>
        <w:t>SENADIS promueve la participación de las PcD a través de difusión del voto asistido, plantilla Braille</w:t>
      </w:r>
      <w:r w:rsidR="006F4911" w:rsidRPr="002C65E3">
        <w:rPr>
          <w:i/>
          <w:lang w:eastAsia="en-US"/>
        </w:rPr>
        <w:t xml:space="preserve">, </w:t>
      </w:r>
      <w:r w:rsidR="006F4911" w:rsidRPr="002C65E3">
        <w:rPr>
          <w:lang w:eastAsia="en-US"/>
        </w:rPr>
        <w:t xml:space="preserve">entre otras. Para el plebiscito de octubre de 2020, el programa </w:t>
      </w:r>
      <w:r w:rsidR="00791BE9" w:rsidRPr="002C65E3">
        <w:rPr>
          <w:lang w:eastAsia="en-US"/>
        </w:rPr>
        <w:t>“</w:t>
      </w:r>
      <w:r w:rsidR="006F4911" w:rsidRPr="002C65E3">
        <w:rPr>
          <w:lang w:eastAsia="en-US"/>
        </w:rPr>
        <w:t>PaisDI</w:t>
      </w:r>
      <w:r w:rsidR="006F4911" w:rsidRPr="002C65E3">
        <w:rPr>
          <w:rStyle w:val="Refdenotaalpie"/>
        </w:rPr>
        <w:footnoteReference w:id="279"/>
      </w:r>
      <w:r w:rsidR="009A1045" w:rsidRPr="002C65E3">
        <w:rPr>
          <w:lang w:eastAsia="en-US"/>
        </w:rPr>
        <w:noBreakHyphen/>
      </w:r>
      <w:r w:rsidR="006F4911" w:rsidRPr="002C65E3">
        <w:rPr>
          <w:lang w:eastAsia="en-US"/>
        </w:rPr>
        <w:t>Chile por la Discapacidad Intelectual</w:t>
      </w:r>
      <w:r w:rsidR="00791BE9" w:rsidRPr="002C65E3">
        <w:rPr>
          <w:lang w:eastAsia="en-US"/>
        </w:rPr>
        <w:t>”</w:t>
      </w:r>
      <w:r w:rsidR="006F4911" w:rsidRPr="002C65E3">
        <w:rPr>
          <w:lang w:eastAsia="en-US"/>
        </w:rPr>
        <w:t xml:space="preserve"> desarrolló material de educación cívica en lectura fácil, lo cual incluyó facsímiles que responden a preguntas realizadas por las propias PcD y videos de apoyo. En 2021, se realizaron acciones comunicacionales</w:t>
      </w:r>
      <w:r w:rsidR="006F4911" w:rsidRPr="002C65E3">
        <w:rPr>
          <w:rStyle w:val="Refdenotaalpie"/>
        </w:rPr>
        <w:footnoteReference w:id="280"/>
      </w:r>
      <w:r w:rsidR="006F4911" w:rsidRPr="002C65E3">
        <w:rPr>
          <w:lang w:eastAsia="en-US"/>
        </w:rPr>
        <w:t xml:space="preserve"> para promover el voto asistido y la participación de las PcD en los procesos eleccionarios municipales, gobernadores, presidenciales, parlamentarias, consejeros regionales y convencionales constituyentes.</w:t>
      </w:r>
      <w:r w:rsidR="00791BE9" w:rsidRPr="002C65E3">
        <w:rPr>
          <w:lang w:eastAsia="en-US"/>
        </w:rPr>
        <w:t xml:space="preserve"> </w:t>
      </w:r>
    </w:p>
    <w:p w14:paraId="2451D2A9" w14:textId="5384D37D" w:rsidR="006F4911" w:rsidRPr="002C65E3" w:rsidRDefault="002276D5" w:rsidP="00536B1E">
      <w:pPr>
        <w:pStyle w:val="H1G"/>
        <w:rPr>
          <w:lang w:eastAsia="en-US"/>
        </w:rPr>
      </w:pPr>
      <w:bookmarkStart w:id="49" w:name="_Toc122692632"/>
      <w:r w:rsidRPr="002C65E3">
        <w:rPr>
          <w:lang w:eastAsia="en-US"/>
        </w:rPr>
        <w:lastRenderedPageBreak/>
        <w:tab/>
      </w:r>
      <w:r w:rsidRPr="002C65E3">
        <w:rPr>
          <w:lang w:eastAsia="en-US"/>
        </w:rPr>
        <w:tab/>
      </w:r>
      <w:r w:rsidR="006F4911" w:rsidRPr="002C65E3">
        <w:rPr>
          <w:lang w:eastAsia="en-US"/>
        </w:rPr>
        <w:t>Artículo 30</w:t>
      </w:r>
      <w:bookmarkEnd w:id="49"/>
    </w:p>
    <w:p w14:paraId="720B5E34" w14:textId="7BFB1A8B" w:rsidR="006F4911" w:rsidRPr="002C65E3" w:rsidRDefault="002276D5" w:rsidP="00536B1E">
      <w:pPr>
        <w:pStyle w:val="H23G"/>
        <w:rPr>
          <w:lang w:eastAsia="en-US"/>
        </w:rPr>
      </w:pPr>
      <w:r w:rsidRPr="002C65E3">
        <w:rPr>
          <w:lang w:eastAsia="en-US"/>
        </w:rPr>
        <w:tab/>
      </w:r>
      <w:r w:rsidRPr="002C65E3">
        <w:rPr>
          <w:lang w:eastAsia="en-US"/>
        </w:rPr>
        <w:tab/>
      </w:r>
      <w:r w:rsidR="006F4911" w:rsidRPr="002C65E3">
        <w:rPr>
          <w:lang w:eastAsia="en-US"/>
        </w:rPr>
        <w:t>Deporte</w:t>
      </w:r>
    </w:p>
    <w:p w14:paraId="3929F5AA" w14:textId="59C4E9F4" w:rsidR="006F4911" w:rsidRPr="002C65E3" w:rsidRDefault="00156F70" w:rsidP="00536B1E">
      <w:pPr>
        <w:pStyle w:val="SingleTxtG"/>
        <w:rPr>
          <w:lang w:eastAsia="en-US"/>
        </w:rPr>
      </w:pPr>
      <w:r w:rsidRPr="002C65E3">
        <w:rPr>
          <w:lang w:eastAsia="en-US"/>
        </w:rPr>
        <w:t>188.</w:t>
      </w:r>
      <w:r w:rsidRPr="002C65E3">
        <w:rPr>
          <w:lang w:eastAsia="en-US"/>
        </w:rPr>
        <w:tab/>
      </w:r>
      <w:r w:rsidR="006F4911" w:rsidRPr="002C65E3">
        <w:rPr>
          <w:lang w:eastAsia="en-US"/>
        </w:rPr>
        <w:t>En 2016, la Ley N</w:t>
      </w:r>
      <w:r w:rsidR="00405113" w:rsidRPr="002C65E3">
        <w:rPr>
          <w:lang w:eastAsia="en-US"/>
        </w:rPr>
        <w:t>º </w:t>
      </w:r>
      <w:r w:rsidR="006F4911" w:rsidRPr="002C65E3">
        <w:rPr>
          <w:lang w:eastAsia="en-US"/>
        </w:rPr>
        <w:t>20.978</w:t>
      </w:r>
      <w:r w:rsidR="006F4911" w:rsidRPr="002C65E3">
        <w:rPr>
          <w:rStyle w:val="Refdenotaalpie"/>
        </w:rPr>
        <w:footnoteReference w:id="281"/>
      </w:r>
      <w:r w:rsidR="006F4911" w:rsidRPr="002C65E3">
        <w:rPr>
          <w:lang w:eastAsia="en-US"/>
        </w:rPr>
        <w:t xml:space="preserve"> reconoció el deporte adaptado y paralímpico, estableciéndose que la Política Nacional del Deporte debe asegurar a todas las PcD el derecho a la educación física, práctica deportiva, salud y bienestar físico y mental, integración, ocio y las posibilidades que el deporte ofrece. </w:t>
      </w:r>
    </w:p>
    <w:p w14:paraId="19C24F81" w14:textId="5CA0498E" w:rsidR="006F4911" w:rsidRPr="002C65E3" w:rsidRDefault="00156F70" w:rsidP="00536B1E">
      <w:pPr>
        <w:pStyle w:val="SingleTxtG"/>
        <w:rPr>
          <w:lang w:eastAsia="en-US"/>
        </w:rPr>
      </w:pPr>
      <w:r w:rsidRPr="002C65E3">
        <w:rPr>
          <w:lang w:eastAsia="en-US"/>
        </w:rPr>
        <w:t>189.</w:t>
      </w:r>
      <w:r w:rsidRPr="002C65E3">
        <w:rPr>
          <w:lang w:eastAsia="en-US"/>
        </w:rPr>
        <w:tab/>
      </w:r>
      <w:r w:rsidR="006F4911" w:rsidRPr="002C65E3">
        <w:rPr>
          <w:lang w:eastAsia="en-US"/>
        </w:rPr>
        <w:t>A través de MINDEP, el IND y una Política Nacional de Actividad Física y Deporte, se ha posibilitado la participación e inclusión de PcD en actividades físicas y deportivas</w:t>
      </w:r>
      <w:r w:rsidR="006F4911" w:rsidRPr="002C65E3">
        <w:rPr>
          <w:rStyle w:val="Refdenotaalpie"/>
        </w:rPr>
        <w:footnoteReference w:id="282"/>
      </w:r>
      <w:r w:rsidR="006F4911" w:rsidRPr="002C65E3">
        <w:rPr>
          <w:lang w:eastAsia="en-US"/>
        </w:rPr>
        <w:t>. Los lineamientos ministeriales proponen información accesible para la promoción y difusión de actividades físicas y deportivas inclusivas; participación de PcD en programas y actividades que ejecuta el IND en modalidad inclusiva y exclusiva; fortalecimiento del deporte paralímpico; capacitación del personal que trabaja con PcD y generación de espacios accesibles</w:t>
      </w:r>
      <w:r w:rsidR="006F4911" w:rsidRPr="002C65E3">
        <w:rPr>
          <w:rStyle w:val="Refdenotaalpie"/>
        </w:rPr>
        <w:footnoteReference w:id="283"/>
      </w:r>
      <w:r w:rsidR="006F4911" w:rsidRPr="002C65E3">
        <w:rPr>
          <w:lang w:eastAsia="en-US"/>
        </w:rPr>
        <w:t xml:space="preserve">. </w:t>
      </w:r>
    </w:p>
    <w:p w14:paraId="4E70CC0C" w14:textId="612ED4A3" w:rsidR="006F4911" w:rsidRPr="002C65E3" w:rsidRDefault="00156F70" w:rsidP="00536B1E">
      <w:pPr>
        <w:pStyle w:val="SingleTxtG"/>
        <w:rPr>
          <w:lang w:eastAsia="en-US"/>
        </w:rPr>
      </w:pPr>
      <w:r w:rsidRPr="002C65E3">
        <w:rPr>
          <w:lang w:eastAsia="en-US"/>
        </w:rPr>
        <w:t>190.</w:t>
      </w:r>
      <w:r w:rsidRPr="002C65E3">
        <w:rPr>
          <w:lang w:eastAsia="en-US"/>
        </w:rPr>
        <w:tab/>
      </w:r>
      <w:r w:rsidR="006F4911" w:rsidRPr="002C65E3">
        <w:rPr>
          <w:lang w:eastAsia="en-US"/>
        </w:rPr>
        <w:t xml:space="preserve">En cuanto a participación de las PcD, MINDEP, en su línea intersectorial, ha constituido mesas en todas las regiones, donde participan organizaciones de y para PcD, cuyo objetivo es generar mayores posibilidades de inclusión en la actividad física y el deporte. </w:t>
      </w:r>
    </w:p>
    <w:p w14:paraId="5850CD70" w14:textId="1667FBF7" w:rsidR="006F4911" w:rsidRPr="002C65E3" w:rsidRDefault="00156F70" w:rsidP="00536B1E">
      <w:pPr>
        <w:pStyle w:val="SingleTxtG"/>
        <w:rPr>
          <w:lang w:eastAsia="en-US"/>
        </w:rPr>
      </w:pPr>
      <w:r w:rsidRPr="002C65E3">
        <w:rPr>
          <w:lang w:eastAsia="en-US"/>
        </w:rPr>
        <w:t>191.</w:t>
      </w:r>
      <w:r w:rsidRPr="002C65E3">
        <w:rPr>
          <w:lang w:eastAsia="en-US"/>
        </w:rPr>
        <w:tab/>
      </w:r>
      <w:r w:rsidR="006F4911" w:rsidRPr="002C65E3">
        <w:rPr>
          <w:lang w:eastAsia="en-US"/>
        </w:rPr>
        <w:t>El IND, a nivel formativo, tiene el programa Crecer en Movimiento, que contempla actividades inclusivas y elección de un deporte paralímpico, con talleres exclusivos para</w:t>
      </w:r>
      <w:r w:rsidR="00536B1E" w:rsidRPr="002C65E3">
        <w:rPr>
          <w:lang w:eastAsia="en-US"/>
        </w:rPr>
        <w:t> </w:t>
      </w:r>
      <w:r w:rsidR="006F4911" w:rsidRPr="002C65E3">
        <w:rPr>
          <w:lang w:eastAsia="en-US"/>
        </w:rPr>
        <w:t>NNA con discapacidad</w:t>
      </w:r>
      <w:r w:rsidR="006F4911" w:rsidRPr="002C65E3">
        <w:rPr>
          <w:rStyle w:val="Refdenotaalpie"/>
        </w:rPr>
        <w:footnoteReference w:id="284"/>
      </w:r>
      <w:r w:rsidR="006F4911" w:rsidRPr="002C65E3">
        <w:rPr>
          <w:lang w:eastAsia="en-US"/>
        </w:rPr>
        <w:t>. El IND, cuenta con el programa de Deporte y Participación Social, que busca mejorar la calidad de vida de la población, especialmente aquella que se encuentra en situación de vulnerabilidad social, incluidas las PcD, a través de la actividad física como hábito de vida mediante talleres en modalidad inclusiva y exclusiva.</w:t>
      </w:r>
    </w:p>
    <w:p w14:paraId="2EE61CCD" w14:textId="225A2D99" w:rsidR="006F4911" w:rsidRPr="002C65E3" w:rsidRDefault="00156F70" w:rsidP="00536B1E">
      <w:pPr>
        <w:pStyle w:val="SingleTxtG"/>
        <w:rPr>
          <w:lang w:eastAsia="en-US"/>
        </w:rPr>
      </w:pPr>
      <w:r w:rsidRPr="002C65E3">
        <w:rPr>
          <w:lang w:eastAsia="en-US"/>
        </w:rPr>
        <w:t>192.</w:t>
      </w:r>
      <w:r w:rsidRPr="002C65E3">
        <w:rPr>
          <w:lang w:eastAsia="en-US"/>
        </w:rPr>
        <w:tab/>
      </w:r>
      <w:r w:rsidR="006F4911" w:rsidRPr="002C65E3">
        <w:rPr>
          <w:lang w:eastAsia="en-US"/>
        </w:rPr>
        <w:t>El IND cuenta además con: a) el Sistema Nacional de Competencias; b) Juegos ParaNacionales; c) Juegos Deportivos Escolares, en el cual participan deportistas con discapacidad intelectual en la disciplina de atletismo adaptado; d) Ligas Nacionales de disciplinas paralímpicas específicas. A nivel internacional: a) Juegos Deportivos Escolares Sudamericanos, que en 2018 y 2019, participaron 6 deportistas con discapacidad intelectual; b) Juegos Binacionales de la Araucanía, que, desde 2019, incorporó la participación de deportistas con discapacidad en disciplinas de ParaAtletismo y ParaNatación, con 52 y 36 participantes, respectivamente.</w:t>
      </w:r>
    </w:p>
    <w:p w14:paraId="4CEBB984" w14:textId="4924C303" w:rsidR="006F4911" w:rsidRPr="002C65E3" w:rsidRDefault="00156F70" w:rsidP="00536B1E">
      <w:pPr>
        <w:pStyle w:val="SingleTxtG"/>
        <w:rPr>
          <w:lang w:eastAsia="en-US"/>
        </w:rPr>
      </w:pPr>
      <w:r w:rsidRPr="002C65E3">
        <w:rPr>
          <w:lang w:eastAsia="en-US"/>
        </w:rPr>
        <w:t>193.</w:t>
      </w:r>
      <w:r w:rsidRPr="002C65E3">
        <w:rPr>
          <w:lang w:eastAsia="en-US"/>
        </w:rPr>
        <w:tab/>
      </w:r>
      <w:r w:rsidR="006F4911" w:rsidRPr="002C65E3">
        <w:rPr>
          <w:lang w:eastAsia="en-US"/>
        </w:rPr>
        <w:t xml:space="preserve">A nivel de alto rendimiento, desde abril de 2021 se encuentra operativo el </w:t>
      </w:r>
      <w:r w:rsidR="00791BE9" w:rsidRPr="002C65E3">
        <w:rPr>
          <w:lang w:eastAsia="en-US"/>
        </w:rPr>
        <w:t>“</w:t>
      </w:r>
      <w:r w:rsidR="006F4911" w:rsidRPr="002C65E3">
        <w:rPr>
          <w:lang w:eastAsia="en-US"/>
        </w:rPr>
        <w:t>Plan Paralímpico</w:t>
      </w:r>
      <w:r w:rsidR="00791BE9" w:rsidRPr="002C65E3">
        <w:rPr>
          <w:lang w:eastAsia="en-US"/>
        </w:rPr>
        <w:t>”</w:t>
      </w:r>
      <w:r w:rsidR="006F4911" w:rsidRPr="002C65E3">
        <w:rPr>
          <w:lang w:eastAsia="en-US"/>
        </w:rPr>
        <w:t>, que aborda todas las disciplinas, permitiendo que el Comité Paralímpico de Chile y las federaciones participen con mayor incidencia en la toma de decisiones y planes de Alto Rendimiento Paralímpico. El IND tiene una política de trato igualitario entre deportistas y paradeportistas. Entre 2018 y 2021, a través del Programa de Desarrollo de Deportistas de Alto Rendimiento, se han otorgado 48, 44, 46 y 46 becas para deportistas paralímpicos, respectivamente.</w:t>
      </w:r>
    </w:p>
    <w:p w14:paraId="0A38DD04" w14:textId="25D72149" w:rsidR="006F4911" w:rsidRPr="002C65E3" w:rsidRDefault="00156F70" w:rsidP="00536B1E">
      <w:pPr>
        <w:pStyle w:val="SingleTxtG"/>
        <w:rPr>
          <w:lang w:eastAsia="en-US"/>
        </w:rPr>
      </w:pPr>
      <w:r w:rsidRPr="002C65E3">
        <w:rPr>
          <w:lang w:eastAsia="en-US"/>
        </w:rPr>
        <w:t>194.</w:t>
      </w:r>
      <w:r w:rsidRPr="002C65E3">
        <w:rPr>
          <w:lang w:eastAsia="en-US"/>
        </w:rPr>
        <w:tab/>
      </w:r>
      <w:r w:rsidR="006F4911" w:rsidRPr="002C65E3">
        <w:rPr>
          <w:lang w:eastAsia="en-US"/>
        </w:rPr>
        <w:t>FONAPI financia líneas de deportes: a) talleres de actividad física, deporte y recreación inclusivos con la finalidad de fortalecer el desarrollo de la actividad física de las PcD; b) deporte adaptado a través de actividades de desarrollo comunitario y eventos deportivos, cuyo objetivo es promover la práctica del deporte adaptado para PcD y, c) la implementación y práctica deportiva, para promover el ejercicio de actividad deportiva adaptada a través de la formación de equipos y la adquisición de AATT e implementación deportivas.</w:t>
      </w:r>
    </w:p>
    <w:p w14:paraId="428390AF" w14:textId="35D0C9B6" w:rsidR="006F4911" w:rsidRPr="002C65E3" w:rsidRDefault="00156F70" w:rsidP="00536B1E">
      <w:pPr>
        <w:pStyle w:val="SingleTxtG"/>
        <w:rPr>
          <w:lang w:eastAsia="en-US"/>
        </w:rPr>
      </w:pPr>
      <w:r w:rsidRPr="002C65E3">
        <w:rPr>
          <w:lang w:eastAsia="en-US"/>
        </w:rPr>
        <w:t>195.</w:t>
      </w:r>
      <w:r w:rsidRPr="002C65E3">
        <w:rPr>
          <w:lang w:eastAsia="en-US"/>
        </w:rPr>
        <w:tab/>
      </w:r>
      <w:r w:rsidR="006F4911" w:rsidRPr="002C65E3">
        <w:rPr>
          <w:lang w:eastAsia="en-US"/>
        </w:rPr>
        <w:t>En infraestructura, una prioridad es incorporar la accesibilidad universal en el diseño de todo recinto deportivo que MINDEP-IND contemple en su planificación. Actualmente existen 31 proyectos, en 8 regiones del país, que consideran la accesibilidad universal en su diseño, de los cuales 12 están vinculados a los Juegos Panamericanos y Parapanamericanos Santiago 2023. En este contexto, se construye el Centro de Entrenamiento Paralímpico, al interior del Parque Deportivo Estadio Nacional. De manera complementaria, SENADIS, mediante convenio de transferencia por $49.000.000, financia dos expertas en accesibilidad universal para asesorar a la Corporación Santiago 2023 en el desarrollo de un Plan de Accesibilidad Universal.</w:t>
      </w:r>
    </w:p>
    <w:p w14:paraId="4C52662F" w14:textId="37BA347C" w:rsidR="006F4911" w:rsidRPr="002C65E3" w:rsidRDefault="00EA7582" w:rsidP="00536B1E">
      <w:pPr>
        <w:pStyle w:val="H23G"/>
        <w:rPr>
          <w:lang w:eastAsia="en-US"/>
        </w:rPr>
      </w:pPr>
      <w:r w:rsidRPr="002C65E3">
        <w:rPr>
          <w:lang w:eastAsia="en-US"/>
        </w:rPr>
        <w:tab/>
      </w:r>
      <w:r w:rsidRPr="002C65E3">
        <w:rPr>
          <w:lang w:eastAsia="en-US"/>
        </w:rPr>
        <w:tab/>
      </w:r>
      <w:r w:rsidR="006F4911" w:rsidRPr="002C65E3">
        <w:rPr>
          <w:lang w:eastAsia="en-US"/>
        </w:rPr>
        <w:t>Cultura y recreación</w:t>
      </w:r>
    </w:p>
    <w:p w14:paraId="10270666" w14:textId="216B8B6E" w:rsidR="006F4911" w:rsidRPr="002C65E3" w:rsidRDefault="00156F70" w:rsidP="00536B1E">
      <w:pPr>
        <w:pStyle w:val="SingleTxtG"/>
        <w:rPr>
          <w:lang w:eastAsia="en-US"/>
        </w:rPr>
      </w:pPr>
      <w:r w:rsidRPr="002C65E3">
        <w:rPr>
          <w:lang w:eastAsia="en-US"/>
        </w:rPr>
        <w:t>196.</w:t>
      </w:r>
      <w:r w:rsidRPr="002C65E3">
        <w:rPr>
          <w:lang w:eastAsia="en-US"/>
        </w:rPr>
        <w:tab/>
      </w:r>
      <w:r w:rsidR="006F4911" w:rsidRPr="002C65E3">
        <w:rPr>
          <w:lang w:eastAsia="en-US"/>
        </w:rPr>
        <w:t xml:space="preserve">MINCAP mantiene programas e iniciativas con enfoque de inclusión, lineamientos y orientaciones para facilitar el cumplimiento de estos fines por parte de otras instituciones. Destaca el programa de Fomento del Arte en la Educación (ACCIONA), que contempla la promoción de participación de estudiantes con discapacidad. En los Fondos de Cultura, se incorporó el enfoque de inclusión a través de la </w:t>
      </w:r>
      <w:r w:rsidR="00791BE9" w:rsidRPr="002C65E3">
        <w:rPr>
          <w:lang w:eastAsia="en-US"/>
        </w:rPr>
        <w:t>“</w:t>
      </w:r>
      <w:r w:rsidR="006F4911" w:rsidRPr="002C65E3">
        <w:rPr>
          <w:lang w:eastAsia="en-US"/>
        </w:rPr>
        <w:t>Guía Informativa: Orientaciones para la inclusión de [PcD] en proyectos culturales y artísticos</w:t>
      </w:r>
      <w:r w:rsidR="00791BE9" w:rsidRPr="002C65E3">
        <w:rPr>
          <w:lang w:eastAsia="en-US"/>
        </w:rPr>
        <w:t>”</w:t>
      </w:r>
      <w:r w:rsidR="006F4911" w:rsidRPr="002C65E3">
        <w:rPr>
          <w:rStyle w:val="Refdenotaalpie"/>
        </w:rPr>
        <w:footnoteReference w:id="285"/>
      </w:r>
      <w:r w:rsidR="006F4911" w:rsidRPr="002C65E3">
        <w:rPr>
          <w:lang w:eastAsia="en-US"/>
        </w:rPr>
        <w:t>. En el FONDART, también se contempla el fomento de actividades y proyectos para PcD. En el Fondo Nacional de Fomento del Libro y la Lectura, se incluyó en la línea de Fomento a la Industria, la descripción de la submodalidad de Libro único en formatos accesibles para PcD, y en la Línea de Fomento de la Lectura y/o Escritura, la submodalidad de mejoramiento o habilitación de espacios de lectura en centros educativos, culturales o de salud que atiendan a PcD. En el Centro de extensión del MINCAP (CENTEX), en 2019, se incorporó en las actividades de mediación, el uso de LSCH, recorridos para personas ciegas y mejoras de accesibilidad en los accesos para personas que se trasladan en silla de ruedas.</w:t>
      </w:r>
    </w:p>
    <w:p w14:paraId="442D2B0E" w14:textId="07429C1C" w:rsidR="006F4911" w:rsidRPr="002C65E3" w:rsidRDefault="00156F70" w:rsidP="00536B1E">
      <w:pPr>
        <w:pStyle w:val="SingleTxtG"/>
        <w:rPr>
          <w:lang w:eastAsia="en-US"/>
        </w:rPr>
      </w:pPr>
      <w:r w:rsidRPr="002C65E3">
        <w:rPr>
          <w:lang w:eastAsia="en-US"/>
        </w:rPr>
        <w:t>197.</w:t>
      </w:r>
      <w:r w:rsidRPr="002C65E3">
        <w:rPr>
          <w:lang w:eastAsia="en-US"/>
        </w:rPr>
        <w:tab/>
      </w:r>
      <w:r w:rsidR="006F4911" w:rsidRPr="002C65E3">
        <w:rPr>
          <w:lang w:eastAsia="en-US"/>
        </w:rPr>
        <w:t>FONAPI financia líneas de cultura: a) Talleres culturales y artísticos, con la finalidad de fomentar la participación de PcD en conjunto con la comunidad, a través de las artes y fortalecer el desarrollo personal y participación; b) Eventos artísticos-culturales, con la finalidad de realizar eventos planificados y ejecutados por PcD en conjunto con la comunidad; c) Material cultural accesible, con la finalidad de crear material, traspasar material a formato accesible y/o disponer de material cultural en línea accesible.</w:t>
      </w:r>
    </w:p>
    <w:p w14:paraId="13D9942D" w14:textId="542E1759" w:rsidR="006F4911" w:rsidRPr="002C65E3" w:rsidRDefault="00156F70" w:rsidP="00536B1E">
      <w:pPr>
        <w:pStyle w:val="SingleTxtG"/>
        <w:rPr>
          <w:lang w:eastAsia="en-US"/>
        </w:rPr>
      </w:pPr>
      <w:r w:rsidRPr="002C65E3">
        <w:rPr>
          <w:lang w:eastAsia="en-US"/>
        </w:rPr>
        <w:t>198.</w:t>
      </w:r>
      <w:r w:rsidRPr="002C65E3">
        <w:rPr>
          <w:lang w:eastAsia="en-US"/>
        </w:rPr>
        <w:tab/>
      </w:r>
      <w:r w:rsidR="006F4911" w:rsidRPr="002C65E3">
        <w:rPr>
          <w:lang w:eastAsia="en-US"/>
        </w:rPr>
        <w:t xml:space="preserve">La Subsecretaría de Patrimonio Cultural ha incorporado la interpretación en LSCH para material audiovisual e instancias de difusión producidos por su Departamento de Estudios y por el Centro de Extensión Palacio Pereira. </w:t>
      </w:r>
    </w:p>
    <w:p w14:paraId="1D163EE4" w14:textId="080689FA" w:rsidR="006F4911" w:rsidRPr="002C65E3" w:rsidRDefault="00156F70" w:rsidP="00536B1E">
      <w:pPr>
        <w:pStyle w:val="SingleTxtG"/>
        <w:rPr>
          <w:lang w:eastAsia="en-US"/>
        </w:rPr>
      </w:pPr>
      <w:r w:rsidRPr="002C65E3">
        <w:rPr>
          <w:lang w:eastAsia="en-US"/>
        </w:rPr>
        <w:t>199.</w:t>
      </w:r>
      <w:r w:rsidRPr="002C65E3">
        <w:rPr>
          <w:lang w:eastAsia="en-US"/>
        </w:rPr>
        <w:tab/>
      </w:r>
      <w:r w:rsidR="006F4911" w:rsidRPr="002C65E3">
        <w:rPr>
          <w:lang w:eastAsia="en-US"/>
        </w:rPr>
        <w:t>El Servicio Nacional del Patrimonio Cultural ha implementado, en todos los diseños terminados y en proceso, la normativa sobre accesibilidad dispuesta en la Ley General de Urbanismo y Construcción</w:t>
      </w:r>
      <w:r w:rsidR="006F4911" w:rsidRPr="002C65E3">
        <w:rPr>
          <w:rStyle w:val="Refdenotaalpie"/>
        </w:rPr>
        <w:footnoteReference w:id="286"/>
      </w:r>
      <w:r w:rsidR="006F4911" w:rsidRPr="002C65E3">
        <w:rPr>
          <w:lang w:eastAsia="en-US"/>
        </w:rPr>
        <w:t xml:space="preserve"> y su ordenanza</w:t>
      </w:r>
      <w:r w:rsidR="006F4911" w:rsidRPr="002C65E3">
        <w:rPr>
          <w:rStyle w:val="Refdenotaalpie"/>
        </w:rPr>
        <w:footnoteReference w:id="287"/>
      </w:r>
      <w:r w:rsidR="006F4911" w:rsidRPr="002C65E3">
        <w:rPr>
          <w:lang w:eastAsia="en-US"/>
        </w:rPr>
        <w:t>, Ley N</w:t>
      </w:r>
      <w:r w:rsidR="00405113" w:rsidRPr="002C65E3">
        <w:rPr>
          <w:lang w:eastAsia="en-US"/>
        </w:rPr>
        <w:t>º </w:t>
      </w:r>
      <w:r w:rsidR="006F4911" w:rsidRPr="002C65E3">
        <w:rPr>
          <w:lang w:eastAsia="en-US"/>
        </w:rPr>
        <w:t>20.422 y otras pertinentes, así como también el Manual de Accesibilidad Universal de Ciudad Accesible</w:t>
      </w:r>
      <w:r w:rsidR="006F4911" w:rsidRPr="002C65E3">
        <w:rPr>
          <w:rStyle w:val="Refdenotaalpie"/>
        </w:rPr>
        <w:footnoteReference w:id="288"/>
      </w:r>
      <w:r w:rsidR="006F4911" w:rsidRPr="002C65E3">
        <w:rPr>
          <w:lang w:eastAsia="en-US"/>
        </w:rPr>
        <w:t>.</w:t>
      </w:r>
    </w:p>
    <w:p w14:paraId="797781AC" w14:textId="73E009C3" w:rsidR="006F4911" w:rsidRPr="002C65E3" w:rsidRDefault="00156F70" w:rsidP="00536B1E">
      <w:pPr>
        <w:pStyle w:val="SingleTxtG"/>
        <w:rPr>
          <w:lang w:eastAsia="en-US"/>
        </w:rPr>
      </w:pPr>
      <w:r w:rsidRPr="002C65E3">
        <w:rPr>
          <w:lang w:eastAsia="en-US"/>
        </w:rPr>
        <w:t>200.</w:t>
      </w:r>
      <w:r w:rsidRPr="002C65E3">
        <w:rPr>
          <w:lang w:eastAsia="en-US"/>
        </w:rPr>
        <w:tab/>
      </w:r>
      <w:r w:rsidR="006F4911" w:rsidRPr="002C65E3">
        <w:rPr>
          <w:lang w:eastAsia="en-US"/>
        </w:rPr>
        <w:t>MINCAP, a través del Fondo de Fomento Audiovisual, desde 2019, reforzó y amplió programas de acceso a la producción audiovisual para PcD. Contempla la continuidad de una modalidad de financiamiento cuyo objetivo es la distribución de largometrajes para PcD visual y auditiva. Desde 2019, la Plataforma de cine chileno OndaMedia</w:t>
      </w:r>
      <w:r w:rsidR="006F4911" w:rsidRPr="002C65E3">
        <w:rPr>
          <w:rStyle w:val="Refdenotaalpie"/>
        </w:rPr>
        <w:footnoteReference w:id="289"/>
      </w:r>
      <w:r w:rsidR="006F4911" w:rsidRPr="002C65E3">
        <w:rPr>
          <w:lang w:eastAsia="en-US"/>
        </w:rPr>
        <w:t xml:space="preserve">, integró subtítulos descriptivos para PcD auditiva en sus películas. </w:t>
      </w:r>
    </w:p>
    <w:p w14:paraId="78B6A34F" w14:textId="43E4A015" w:rsidR="006F4911" w:rsidRPr="002C65E3" w:rsidRDefault="00156F70" w:rsidP="00536B1E">
      <w:pPr>
        <w:pStyle w:val="SingleTxtG"/>
        <w:rPr>
          <w:lang w:eastAsia="en-US"/>
        </w:rPr>
      </w:pPr>
      <w:r w:rsidRPr="002C65E3">
        <w:rPr>
          <w:lang w:eastAsia="en-US"/>
        </w:rPr>
        <w:lastRenderedPageBreak/>
        <w:t>201.</w:t>
      </w:r>
      <w:r w:rsidRPr="002C65E3">
        <w:rPr>
          <w:lang w:eastAsia="en-US"/>
        </w:rPr>
        <w:tab/>
      </w:r>
      <w:r w:rsidR="006F4911" w:rsidRPr="002C65E3">
        <w:rPr>
          <w:lang w:eastAsia="en-US"/>
        </w:rPr>
        <w:t>Respecto a las estrategias para el respeto del derecho de los niños/as indígenas que son sordos a su cultura y a su idioma, deben considerarse la</w:t>
      </w:r>
      <w:r w:rsidR="006F4911" w:rsidRPr="002C65E3">
        <w:rPr>
          <w:color w:val="1155CC"/>
          <w:lang w:eastAsia="en-US"/>
        </w:rPr>
        <w:t xml:space="preserve"> </w:t>
      </w:r>
      <w:r w:rsidR="006F4911" w:rsidRPr="002C65E3">
        <w:rPr>
          <w:lang w:eastAsia="en-US"/>
        </w:rPr>
        <w:t>Ley N</w:t>
      </w:r>
      <w:r w:rsidR="00405113" w:rsidRPr="002C65E3">
        <w:rPr>
          <w:lang w:eastAsia="en-US"/>
        </w:rPr>
        <w:t>º </w:t>
      </w:r>
      <w:r w:rsidR="006F4911" w:rsidRPr="002C65E3">
        <w:rPr>
          <w:lang w:eastAsia="en-US"/>
        </w:rPr>
        <w:t>21.303</w:t>
      </w:r>
      <w:r w:rsidR="006F4911" w:rsidRPr="002C65E3">
        <w:rPr>
          <w:rStyle w:val="Refdenotaalpie"/>
        </w:rPr>
        <w:footnoteReference w:id="290"/>
      </w:r>
      <w:r w:rsidR="006F4911" w:rsidRPr="002C65E3">
        <w:rPr>
          <w:lang w:eastAsia="en-US"/>
        </w:rPr>
        <w:t xml:space="preserve"> y la Ley N</w:t>
      </w:r>
      <w:r w:rsidR="00405113" w:rsidRPr="002C65E3">
        <w:rPr>
          <w:lang w:eastAsia="en-US"/>
        </w:rPr>
        <w:t>º </w:t>
      </w:r>
      <w:r w:rsidR="006F4911" w:rsidRPr="002C65E3">
        <w:rPr>
          <w:lang w:eastAsia="en-US"/>
        </w:rPr>
        <w:t>19.253</w:t>
      </w:r>
      <w:r w:rsidR="006F4911" w:rsidRPr="002C65E3">
        <w:rPr>
          <w:rStyle w:val="Refdenotaalpie"/>
        </w:rPr>
        <w:footnoteReference w:id="291"/>
      </w:r>
      <w:r w:rsidR="006F4911" w:rsidRPr="002C65E3">
        <w:rPr>
          <w:lang w:eastAsia="en-US"/>
        </w:rPr>
        <w:t xml:space="preserve">. De ambas se desprende la consagración del derecho para todas las personas indígenas al respeto y valoración de su cultura e idioma. En cuanto al ámbito de cultura y educación, se contempla que se debe establecer, en el sistema educativo nacional, una unidad programática que posibilite a los estudiantes acceder a un conocimiento adecuado de las culturas e idiomas indígenas y que los capacite para valorarlas positivamente. </w:t>
      </w:r>
    </w:p>
    <w:p w14:paraId="11A40969" w14:textId="4AC5B51B" w:rsidR="006F4911" w:rsidRPr="002C65E3" w:rsidRDefault="00156F70" w:rsidP="00536B1E">
      <w:pPr>
        <w:pStyle w:val="SingleTxtG"/>
        <w:rPr>
          <w:lang w:eastAsia="en-US"/>
        </w:rPr>
      </w:pPr>
      <w:r w:rsidRPr="002C65E3">
        <w:rPr>
          <w:lang w:eastAsia="en-US"/>
        </w:rPr>
        <w:t>202.</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21.430</w:t>
      </w:r>
      <w:r w:rsidR="006F4911" w:rsidRPr="002C65E3">
        <w:rPr>
          <w:rStyle w:val="Refdenotaalpie"/>
        </w:rPr>
        <w:footnoteReference w:id="292"/>
      </w:r>
      <w:r w:rsidR="006F4911" w:rsidRPr="002C65E3">
        <w:rPr>
          <w:lang w:eastAsia="en-US"/>
        </w:rPr>
        <w:t xml:space="preserve"> contempla el derecho a la identidad, por el cual, todo NNA tiene derecho a tener, entre otros, una lengua de origen, estableciendo el derecho a preservar y desarrollar su propia identidad e idiosincrasia, incluida su identidad de género. Si bien el Programa de Educación Intercultural Bilingüe y la Unidad de Educación Especial, ambas del MINEDUC, desarrollan políticas de formación de estudiantes indígenas y estudiantes sordos respectivamente, las estrategias adoptadas y acciones desarrolladas, para que se respete el derecho de los niños/as sordas a su cultura y a su idioma, han sido diseñadas en general para la comunidad sorda, sin hacer distinción de aquellos estudiantes indígenas sordos.</w:t>
      </w:r>
    </w:p>
    <w:p w14:paraId="5D09B06C" w14:textId="34A2BEFE" w:rsidR="006F4911" w:rsidRPr="002C65E3" w:rsidRDefault="002E1A4E" w:rsidP="00536B1E">
      <w:pPr>
        <w:pStyle w:val="HChG"/>
        <w:rPr>
          <w:lang w:eastAsia="en-US"/>
        </w:rPr>
      </w:pPr>
      <w:bookmarkStart w:id="50" w:name="_Toc122692633"/>
      <w:r w:rsidRPr="002C65E3">
        <w:rPr>
          <w:lang w:eastAsia="en-US"/>
        </w:rPr>
        <w:tab/>
      </w:r>
      <w:r w:rsidR="006F4911" w:rsidRPr="002C65E3">
        <w:rPr>
          <w:lang w:eastAsia="en-US"/>
        </w:rPr>
        <w:t>IV.</w:t>
      </w:r>
      <w:r w:rsidRPr="002C65E3">
        <w:rPr>
          <w:lang w:eastAsia="en-US"/>
        </w:rPr>
        <w:tab/>
      </w:r>
      <w:r w:rsidR="006F4911" w:rsidRPr="002C65E3">
        <w:rPr>
          <w:lang w:eastAsia="en-US"/>
        </w:rPr>
        <w:t>Obligaciones específicas</w:t>
      </w:r>
      <w:bookmarkEnd w:id="50"/>
      <w:r w:rsidR="006F4911" w:rsidRPr="002C65E3">
        <w:rPr>
          <w:lang w:eastAsia="en-US"/>
        </w:rPr>
        <w:t xml:space="preserve"> </w:t>
      </w:r>
    </w:p>
    <w:p w14:paraId="57C210AD" w14:textId="002E286D" w:rsidR="006F4911" w:rsidRPr="002C65E3" w:rsidRDefault="002E1A4E" w:rsidP="00536B1E">
      <w:pPr>
        <w:pStyle w:val="H1G"/>
        <w:rPr>
          <w:lang w:eastAsia="en-US"/>
        </w:rPr>
      </w:pPr>
      <w:bookmarkStart w:id="51" w:name="_Toc122692634"/>
      <w:r w:rsidRPr="002C65E3">
        <w:rPr>
          <w:lang w:eastAsia="en-US"/>
        </w:rPr>
        <w:tab/>
      </w:r>
      <w:r w:rsidRPr="002C65E3">
        <w:rPr>
          <w:lang w:eastAsia="en-US"/>
        </w:rPr>
        <w:tab/>
      </w:r>
      <w:r w:rsidR="006F4911" w:rsidRPr="002C65E3">
        <w:rPr>
          <w:lang w:eastAsia="en-US"/>
        </w:rPr>
        <w:t>Artículo 31</w:t>
      </w:r>
      <w:bookmarkEnd w:id="51"/>
    </w:p>
    <w:p w14:paraId="4B0696D6" w14:textId="3575D5E8" w:rsidR="006F4911" w:rsidRPr="002C65E3" w:rsidRDefault="00156F70" w:rsidP="00536B1E">
      <w:pPr>
        <w:pStyle w:val="SingleTxtG"/>
        <w:rPr>
          <w:lang w:eastAsia="en-US"/>
        </w:rPr>
      </w:pPr>
      <w:r w:rsidRPr="002C65E3">
        <w:rPr>
          <w:lang w:eastAsia="en-US"/>
        </w:rPr>
        <w:t>203.</w:t>
      </w:r>
      <w:r w:rsidRPr="002C65E3">
        <w:rPr>
          <w:lang w:eastAsia="en-US"/>
        </w:rPr>
        <w:tab/>
      </w:r>
      <w:r w:rsidR="006F4911" w:rsidRPr="002C65E3">
        <w:rPr>
          <w:lang w:eastAsia="en-US"/>
        </w:rPr>
        <w:t>En cuanto a la recopilación de datos, se está realizando el levantamiento de la ENDIDE 2022. Su objetivo es estimar la prevalencia de la discapacidad y dependencia en Chile, caracterizando el funcionamiento y las condiciones de vida de las PcD y dependencia, elaborada por el MDSF, con apoyo de SENAMA y SENADIS. Este estudio cuenta con un cuestionario que aborda la discapacidad y la dependencia desde una perspectiva global, usando como base la CIF. El cuestionario se sometió a consulta en espacios participativos. Dentro de las dimensiones de consulta que abordan los cuatro cuestionarios (Hogar, Adulto, Cuidador y NNA), se pueden destacar: la caracterización de integrantes del hogar</w:t>
      </w:r>
      <w:r w:rsidR="006F4911" w:rsidRPr="002C65E3">
        <w:rPr>
          <w:rStyle w:val="Refdenotaalpie"/>
        </w:rPr>
        <w:footnoteReference w:id="293"/>
      </w:r>
      <w:r w:rsidR="006F4911" w:rsidRPr="002C65E3">
        <w:rPr>
          <w:lang w:eastAsia="en-US"/>
        </w:rPr>
        <w:t>, educación, situación laboral, ingresos del hogar, vivienda, desempeño, factores ambientales (identificación de barreras), condiciones de salud, requerimientos de asistencia, uso del tiempo libre, participación, caracterización de cuidados, sobrecarga, salud mental, etc.</w:t>
      </w:r>
      <w:r w:rsidR="00791BE9" w:rsidRPr="002C65E3">
        <w:rPr>
          <w:lang w:eastAsia="en-US"/>
        </w:rPr>
        <w:t xml:space="preserve"> </w:t>
      </w:r>
    </w:p>
    <w:p w14:paraId="56D56F5A" w14:textId="2B9B6387" w:rsidR="006F4911" w:rsidRPr="002C65E3" w:rsidRDefault="00156F70" w:rsidP="00536B1E">
      <w:pPr>
        <w:pStyle w:val="SingleTxtG"/>
        <w:rPr>
          <w:lang w:eastAsia="en-US"/>
        </w:rPr>
      </w:pPr>
      <w:r w:rsidRPr="002C65E3">
        <w:rPr>
          <w:lang w:eastAsia="en-US"/>
        </w:rPr>
        <w:t>204.</w:t>
      </w:r>
      <w:r w:rsidRPr="002C65E3">
        <w:rPr>
          <w:lang w:eastAsia="en-US"/>
        </w:rPr>
        <w:tab/>
      </w:r>
      <w:r w:rsidR="006F4911" w:rsidRPr="002C65E3">
        <w:rPr>
          <w:lang w:eastAsia="en-US"/>
        </w:rPr>
        <w:t>La Ley N</w:t>
      </w:r>
      <w:r w:rsidR="00405113" w:rsidRPr="002C65E3">
        <w:rPr>
          <w:lang w:eastAsia="en-US"/>
        </w:rPr>
        <w:t>º </w:t>
      </w:r>
      <w:r w:rsidR="006F4911" w:rsidRPr="002C65E3">
        <w:rPr>
          <w:lang w:eastAsia="en-US"/>
        </w:rPr>
        <w:t>21.403</w:t>
      </w:r>
      <w:r w:rsidR="006F4911" w:rsidRPr="002C65E3">
        <w:rPr>
          <w:rStyle w:val="Refdenotaalpie"/>
        </w:rPr>
        <w:footnoteReference w:id="294"/>
      </w:r>
      <w:r w:rsidR="006F4911" w:rsidRPr="002C65E3">
        <w:rPr>
          <w:lang w:eastAsia="en-US"/>
        </w:rPr>
        <w:t xml:space="preserve"> incorporó dentro de las atribuciones de SENADIS que los estudios deben considerar los diversos tipos de discapacidad y la sordoceguera como discapacidad única, de manera de obtener los antecedentes suficientes que permitan el adecuado diseño, ejecución y evaluación de políticas, planes y programas.</w:t>
      </w:r>
    </w:p>
    <w:p w14:paraId="551DA0D7" w14:textId="2EC2ED6C" w:rsidR="006F4911" w:rsidRPr="002C65E3" w:rsidRDefault="00156F70" w:rsidP="00536B1E">
      <w:pPr>
        <w:pStyle w:val="SingleTxtG"/>
        <w:rPr>
          <w:lang w:eastAsia="en-US"/>
        </w:rPr>
      </w:pPr>
      <w:r w:rsidRPr="002C65E3">
        <w:rPr>
          <w:lang w:eastAsia="en-US"/>
        </w:rPr>
        <w:t>205.</w:t>
      </w:r>
      <w:r w:rsidRPr="002C65E3">
        <w:rPr>
          <w:lang w:eastAsia="en-US"/>
        </w:rPr>
        <w:tab/>
      </w:r>
      <w:r w:rsidR="006F4911" w:rsidRPr="002C65E3">
        <w:rPr>
          <w:lang w:eastAsia="en-US"/>
        </w:rPr>
        <w:t>Según el INDH, en contexto de protestas sociales de octubre 2019, se presentaron un total de 3.146 querellas en favor de víctimas por hechos constitutivos de violaciones a los DDHH de diversa índole, ocurridos entre el 17.10.2019 y 18.03.2020. De éstas, 20 querellas en favor de 21 víctimas están asociadas a PcD, correspondiendo a 0,64</w:t>
      </w:r>
      <w:r w:rsidR="00791BE9" w:rsidRPr="002C65E3">
        <w:rPr>
          <w:lang w:eastAsia="en-US"/>
        </w:rPr>
        <w:t> %</w:t>
      </w:r>
      <w:r w:rsidR="006F4911" w:rsidRPr="002C65E3">
        <w:rPr>
          <w:lang w:eastAsia="en-US"/>
        </w:rPr>
        <w:t xml:space="preserve"> respecto del total de querellas presentadas por el INDH. Existen 7 víctimas que son PcD, representadas por el INDH en acciones de amparo. Del total de 28 PcD víctimas representadas por el INDH mediante querellas y acciones de amparo, tres de ellas son mujeres adultas, dos NNA de sexo masculino y un hombre perteneciente a pueblos indígenas.</w:t>
      </w:r>
    </w:p>
    <w:p w14:paraId="6CB04D71" w14:textId="7EDAE653" w:rsidR="006F4911" w:rsidRPr="002C65E3" w:rsidRDefault="00156F70" w:rsidP="00536B1E">
      <w:pPr>
        <w:pStyle w:val="SingleTxtG"/>
        <w:rPr>
          <w:lang w:eastAsia="en-US"/>
        </w:rPr>
      </w:pPr>
      <w:r w:rsidRPr="002C65E3">
        <w:rPr>
          <w:lang w:eastAsia="en-US"/>
        </w:rPr>
        <w:t>206.</w:t>
      </w:r>
      <w:r w:rsidRPr="002C65E3">
        <w:rPr>
          <w:lang w:eastAsia="en-US"/>
        </w:rPr>
        <w:tab/>
      </w:r>
      <w:r w:rsidR="006F4911" w:rsidRPr="002C65E3">
        <w:rPr>
          <w:lang w:eastAsia="en-US"/>
        </w:rPr>
        <w:t>Respecto de los datos referidos a PcD contagiadas con COVID-19 y fallecidas, cabe señalar que no existe información específica, no obstante que MINSAL mantiene datos generales al respecto</w:t>
      </w:r>
      <w:r w:rsidR="006F4911" w:rsidRPr="002C65E3">
        <w:rPr>
          <w:rStyle w:val="Refdenotaalpie"/>
        </w:rPr>
        <w:footnoteReference w:id="295"/>
      </w:r>
      <w:r w:rsidR="006F4911" w:rsidRPr="002C65E3">
        <w:rPr>
          <w:lang w:eastAsia="en-US"/>
        </w:rPr>
        <w:t xml:space="preserve">. </w:t>
      </w:r>
    </w:p>
    <w:p w14:paraId="4297D320" w14:textId="53ABBF68" w:rsidR="006F4911" w:rsidRPr="002C65E3" w:rsidRDefault="00156F70" w:rsidP="00536B1E">
      <w:pPr>
        <w:pStyle w:val="SingleTxtG"/>
        <w:rPr>
          <w:lang w:eastAsia="en-US"/>
        </w:rPr>
      </w:pPr>
      <w:r w:rsidRPr="002C65E3">
        <w:rPr>
          <w:lang w:eastAsia="en-US"/>
        </w:rPr>
        <w:lastRenderedPageBreak/>
        <w:t>207.</w:t>
      </w:r>
      <w:r w:rsidRPr="002C65E3">
        <w:rPr>
          <w:lang w:eastAsia="en-US"/>
        </w:rPr>
        <w:tab/>
      </w:r>
      <w:r w:rsidR="006F4911" w:rsidRPr="002C65E3">
        <w:rPr>
          <w:lang w:eastAsia="en-US"/>
        </w:rPr>
        <w:t>A través del sitio web de SENADIS</w:t>
      </w:r>
      <w:r w:rsidR="006F4911" w:rsidRPr="002C65E3">
        <w:rPr>
          <w:rStyle w:val="Refdenotaalpie"/>
        </w:rPr>
        <w:footnoteReference w:id="296"/>
      </w:r>
      <w:r w:rsidR="006F4911" w:rsidRPr="002C65E3">
        <w:rPr>
          <w:lang w:eastAsia="en-US"/>
        </w:rPr>
        <w:t>, se publican documentos que son de interés de las PcD, destacándose el II Estudio Nacional de la Discapacidad</w:t>
      </w:r>
      <w:r w:rsidR="006F4911" w:rsidRPr="002C65E3">
        <w:rPr>
          <w:rStyle w:val="Refdenotaalpie"/>
        </w:rPr>
        <w:footnoteReference w:id="297"/>
      </w:r>
      <w:r w:rsidR="006F4911" w:rsidRPr="002C65E3">
        <w:rPr>
          <w:lang w:eastAsia="en-US"/>
        </w:rPr>
        <w:t>; Discapacidad y Trabajo: Contexto para la nueva ley 21.015 de Inclusión Laboral en Chile</w:t>
      </w:r>
      <w:r w:rsidR="006F4911" w:rsidRPr="002C65E3">
        <w:rPr>
          <w:rStyle w:val="Refdenotaalpie"/>
        </w:rPr>
        <w:footnoteReference w:id="298"/>
      </w:r>
      <w:r w:rsidR="006F4911" w:rsidRPr="002C65E3">
        <w:rPr>
          <w:lang w:eastAsia="en-US"/>
        </w:rPr>
        <w:t>; Encuesta de Caracterización Socioeconómica, CASEN 2017 sobre Discapacidad</w:t>
      </w:r>
      <w:r w:rsidR="006F4911" w:rsidRPr="002C65E3">
        <w:rPr>
          <w:rStyle w:val="Refdenotaalpie"/>
        </w:rPr>
        <w:footnoteReference w:id="299"/>
      </w:r>
      <w:r w:rsidR="006F4911" w:rsidRPr="002C65E3">
        <w:rPr>
          <w:lang w:eastAsia="en-US"/>
        </w:rPr>
        <w:t>; Guía de Atención a Mujeres con Discapacidad Víctimas de Violencia</w:t>
      </w:r>
      <w:r w:rsidR="006F4911" w:rsidRPr="002C65E3">
        <w:rPr>
          <w:rStyle w:val="Refdenotaalpie"/>
        </w:rPr>
        <w:footnoteReference w:id="300"/>
      </w:r>
      <w:r w:rsidR="006F4911" w:rsidRPr="002C65E3">
        <w:rPr>
          <w:lang w:eastAsia="en-US"/>
        </w:rPr>
        <w:t>; Guía para la inclusión de la persona con la condición del EA en el contexto escolar</w:t>
      </w:r>
      <w:r w:rsidR="006F4911" w:rsidRPr="002C65E3">
        <w:rPr>
          <w:rStyle w:val="Refdenotaalpie"/>
        </w:rPr>
        <w:footnoteReference w:id="301"/>
      </w:r>
      <w:r w:rsidR="006F4911" w:rsidRPr="002C65E3">
        <w:rPr>
          <w:lang w:eastAsia="en-US"/>
        </w:rPr>
        <w:t>; Sexualidad e Inclusión de PcD</w:t>
      </w:r>
      <w:r w:rsidR="006F4911" w:rsidRPr="002C65E3">
        <w:rPr>
          <w:rStyle w:val="Refdenotaalpie"/>
        </w:rPr>
        <w:footnoteReference w:id="302"/>
      </w:r>
      <w:r w:rsidR="006F4911" w:rsidRPr="002C65E3">
        <w:rPr>
          <w:lang w:eastAsia="en-US"/>
        </w:rPr>
        <w:t>; Sexualidad e Inclusión de PcD versión lectura fácil</w:t>
      </w:r>
      <w:r w:rsidR="006F4911" w:rsidRPr="002C65E3">
        <w:rPr>
          <w:rStyle w:val="Refdenotaalpie"/>
        </w:rPr>
        <w:footnoteReference w:id="303"/>
      </w:r>
      <w:r w:rsidR="006F4911" w:rsidRPr="002C65E3">
        <w:rPr>
          <w:lang w:eastAsia="en-US"/>
        </w:rPr>
        <w:t>; Informes Diagnósticos Participativos al Sistema de CCD</w:t>
      </w:r>
      <w:r w:rsidR="006F4911" w:rsidRPr="002C65E3">
        <w:rPr>
          <w:rStyle w:val="Refdenotaalpie"/>
        </w:rPr>
        <w:footnoteReference w:id="304"/>
      </w:r>
      <w:r w:rsidR="006F4911" w:rsidRPr="002C65E3">
        <w:rPr>
          <w:lang w:eastAsia="en-US"/>
        </w:rPr>
        <w:t>. Además, se han publicado una serie de documentos</w:t>
      </w:r>
      <w:r w:rsidR="006F4911" w:rsidRPr="002C65E3">
        <w:rPr>
          <w:rStyle w:val="Refdenotaalpie"/>
        </w:rPr>
        <w:footnoteReference w:id="305"/>
      </w:r>
      <w:r w:rsidR="006F4911" w:rsidRPr="002C65E3">
        <w:rPr>
          <w:lang w:eastAsia="en-US"/>
        </w:rPr>
        <w:t xml:space="preserve"> sobre recomendaciones y lineamientos para la entrega de información de manera accesible.</w:t>
      </w:r>
    </w:p>
    <w:p w14:paraId="558B3BD4" w14:textId="3CA2FC09" w:rsidR="006F4911" w:rsidRPr="002C65E3" w:rsidRDefault="00156F70" w:rsidP="00536B1E">
      <w:pPr>
        <w:pStyle w:val="SingleTxtG"/>
        <w:rPr>
          <w:lang w:eastAsia="en-US"/>
        </w:rPr>
      </w:pPr>
      <w:r w:rsidRPr="002C65E3">
        <w:rPr>
          <w:lang w:eastAsia="en-US"/>
        </w:rPr>
        <w:t>208.</w:t>
      </w:r>
      <w:r w:rsidRPr="002C65E3">
        <w:rPr>
          <w:lang w:eastAsia="en-US"/>
        </w:rPr>
        <w:tab/>
      </w:r>
      <w:r w:rsidR="006F4911" w:rsidRPr="002C65E3">
        <w:rPr>
          <w:lang w:eastAsia="en-US"/>
        </w:rPr>
        <w:t>El IPS ChileAtiende centraliza la información sobre trámites y beneficios del Estado a través de distintos canales de atención que permiten el acceso a las PcD. En el canal presencial, la infraestructura ha sido adecuada de manera paulatina con elementos de accesibilidad, con protocolo de atención y, desde 2022, se dejó de tener dispositivos especiales para video interpretación licitada</w:t>
      </w:r>
      <w:r w:rsidR="006F4911" w:rsidRPr="002C65E3">
        <w:rPr>
          <w:rStyle w:val="Refdenotaalpie"/>
        </w:rPr>
        <w:footnoteReference w:id="306"/>
      </w:r>
      <w:r w:rsidR="006F4911" w:rsidRPr="002C65E3">
        <w:rPr>
          <w:lang w:eastAsia="en-US"/>
        </w:rPr>
        <w:t>, incluyéndose dentro de la dotación de sucursal virtual, a una funcionaria con acreditación en LSCH, logrando ampliar la cobertura a la totalidad de las 190 sucursales. El sitio web (www.chileatiende.cl) dispone de medidas de accesibilidad.</w:t>
      </w:r>
    </w:p>
    <w:p w14:paraId="59831F9D" w14:textId="439A8015" w:rsidR="006F4911" w:rsidRPr="002C65E3" w:rsidRDefault="00860774" w:rsidP="00536B1E">
      <w:pPr>
        <w:pStyle w:val="H1G"/>
        <w:rPr>
          <w:lang w:eastAsia="en-US"/>
        </w:rPr>
      </w:pPr>
      <w:bookmarkStart w:id="53" w:name="_Toc122692635"/>
      <w:r w:rsidRPr="002C65E3">
        <w:rPr>
          <w:lang w:eastAsia="en-US"/>
        </w:rPr>
        <w:tab/>
      </w:r>
      <w:r w:rsidRPr="002C65E3">
        <w:rPr>
          <w:lang w:eastAsia="en-US"/>
        </w:rPr>
        <w:tab/>
      </w:r>
      <w:r w:rsidR="006F4911" w:rsidRPr="002C65E3">
        <w:rPr>
          <w:lang w:eastAsia="en-US"/>
        </w:rPr>
        <w:t>Artículo 32</w:t>
      </w:r>
      <w:bookmarkEnd w:id="53"/>
    </w:p>
    <w:p w14:paraId="16609D95" w14:textId="09A93D58" w:rsidR="006F4911" w:rsidRPr="002C65E3" w:rsidRDefault="00156F70" w:rsidP="00536B1E">
      <w:pPr>
        <w:pStyle w:val="SingleTxtG"/>
        <w:rPr>
          <w:lang w:eastAsia="en-US"/>
        </w:rPr>
      </w:pPr>
      <w:r w:rsidRPr="002C65E3">
        <w:rPr>
          <w:lang w:eastAsia="en-US"/>
        </w:rPr>
        <w:t>209.</w:t>
      </w:r>
      <w:r w:rsidRPr="002C65E3">
        <w:rPr>
          <w:lang w:eastAsia="en-US"/>
        </w:rPr>
        <w:tab/>
      </w:r>
      <w:r w:rsidR="006F4911" w:rsidRPr="002C65E3">
        <w:rPr>
          <w:lang w:eastAsia="en-US"/>
        </w:rPr>
        <w:t xml:space="preserve">Chile por su nivel PIB, no es destinatario en la actualidad de la Ayuda Oficial al Desarrollo (AOD). Debido a su rol dual en la cooperación se califica como un país en transición al desarrollo. Pese a ello, la cooperación internacional al desarrollo sigue considerando a Chile como socio y beneficiario, principalmente en temas de Medioambiente, Energía y cambio climático. </w:t>
      </w:r>
    </w:p>
    <w:p w14:paraId="138A24EA" w14:textId="350B32D1" w:rsidR="006F4911" w:rsidRPr="002C65E3" w:rsidRDefault="00156F70" w:rsidP="00536B1E">
      <w:pPr>
        <w:pStyle w:val="SingleTxtG"/>
        <w:rPr>
          <w:lang w:eastAsia="en-US"/>
        </w:rPr>
      </w:pPr>
      <w:r w:rsidRPr="002C65E3">
        <w:rPr>
          <w:lang w:eastAsia="en-US"/>
        </w:rPr>
        <w:t>210.</w:t>
      </w:r>
      <w:r w:rsidRPr="002C65E3">
        <w:rPr>
          <w:lang w:eastAsia="en-US"/>
        </w:rPr>
        <w:tab/>
      </w:r>
      <w:r w:rsidR="006F4911" w:rsidRPr="002C65E3">
        <w:rPr>
          <w:lang w:eastAsia="en-US"/>
        </w:rPr>
        <w:t>Los proyectos que ejecuta la Agencia Chilena de Cooperación Internacional para el Desarrollo y que benefician a las PcD están en consonancia con la Agenda 2030 y los ODS. Se ha trabajado en colaboración con SENADIS en la implementación del programa de capacitación para la generación de planes de rehabilitación inclusiva en países de Latinoamérica y el Caribe 2015-2017, financiado por el Fondo Chile, buscando contribuir a la inclusión de las PcD, mediante el fortalecimiento de programas de rehabilitación inclusiva en Paraguay, Costa Rica, El Salvador y Guatemala.</w:t>
      </w:r>
    </w:p>
    <w:p w14:paraId="35B6D8EF" w14:textId="6667BEAF" w:rsidR="006F4911" w:rsidRPr="002C65E3" w:rsidRDefault="00156F70" w:rsidP="00536B1E">
      <w:pPr>
        <w:pStyle w:val="SingleTxtG"/>
        <w:rPr>
          <w:lang w:eastAsia="en-US"/>
        </w:rPr>
      </w:pPr>
      <w:r w:rsidRPr="002C65E3">
        <w:rPr>
          <w:lang w:eastAsia="en-US"/>
        </w:rPr>
        <w:t>211.</w:t>
      </w:r>
      <w:r w:rsidRPr="002C65E3">
        <w:rPr>
          <w:lang w:eastAsia="en-US"/>
        </w:rPr>
        <w:tab/>
      </w:r>
      <w:r w:rsidR="006F4911" w:rsidRPr="002C65E3">
        <w:rPr>
          <w:lang w:eastAsia="en-US"/>
        </w:rPr>
        <w:t>En 2019, SENADIS se incorporó al Programa Iberoamericano sobre los Derechos de las PcD (PID), cuyo objetivo es contribuir a la inclusión de las PcD en la vida política, económica y social, a través de políticas que garanticen el pleno goce y ejercicio de sus derechos de conformidad con la CDPD y la consecución de los ODS.</w:t>
      </w:r>
    </w:p>
    <w:p w14:paraId="42AD1DF1" w14:textId="607FD692" w:rsidR="006F4911" w:rsidRPr="002C65E3" w:rsidRDefault="00860774" w:rsidP="00536B1E">
      <w:pPr>
        <w:pStyle w:val="H1G"/>
        <w:rPr>
          <w:lang w:eastAsia="en-US"/>
        </w:rPr>
      </w:pPr>
      <w:bookmarkStart w:id="54" w:name="_Toc122692636"/>
      <w:r w:rsidRPr="002C65E3">
        <w:rPr>
          <w:lang w:eastAsia="en-US"/>
        </w:rPr>
        <w:tab/>
      </w:r>
      <w:r w:rsidRPr="002C65E3">
        <w:rPr>
          <w:lang w:eastAsia="en-US"/>
        </w:rPr>
        <w:tab/>
      </w:r>
      <w:r w:rsidR="006F4911" w:rsidRPr="002C65E3">
        <w:rPr>
          <w:lang w:eastAsia="en-US"/>
        </w:rPr>
        <w:t>Artículo 33</w:t>
      </w:r>
      <w:bookmarkEnd w:id="54"/>
    </w:p>
    <w:p w14:paraId="0DDE373E" w14:textId="241898A4" w:rsidR="00381C24" w:rsidRPr="002C65E3" w:rsidRDefault="00156F70" w:rsidP="00870BFC">
      <w:pPr>
        <w:pStyle w:val="SingleTxtG"/>
        <w:keepLines/>
        <w:rPr>
          <w:lang w:eastAsia="en-US"/>
        </w:rPr>
      </w:pPr>
      <w:r w:rsidRPr="002C65E3">
        <w:rPr>
          <w:lang w:eastAsia="en-US"/>
        </w:rPr>
        <w:t>212.</w:t>
      </w:r>
      <w:r w:rsidRPr="002C65E3">
        <w:rPr>
          <w:lang w:eastAsia="en-US"/>
        </w:rPr>
        <w:tab/>
      </w:r>
      <w:r w:rsidR="006F4911" w:rsidRPr="002C65E3">
        <w:rPr>
          <w:lang w:eastAsia="en-US"/>
        </w:rPr>
        <w:t xml:space="preserve">Para el II PNDH, SENADIS comprometió el diseño e implementación de un mecanismo de seguimiento, monitoreo y reporte de los avances del Estado en el </w:t>
      </w:r>
      <w:r w:rsidR="006F4911" w:rsidRPr="002C65E3">
        <w:rPr>
          <w:lang w:eastAsia="en-US"/>
        </w:rPr>
        <w:lastRenderedPageBreak/>
        <w:t>cumplimiento de compromisos internacionales de DDHH adquiridos en virtud de la Convención Interamericana para la Eliminación de todas las Formas de Discriminación contra las Personas con Discapacidad y la CDPD</w:t>
      </w:r>
      <w:r w:rsidR="006F4911" w:rsidRPr="002C65E3">
        <w:rPr>
          <w:rStyle w:val="Refdenotaalpie"/>
        </w:rPr>
        <w:footnoteReference w:id="307"/>
      </w:r>
      <w:r w:rsidR="006F4911" w:rsidRPr="002C65E3">
        <w:rPr>
          <w:lang w:eastAsia="en-US"/>
        </w:rPr>
        <w:t>.</w:t>
      </w:r>
    </w:p>
    <w:p w14:paraId="6AB60AB5" w14:textId="493C8FFB" w:rsidR="009A1045" w:rsidRPr="002C65E3" w:rsidRDefault="00405113" w:rsidP="00405113">
      <w:pPr>
        <w:pStyle w:val="SingleTxtG"/>
        <w:suppressAutoHyphens/>
        <w:spacing w:before="240" w:after="0"/>
        <w:jc w:val="center"/>
        <w:rPr>
          <w:u w:val="single"/>
        </w:rPr>
      </w:pPr>
      <w:r w:rsidRPr="002C65E3">
        <w:rPr>
          <w:u w:val="single"/>
        </w:rPr>
        <w:tab/>
      </w:r>
      <w:r w:rsidRPr="002C65E3">
        <w:rPr>
          <w:u w:val="single"/>
        </w:rPr>
        <w:tab/>
      </w:r>
      <w:r w:rsidRPr="002C65E3">
        <w:rPr>
          <w:u w:val="single"/>
        </w:rPr>
        <w:tab/>
      </w:r>
    </w:p>
    <w:sectPr w:rsidR="009A1045" w:rsidRPr="002C65E3" w:rsidSect="00E56EE3">
      <w:headerReference w:type="even" r:id="rId20"/>
      <w:headerReference w:type="default" r:id="rId21"/>
      <w:footerReference w:type="even" r:id="rId22"/>
      <w:footerReference w:type="default" r:id="rId23"/>
      <w:headerReference w:type="first" r:id="rId24"/>
      <w:footerReference w:type="first" r:id="rId2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800F9" w14:textId="77777777" w:rsidR="002C7C4F" w:rsidRDefault="002C7C4F">
      <w:r>
        <w:separator/>
      </w:r>
    </w:p>
  </w:endnote>
  <w:endnote w:type="continuationSeparator" w:id="0">
    <w:p w14:paraId="3CB1CB1D" w14:textId="77777777" w:rsidR="002C7C4F" w:rsidRDefault="002C7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789D4" w14:textId="77777777" w:rsidR="001A4396" w:rsidRPr="001A4396" w:rsidRDefault="006F4911"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D7FB8">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1B84A" w14:textId="77777777" w:rsidR="001A4396" w:rsidRPr="001A4396" w:rsidRDefault="006F4911"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D7FB8">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619BD" w14:textId="7AA7AEAB" w:rsidR="00A86F80" w:rsidRPr="00257C1A" w:rsidRDefault="00257C1A" w:rsidP="00257C1A">
    <w:pPr>
      <w:pStyle w:val="Piedepgina"/>
      <w:spacing w:before="120" w:line="240" w:lineRule="auto"/>
      <w:rPr>
        <w:sz w:val="20"/>
      </w:rPr>
    </w:pPr>
    <w:r>
      <w:rPr>
        <w:sz w:val="20"/>
      </w:rPr>
      <w:t>GE.26-00864  (S)</w:t>
    </w:r>
    <w:r>
      <w:rPr>
        <w:noProof/>
        <w:sz w:val="20"/>
        <w:lang w:val="fr-CH" w:eastAsia="zh-CN"/>
      </w:rPr>
      <w:drawing>
        <wp:anchor distT="0" distB="0" distL="114300" distR="114300" simplePos="0" relativeHeight="251660288" behindDoc="0" locked="0" layoutInCell="1" allowOverlap="1" wp14:anchorId="3C41DFE9" wp14:editId="4185B9C0">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C1A">
      <w:rPr>
        <w:noProof/>
        <w:sz w:val="20"/>
        <w:lang w:val="fr-CH" w:eastAsia="zh-CN"/>
      </w:rPr>
      <w:drawing>
        <wp:anchor distT="0" distB="0" distL="114300" distR="114300" simplePos="0" relativeHeight="251659264" behindDoc="0" locked="1" layoutInCell="1" allowOverlap="1" wp14:anchorId="136590A4" wp14:editId="31CD713B">
          <wp:simplePos x="0" y="0"/>
          <wp:positionH relativeFrom="margin">
            <wp:posOffset>4319905</wp:posOffset>
          </wp:positionH>
          <wp:positionV relativeFrom="margin">
            <wp:posOffset>9144000</wp:posOffset>
          </wp:positionV>
          <wp:extent cx="1085850" cy="228600"/>
          <wp:effectExtent l="0" t="0" r="0" b="0"/>
          <wp:wrapNone/>
          <wp:docPr id="1237454789"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536B1E">
      <w:rPr>
        <w:sz w:val="20"/>
      </w:rPr>
      <w:t xml:space="preserve">    280126    290126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E78CC" w14:textId="77777777" w:rsidR="002C7C4F" w:rsidRPr="001075E9" w:rsidRDefault="002C7C4F" w:rsidP="001075E9">
      <w:pPr>
        <w:tabs>
          <w:tab w:val="right" w:pos="2155"/>
        </w:tabs>
        <w:spacing w:after="80" w:line="240" w:lineRule="auto"/>
        <w:ind w:left="680"/>
        <w:rPr>
          <w:u w:val="single"/>
        </w:rPr>
      </w:pPr>
      <w:r>
        <w:rPr>
          <w:u w:val="single"/>
        </w:rPr>
        <w:tab/>
      </w:r>
    </w:p>
  </w:footnote>
  <w:footnote w:type="continuationSeparator" w:id="0">
    <w:p w14:paraId="0140EB44" w14:textId="77777777" w:rsidR="002C7C4F" w:rsidRDefault="002C7C4F" w:rsidP="00407B78">
      <w:pPr>
        <w:tabs>
          <w:tab w:val="right" w:pos="2155"/>
        </w:tabs>
        <w:spacing w:after="80"/>
        <w:ind w:left="680"/>
        <w:rPr>
          <w:u w:val="single"/>
        </w:rPr>
      </w:pPr>
      <w:r>
        <w:rPr>
          <w:u w:val="single"/>
        </w:rPr>
        <w:tab/>
      </w:r>
    </w:p>
  </w:footnote>
  <w:footnote w:id="1">
    <w:p w14:paraId="6A6424CA" w14:textId="5C158D21" w:rsidR="004D7FB8" w:rsidRPr="002C65E3" w:rsidRDefault="004D7FB8" w:rsidP="00387A71">
      <w:pPr>
        <w:pStyle w:val="Textonotapie"/>
        <w:rPr>
          <w:sz w:val="20"/>
        </w:rPr>
      </w:pPr>
      <w:r w:rsidRPr="002C65E3">
        <w:tab/>
      </w:r>
      <w:r w:rsidRPr="002C65E3">
        <w:rPr>
          <w:rStyle w:val="Refdenotaalpie"/>
          <w:sz w:val="20"/>
          <w:vertAlign w:val="baseline"/>
        </w:rPr>
        <w:t>*</w:t>
      </w:r>
      <w:r w:rsidRPr="002C65E3">
        <w:rPr>
          <w:rStyle w:val="Refdenotaalpie"/>
          <w:vertAlign w:val="baseline"/>
        </w:rPr>
        <w:tab/>
      </w:r>
      <w:r w:rsidR="006B3A77" w:rsidRPr="002C65E3">
        <w:t>El</w:t>
      </w:r>
      <w:r w:rsidRPr="002C65E3">
        <w:t xml:space="preserve"> presente documento </w:t>
      </w:r>
      <w:r w:rsidR="006B3A77" w:rsidRPr="002C65E3">
        <w:t xml:space="preserve">se publica </w:t>
      </w:r>
      <w:r w:rsidR="00594B30" w:rsidRPr="002C65E3">
        <w:t>sin haber sido</w:t>
      </w:r>
      <w:r w:rsidRPr="002C65E3">
        <w:t xml:space="preserve"> objeto de revisión editorial oficial.</w:t>
      </w:r>
    </w:p>
  </w:footnote>
  <w:footnote w:id="2">
    <w:p w14:paraId="1EE437B8" w14:textId="28A4F6E3" w:rsidR="004D7FB8" w:rsidRPr="002C65E3" w:rsidRDefault="004D7FB8" w:rsidP="00387A71">
      <w:pPr>
        <w:pStyle w:val="Textonotapie"/>
        <w:rPr>
          <w:sz w:val="20"/>
        </w:rPr>
      </w:pPr>
      <w:r w:rsidRPr="002C65E3">
        <w:tab/>
      </w:r>
      <w:r w:rsidRPr="002C65E3">
        <w:rPr>
          <w:rStyle w:val="Refdenotaalpie"/>
          <w:sz w:val="20"/>
          <w:vertAlign w:val="baseline"/>
        </w:rPr>
        <w:t>**</w:t>
      </w:r>
      <w:r w:rsidRPr="002C65E3">
        <w:rPr>
          <w:rStyle w:val="Refdenotaalpie"/>
          <w:vertAlign w:val="baseline"/>
        </w:rPr>
        <w:tab/>
      </w:r>
      <w:r w:rsidR="00594B30" w:rsidRPr="002C65E3">
        <w:t xml:space="preserve">Este documento se presentó de conformidad con el procedimiento simplificado de presentación de informes. Contiene las respuestas del </w:t>
      </w:r>
      <w:r w:rsidR="00D04D8E" w:rsidRPr="002C65E3">
        <w:t xml:space="preserve">Estado </w:t>
      </w:r>
      <w:r w:rsidR="001C3955" w:rsidRPr="002C65E3">
        <w:t>P</w:t>
      </w:r>
      <w:r w:rsidR="00D04D8E" w:rsidRPr="002C65E3">
        <w:t>arte a la lista de cuestiones previa a la presentación del informe preparada por el Comité (CRPD/C/</w:t>
      </w:r>
      <w:r w:rsidR="001B5105" w:rsidRPr="002C65E3">
        <w:t>CHL/QPR/2-4).</w:t>
      </w:r>
    </w:p>
  </w:footnote>
  <w:footnote w:id="3">
    <w:p w14:paraId="3B87B676" w14:textId="0F9C6F7F" w:rsidR="00C04A7D" w:rsidRPr="002C65E3" w:rsidRDefault="00C04A7D" w:rsidP="00387A71">
      <w:pPr>
        <w:pStyle w:val="Textonotapie"/>
        <w:rPr>
          <w:sz w:val="20"/>
        </w:rPr>
      </w:pPr>
      <w:r w:rsidRPr="002C65E3">
        <w:tab/>
      </w:r>
      <w:r w:rsidRPr="002C65E3">
        <w:rPr>
          <w:rStyle w:val="Refdenotaalpie"/>
          <w:sz w:val="20"/>
          <w:vertAlign w:val="baseline"/>
        </w:rPr>
        <w:t>***</w:t>
      </w:r>
      <w:r w:rsidRPr="002C65E3">
        <w:rPr>
          <w:rStyle w:val="Refdenotaalpie"/>
          <w:vertAlign w:val="baseline"/>
        </w:rPr>
        <w:tab/>
      </w:r>
      <w:r w:rsidRPr="002C65E3">
        <w:t>Los anexos del presente documento pueden consultarse en la página web del Comité.</w:t>
      </w:r>
    </w:p>
  </w:footnote>
  <w:footnote w:id="4">
    <w:p w14:paraId="343A5B9F" w14:textId="34EA478F" w:rsidR="006F4911" w:rsidRPr="002C65E3" w:rsidRDefault="006B5C8B" w:rsidP="00387A71">
      <w:pPr>
        <w:pStyle w:val="Textonotapie"/>
        <w:rPr>
          <w:rFonts w:eastAsia="Times New Roman"/>
          <w:color w:val="000000"/>
          <w:sz w:val="16"/>
          <w:szCs w:val="16"/>
        </w:rPr>
      </w:pPr>
      <w:r w:rsidRPr="002C65E3">
        <w:rPr>
          <w:rFonts w:eastAsia="Times New Roman"/>
          <w:color w:val="000000"/>
          <w:sz w:val="16"/>
          <w:szCs w:val="16"/>
        </w:rPr>
        <w:tab/>
      </w:r>
      <w:r w:rsidR="006F4911" w:rsidRPr="002C65E3">
        <w:rPr>
          <w:sz w:val="16"/>
          <w:szCs w:val="16"/>
          <w:vertAlign w:val="superscript"/>
        </w:rPr>
        <w:footnoteRef/>
      </w:r>
      <w:r w:rsidRPr="002C65E3">
        <w:rPr>
          <w:rFonts w:eastAsia="Times New Roman"/>
          <w:color w:val="000000"/>
          <w:sz w:val="16"/>
          <w:szCs w:val="16"/>
        </w:rPr>
        <w:tab/>
      </w:r>
      <w:r w:rsidR="006F4911" w:rsidRPr="002C65E3">
        <w:rPr>
          <w:rFonts w:eastAsia="Times New Roman"/>
          <w:color w:val="000000"/>
          <w:szCs w:val="18"/>
        </w:rPr>
        <w:t>https://www.senadis.gob.cl/sala_prensa/d/noticias/8846/senadis-invita-a-participar-del-reporte-del-estado-de-</w:t>
      </w:r>
      <w:r w:rsidRPr="002C65E3">
        <w:rPr>
          <w:rFonts w:eastAsia="Times New Roman"/>
          <w:color w:val="000000"/>
          <w:szCs w:val="18"/>
        </w:rPr>
        <w:t>c</w:t>
      </w:r>
      <w:r w:rsidR="006F4911" w:rsidRPr="002C65E3">
        <w:rPr>
          <w:rFonts w:eastAsia="Times New Roman"/>
          <w:color w:val="000000"/>
          <w:szCs w:val="18"/>
        </w:rPr>
        <w:t>hile-al-comite-de-naciones-unidas-sobre-los-derechos-de-las-personas-con-discapacidad</w:t>
      </w:r>
      <w:r w:rsidR="00871F9E" w:rsidRPr="002C65E3">
        <w:rPr>
          <w:rFonts w:eastAsia="Times New Roman"/>
          <w:color w:val="000000"/>
          <w:szCs w:val="18"/>
        </w:rPr>
        <w:t>.</w:t>
      </w:r>
    </w:p>
  </w:footnote>
  <w:footnote w:id="5">
    <w:p w14:paraId="3DD9AB11" w14:textId="7EFABCFA"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 w:history="1">
        <w:r w:rsidR="00D924B0" w:rsidRPr="002C65E3">
          <w:rPr>
            <w:rStyle w:val="Hipervnculo"/>
            <w:rFonts w:eastAsia="Times New Roman"/>
            <w:szCs w:val="18"/>
          </w:rPr>
          <w:t>https://senadis.gob.cl/sala_prensa/d/noticias/8850/senadis-desarrolla-encuentros-sobre-reporte-del-estado-de-chile-ante-el-comite-sobre-lo-derechos-de-las-personas-con-discapacidad-con-cosoc-regionales</w:t>
        </w:r>
      </w:hyperlink>
      <w:r w:rsidR="00871F9E" w:rsidRPr="002C65E3">
        <w:rPr>
          <w:rFonts w:eastAsia="Times New Roman"/>
          <w:color w:val="000000"/>
          <w:szCs w:val="18"/>
        </w:rPr>
        <w:t>.</w:t>
      </w:r>
    </w:p>
  </w:footnote>
  <w:footnote w:id="6">
    <w:p w14:paraId="62848FE1" w14:textId="7430B3BC"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 w:history="1">
        <w:r w:rsidR="00D924B0" w:rsidRPr="002C65E3">
          <w:rPr>
            <w:rStyle w:val="Hipervnculo"/>
            <w:rFonts w:eastAsia="Times New Roman"/>
            <w:szCs w:val="18"/>
          </w:rPr>
          <w:t>https://www.diariooficial.interior.gob.cl/publicaciones/2020/08/25/42739/01/1804456.pdf</w:t>
        </w:r>
      </w:hyperlink>
      <w:r w:rsidR="00871F9E" w:rsidRPr="002C65E3">
        <w:rPr>
          <w:rFonts w:eastAsia="Times New Roman"/>
          <w:color w:val="000000"/>
          <w:szCs w:val="18"/>
        </w:rPr>
        <w:t>.</w:t>
      </w:r>
    </w:p>
  </w:footnote>
  <w:footnote w:id="7">
    <w:p w14:paraId="12908960" w14:textId="2D8E1974"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006F4911" w:rsidRPr="002C65E3">
        <w:rPr>
          <w:rFonts w:eastAsia="Times New Roman"/>
          <w:color w:val="000000"/>
          <w:szCs w:val="18"/>
        </w:rPr>
        <w:t>Anexo N</w:t>
      </w:r>
      <w:r w:rsidR="00405113" w:rsidRPr="002C65E3">
        <w:rPr>
          <w:rFonts w:eastAsia="Times New Roman"/>
          <w:color w:val="000000"/>
          <w:szCs w:val="18"/>
        </w:rPr>
        <w:t>º </w:t>
      </w:r>
      <w:r w:rsidR="006F4911" w:rsidRPr="002C65E3">
        <w:rPr>
          <w:rFonts w:eastAsia="Times New Roman"/>
          <w:color w:val="000000"/>
          <w:szCs w:val="18"/>
        </w:rPr>
        <w:t>6.</w:t>
      </w:r>
    </w:p>
  </w:footnote>
  <w:footnote w:id="8">
    <w:p w14:paraId="4DF2EB29" w14:textId="42BABB1B" w:rsidR="006F4911" w:rsidRPr="002C65E3" w:rsidRDefault="006B5C8B"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Anexo N</w:t>
      </w:r>
      <w:r w:rsidR="00405113" w:rsidRPr="002C65E3">
        <w:rPr>
          <w:rFonts w:eastAsia="Times New Roman"/>
          <w:szCs w:val="18"/>
        </w:rPr>
        <w:t>º </w:t>
      </w:r>
      <w:r w:rsidR="006F4911" w:rsidRPr="002C65E3">
        <w:rPr>
          <w:rFonts w:eastAsia="Times New Roman"/>
          <w:szCs w:val="18"/>
        </w:rPr>
        <w:t>1.</w:t>
      </w:r>
    </w:p>
  </w:footnote>
  <w:footnote w:id="9">
    <w:p w14:paraId="7B346213" w14:textId="0B6C2950"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3" w:history="1">
        <w:r w:rsidR="00D924B0" w:rsidRPr="002C65E3">
          <w:rPr>
            <w:rStyle w:val="Hipervnculo"/>
            <w:rFonts w:eastAsia="Times New Roman"/>
            <w:szCs w:val="18"/>
          </w:rPr>
          <w:t>https://www.senadis.gob.cl/sala_prensa/d/noticias/8815</w:t>
        </w:r>
      </w:hyperlink>
      <w:r w:rsidR="00871F9E" w:rsidRPr="002C65E3">
        <w:rPr>
          <w:rFonts w:eastAsia="Times New Roman"/>
          <w:color w:val="000000"/>
          <w:szCs w:val="18"/>
        </w:rPr>
        <w:t>.</w:t>
      </w:r>
    </w:p>
  </w:footnote>
  <w:footnote w:id="10">
    <w:p w14:paraId="23A37F78" w14:textId="4F7998D6"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4" w:history="1">
        <w:r w:rsidR="00D924B0" w:rsidRPr="002C65E3">
          <w:rPr>
            <w:rStyle w:val="Hipervnculo"/>
            <w:rFonts w:eastAsia="Times New Roman"/>
            <w:szCs w:val="18"/>
          </w:rPr>
          <w:t>https://compin.cerofilas.gob.cl/</w:t>
        </w:r>
      </w:hyperlink>
      <w:r w:rsidR="00871F9E" w:rsidRPr="002C65E3">
        <w:rPr>
          <w:rFonts w:eastAsia="Times New Roman"/>
          <w:color w:val="000000"/>
          <w:szCs w:val="18"/>
        </w:rPr>
        <w:t>.</w:t>
      </w:r>
    </w:p>
  </w:footnote>
  <w:footnote w:id="11">
    <w:p w14:paraId="525DEF24" w14:textId="06E91B1E"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 w:history="1">
        <w:r w:rsidR="00107243" w:rsidRPr="002C65E3">
          <w:rPr>
            <w:rStyle w:val="Hipervnculo"/>
            <w:rFonts w:eastAsia="Times New Roman"/>
            <w:szCs w:val="18"/>
          </w:rPr>
          <w:t>https://www.senadis.gob.cl/pag/579/1901/diagnostico_del_plan_nacional_de_calificacion</w:t>
        </w:r>
        <w:r w:rsidR="00107243" w:rsidRPr="002C65E3">
          <w:rPr>
            <w:rStyle w:val="Hipervnculo"/>
            <w:rFonts w:eastAsia="Times New Roman"/>
            <w:szCs w:val="18"/>
          </w:rPr>
          <w:br/>
          <w:t>_y_certificacion</w:t>
        </w:r>
      </w:hyperlink>
      <w:r w:rsidR="00107243" w:rsidRPr="002C65E3">
        <w:rPr>
          <w:rFonts w:eastAsia="Times New Roman"/>
          <w:color w:val="000000"/>
          <w:szCs w:val="18"/>
        </w:rPr>
        <w:t>.</w:t>
      </w:r>
    </w:p>
  </w:footnote>
  <w:footnote w:id="12">
    <w:p w14:paraId="78AC1C08" w14:textId="37C20B6A" w:rsidR="006F4911" w:rsidRPr="002C65E3" w:rsidRDefault="006B5C8B" w:rsidP="00387A71">
      <w:pPr>
        <w:pStyle w:val="Textonotapie"/>
        <w:rPr>
          <w:rFonts w:eastAsia="Times New Roman"/>
          <w:color w:val="000000"/>
          <w:szCs w:val="18"/>
        </w:rPr>
      </w:pPr>
      <w:r w:rsidRPr="002C65E3">
        <w:rPr>
          <w:szCs w:val="18"/>
        </w:rPr>
        <w:tab/>
      </w:r>
      <w:r w:rsidR="006F4911" w:rsidRPr="002C65E3">
        <w:rPr>
          <w:szCs w:val="18"/>
          <w:vertAlign w:val="superscript"/>
        </w:rPr>
        <w:footnoteRef/>
      </w:r>
      <w:r w:rsidRPr="002C65E3">
        <w:rPr>
          <w:szCs w:val="18"/>
        </w:rPr>
        <w:tab/>
      </w:r>
      <w:hyperlink r:id="rId6" w:history="1">
        <w:r w:rsidR="00107243" w:rsidRPr="002C65E3">
          <w:rPr>
            <w:rStyle w:val="Hipervnculo"/>
            <w:rFonts w:eastAsia="Times New Roman"/>
            <w:szCs w:val="18"/>
          </w:rPr>
          <w:t>https://milicenciamedica.cl/assets/pdf/MANUAL_CALIFICACION_Y_</w:t>
        </w:r>
        <w:r w:rsidR="00107243" w:rsidRPr="002C65E3">
          <w:rPr>
            <w:rStyle w:val="Hipervnculo"/>
            <w:rFonts w:eastAsia="Times New Roman"/>
            <w:szCs w:val="18"/>
          </w:rPr>
          <w:br/>
          <w:t>CERTIFICACION_DISCAPACIDAD_2022.pdf</w:t>
        </w:r>
      </w:hyperlink>
      <w:r w:rsidR="00107243" w:rsidRPr="002C65E3">
        <w:rPr>
          <w:rFonts w:eastAsia="Times New Roman"/>
          <w:color w:val="000000"/>
          <w:szCs w:val="18"/>
        </w:rPr>
        <w:t>.</w:t>
      </w:r>
    </w:p>
  </w:footnote>
  <w:footnote w:id="13">
    <w:p w14:paraId="7DBC4495" w14:textId="2A3CC038"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 w:history="1">
        <w:r w:rsidR="00D924B0" w:rsidRPr="002C65E3">
          <w:rPr>
            <w:rStyle w:val="Hipervnculo"/>
            <w:rFonts w:eastAsia="Times New Roman"/>
            <w:szCs w:val="18"/>
          </w:rPr>
          <w:t>http://bcn.cl/2irkh</w:t>
        </w:r>
      </w:hyperlink>
      <w:r w:rsidR="00107243" w:rsidRPr="002C65E3">
        <w:rPr>
          <w:rFonts w:eastAsia="Times New Roman"/>
          <w:color w:val="000000"/>
          <w:szCs w:val="18"/>
        </w:rPr>
        <w:t>.</w:t>
      </w:r>
    </w:p>
  </w:footnote>
  <w:footnote w:id="14">
    <w:p w14:paraId="3A9FF4B3" w14:textId="77A6EE98"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 w:history="1">
        <w:r w:rsidR="00D924B0" w:rsidRPr="002C65E3">
          <w:rPr>
            <w:rStyle w:val="Hipervnculo"/>
            <w:rFonts w:eastAsia="Times New Roman"/>
            <w:szCs w:val="18"/>
          </w:rPr>
          <w:t>http://bcn.cl/2ltmx</w:t>
        </w:r>
      </w:hyperlink>
      <w:r w:rsidR="00107243" w:rsidRPr="002C65E3">
        <w:rPr>
          <w:rFonts w:eastAsia="Times New Roman"/>
          <w:color w:val="000000"/>
          <w:szCs w:val="18"/>
        </w:rPr>
        <w:t>.</w:t>
      </w:r>
    </w:p>
  </w:footnote>
  <w:footnote w:id="15">
    <w:p w14:paraId="257B5883" w14:textId="5A1C3DA5"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 w:history="1">
        <w:r w:rsidR="00D924B0" w:rsidRPr="002C65E3">
          <w:rPr>
            <w:rStyle w:val="Hipervnculo"/>
            <w:rFonts w:eastAsia="Times New Roman"/>
            <w:szCs w:val="18"/>
          </w:rPr>
          <w:t>https://www.senadis.gob.cl/pag/637/1945/campana_mi_decision_mi_credencial</w:t>
        </w:r>
      </w:hyperlink>
      <w:r w:rsidR="00107243" w:rsidRPr="002C65E3">
        <w:rPr>
          <w:rFonts w:eastAsia="Times New Roman"/>
          <w:color w:val="000000"/>
          <w:szCs w:val="18"/>
        </w:rPr>
        <w:t>.</w:t>
      </w:r>
    </w:p>
  </w:footnote>
  <w:footnote w:id="16">
    <w:p w14:paraId="07FF5922" w14:textId="0875C9AC"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 w:history="1">
        <w:r w:rsidR="00D924B0" w:rsidRPr="002C65E3">
          <w:rPr>
            <w:rStyle w:val="Hipervnculo"/>
            <w:rFonts w:eastAsia="Times New Roman"/>
            <w:szCs w:val="18"/>
          </w:rPr>
          <w:t>http://bcn.cl/2f9hw</w:t>
        </w:r>
      </w:hyperlink>
      <w:r w:rsidR="00107243" w:rsidRPr="002C65E3">
        <w:rPr>
          <w:rFonts w:eastAsia="Times New Roman"/>
          <w:color w:val="000000"/>
          <w:szCs w:val="18"/>
        </w:rPr>
        <w:t>.</w:t>
      </w:r>
    </w:p>
  </w:footnote>
  <w:footnote w:id="17">
    <w:p w14:paraId="6A0B2206" w14:textId="29C68016"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 w:history="1">
        <w:r w:rsidR="00107243" w:rsidRPr="002C65E3">
          <w:rPr>
            <w:rStyle w:val="Hipervnculo"/>
            <w:rFonts w:eastAsia="Times New Roman"/>
            <w:szCs w:val="18"/>
          </w:rPr>
          <w:t>https://www.bcn.cl/leychile/consulta/vinculaciones/reglamento?idNorma=1103997&amp;</w:t>
        </w:r>
        <w:r w:rsidR="00107243" w:rsidRPr="002C65E3">
          <w:rPr>
            <w:rStyle w:val="Hipervnculo"/>
            <w:rFonts w:eastAsia="Times New Roman"/>
            <w:szCs w:val="18"/>
          </w:rPr>
          <w:br/>
          <w:t>fechaVigencia=2018-04-01&amp;clase_vinculacion=REGLAMENTO</w:t>
        </w:r>
      </w:hyperlink>
      <w:r w:rsidR="00107243" w:rsidRPr="002C65E3">
        <w:rPr>
          <w:rFonts w:eastAsia="Times New Roman"/>
          <w:color w:val="000000"/>
          <w:szCs w:val="18"/>
        </w:rPr>
        <w:t>.</w:t>
      </w:r>
    </w:p>
  </w:footnote>
  <w:footnote w:id="18">
    <w:p w14:paraId="4825349E" w14:textId="3F2C9319"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 w:history="1">
        <w:r w:rsidR="00D924B0" w:rsidRPr="002C65E3">
          <w:rPr>
            <w:rStyle w:val="Hipervnculo"/>
            <w:rFonts w:eastAsia="Times New Roman"/>
            <w:szCs w:val="18"/>
          </w:rPr>
          <w:t>https://www.senadis.gob.cl/pag/459/1740/consulta_ciudadana_ano_2017_proceso_cerrado</w:t>
        </w:r>
      </w:hyperlink>
      <w:r w:rsidR="00107243" w:rsidRPr="002C65E3">
        <w:rPr>
          <w:rFonts w:eastAsia="Times New Roman"/>
          <w:color w:val="000000"/>
          <w:szCs w:val="18"/>
        </w:rPr>
        <w:t>.</w:t>
      </w:r>
    </w:p>
  </w:footnote>
  <w:footnote w:id="19">
    <w:p w14:paraId="56607594" w14:textId="5D291A94" w:rsidR="006F4911" w:rsidRPr="002C65E3" w:rsidRDefault="006B5C8B" w:rsidP="00387A71">
      <w:pPr>
        <w:pStyle w:val="Textonotapie"/>
        <w:rPr>
          <w:rFonts w:eastAsia="Times New Roman"/>
          <w:szCs w:val="18"/>
        </w:rPr>
      </w:pPr>
      <w:r w:rsidRPr="002C65E3">
        <w:rPr>
          <w:szCs w:val="18"/>
        </w:rPr>
        <w:tab/>
      </w:r>
      <w:r w:rsidR="006F4911" w:rsidRPr="002C65E3">
        <w:rPr>
          <w:szCs w:val="18"/>
          <w:vertAlign w:val="superscript"/>
        </w:rPr>
        <w:footnoteRef/>
      </w:r>
      <w:r w:rsidRPr="002C65E3">
        <w:rPr>
          <w:szCs w:val="18"/>
        </w:rPr>
        <w:tab/>
      </w:r>
      <w:r w:rsidRPr="002C65E3">
        <w:rPr>
          <w:szCs w:val="18"/>
        </w:rPr>
        <w:tab/>
      </w:r>
      <w:hyperlink r:id="rId13" w:history="1">
        <w:r w:rsidRPr="002C65E3">
          <w:rPr>
            <w:rStyle w:val="Hipervnculo"/>
            <w:rFonts w:eastAsia="Times New Roman"/>
            <w:szCs w:val="18"/>
          </w:rPr>
          <w:t>https://www.senadis.gob.cl/sala_prensa/d/noticias/6885</w:t>
        </w:r>
      </w:hyperlink>
      <w:r w:rsidR="00107243" w:rsidRPr="002C65E3">
        <w:t>.</w:t>
      </w:r>
    </w:p>
  </w:footnote>
  <w:footnote w:id="20">
    <w:p w14:paraId="4D8B82FC" w14:textId="2C140E62" w:rsidR="006F4911" w:rsidRPr="002C65E3" w:rsidRDefault="006B5C8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00227383" w:rsidRPr="002C65E3">
        <w:rPr>
          <w:rFonts w:eastAsia="Times New Roman"/>
          <w:color w:val="000000"/>
          <w:szCs w:val="18"/>
        </w:rPr>
        <w:tab/>
      </w:r>
      <w:hyperlink r:id="rId14" w:history="1">
        <w:r w:rsidR="00D924B0" w:rsidRPr="002C65E3">
          <w:rPr>
            <w:rStyle w:val="Hipervnculo"/>
            <w:rFonts w:eastAsia="Times New Roman"/>
            <w:szCs w:val="18"/>
          </w:rPr>
          <w:t>https://www.senadis.gob.cl/sala_prensa/d/noticias/6727</w:t>
        </w:r>
      </w:hyperlink>
      <w:r w:rsidR="00107243" w:rsidRPr="002C65E3">
        <w:rPr>
          <w:rFonts w:eastAsia="Times New Roman"/>
          <w:color w:val="000000"/>
          <w:szCs w:val="18"/>
        </w:rPr>
        <w:t>.</w:t>
      </w:r>
    </w:p>
  </w:footnote>
  <w:footnote w:id="21">
    <w:p w14:paraId="7C2CDDAD" w14:textId="3621E546" w:rsidR="006F4911" w:rsidRPr="002C65E3" w:rsidRDefault="00227383"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Buscó conocer la opinión de la ciudadanía respecto a la pertinencia de la oferta de AATT entregadas por SENADIS y nuevos productos que favorecen la inclusión de PcD. </w:t>
      </w:r>
    </w:p>
  </w:footnote>
  <w:footnote w:id="22">
    <w:p w14:paraId="604137C6" w14:textId="21CECE24" w:rsidR="006F4911" w:rsidRPr="002C65E3" w:rsidRDefault="00227383"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Buscó conocer la opinión de las PcD, familiares, amigos, cuidadoras/es, asistentes personales, técnicos y profesionales que participan en temáticas de inclusión social, en cuanto a los servicios de apoyo y capacitaciones enfocados en la transición hacia la vida independiente. </w:t>
      </w:r>
      <w:hyperlink r:id="rId15" w:history="1">
        <w:r w:rsidR="008B1E79" w:rsidRPr="002C65E3">
          <w:rPr>
            <w:rStyle w:val="Hipervnculo"/>
            <w:rFonts w:eastAsia="Times New Roman"/>
            <w:szCs w:val="18"/>
          </w:rPr>
          <w:t>https://www.senadis.gob.cl/pag/507/1796/consulta_ciudadana_ano_2018_proceso_cerrado</w:t>
        </w:r>
      </w:hyperlink>
      <w:r w:rsidR="00107243" w:rsidRPr="002C65E3">
        <w:rPr>
          <w:rFonts w:eastAsia="Times New Roman"/>
          <w:szCs w:val="18"/>
        </w:rPr>
        <w:t>.</w:t>
      </w:r>
    </w:p>
  </w:footnote>
  <w:footnote w:id="23">
    <w:p w14:paraId="41057F92" w14:textId="47F04BFF" w:rsidR="006F4911" w:rsidRPr="002C65E3" w:rsidRDefault="00227383"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Participaron 608 personas y dio cuenta de diversos ámbitos a reforzar, como mayor información para la contratación, mayor cantidad de apoyos y la importancia de la intermediación laboral y de la fiscalización para el cumplimiento de la ley. </w:t>
      </w:r>
    </w:p>
  </w:footnote>
  <w:footnote w:id="24">
    <w:p w14:paraId="0AFBD950" w14:textId="65A38E11" w:rsidR="006F4911" w:rsidRPr="002C65E3" w:rsidRDefault="0022738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 w:history="1">
        <w:r w:rsidR="00D924B0" w:rsidRPr="002C65E3">
          <w:rPr>
            <w:rStyle w:val="Hipervnculo"/>
            <w:rFonts w:eastAsia="Times New Roman"/>
            <w:szCs w:val="18"/>
          </w:rPr>
          <w:t>https://www.mintrab.gob.cl/wp-content/uploads/2021/06/INFORME-LEY-N-21.015-PDF.pdf</w:t>
        </w:r>
      </w:hyperlink>
      <w:r w:rsidR="00107243" w:rsidRPr="002C65E3">
        <w:t>.</w:t>
      </w:r>
    </w:p>
  </w:footnote>
  <w:footnote w:id="25">
    <w:p w14:paraId="7ACC7A4C" w14:textId="0C76756D" w:rsidR="006F4911" w:rsidRPr="002C65E3" w:rsidRDefault="0022738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 w:history="1">
        <w:r w:rsidRPr="002C65E3">
          <w:rPr>
            <w:rStyle w:val="Hipervnculo"/>
            <w:rFonts w:eastAsia="Times New Roman"/>
            <w:szCs w:val="18"/>
          </w:rPr>
          <w:t>https://masinclusion.org/</w:t>
        </w:r>
      </w:hyperlink>
      <w:r w:rsidR="00107243" w:rsidRPr="002C65E3">
        <w:t>.</w:t>
      </w:r>
    </w:p>
  </w:footnote>
  <w:footnote w:id="26">
    <w:p w14:paraId="117CA435" w14:textId="4E8E1258"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 w:history="1">
        <w:r w:rsidR="00D924B0" w:rsidRPr="002C65E3">
          <w:rPr>
            <w:rStyle w:val="Hipervnculo"/>
            <w:rFonts w:eastAsia="Times New Roman"/>
            <w:szCs w:val="18"/>
          </w:rPr>
          <w:t>http://bcn.cl/2g7mr</w:t>
        </w:r>
      </w:hyperlink>
      <w:r w:rsidR="006C4954" w:rsidRPr="002C65E3">
        <w:rPr>
          <w:rFonts w:eastAsia="Times New Roman"/>
          <w:color w:val="000000"/>
          <w:szCs w:val="18"/>
        </w:rPr>
        <w:t>.</w:t>
      </w:r>
    </w:p>
  </w:footnote>
  <w:footnote w:id="27">
    <w:p w14:paraId="75B43C9F" w14:textId="3B629096"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 w:history="1">
        <w:r w:rsidR="00D924B0" w:rsidRPr="002C65E3">
          <w:rPr>
            <w:rStyle w:val="Hipervnculo"/>
            <w:rFonts w:eastAsia="Times New Roman"/>
            <w:szCs w:val="18"/>
          </w:rPr>
          <w:t>http://bcn.cl/33fh9</w:t>
        </w:r>
      </w:hyperlink>
      <w:r w:rsidR="006C4954" w:rsidRPr="002C65E3">
        <w:rPr>
          <w:rFonts w:eastAsia="Times New Roman"/>
          <w:color w:val="000000"/>
          <w:szCs w:val="18"/>
        </w:rPr>
        <w:t>.</w:t>
      </w:r>
    </w:p>
  </w:footnote>
  <w:footnote w:id="28">
    <w:p w14:paraId="1E86A8E2" w14:textId="4F51A36E"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0" w:history="1">
        <w:r w:rsidR="00D924B0" w:rsidRPr="002C65E3">
          <w:rPr>
            <w:rStyle w:val="Hipervnculo"/>
            <w:rFonts w:eastAsia="Times New Roman"/>
            <w:szCs w:val="18"/>
          </w:rPr>
          <w:t>http://bcn.cl/2j5hn</w:t>
        </w:r>
      </w:hyperlink>
      <w:r w:rsidR="006C4954" w:rsidRPr="002C65E3">
        <w:rPr>
          <w:rFonts w:eastAsia="Times New Roman"/>
          <w:color w:val="000000"/>
          <w:szCs w:val="18"/>
        </w:rPr>
        <w:t>.</w:t>
      </w:r>
    </w:p>
  </w:footnote>
  <w:footnote w:id="29">
    <w:p w14:paraId="2F09A92A" w14:textId="09F7A41B"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1" w:history="1">
        <w:r w:rsidR="00D924B0" w:rsidRPr="002C65E3">
          <w:rPr>
            <w:rStyle w:val="Hipervnculo"/>
            <w:rFonts w:eastAsia="Times New Roman"/>
            <w:szCs w:val="18"/>
          </w:rPr>
          <w:t>http://bcn.cl/3129i</w:t>
        </w:r>
      </w:hyperlink>
      <w:r w:rsidR="006C4954" w:rsidRPr="002C65E3">
        <w:rPr>
          <w:rFonts w:eastAsia="Times New Roman"/>
          <w:color w:val="000000"/>
          <w:szCs w:val="18"/>
        </w:rPr>
        <w:t>.</w:t>
      </w:r>
    </w:p>
  </w:footnote>
  <w:footnote w:id="30">
    <w:p w14:paraId="20AB798A" w14:textId="7C5F5DEC"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2" w:history="1">
        <w:r w:rsidR="00D924B0" w:rsidRPr="002C65E3">
          <w:rPr>
            <w:rStyle w:val="Hipervnculo"/>
            <w:rFonts w:eastAsia="Times New Roman"/>
            <w:szCs w:val="18"/>
          </w:rPr>
          <w:t>http://bcn.cl/32rls</w:t>
        </w:r>
      </w:hyperlink>
      <w:r w:rsidR="006C4954" w:rsidRPr="002C65E3">
        <w:rPr>
          <w:rFonts w:eastAsia="Times New Roman"/>
          <w:color w:val="000000"/>
          <w:szCs w:val="18"/>
        </w:rPr>
        <w:t>.</w:t>
      </w:r>
    </w:p>
  </w:footnote>
  <w:footnote w:id="31">
    <w:p w14:paraId="6D626F55" w14:textId="71A316D3"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3" w:history="1">
        <w:r w:rsidR="00D924B0" w:rsidRPr="002C65E3">
          <w:rPr>
            <w:rStyle w:val="Hipervnculo"/>
            <w:rFonts w:eastAsia="Times New Roman"/>
            <w:szCs w:val="18"/>
          </w:rPr>
          <w:t>http://bcn.cl/307il</w:t>
        </w:r>
      </w:hyperlink>
      <w:r w:rsidR="006C4954" w:rsidRPr="002C65E3">
        <w:rPr>
          <w:rFonts w:eastAsia="Times New Roman"/>
          <w:color w:val="000000"/>
          <w:szCs w:val="18"/>
        </w:rPr>
        <w:t>.</w:t>
      </w:r>
    </w:p>
  </w:footnote>
  <w:footnote w:id="32">
    <w:p w14:paraId="745605AA" w14:textId="18AF92AB"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4" w:history="1">
        <w:r w:rsidR="00D924B0" w:rsidRPr="002C65E3">
          <w:rPr>
            <w:rStyle w:val="Hipervnculo"/>
            <w:rFonts w:eastAsia="Times New Roman"/>
            <w:szCs w:val="18"/>
          </w:rPr>
          <w:t>http://bcn.cl/2m4k0</w:t>
        </w:r>
      </w:hyperlink>
      <w:r w:rsidR="006C4954" w:rsidRPr="002C65E3">
        <w:rPr>
          <w:rFonts w:eastAsia="Times New Roman"/>
          <w:color w:val="000000"/>
          <w:szCs w:val="18"/>
        </w:rPr>
        <w:t>.</w:t>
      </w:r>
    </w:p>
  </w:footnote>
  <w:footnote w:id="33">
    <w:p w14:paraId="23243947" w14:textId="229A60E5"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5" w:history="1">
        <w:r w:rsidR="006C4954" w:rsidRPr="002C65E3">
          <w:rPr>
            <w:rStyle w:val="Hipervnculo"/>
            <w:rFonts w:eastAsia="Times New Roman"/>
            <w:szCs w:val="18"/>
          </w:rPr>
          <w:t>https://www.camara.cl/legislacion/ProyectosDeLey/tramitacion.aspx?prmID=13286&amp;</w:t>
        </w:r>
        <w:r w:rsidR="006C4954" w:rsidRPr="002C65E3">
          <w:rPr>
            <w:rStyle w:val="Hipervnculo"/>
            <w:rFonts w:eastAsia="Times New Roman"/>
            <w:szCs w:val="18"/>
          </w:rPr>
          <w:br/>
          <w:t>prmBOLETIN=12748-17</w:t>
        </w:r>
      </w:hyperlink>
      <w:r w:rsidR="006C4954" w:rsidRPr="002C65E3">
        <w:rPr>
          <w:rFonts w:eastAsia="Times New Roman"/>
          <w:color w:val="000000"/>
          <w:szCs w:val="18"/>
        </w:rPr>
        <w:t>.</w:t>
      </w:r>
    </w:p>
  </w:footnote>
  <w:footnote w:id="34">
    <w:p w14:paraId="3FB62FA3" w14:textId="7412FB33" w:rsidR="006F4911" w:rsidRPr="002C65E3" w:rsidRDefault="00511A8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006F4911" w:rsidRPr="002C65E3">
        <w:rPr>
          <w:rFonts w:eastAsia="Times New Roman"/>
          <w:color w:val="000000"/>
          <w:szCs w:val="18"/>
        </w:rPr>
        <w:t>Destaca la incorporación del artículo 2</w:t>
      </w:r>
      <w:r w:rsidR="00405113" w:rsidRPr="002C65E3">
        <w:rPr>
          <w:rFonts w:eastAsia="Times New Roman"/>
          <w:color w:val="000000"/>
          <w:szCs w:val="18"/>
        </w:rPr>
        <w:t>º </w:t>
      </w:r>
      <w:r w:rsidR="006F4911" w:rsidRPr="002C65E3">
        <w:rPr>
          <w:rFonts w:eastAsia="Times New Roman"/>
          <w:color w:val="000000"/>
          <w:szCs w:val="18"/>
        </w:rPr>
        <w:t xml:space="preserve">bis, que profundiza los conceptos sobre discriminación y sus distintas formas, distinguiendo discriminación directa e indirecta, estructural y múltiple o agravada. </w:t>
      </w:r>
    </w:p>
  </w:footnote>
  <w:footnote w:id="35">
    <w:p w14:paraId="4B4E47B2" w14:textId="17840291" w:rsidR="006F4911" w:rsidRPr="002C65E3" w:rsidRDefault="00567C5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6" w:history="1">
        <w:r w:rsidR="003A57ED" w:rsidRPr="002C65E3">
          <w:rPr>
            <w:rStyle w:val="Hipervnculo"/>
            <w:rFonts w:eastAsia="Times New Roman"/>
            <w:szCs w:val="18"/>
          </w:rPr>
          <w:t>https://www.senadis.gob.cl/descarga/i/6034/documento</w:t>
        </w:r>
      </w:hyperlink>
      <w:r w:rsidR="00D67900" w:rsidRPr="002C65E3">
        <w:rPr>
          <w:rFonts w:eastAsia="Times New Roman"/>
          <w:color w:val="000000"/>
          <w:szCs w:val="18"/>
        </w:rPr>
        <w:t>.</w:t>
      </w:r>
    </w:p>
  </w:footnote>
  <w:footnote w:id="36">
    <w:p w14:paraId="15215C72" w14:textId="2B04EC53" w:rsidR="006F4911" w:rsidRPr="002C65E3" w:rsidRDefault="00567C5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Entre las instituciones capacitadas se encuentran la Red de Asistencia a Víctimas (RAV), integrada por MP, PJUD, SERNAMEG, SENAME y MINJUDH, con quienes se generaron capacitaciones a nivel nacional y regional. En noviembre de 2020, SENADIS presentó esta guía a los y las abogadas del PAJ para PcD.</w:t>
      </w:r>
    </w:p>
  </w:footnote>
  <w:footnote w:id="37">
    <w:p w14:paraId="3BE440A7" w14:textId="3E633231" w:rsidR="006F4911" w:rsidRPr="002C65E3" w:rsidRDefault="00567C5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7" w:history="1">
        <w:r w:rsidR="003A57ED" w:rsidRPr="002C65E3">
          <w:rPr>
            <w:rStyle w:val="Hipervnculo"/>
            <w:rFonts w:eastAsia="Times New Roman"/>
            <w:szCs w:val="18"/>
          </w:rPr>
          <w:t>http://www.senado.cl/appsenado/templates/tramitacion/index.php?boletin_ini=11077-07</w:t>
        </w:r>
      </w:hyperlink>
      <w:r w:rsidR="00D67900" w:rsidRPr="002C65E3">
        <w:rPr>
          <w:rFonts w:eastAsia="Times New Roman"/>
          <w:color w:val="000000"/>
          <w:szCs w:val="18"/>
        </w:rPr>
        <w:t>.</w:t>
      </w:r>
    </w:p>
  </w:footnote>
  <w:footnote w:id="38">
    <w:p w14:paraId="3E912C32" w14:textId="0648A3E6" w:rsidR="006F4911" w:rsidRPr="002C65E3" w:rsidRDefault="00567C5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Si bien el proyecto aprobado en primer trámite no introduce expresamente a la interseccionalidad, existen indicaciones en este sentido. </w:t>
      </w:r>
    </w:p>
  </w:footnote>
  <w:footnote w:id="39">
    <w:p w14:paraId="625958B9" w14:textId="7E896082" w:rsidR="006F4911" w:rsidRPr="002C65E3" w:rsidRDefault="00567C5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8" w:history="1">
        <w:r w:rsidR="003A57ED" w:rsidRPr="002C65E3">
          <w:rPr>
            <w:rStyle w:val="Hipervnculo"/>
            <w:rFonts w:eastAsia="Times New Roman"/>
            <w:szCs w:val="18"/>
          </w:rPr>
          <w:t>http://bcn.cl/2yieq</w:t>
        </w:r>
      </w:hyperlink>
      <w:r w:rsidR="00D67900" w:rsidRPr="002C65E3">
        <w:rPr>
          <w:rFonts w:eastAsia="Times New Roman"/>
          <w:color w:val="000000"/>
          <w:szCs w:val="18"/>
        </w:rPr>
        <w:t>.</w:t>
      </w:r>
    </w:p>
  </w:footnote>
  <w:footnote w:id="40">
    <w:p w14:paraId="18AD93E4" w14:textId="77484BD7" w:rsidR="006F4911" w:rsidRPr="002C65E3" w:rsidRDefault="00567C5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Pr="002C65E3">
        <w:rPr>
          <w:rFonts w:eastAsia="Times New Roman"/>
          <w:color w:val="000000"/>
          <w:szCs w:val="18"/>
        </w:rPr>
        <w:tab/>
      </w:r>
      <w:hyperlink r:id="rId29" w:history="1">
        <w:r w:rsidRPr="002C65E3">
          <w:rPr>
            <w:rStyle w:val="Hipervnculo"/>
            <w:rFonts w:eastAsia="Times New Roman"/>
            <w:szCs w:val="18"/>
          </w:rPr>
          <w:t>https://www.senadis.gob.cl/sala_prensa/d/noticias/8268/senadis-y-servicio-civil-lanzan-cursos-sobre-inclusion-de-personas-con-discapacidad-para-funcionarios-publicos</w:t>
        </w:r>
      </w:hyperlink>
      <w:r w:rsidR="00D67900" w:rsidRPr="002C65E3">
        <w:rPr>
          <w:rFonts w:eastAsia="Times New Roman"/>
          <w:color w:val="000000"/>
          <w:szCs w:val="18"/>
        </w:rPr>
        <w:t>.</w:t>
      </w:r>
    </w:p>
  </w:footnote>
  <w:footnote w:id="41">
    <w:p w14:paraId="560F4DC5" w14:textId="2B92779C" w:rsidR="006F4911" w:rsidRPr="002C65E3" w:rsidRDefault="00567C51" w:rsidP="00387A71">
      <w:pPr>
        <w:pStyle w:val="Textonotapie"/>
        <w:rPr>
          <w:rFonts w:eastAsia="Times New Roman"/>
          <w:color w:val="000000"/>
          <w:szCs w:val="18"/>
        </w:rPr>
      </w:pPr>
      <w:r w:rsidRPr="002C65E3">
        <w:rPr>
          <w:szCs w:val="18"/>
        </w:rPr>
        <w:tab/>
      </w:r>
      <w:r w:rsidR="006F4911" w:rsidRPr="002C65E3">
        <w:rPr>
          <w:szCs w:val="18"/>
          <w:vertAlign w:val="superscript"/>
        </w:rPr>
        <w:footnoteRef/>
      </w:r>
      <w:r w:rsidRPr="002C65E3">
        <w:rPr>
          <w:szCs w:val="18"/>
        </w:rPr>
        <w:tab/>
      </w:r>
      <w:hyperlink r:id="rId30" w:history="1">
        <w:r w:rsidR="00D67900" w:rsidRPr="002C65E3">
          <w:rPr>
            <w:rStyle w:val="Hipervnculo"/>
            <w:rFonts w:eastAsia="Times New Roman"/>
            <w:szCs w:val="18"/>
          </w:rPr>
          <w:t>https://academia.senadis.cl/?utm_source=serviciocivil&amp;utm_medium=tarjeta&amp;utm_</w:t>
        </w:r>
        <w:r w:rsidR="00D67900" w:rsidRPr="002C65E3">
          <w:rPr>
            <w:rStyle w:val="Hipervnculo"/>
            <w:rFonts w:eastAsia="Times New Roman"/>
            <w:szCs w:val="18"/>
          </w:rPr>
          <w:br/>
          <w:t>campaign=campus</w:t>
        </w:r>
      </w:hyperlink>
      <w:r w:rsidR="00D67900" w:rsidRPr="002C65E3">
        <w:rPr>
          <w:rFonts w:eastAsia="Times New Roman"/>
          <w:color w:val="000000"/>
          <w:szCs w:val="18"/>
        </w:rPr>
        <w:t>.</w:t>
      </w:r>
    </w:p>
  </w:footnote>
  <w:footnote w:id="42">
    <w:p w14:paraId="24276465" w14:textId="2D0362EE"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31" w:history="1">
        <w:r w:rsidR="003A57ED" w:rsidRPr="002C65E3">
          <w:rPr>
            <w:rStyle w:val="Hipervnculo"/>
            <w:rFonts w:eastAsia="Times New Roman"/>
            <w:szCs w:val="18"/>
          </w:rPr>
          <w:t>https://masinclusion.org/</w:t>
        </w:r>
      </w:hyperlink>
      <w:r w:rsidR="00D67900" w:rsidRPr="002C65E3">
        <w:rPr>
          <w:rFonts w:eastAsia="Times New Roman"/>
          <w:color w:val="000000"/>
          <w:szCs w:val="18"/>
        </w:rPr>
        <w:t>.</w:t>
      </w:r>
    </w:p>
  </w:footnote>
  <w:footnote w:id="43">
    <w:p w14:paraId="16434AC4" w14:textId="75F71455"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32" w:history="1">
        <w:r w:rsidR="003A57ED" w:rsidRPr="002C65E3">
          <w:rPr>
            <w:rStyle w:val="Hipervnculo"/>
            <w:rFonts w:eastAsia="Times New Roman"/>
            <w:szCs w:val="18"/>
          </w:rPr>
          <w:t>https://incluyendo.senadis.cl/</w:t>
        </w:r>
      </w:hyperlink>
      <w:r w:rsidR="00D67900" w:rsidRPr="002C65E3">
        <w:rPr>
          <w:rFonts w:eastAsia="Times New Roman"/>
          <w:color w:val="000000"/>
          <w:szCs w:val="18"/>
        </w:rPr>
        <w:t>.</w:t>
      </w:r>
    </w:p>
  </w:footnote>
  <w:footnote w:id="44">
    <w:p w14:paraId="2E97ED0A" w14:textId="4AFB5638"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Plataforma web creada por personas con y sin discapacidad que busca generar una comunidad, a través de noticias, videos, testimonios, reportajes e información en torno al mundo de la discapacidad.</w:t>
      </w:r>
    </w:p>
  </w:footnote>
  <w:footnote w:id="45">
    <w:p w14:paraId="156D5614" w14:textId="22D3F2D9"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33" w:history="1">
        <w:r w:rsidR="003A57ED" w:rsidRPr="002C65E3">
          <w:rPr>
            <w:rStyle w:val="Hipervnculo"/>
            <w:rFonts w:eastAsia="Times New Roman"/>
            <w:szCs w:val="18"/>
          </w:rPr>
          <w:t>http://bcn.cl/2irkh</w:t>
        </w:r>
      </w:hyperlink>
      <w:r w:rsidR="00CF7403" w:rsidRPr="002C65E3">
        <w:rPr>
          <w:rFonts w:eastAsia="Times New Roman"/>
          <w:color w:val="000000"/>
          <w:szCs w:val="18"/>
        </w:rPr>
        <w:t>.</w:t>
      </w:r>
    </w:p>
  </w:footnote>
  <w:footnote w:id="46">
    <w:p w14:paraId="1E8BEEA5" w14:textId="193E4328"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Anexo Nº</w:t>
      </w:r>
      <w:r w:rsidR="00405113" w:rsidRPr="002C65E3">
        <w:rPr>
          <w:rFonts w:eastAsia="Times New Roman"/>
          <w:szCs w:val="18"/>
        </w:rPr>
        <w:t xml:space="preserve"> </w:t>
      </w:r>
      <w:r w:rsidR="006F4911" w:rsidRPr="002C65E3">
        <w:rPr>
          <w:rFonts w:eastAsia="Times New Roman"/>
          <w:szCs w:val="18"/>
        </w:rPr>
        <w:t>2.</w:t>
      </w:r>
    </w:p>
  </w:footnote>
  <w:footnote w:id="47">
    <w:p w14:paraId="794EFE50" w14:textId="38182CF3"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Pr="002C65E3">
        <w:rPr>
          <w:rFonts w:eastAsia="Times New Roman"/>
          <w:color w:val="000000"/>
          <w:szCs w:val="18"/>
        </w:rPr>
        <w:tab/>
      </w:r>
      <w:hyperlink r:id="rId34" w:history="1">
        <w:r w:rsidR="00CF7403" w:rsidRPr="002C65E3">
          <w:rPr>
            <w:rStyle w:val="Hipervnculo"/>
            <w:rFonts w:eastAsia="Times New Roman"/>
            <w:szCs w:val="18"/>
          </w:rPr>
          <w:t>https://www.senadis.gob.cl/pag/509/1798/campana_buen_trato_de_ninas_ninos_y_</w:t>
        </w:r>
        <w:r w:rsidR="00CF7403" w:rsidRPr="002C65E3">
          <w:rPr>
            <w:rStyle w:val="Hipervnculo"/>
            <w:rFonts w:eastAsia="Times New Roman"/>
            <w:szCs w:val="18"/>
          </w:rPr>
          <w:br/>
          <w:t>adolescentes_con_discapacidad_en_el_mundo</w:t>
        </w:r>
      </w:hyperlink>
      <w:r w:rsidR="00CF7403" w:rsidRPr="002C65E3">
        <w:rPr>
          <w:rFonts w:eastAsia="Times New Roman"/>
          <w:color w:val="000000"/>
          <w:szCs w:val="18"/>
        </w:rPr>
        <w:t>.</w:t>
      </w:r>
    </w:p>
  </w:footnote>
  <w:footnote w:id="48">
    <w:p w14:paraId="667F431D" w14:textId="12813003"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35">
        <w:r w:rsidR="006F4911" w:rsidRPr="002C65E3">
          <w:rPr>
            <w:rStyle w:val="Hipervnculo"/>
          </w:rPr>
          <w:t>https://observatorio.msgg.gob.cl/las-palabras-correctas-hacen-la-diferencia/</w:t>
        </w:r>
      </w:hyperlink>
      <w:r w:rsidR="00CF7403" w:rsidRPr="002C65E3">
        <w:rPr>
          <w:rFonts w:eastAsia="Times New Roman"/>
          <w:color w:val="000000"/>
          <w:szCs w:val="18"/>
        </w:rPr>
        <w:t>.</w:t>
      </w:r>
    </w:p>
  </w:footnote>
  <w:footnote w:id="49">
    <w:p w14:paraId="3B3E99B6" w14:textId="65F4324F"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En ambas instancias se recaba la opinión de los consejeros y consejeras, representantes de organizaciones de y para PcD, respecto al diseño y ejecución de programas y políticas del servicio. Las actas de las sesiones están disponibles en : </w:t>
      </w:r>
      <w:hyperlink r:id="rId36" w:history="1">
        <w:r w:rsidR="008B1E79" w:rsidRPr="002C65E3">
          <w:rPr>
            <w:rStyle w:val="Hipervnculo"/>
          </w:rPr>
          <w:t>https://www.senadis.gob.cl/pag/390/1654/actas_de_</w:t>
        </w:r>
        <w:r w:rsidR="008B1E79" w:rsidRPr="002C65E3">
          <w:rPr>
            <w:rStyle w:val="Hipervnculo"/>
          </w:rPr>
          <w:br/>
          <w:t>sesiones_ano_2015_2019</w:t>
        </w:r>
      </w:hyperlink>
      <w:r w:rsidR="006F4911" w:rsidRPr="002C65E3">
        <w:rPr>
          <w:rFonts w:eastAsia="Times New Roman"/>
          <w:szCs w:val="18"/>
        </w:rPr>
        <w:t xml:space="preserve"> y </w:t>
      </w:r>
      <w:hyperlink r:id="rId37" w:history="1">
        <w:r w:rsidR="008B1E79" w:rsidRPr="002C65E3">
          <w:rPr>
            <w:rStyle w:val="Hipervnculo"/>
          </w:rPr>
          <w:t>https://www.senadis.gob.cl/pag/629/1971/actas_de_sesiones_ano_</w:t>
        </w:r>
        <w:r w:rsidR="008B1E79" w:rsidRPr="002C65E3">
          <w:rPr>
            <w:rStyle w:val="Hipervnculo"/>
          </w:rPr>
          <w:br/>
          <w:t>2021_2024</w:t>
        </w:r>
      </w:hyperlink>
      <w:r w:rsidR="006F4911" w:rsidRPr="002C65E3">
        <w:rPr>
          <w:rFonts w:eastAsia="Times New Roman"/>
          <w:szCs w:val="18"/>
        </w:rPr>
        <w:t xml:space="preserve">. Las actas del Consejo están disponibles en: </w:t>
      </w:r>
      <w:hyperlink r:id="rId38" w:history="1">
        <w:r w:rsidR="008B1E79" w:rsidRPr="002C65E3">
          <w:rPr>
            <w:rStyle w:val="Hipervnculo"/>
          </w:rPr>
          <w:t>https://www.senadis.gob.cl/pag/194/</w:t>
        </w:r>
        <w:r w:rsidR="008B1E79" w:rsidRPr="002C65E3">
          <w:rPr>
            <w:rStyle w:val="Hipervnculo"/>
          </w:rPr>
          <w:br/>
          <w:t>1427/descripcion</w:t>
        </w:r>
      </w:hyperlink>
      <w:r w:rsidR="006F4911" w:rsidRPr="002C65E3">
        <w:rPr>
          <w:rFonts w:eastAsia="Times New Roman"/>
          <w:szCs w:val="18"/>
        </w:rPr>
        <w:t xml:space="preserve">. La difusión de convocatorias a Consejos Regionales de la Sociedad Civil: </w:t>
      </w:r>
      <w:hyperlink r:id="rId39" w:history="1">
        <w:r w:rsidR="008B1E79" w:rsidRPr="002C65E3">
          <w:rPr>
            <w:rStyle w:val="Hipervnculo"/>
          </w:rPr>
          <w:t>https://www.senadis.gob.cl/pag/603/1903/convocatoria_2021_consejos_regionales_de_la_sociedad_</w:t>
        </w:r>
        <w:r w:rsidR="008B1E79" w:rsidRPr="002C65E3">
          <w:rPr>
            <w:rStyle w:val="Hipervnculo"/>
          </w:rPr>
          <w:br/>
          <w:t>civil</w:t>
        </w:r>
      </w:hyperlink>
      <w:r w:rsidR="006F4911" w:rsidRPr="002C65E3">
        <w:rPr>
          <w:rFonts w:eastAsia="Times New Roman"/>
          <w:szCs w:val="18"/>
        </w:rPr>
        <w:t xml:space="preserve">. La difusión a convocatorias del Consejo Consultivo Nacional de la Discapacidad: </w:t>
      </w:r>
      <w:hyperlink r:id="rId40">
        <w:r w:rsidR="006F4911" w:rsidRPr="002C65E3">
          <w:rPr>
            <w:rStyle w:val="Hipervnculo"/>
          </w:rPr>
          <w:t>https://www.senadis.gob.cl/pag/348/1612/avisos_publicados</w:t>
        </w:r>
      </w:hyperlink>
      <w:r w:rsidR="006F4911" w:rsidRPr="002C65E3">
        <w:rPr>
          <w:rFonts w:eastAsia="Times New Roman"/>
          <w:szCs w:val="18"/>
        </w:rPr>
        <w:t>.</w:t>
      </w:r>
      <w:r w:rsidR="00791BE9" w:rsidRPr="002C65E3">
        <w:rPr>
          <w:rFonts w:eastAsia="Times New Roman"/>
          <w:szCs w:val="18"/>
        </w:rPr>
        <w:t xml:space="preserve"> </w:t>
      </w:r>
    </w:p>
  </w:footnote>
  <w:footnote w:id="50">
    <w:p w14:paraId="6B9B9D5A" w14:textId="3D7033D6"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Mayor información en: </w:t>
      </w:r>
      <w:hyperlink r:id="rId41">
        <w:r w:rsidR="006F4911" w:rsidRPr="002C65E3">
          <w:rPr>
            <w:rStyle w:val="Hipervnculo"/>
          </w:rPr>
          <w:t>https://paisdi.senadis.cl/</w:t>
        </w:r>
      </w:hyperlink>
      <w:r w:rsidR="006F4911" w:rsidRPr="002C65E3">
        <w:rPr>
          <w:rFonts w:eastAsia="Times New Roman"/>
          <w:szCs w:val="18"/>
        </w:rPr>
        <w:t xml:space="preserve">. </w:t>
      </w:r>
    </w:p>
  </w:footnote>
  <w:footnote w:id="51">
    <w:p w14:paraId="4BF0756A" w14:textId="70FB3365"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La iniciativa tiene 2 ejes: diseño e implementación de escuelas territoriales de formación para el liderazgo en discapacidad intelectual, enfocadas en perspectiva de derechos y discapacidad intelectual; y la formación de mesas de trabajo en discapacidad intelectual a nivel local.</w:t>
      </w:r>
    </w:p>
  </w:footnote>
  <w:footnote w:id="52">
    <w:p w14:paraId="62D536C0" w14:textId="6C3A3134"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Véase: </w:t>
      </w:r>
      <w:hyperlink r:id="rId42">
        <w:r w:rsidR="006F4911" w:rsidRPr="002C65E3">
          <w:rPr>
            <w:rStyle w:val="Hipervnculo"/>
          </w:rPr>
          <w:t>https://www.senadis.gob.cl/sala_prensa/d/noticias/8052/</w:t>
        </w:r>
      </w:hyperlink>
      <w:r w:rsidR="006F4911" w:rsidRPr="002C65E3">
        <w:rPr>
          <w:rStyle w:val="Hipervnculo"/>
          <w:color w:val="auto"/>
        </w:rPr>
        <w:t xml:space="preserve">. </w:t>
      </w:r>
    </w:p>
  </w:footnote>
  <w:footnote w:id="53">
    <w:p w14:paraId="28A25C63" w14:textId="70CA9632"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Participaron más de 200 representantes de organizaciones de y para PcD de todas las regiones. Las conclusiones se incorporaron a la plataforma </w:t>
      </w:r>
      <w:hyperlink r:id="rId43">
        <w:r w:rsidR="006F4911" w:rsidRPr="002C65E3">
          <w:rPr>
            <w:rStyle w:val="Hipervnculo"/>
          </w:rPr>
          <w:t>www.chilequequeremos.cl</w:t>
        </w:r>
      </w:hyperlink>
      <w:r w:rsidR="006F4911" w:rsidRPr="002C65E3">
        <w:rPr>
          <w:rFonts w:eastAsia="Times New Roman"/>
          <w:szCs w:val="18"/>
        </w:rPr>
        <w:t xml:space="preserve">. Esta actividad fue difundida en RRSS y web de SENADIS: Véase: </w:t>
      </w:r>
      <w:hyperlink r:id="rId44">
        <w:r w:rsidR="006F4911" w:rsidRPr="002C65E3">
          <w:rPr>
            <w:rStyle w:val="Hipervnculo"/>
          </w:rPr>
          <w:t>https://www.senadis.gob.cl/sala_prensa/d/noticias/8147</w:t>
        </w:r>
      </w:hyperlink>
      <w:r w:rsidR="006F4911" w:rsidRPr="002C65E3">
        <w:rPr>
          <w:rFonts w:eastAsia="Times New Roman"/>
          <w:szCs w:val="18"/>
        </w:rPr>
        <w:t xml:space="preserve">, </w:t>
      </w:r>
      <w:hyperlink r:id="rId45">
        <w:r w:rsidR="006F4911" w:rsidRPr="002C65E3">
          <w:rPr>
            <w:rStyle w:val="Hipervnculo"/>
          </w:rPr>
          <w:t>https://www.senadis.gob.cl/sala_prensa/d/noticias/8140</w:t>
        </w:r>
      </w:hyperlink>
      <w:r w:rsidR="006F4911" w:rsidRPr="002C65E3">
        <w:rPr>
          <w:rStyle w:val="Hipervnculo"/>
        </w:rPr>
        <w:t>,</w:t>
      </w:r>
      <w:r w:rsidR="00791BE9" w:rsidRPr="002C65E3">
        <w:rPr>
          <w:rStyle w:val="Hipervnculo"/>
        </w:rPr>
        <w:t xml:space="preserve"> </w:t>
      </w:r>
      <w:hyperlink r:id="rId46" w:history="1">
        <w:r w:rsidR="008B1E79" w:rsidRPr="002C65E3">
          <w:rPr>
            <w:rStyle w:val="Hipervnculo"/>
          </w:rPr>
          <w:t>https://www.senadis.gob.cl/sala_prensa/d/</w:t>
        </w:r>
        <w:r w:rsidR="008B1E79" w:rsidRPr="002C65E3">
          <w:rPr>
            <w:rStyle w:val="Hipervnculo"/>
          </w:rPr>
          <w:br/>
          <w:t>noticias/8169</w:t>
        </w:r>
      </w:hyperlink>
      <w:r w:rsidR="006F4911" w:rsidRPr="002C65E3">
        <w:rPr>
          <w:rStyle w:val="Hipervnculo"/>
        </w:rPr>
        <w:t xml:space="preserve">, </w:t>
      </w:r>
      <w:hyperlink r:id="rId47">
        <w:r w:rsidR="006F4911" w:rsidRPr="002C65E3">
          <w:rPr>
            <w:rStyle w:val="Hipervnculo"/>
          </w:rPr>
          <w:t>https://www.senadis.gob.cl/sala_prensa/d/noticias/8133</w:t>
        </w:r>
      </w:hyperlink>
      <w:r w:rsidR="006F4911" w:rsidRPr="002C65E3">
        <w:rPr>
          <w:rStyle w:val="Hipervnculo"/>
        </w:rPr>
        <w:t xml:space="preserve">, </w:t>
      </w:r>
      <w:hyperlink r:id="rId48" w:history="1">
        <w:r w:rsidR="008B1E79" w:rsidRPr="002C65E3">
          <w:rPr>
            <w:rStyle w:val="Hipervnculo"/>
          </w:rPr>
          <w:t>https://www.senadis.gob.cl/</w:t>
        </w:r>
        <w:r w:rsidR="008B1E79" w:rsidRPr="002C65E3">
          <w:rPr>
            <w:rStyle w:val="Hipervnculo"/>
          </w:rPr>
          <w:br/>
          <w:t>sala_prensa/d/noticias/8146</w:t>
        </w:r>
      </w:hyperlink>
      <w:r w:rsidR="006F4911" w:rsidRPr="002C65E3">
        <w:rPr>
          <w:rFonts w:eastAsia="Times New Roman"/>
          <w:szCs w:val="18"/>
        </w:rPr>
        <w:t xml:space="preserve">. </w:t>
      </w:r>
    </w:p>
  </w:footnote>
  <w:footnote w:id="54">
    <w:p w14:paraId="77BF065F" w14:textId="011B8C61"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49" w:history="1">
        <w:r w:rsidRPr="002C65E3">
          <w:rPr>
            <w:rStyle w:val="Hipervnculo"/>
            <w:rFonts w:eastAsia="Times New Roman"/>
            <w:szCs w:val="18"/>
          </w:rPr>
          <w:t>https://www.senadis.gob.cl/descarga/i/4722/documento</w:t>
        </w:r>
      </w:hyperlink>
      <w:r w:rsidR="004D7E71" w:rsidRPr="002C65E3">
        <w:rPr>
          <w:rFonts w:eastAsia="Times New Roman"/>
          <w:color w:val="000000"/>
          <w:szCs w:val="18"/>
        </w:rPr>
        <w:t>.</w:t>
      </w:r>
    </w:p>
  </w:footnote>
  <w:footnote w:id="55">
    <w:p w14:paraId="7664647E" w14:textId="18E51BF0"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Pr="002C65E3">
        <w:rPr>
          <w:rFonts w:eastAsia="Times New Roman"/>
          <w:color w:val="000000"/>
          <w:szCs w:val="18"/>
        </w:rPr>
        <w:tab/>
      </w:r>
      <w:hyperlink r:id="rId50" w:history="1">
        <w:r w:rsidRPr="002C65E3">
          <w:rPr>
            <w:rStyle w:val="Hipervnculo"/>
            <w:rFonts w:eastAsia="Times New Roman"/>
            <w:szCs w:val="18"/>
          </w:rPr>
          <w:t>https://bcn.cl/2to97</w:t>
        </w:r>
      </w:hyperlink>
      <w:r w:rsidR="004D7E71" w:rsidRPr="002C65E3">
        <w:rPr>
          <w:rFonts w:eastAsia="Times New Roman"/>
          <w:color w:val="000000"/>
          <w:szCs w:val="18"/>
        </w:rPr>
        <w:t>.</w:t>
      </w:r>
    </w:p>
  </w:footnote>
  <w:footnote w:id="56">
    <w:p w14:paraId="04702AE4" w14:textId="3511FDB8"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Pr="002C65E3">
        <w:rPr>
          <w:rFonts w:eastAsia="Times New Roman"/>
          <w:szCs w:val="18"/>
        </w:rPr>
        <w:tab/>
      </w:r>
      <w:r w:rsidR="006F4911" w:rsidRPr="002C65E3">
        <w:rPr>
          <w:rFonts w:eastAsia="Times New Roman"/>
          <w:szCs w:val="18"/>
        </w:rPr>
        <w:t xml:space="preserve">Integrado por 15 personas </w:t>
      </w:r>
      <w:r w:rsidR="00405113" w:rsidRPr="002C65E3">
        <w:t>—</w:t>
      </w:r>
      <w:r w:rsidR="006F4911" w:rsidRPr="002C65E3">
        <w:rPr>
          <w:rFonts w:eastAsia="Times New Roman"/>
          <w:szCs w:val="18"/>
        </w:rPr>
        <w:t>incluyendo PcD</w:t>
      </w:r>
      <w:r w:rsidR="00405113" w:rsidRPr="002C65E3">
        <w:rPr>
          <w:rFonts w:eastAsia="Times New Roman"/>
          <w:szCs w:val="18"/>
        </w:rPr>
        <w:t>—</w:t>
      </w:r>
      <w:r w:rsidR="006F4911" w:rsidRPr="002C65E3">
        <w:rPr>
          <w:rFonts w:eastAsia="Times New Roman"/>
          <w:szCs w:val="18"/>
        </w:rPr>
        <w:t xml:space="preserve"> expertas en accesibilidad y organizaciones de y para PcD, universidades y asociaciones de municipalidades</w:t>
      </w:r>
      <w:r w:rsidR="004D7E71" w:rsidRPr="002C65E3">
        <w:rPr>
          <w:rFonts w:eastAsia="Times New Roman"/>
          <w:szCs w:val="18"/>
        </w:rPr>
        <w:t>.</w:t>
      </w:r>
    </w:p>
  </w:footnote>
  <w:footnote w:id="57">
    <w:p w14:paraId="5E2A1CB5" w14:textId="5D8B5020" w:rsidR="006F4911" w:rsidRPr="002C65E3" w:rsidRDefault="00DE45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Este instrumento propone 120 medidas a realizar en plazos de 3, 5 y 10 años, en torno a 13 ámbitos prioritarios. Además, incluye propuestas para coordinar acciones de fiscalización de la normativa de accesibilidad universal vigente, coordinar la inversión en mejoramiento urbano a escala municipal y propuestas para la gestión y gobernanza del Plan.</w:t>
      </w:r>
    </w:p>
  </w:footnote>
  <w:footnote w:id="58">
    <w:p w14:paraId="109C2838" w14:textId="286D9098"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1" w:history="1">
        <w:r w:rsidRPr="002C65E3">
          <w:rPr>
            <w:rStyle w:val="Hipervnculo"/>
            <w:rFonts w:eastAsia="Times New Roman"/>
            <w:szCs w:val="18"/>
          </w:rPr>
          <w:t>https://bcn.cl/33fh9</w:t>
        </w:r>
      </w:hyperlink>
      <w:r w:rsidR="004D7E71" w:rsidRPr="002C65E3">
        <w:rPr>
          <w:rFonts w:eastAsia="Times New Roman"/>
          <w:color w:val="000000"/>
          <w:szCs w:val="18"/>
        </w:rPr>
        <w:t>.</w:t>
      </w:r>
    </w:p>
  </w:footnote>
  <w:footnote w:id="59">
    <w:p w14:paraId="51BFA55D" w14:textId="0E50E45C" w:rsidR="006F4911" w:rsidRPr="002C65E3" w:rsidRDefault="00DE45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2" w:history="1">
        <w:r w:rsidR="003A57ED" w:rsidRPr="002C65E3">
          <w:rPr>
            <w:rStyle w:val="Hipervnculo"/>
            <w:rFonts w:eastAsia="Times New Roman"/>
            <w:szCs w:val="18"/>
          </w:rPr>
          <w:t>https://bcn.cl/34jpb</w:t>
        </w:r>
      </w:hyperlink>
      <w:r w:rsidR="004D7E71" w:rsidRPr="002C65E3">
        <w:rPr>
          <w:rFonts w:eastAsia="Times New Roman"/>
          <w:color w:val="000000"/>
          <w:szCs w:val="18"/>
        </w:rPr>
        <w:t>.</w:t>
      </w:r>
    </w:p>
  </w:footnote>
  <w:footnote w:id="60">
    <w:p w14:paraId="4037C364" w14:textId="5055640B"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3" w:history="1">
        <w:r w:rsidR="003A57ED" w:rsidRPr="002C65E3">
          <w:rPr>
            <w:rStyle w:val="Hipervnculo"/>
            <w:rFonts w:eastAsia="Times New Roman"/>
            <w:szCs w:val="18"/>
          </w:rPr>
          <w:t>http://bcn.cl/2irkh</w:t>
        </w:r>
      </w:hyperlink>
      <w:r w:rsidR="004D7E71" w:rsidRPr="002C65E3">
        <w:rPr>
          <w:rFonts w:eastAsia="Times New Roman"/>
          <w:color w:val="000000"/>
          <w:szCs w:val="18"/>
        </w:rPr>
        <w:t>.</w:t>
      </w:r>
    </w:p>
  </w:footnote>
  <w:footnote w:id="61">
    <w:p w14:paraId="364FAEAB" w14:textId="76EBC82E"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4" w:history="1">
        <w:r w:rsidR="003A57ED" w:rsidRPr="002C65E3">
          <w:rPr>
            <w:rStyle w:val="Hipervnculo"/>
            <w:rFonts w:eastAsia="Times New Roman"/>
            <w:szCs w:val="18"/>
          </w:rPr>
          <w:t>http://bcn.cl/2nbtt</w:t>
        </w:r>
      </w:hyperlink>
      <w:r w:rsidR="004D7E71" w:rsidRPr="002C65E3">
        <w:rPr>
          <w:rFonts w:eastAsia="Times New Roman"/>
          <w:color w:val="000000"/>
          <w:szCs w:val="18"/>
        </w:rPr>
        <w:t>.</w:t>
      </w:r>
    </w:p>
  </w:footnote>
  <w:footnote w:id="62">
    <w:p w14:paraId="29EC99B5" w14:textId="4E6B8E7C"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5" w:history="1">
        <w:r w:rsidR="003A57ED" w:rsidRPr="002C65E3">
          <w:rPr>
            <w:rStyle w:val="Hipervnculo"/>
            <w:rFonts w:eastAsia="Times New Roman"/>
            <w:szCs w:val="18"/>
          </w:rPr>
          <w:t>https://bcn.cl/2upv5</w:t>
        </w:r>
      </w:hyperlink>
      <w:r w:rsidR="004D7E71" w:rsidRPr="002C65E3">
        <w:rPr>
          <w:rFonts w:eastAsia="Times New Roman"/>
          <w:color w:val="000000"/>
          <w:szCs w:val="18"/>
        </w:rPr>
        <w:t>.</w:t>
      </w:r>
    </w:p>
  </w:footnote>
  <w:footnote w:id="63">
    <w:p w14:paraId="74D18872" w14:textId="0F461BF8"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6" w:history="1">
        <w:r w:rsidR="003A57ED" w:rsidRPr="002C65E3">
          <w:rPr>
            <w:rStyle w:val="Hipervnculo"/>
            <w:rFonts w:eastAsia="Times New Roman"/>
            <w:szCs w:val="18"/>
          </w:rPr>
          <w:t>http://bcn.cl/2v1ja</w:t>
        </w:r>
      </w:hyperlink>
      <w:r w:rsidR="004D7E71" w:rsidRPr="002C65E3">
        <w:rPr>
          <w:rFonts w:eastAsia="Times New Roman"/>
          <w:color w:val="000000"/>
          <w:szCs w:val="18"/>
        </w:rPr>
        <w:t>.</w:t>
      </w:r>
    </w:p>
  </w:footnote>
  <w:footnote w:id="64">
    <w:p w14:paraId="256C797F" w14:textId="0FABA24F"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7" w:history="1">
        <w:r w:rsidR="004D7E71" w:rsidRPr="002C65E3">
          <w:rPr>
            <w:rStyle w:val="Hipervnculo"/>
            <w:rFonts w:eastAsia="Times New Roman"/>
            <w:szCs w:val="18"/>
          </w:rPr>
          <w:t>https://www.camara.cl/legislacion/ProyectosDeLey/tramitacion.aspx?prmID=11594&amp;prm</w:t>
        </w:r>
        <w:r w:rsidR="004D7E71" w:rsidRPr="002C65E3">
          <w:rPr>
            <w:rStyle w:val="Hipervnculo"/>
            <w:rFonts w:eastAsia="Times New Roman"/>
            <w:szCs w:val="18"/>
          </w:rPr>
          <w:br/>
          <w:t>BOLETIN=11080-31</w:t>
        </w:r>
      </w:hyperlink>
      <w:r w:rsidR="004D7E71" w:rsidRPr="002C65E3">
        <w:rPr>
          <w:rFonts w:eastAsia="Times New Roman"/>
          <w:color w:val="000000"/>
          <w:szCs w:val="18"/>
        </w:rPr>
        <w:t>.</w:t>
      </w:r>
    </w:p>
  </w:footnote>
  <w:footnote w:id="65">
    <w:p w14:paraId="4D7DCF2F" w14:textId="467E606E"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8" w:history="1">
        <w:r w:rsidR="004D7E71" w:rsidRPr="002C65E3">
          <w:rPr>
            <w:rStyle w:val="Hipervnculo"/>
            <w:rFonts w:eastAsia="Times New Roman"/>
            <w:szCs w:val="18"/>
          </w:rPr>
          <w:t>https://www.camara.cl/legislacion/ProyectosDeLey/tramitacion.aspx?prmID=14531</w:t>
        </w:r>
        <w:r w:rsidR="004D7E71" w:rsidRPr="002C65E3">
          <w:rPr>
            <w:rStyle w:val="Hipervnculo"/>
            <w:rFonts w:eastAsia="Times New Roman"/>
            <w:szCs w:val="18"/>
          </w:rPr>
          <w:br/>
          <w:t>&amp;prmBOLETIN=13965-35</w:t>
        </w:r>
      </w:hyperlink>
      <w:r w:rsidR="004D7E71" w:rsidRPr="002C65E3">
        <w:rPr>
          <w:rFonts w:eastAsia="Times New Roman"/>
          <w:color w:val="000000"/>
          <w:szCs w:val="18"/>
        </w:rPr>
        <w:t>.</w:t>
      </w:r>
    </w:p>
  </w:footnote>
  <w:footnote w:id="66">
    <w:p w14:paraId="6E8213F1" w14:textId="79462A7C"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59" w:history="1">
        <w:r w:rsidR="003A57ED" w:rsidRPr="002C65E3">
          <w:rPr>
            <w:rStyle w:val="Hipervnculo"/>
            <w:rFonts w:eastAsia="Times New Roman"/>
            <w:szCs w:val="18"/>
          </w:rPr>
          <w:t>http://www.senado.cl/appsenado/templates/tramitacion/index.php?boletin_ini=14218-35</w:t>
        </w:r>
      </w:hyperlink>
      <w:r w:rsidR="004D7E71" w:rsidRPr="002C65E3">
        <w:rPr>
          <w:rFonts w:eastAsia="Times New Roman"/>
          <w:color w:val="000000"/>
          <w:szCs w:val="18"/>
        </w:rPr>
        <w:t>.</w:t>
      </w:r>
    </w:p>
  </w:footnote>
  <w:footnote w:id="67">
    <w:p w14:paraId="0F43E48A" w14:textId="13D8BEAD"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60" w:history="1">
        <w:r w:rsidR="003A57ED" w:rsidRPr="002C65E3">
          <w:rPr>
            <w:rStyle w:val="Hipervnculo"/>
            <w:rFonts w:eastAsia="Times New Roman"/>
            <w:szCs w:val="18"/>
          </w:rPr>
          <w:t>https://www.leychile.cl/Navegar?idNorma=1078308</w:t>
        </w:r>
      </w:hyperlink>
      <w:r w:rsidR="004D7E71" w:rsidRPr="002C65E3">
        <w:rPr>
          <w:rFonts w:eastAsia="Times New Roman"/>
          <w:color w:val="000000"/>
          <w:szCs w:val="18"/>
        </w:rPr>
        <w:t>.</w:t>
      </w:r>
    </w:p>
  </w:footnote>
  <w:footnote w:id="68">
    <w:p w14:paraId="3AA32979" w14:textId="41C26B5A"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61" w:history="1">
        <w:r w:rsidR="003A57ED" w:rsidRPr="002C65E3">
          <w:rPr>
            <w:rStyle w:val="Hipervnculo"/>
            <w:rFonts w:eastAsia="Times New Roman"/>
            <w:szCs w:val="18"/>
          </w:rPr>
          <w:t>https://cms-dgd-prod.s3-us-west-2.amazonaws.com/uploads/pdf/Instructivo-N%C2%BA001-Transformacion-Digital-2019.pdf</w:t>
        </w:r>
      </w:hyperlink>
      <w:r w:rsidR="006F4911" w:rsidRPr="002C65E3">
        <w:rPr>
          <w:rFonts w:eastAsia="Times New Roman"/>
          <w:color w:val="000000"/>
          <w:szCs w:val="18"/>
        </w:rPr>
        <w:t>?</w:t>
      </w:r>
      <w:r w:rsidR="008B1E79" w:rsidRPr="002C65E3">
        <w:rPr>
          <w:rFonts w:eastAsia="Times New Roman"/>
          <w:color w:val="000000"/>
          <w:szCs w:val="18"/>
        </w:rPr>
        <w:t>.</w:t>
      </w:r>
    </w:p>
  </w:footnote>
  <w:footnote w:id="69">
    <w:p w14:paraId="207AC84C" w14:textId="1333069F" w:rsidR="006F4911" w:rsidRPr="002C65E3" w:rsidRDefault="00DD58C2"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Desde 2016 hasta el 31.07.2022, ha entregado un total de 309 atenciones (2016:37, 2017:33, 2018:40, 2019:70; 2020:50; 2021:45; 2022:34) a personas con discapacidad auditiva, dando respuesta al 100% de los requerimientos.</w:t>
      </w:r>
    </w:p>
  </w:footnote>
  <w:footnote w:id="70">
    <w:p w14:paraId="2162CE13" w14:textId="6DAD8E7C" w:rsidR="006F4911" w:rsidRPr="002C65E3" w:rsidRDefault="00DD58C2"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La primera (</w:t>
      </w:r>
      <w:hyperlink r:id="rId62">
        <w:r w:rsidR="006F4911" w:rsidRPr="002C65E3">
          <w:rPr>
            <w:rFonts w:eastAsia="Times New Roman"/>
            <w:color w:val="0000FF"/>
            <w:szCs w:val="18"/>
          </w:rPr>
          <w:t>https://play.google.com/store/apps/details?id=com.exefire.primeros_respondedores_app</w:t>
        </w:r>
      </w:hyperlink>
      <w:r w:rsidR="006F4911" w:rsidRPr="002C65E3">
        <w:rPr>
          <w:rFonts w:eastAsia="Times New Roman"/>
          <w:szCs w:val="18"/>
        </w:rPr>
        <w:t>) apoya a los equipos de primera respuesta en emergencia y desastres con sugerencias para el trabajo con PcD, un señabulario y preguntas guía en LSCH; la segunda (</w:t>
      </w:r>
      <w:hyperlink r:id="rId63" w:history="1">
        <w:r w:rsidR="008B1E79" w:rsidRPr="002C65E3">
          <w:rPr>
            <w:rStyle w:val="Hipervnculo"/>
            <w:rFonts w:eastAsia="Times New Roman"/>
            <w:szCs w:val="18"/>
          </w:rPr>
          <w:t>https://play.google.com/store/apps/</w:t>
        </w:r>
        <w:r w:rsidR="008B1E79" w:rsidRPr="002C65E3">
          <w:rPr>
            <w:rStyle w:val="Hipervnculo"/>
            <w:rFonts w:eastAsia="Times New Roman"/>
            <w:szCs w:val="18"/>
          </w:rPr>
          <w:br/>
          <w:t>details?id=com.exefire.comunidadsorda132</w:t>
        </w:r>
      </w:hyperlink>
      <w:r w:rsidR="006F4911" w:rsidRPr="002C65E3">
        <w:rPr>
          <w:rFonts w:eastAsia="Times New Roman"/>
          <w:szCs w:val="18"/>
        </w:rPr>
        <w:t>), permite que, a través de preguntas y respuestas en LSCH, la PcD sorda pueda solicitar la ayuda de Bomberos. Esta última aplicación se trabajó con comunidades sordas, en su diseño y prueba.</w:t>
      </w:r>
    </w:p>
  </w:footnote>
  <w:footnote w:id="71">
    <w:p w14:paraId="483C6B75" w14:textId="1007429B" w:rsidR="006F4911" w:rsidRPr="002C65E3" w:rsidRDefault="00DD58C2" w:rsidP="00343446">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64">
        <w:r w:rsidR="006F4911" w:rsidRPr="002C65E3">
          <w:rPr>
            <w:rStyle w:val="Hipervnculo"/>
          </w:rPr>
          <w:t>https://degreyd.minsal.cl/hospitales-se-preparan-para-que-personas-con-dicapacidad-enfrenten-emergencias-y-desastres/</w:t>
        </w:r>
      </w:hyperlink>
      <w:r w:rsidR="00343446" w:rsidRPr="002C65E3">
        <w:t xml:space="preserve">, </w:t>
      </w:r>
      <w:hyperlink r:id="rId65" w:history="1">
        <w:r w:rsidR="003A57ED" w:rsidRPr="002C65E3">
          <w:rPr>
            <w:rStyle w:val="Hipervnculo"/>
            <w:rFonts w:eastAsia="Times New Roman"/>
            <w:szCs w:val="18"/>
          </w:rPr>
          <w:t>https://degreyd.minsal.cl/hospital-de-coyhaique-inicio-trabajo-para-incluir-a-personas-con-discapacidad-en-planes-de-emergencias/</w:t>
        </w:r>
      </w:hyperlink>
      <w:r w:rsidR="00343446" w:rsidRPr="002C65E3">
        <w:t xml:space="preserve">. </w:t>
      </w:r>
      <w:r w:rsidR="006F4911" w:rsidRPr="002C65E3">
        <w:rPr>
          <w:rFonts w:eastAsia="Times New Roman"/>
          <w:szCs w:val="18"/>
        </w:rPr>
        <w:t>Orientaciones técnicas para establecimientos seguros donde se incorpora INGRIDH</w:t>
      </w:r>
      <w:r w:rsidR="00343446" w:rsidRPr="002C65E3">
        <w:rPr>
          <w:rFonts w:eastAsia="Times New Roman"/>
          <w:szCs w:val="18"/>
        </w:rPr>
        <w:t>:</w:t>
      </w:r>
      <w:hyperlink r:id="rId66" w:history="1">
        <w:r w:rsidR="00343446" w:rsidRPr="002C65E3">
          <w:rPr>
            <w:rStyle w:val="Hipervnculo"/>
            <w:rFonts w:eastAsia="Times New Roman"/>
            <w:szCs w:val="18"/>
          </w:rPr>
          <w:t>https://degreyd.minsal.cl/wp-content/</w:t>
        </w:r>
        <w:r w:rsidR="00343446" w:rsidRPr="002C65E3">
          <w:rPr>
            <w:rStyle w:val="Hipervnculo"/>
            <w:rFonts w:eastAsia="Times New Roman"/>
            <w:szCs w:val="18"/>
          </w:rPr>
          <w:br/>
          <w:t>uploads/2019/07/Orientaciones-T%C3%A9cnicas-Establecimiento-Seguro-2019.pdf</w:t>
        </w:r>
      </w:hyperlink>
      <w:r w:rsidR="004021F2" w:rsidRPr="002C65E3">
        <w:t>.</w:t>
      </w:r>
      <w:r w:rsidR="00343446" w:rsidRPr="002C65E3">
        <w:t xml:space="preserve"> </w:t>
      </w:r>
      <w:r w:rsidR="006F4911" w:rsidRPr="002C65E3">
        <w:rPr>
          <w:rFonts w:eastAsia="Times New Roman"/>
          <w:szCs w:val="18"/>
        </w:rPr>
        <w:t>Anexo N</w:t>
      </w:r>
      <w:r w:rsidR="00405113" w:rsidRPr="002C65E3">
        <w:rPr>
          <w:rFonts w:eastAsia="Times New Roman"/>
          <w:szCs w:val="18"/>
        </w:rPr>
        <w:t>º </w:t>
      </w:r>
      <w:r w:rsidR="006F4911" w:rsidRPr="002C65E3">
        <w:rPr>
          <w:rFonts w:eastAsia="Times New Roman"/>
          <w:szCs w:val="18"/>
        </w:rPr>
        <w:t>7.</w:t>
      </w:r>
    </w:p>
  </w:footnote>
  <w:footnote w:id="72">
    <w:p w14:paraId="50F349A9" w14:textId="108B01DC"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Pr="002C65E3">
        <w:rPr>
          <w:rFonts w:eastAsia="Times New Roman"/>
          <w:color w:val="000000"/>
          <w:szCs w:val="18"/>
        </w:rPr>
        <w:tab/>
      </w:r>
      <w:hyperlink r:id="rId67" w:history="1">
        <w:r w:rsidRPr="002C65E3">
          <w:rPr>
            <w:rStyle w:val="Hipervnculo"/>
            <w:rFonts w:eastAsia="Times New Roman"/>
            <w:szCs w:val="18"/>
          </w:rPr>
          <w:t>https://www.paho.org/es/noticias/6-12-2018-inclusion-para-gestion-riesgo-desastres-hospitales-ingrid-h</w:t>
        </w:r>
      </w:hyperlink>
      <w:r w:rsidR="006F4911" w:rsidRPr="002C65E3">
        <w:rPr>
          <w:rFonts w:eastAsia="Times New Roman"/>
          <w:color w:val="000000"/>
          <w:szCs w:val="18"/>
        </w:rPr>
        <w:t xml:space="preserve">; </w:t>
      </w:r>
      <w:hyperlink r:id="rId68">
        <w:r w:rsidR="006F4911" w:rsidRPr="002C65E3">
          <w:rPr>
            <w:rFonts w:eastAsia="Times New Roman"/>
            <w:color w:val="0000FF"/>
            <w:szCs w:val="18"/>
          </w:rPr>
          <w:t>https://www.rln.cl/regional/56545-hrc-es-el-primer-recinto-de-salud-fuera-de-la-region-metropolitana-sumado-a-plan-de-inclusion-para-la-gestion-de-riesgo-de-desastres-en-hospitales</w:t>
        </w:r>
      </w:hyperlink>
      <w:r w:rsidR="004021F2" w:rsidRPr="002C65E3">
        <w:rPr>
          <w:rFonts w:eastAsia="Times New Roman"/>
          <w:color w:val="000000"/>
          <w:szCs w:val="18"/>
        </w:rPr>
        <w:t>.</w:t>
      </w:r>
    </w:p>
  </w:footnote>
  <w:footnote w:id="73">
    <w:p w14:paraId="205DB04A" w14:textId="348C0433" w:rsidR="006F4911" w:rsidRPr="002C65E3" w:rsidRDefault="00DD58C2"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Pr="002C65E3">
        <w:rPr>
          <w:rFonts w:eastAsia="Times New Roman"/>
          <w:szCs w:val="18"/>
        </w:rPr>
        <w:tab/>
      </w:r>
      <w:r w:rsidR="006F4911" w:rsidRPr="002C65E3">
        <w:rPr>
          <w:rFonts w:eastAsia="Times New Roman"/>
          <w:szCs w:val="18"/>
        </w:rPr>
        <w:t xml:space="preserve">En </w:t>
      </w:r>
      <w:hyperlink r:id="rId69" w:history="1">
        <w:r w:rsidR="006F4911" w:rsidRPr="002C65E3">
          <w:rPr>
            <w:rStyle w:val="Hipervnculo"/>
            <w:rFonts w:eastAsia="Times New Roman"/>
            <w:szCs w:val="18"/>
          </w:rPr>
          <w:t>https://twitter.com/degreyd_minsal</w:t>
        </w:r>
      </w:hyperlink>
      <w:r w:rsidR="006F4911" w:rsidRPr="002C65E3">
        <w:rPr>
          <w:rFonts w:eastAsia="Times New Roman"/>
          <w:szCs w:val="18"/>
        </w:rPr>
        <w:t xml:space="preserve"> y https://degreyd.minsal.cl/, se difunde la información sobre GRD inclusiva. </w:t>
      </w:r>
    </w:p>
  </w:footnote>
  <w:footnote w:id="74">
    <w:p w14:paraId="4540BCD5" w14:textId="3FD31762"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0" w:history="1">
        <w:r w:rsidR="003A57ED" w:rsidRPr="002C65E3">
          <w:rPr>
            <w:rStyle w:val="Hipervnculo"/>
            <w:rFonts w:eastAsia="Times New Roman"/>
            <w:szCs w:val="18"/>
          </w:rPr>
          <w:t>https://www.senadis.gob.cl/descarga/i/4670/documento</w:t>
        </w:r>
      </w:hyperlink>
      <w:r w:rsidR="00683C29" w:rsidRPr="002C65E3">
        <w:rPr>
          <w:rFonts w:eastAsia="Times New Roman"/>
          <w:color w:val="000000"/>
          <w:szCs w:val="18"/>
        </w:rPr>
        <w:t>.</w:t>
      </w:r>
    </w:p>
  </w:footnote>
  <w:footnote w:id="75">
    <w:p w14:paraId="5F9908D3" w14:textId="2034E8DD"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1" w:anchor=":~:text=H%C3%A1blele%20de%20frente%2C%20la%20persona%20necesita%20ver%20sus%20labios.&amp;text=Modular%20con%20naturalidad.&amp;text=Repita%20las%20indicaciones%20o%20la%20informaci%C3%B3n%20si%20es%20necesario.&amp;text=No%20debe%20alzar%20exageradamente%20la,menos%" w:history="1">
        <w:r w:rsidR="00683C29" w:rsidRPr="002C65E3">
          <w:rPr>
            <w:rStyle w:val="Hipervnculo"/>
            <w:rFonts w:eastAsia="Times New Roman"/>
            <w:szCs w:val="18"/>
          </w:rPr>
          <w:t>https://www.senadis.gob.cl/descarga/i/3410/documento#:~:text=H%C3%A1blele%20</w:t>
        </w:r>
        <w:r w:rsidR="00683C29" w:rsidRPr="002C65E3">
          <w:rPr>
            <w:rStyle w:val="Hipervnculo"/>
            <w:rFonts w:eastAsia="Times New Roman"/>
            <w:szCs w:val="18"/>
          </w:rPr>
          <w:br/>
          <w:t>de%20frente%2C%20la%20persona%20necesita%20ver%20sus%20labios.&amp;text=Modular%20con</w:t>
        </w:r>
        <w:r w:rsidR="00683C29" w:rsidRPr="002C65E3">
          <w:rPr>
            <w:rStyle w:val="Hipervnculo"/>
            <w:rFonts w:eastAsia="Times New Roman"/>
            <w:szCs w:val="18"/>
          </w:rPr>
          <w:br/>
          <w:t>%20naturalidad.&amp;text=Repita%20las%20indicaciones%20o%20la%20informaci%C3%B3n%20</w:t>
        </w:r>
        <w:r w:rsidR="00683C29" w:rsidRPr="002C65E3">
          <w:rPr>
            <w:rStyle w:val="Hipervnculo"/>
            <w:rFonts w:eastAsia="Times New Roman"/>
            <w:szCs w:val="18"/>
          </w:rPr>
          <w:br/>
          <w:t>si%20es%20necesario.&amp;text=No%20debe%20alzar%20exageradamente%20la,menos%</w:t>
        </w:r>
      </w:hyperlink>
      <w:r w:rsidR="00683C29" w:rsidRPr="002C65E3">
        <w:rPr>
          <w:rFonts w:eastAsia="Times New Roman"/>
          <w:color w:val="000000"/>
          <w:szCs w:val="18"/>
        </w:rPr>
        <w:t>.</w:t>
      </w:r>
    </w:p>
  </w:footnote>
  <w:footnote w:id="76">
    <w:p w14:paraId="0CF47181" w14:textId="28D62D18"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2" w:history="1">
        <w:r w:rsidR="003A57ED" w:rsidRPr="002C65E3">
          <w:rPr>
            <w:rStyle w:val="Hipervnculo"/>
            <w:rFonts w:eastAsia="Times New Roman"/>
            <w:szCs w:val="18"/>
          </w:rPr>
          <w:t>https://www.senadis.gob.cl/descarga/i/3434/documento</w:t>
        </w:r>
      </w:hyperlink>
      <w:r w:rsidR="00683C29" w:rsidRPr="002C65E3">
        <w:rPr>
          <w:rFonts w:eastAsia="Times New Roman"/>
          <w:color w:val="000000"/>
          <w:szCs w:val="18"/>
        </w:rPr>
        <w:t>.</w:t>
      </w:r>
    </w:p>
  </w:footnote>
  <w:footnote w:id="77">
    <w:p w14:paraId="18B31617" w14:textId="3B8CBE25"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3" w:history="1">
        <w:r w:rsidR="00E75677" w:rsidRPr="002C65E3">
          <w:rPr>
            <w:rStyle w:val="Hipervnculo"/>
            <w:rFonts w:eastAsia="Times New Roman"/>
            <w:szCs w:val="18"/>
          </w:rPr>
          <w:t>https://www.onemi.gov.cl/preparacion-inclusiva/</w:t>
        </w:r>
      </w:hyperlink>
      <w:r w:rsidR="00683C29" w:rsidRPr="002C65E3">
        <w:t>.</w:t>
      </w:r>
    </w:p>
  </w:footnote>
  <w:footnote w:id="78">
    <w:p w14:paraId="29633AFC" w14:textId="216775C6"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4" w:history="1">
        <w:r w:rsidR="00E75677" w:rsidRPr="002C65E3">
          <w:rPr>
            <w:rStyle w:val="Hipervnculo"/>
            <w:rFonts w:eastAsia="Times New Roman"/>
            <w:szCs w:val="18"/>
          </w:rPr>
          <w:t>https://siac.onemi.gov.cl/documentos/TEMP/Audio_Recomendaciones_Inclusivas.mp3</w:t>
        </w:r>
      </w:hyperlink>
      <w:r w:rsidR="00683C29" w:rsidRPr="002C65E3">
        <w:rPr>
          <w:rFonts w:eastAsia="Times New Roman"/>
          <w:color w:val="000000"/>
          <w:szCs w:val="18"/>
        </w:rPr>
        <w:t>.</w:t>
      </w:r>
    </w:p>
  </w:footnote>
  <w:footnote w:id="79">
    <w:p w14:paraId="5EDAAC16" w14:textId="191DE8BA"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5" w:history="1">
        <w:r w:rsidR="00E75677" w:rsidRPr="002C65E3">
          <w:rPr>
            <w:rStyle w:val="Hipervnculo"/>
            <w:rFonts w:eastAsia="Times New Roman"/>
            <w:szCs w:val="18"/>
          </w:rPr>
          <w:t>https://www.youtube.com/watch?v=Z1jeYXkwtO0</w:t>
        </w:r>
      </w:hyperlink>
      <w:r w:rsidR="00683C29" w:rsidRPr="002C65E3">
        <w:rPr>
          <w:rFonts w:eastAsia="Times New Roman"/>
          <w:color w:val="000000"/>
          <w:szCs w:val="18"/>
        </w:rPr>
        <w:t>.</w:t>
      </w:r>
    </w:p>
  </w:footnote>
  <w:footnote w:id="80">
    <w:p w14:paraId="0608C055" w14:textId="2B75D919" w:rsidR="006F4911" w:rsidRPr="002C65E3" w:rsidRDefault="00DD58C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6" w:history="1">
        <w:r w:rsidR="00E75677" w:rsidRPr="002C65E3">
          <w:rPr>
            <w:rStyle w:val="Hipervnculo"/>
            <w:rFonts w:eastAsia="Times New Roman"/>
            <w:szCs w:val="18"/>
          </w:rPr>
          <w:t>https://youtu.be/9uVuW_O9eD4</w:t>
        </w:r>
      </w:hyperlink>
      <w:r w:rsidR="00683C29" w:rsidRPr="002C65E3">
        <w:rPr>
          <w:rFonts w:eastAsia="Times New Roman"/>
          <w:color w:val="000000"/>
          <w:szCs w:val="18"/>
        </w:rPr>
        <w:t>.</w:t>
      </w:r>
    </w:p>
  </w:footnote>
  <w:footnote w:id="81">
    <w:p w14:paraId="18C7256B" w14:textId="610A5A64" w:rsidR="006F4911" w:rsidRPr="002C65E3" w:rsidRDefault="00521CF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Tiene</w:t>
      </w:r>
      <w:r w:rsidR="00791BE9" w:rsidRPr="002C65E3">
        <w:rPr>
          <w:rFonts w:eastAsia="Times New Roman"/>
          <w:szCs w:val="18"/>
        </w:rPr>
        <w:t xml:space="preserve"> </w:t>
      </w:r>
      <w:r w:rsidR="006F4911" w:rsidRPr="002C65E3">
        <w:rPr>
          <w:rFonts w:eastAsia="Times New Roman"/>
          <w:szCs w:val="18"/>
        </w:rPr>
        <w:t>dos líneas de trabajo: a) Recomendaciones para PcD, acompañantes y/o cuidadores, para la preparación y respuesta ante emergencias y desastres, en formatos accesibles y; b) Recomendaciones validadas por medio de consulta a PcD en La Araucanía. Posteriormente han realizado capacitaciones y entregado mochilas de emergencia inclusiva a PcD.</w:t>
      </w:r>
    </w:p>
  </w:footnote>
  <w:footnote w:id="82">
    <w:p w14:paraId="2AF3379D" w14:textId="3146A40A" w:rsidR="006F4911" w:rsidRPr="002C65E3" w:rsidRDefault="00521CF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Elaborada por la Subsecretaría de Previsión Social, junto a ONEMI y otras instituciones. Su finalidad es desarrollar acciones en la fase preventiva del ciclo del riesgo que permitan eliminar, mitigar o prepararse ante un riesgo de origen natural o humano que pudiese afectar al centro de trabajo. Véase: </w:t>
      </w:r>
      <w:hyperlink r:id="rId77">
        <w:r w:rsidR="006F4911" w:rsidRPr="002C65E3">
          <w:rPr>
            <w:rFonts w:eastAsia="Times New Roman"/>
            <w:color w:val="0000FF"/>
            <w:szCs w:val="18"/>
          </w:rPr>
          <w:t>https://www.previsionsocial.gob.cl/sps/download/Guia-de-Implementacon-del-PRRD-en-los-centros-de-trabajo.pdf</w:t>
        </w:r>
      </w:hyperlink>
      <w:r w:rsidR="006F4911" w:rsidRPr="002C65E3">
        <w:rPr>
          <w:rFonts w:eastAsia="Times New Roman"/>
          <w:szCs w:val="18"/>
        </w:rPr>
        <w:t xml:space="preserve">. </w:t>
      </w:r>
    </w:p>
  </w:footnote>
  <w:footnote w:id="83">
    <w:p w14:paraId="4FA94F49" w14:textId="63167064" w:rsidR="006F4911" w:rsidRPr="002C65E3" w:rsidRDefault="00521CF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8" w:history="1">
        <w:r w:rsidR="00E75677" w:rsidRPr="002C65E3">
          <w:rPr>
            <w:rStyle w:val="Hipervnculo"/>
            <w:rFonts w:eastAsia="Times New Roman"/>
            <w:szCs w:val="18"/>
          </w:rPr>
          <w:t>http://bcn.cl/2o14m</w:t>
        </w:r>
      </w:hyperlink>
      <w:r w:rsidR="00683C29" w:rsidRPr="002C65E3">
        <w:rPr>
          <w:rFonts w:eastAsia="Times New Roman"/>
          <w:color w:val="000000"/>
          <w:szCs w:val="18"/>
        </w:rPr>
        <w:t>.</w:t>
      </w:r>
    </w:p>
  </w:footnote>
  <w:footnote w:id="84">
    <w:p w14:paraId="2D5387C6" w14:textId="6EE2A423" w:rsidR="006F4911" w:rsidRPr="002C65E3" w:rsidRDefault="00521CF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79" w:history="1">
        <w:r w:rsidR="00E75677" w:rsidRPr="002C65E3">
          <w:rPr>
            <w:rStyle w:val="Hipervnculo"/>
            <w:rFonts w:eastAsia="Times New Roman"/>
            <w:szCs w:val="18"/>
          </w:rPr>
          <w:t>http://bcn.cl/2qtdx</w:t>
        </w:r>
      </w:hyperlink>
      <w:r w:rsidR="00683C29" w:rsidRPr="002C65E3">
        <w:rPr>
          <w:rFonts w:eastAsia="Times New Roman"/>
          <w:color w:val="000000"/>
          <w:szCs w:val="18"/>
        </w:rPr>
        <w:t>.</w:t>
      </w:r>
    </w:p>
  </w:footnote>
  <w:footnote w:id="85">
    <w:p w14:paraId="788C921D" w14:textId="0EE37019" w:rsidR="006F4911" w:rsidRPr="002C65E3" w:rsidRDefault="00521CF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Esta mesa trabajó en 3 comisiones: 1) Residencias para PcD, 2) PcD en hogares particulares y cuidadores, 3) Estrategias transversales para PcD, sus familias y cuidadoras/es. </w:t>
      </w:r>
    </w:p>
  </w:footnote>
  <w:footnote w:id="86">
    <w:p w14:paraId="43CE64E9" w14:textId="07BFBD91" w:rsidR="006F4911" w:rsidRPr="002C65E3" w:rsidRDefault="00521CF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0" w:history="1">
        <w:r w:rsidR="00E75677" w:rsidRPr="002C65E3">
          <w:rPr>
            <w:rStyle w:val="Hipervnculo"/>
            <w:rFonts w:eastAsia="Times New Roman"/>
            <w:szCs w:val="18"/>
          </w:rPr>
          <w:t>https://youtu.be/PcuIVlHznY0</w:t>
        </w:r>
      </w:hyperlink>
      <w:r w:rsidR="00683C29" w:rsidRPr="002C65E3">
        <w:rPr>
          <w:rFonts w:eastAsia="Times New Roman"/>
          <w:color w:val="000000"/>
          <w:szCs w:val="18"/>
        </w:rPr>
        <w:t>.</w:t>
      </w:r>
    </w:p>
  </w:footnote>
  <w:footnote w:id="87">
    <w:p w14:paraId="60021A94" w14:textId="61D8180D" w:rsidR="006F4911" w:rsidRPr="002C65E3" w:rsidRDefault="00521CF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1" w:history="1">
        <w:r w:rsidR="00E75677" w:rsidRPr="002C65E3">
          <w:rPr>
            <w:rStyle w:val="Hipervnculo"/>
            <w:rFonts w:eastAsia="Times New Roman"/>
            <w:szCs w:val="18"/>
          </w:rPr>
          <w:t>https://www.senadis.gob.cl/descarga/i/6177</w:t>
        </w:r>
      </w:hyperlink>
      <w:r w:rsidR="00683C29" w:rsidRPr="002C65E3">
        <w:rPr>
          <w:rFonts w:eastAsia="Times New Roman"/>
          <w:color w:val="000000"/>
          <w:szCs w:val="18"/>
        </w:rPr>
        <w:t>.</w:t>
      </w:r>
    </w:p>
  </w:footnote>
  <w:footnote w:id="88">
    <w:p w14:paraId="4BC29B19" w14:textId="3A1F834A" w:rsidR="006F4911" w:rsidRPr="002C65E3" w:rsidRDefault="00521CF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2" w:anchor=":~:text=El%20fono%20800%20000%20058,contexto%20de%20la%20actual%20pandemia" w:history="1">
        <w:r w:rsidR="00683C29" w:rsidRPr="002C65E3">
          <w:rPr>
            <w:rStyle w:val="Hipervnculo"/>
            <w:rFonts w:eastAsia="Times New Roman"/>
            <w:szCs w:val="18"/>
          </w:rPr>
          <w:t>https://www.senadis.gob.cl/pag/588/1880/linea_800_conectados_al_cuidar#:~:text=</w:t>
        </w:r>
        <w:r w:rsidR="00683C29" w:rsidRPr="002C65E3">
          <w:rPr>
            <w:rStyle w:val="Hipervnculo"/>
            <w:rFonts w:eastAsia="Times New Roman"/>
            <w:szCs w:val="18"/>
          </w:rPr>
          <w:br/>
          <w:t>El%20fono%20800%20000%20058,contexto%20de%20la%20actual%20pandemia</w:t>
        </w:r>
      </w:hyperlink>
      <w:r w:rsidR="006F4911" w:rsidRPr="002C65E3">
        <w:rPr>
          <w:rFonts w:eastAsia="Times New Roman"/>
          <w:color w:val="000000"/>
          <w:szCs w:val="18"/>
        </w:rPr>
        <w:t>.</w:t>
      </w:r>
    </w:p>
  </w:footnote>
  <w:footnote w:id="89">
    <w:p w14:paraId="03C4E72D" w14:textId="180EC372" w:rsidR="006F4911" w:rsidRPr="002C65E3" w:rsidRDefault="00521CF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Quienes responden los llamados son profesionales capacitados para acoger, resolver o derivar los requerimientos de las personas, realizando un monitoreo hasta el cierre del caso. Los casos de mayor complejidad son derivados a otras redes, como psicólogos voluntarios, Saludablemente, Chile Unido, Fundación Míranos, entre otros.</w:t>
      </w:r>
    </w:p>
  </w:footnote>
  <w:footnote w:id="90">
    <w:p w14:paraId="33E55BB3" w14:textId="65FC7C2E" w:rsidR="006F4911" w:rsidRPr="002C65E3" w:rsidRDefault="00521CF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3" w:history="1">
        <w:r w:rsidR="00E75677" w:rsidRPr="002C65E3">
          <w:rPr>
            <w:rStyle w:val="Hipervnculo"/>
            <w:rFonts w:eastAsia="Times New Roman"/>
            <w:szCs w:val="18"/>
          </w:rPr>
          <w:t>https://www.youtube.com/watch?v=V5DHxEHdESw</w:t>
        </w:r>
      </w:hyperlink>
      <w:r w:rsidR="004C07FF" w:rsidRPr="002C65E3">
        <w:rPr>
          <w:rFonts w:eastAsia="Times New Roman"/>
          <w:color w:val="000000"/>
          <w:szCs w:val="18"/>
        </w:rPr>
        <w:t>.</w:t>
      </w:r>
    </w:p>
  </w:footnote>
  <w:footnote w:id="91">
    <w:p w14:paraId="00FBBE45" w14:textId="2234E9CC" w:rsidR="006F4911" w:rsidRPr="002C65E3" w:rsidRDefault="00521CF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4" w:history="1">
        <w:r w:rsidR="00E75677" w:rsidRPr="002C65E3">
          <w:rPr>
            <w:rStyle w:val="Hipervnculo"/>
            <w:rFonts w:eastAsia="Times New Roman"/>
            <w:szCs w:val="18"/>
          </w:rPr>
          <w:t>https://www.senadis.gob.cl/sala_prensa/d/noticias/8223</w:t>
        </w:r>
      </w:hyperlink>
      <w:r w:rsidR="004C07FF" w:rsidRPr="002C65E3">
        <w:rPr>
          <w:rFonts w:eastAsia="Times New Roman"/>
          <w:color w:val="000000"/>
          <w:szCs w:val="18"/>
        </w:rPr>
        <w:t>.</w:t>
      </w:r>
    </w:p>
  </w:footnote>
  <w:footnote w:id="92">
    <w:p w14:paraId="54BF012E" w14:textId="62F9FEF7" w:rsidR="006F4911" w:rsidRPr="002C65E3" w:rsidRDefault="006E13EC"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5" w:history="1">
        <w:r w:rsidR="00E75677" w:rsidRPr="002C65E3">
          <w:rPr>
            <w:rStyle w:val="Hipervnculo"/>
            <w:rFonts w:eastAsia="Times New Roman"/>
            <w:szCs w:val="18"/>
          </w:rPr>
          <w:t>https://www.senadis.gob.cl/pag/569/1649/proceso_de_financiamiento_ayudas_tecnicas_2020</w:t>
        </w:r>
      </w:hyperlink>
      <w:r w:rsidR="004C07FF" w:rsidRPr="002C65E3">
        <w:rPr>
          <w:rFonts w:eastAsia="Times New Roman"/>
          <w:color w:val="000000"/>
          <w:szCs w:val="18"/>
        </w:rPr>
        <w:t>.</w:t>
      </w:r>
    </w:p>
  </w:footnote>
  <w:footnote w:id="93">
    <w:p w14:paraId="3E9D30AE" w14:textId="2BB72AFD" w:rsidR="006F4911" w:rsidRPr="002C65E3" w:rsidRDefault="006E13EC"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6" w:history="1">
        <w:r w:rsidR="004C07FF" w:rsidRPr="002C65E3">
          <w:rPr>
            <w:rStyle w:val="Hipervnculo"/>
            <w:rFonts w:eastAsia="Times New Roman"/>
            <w:szCs w:val="18"/>
          </w:rPr>
          <w:t>https://www.senadis.gob.cl/pag/594/1910/continuidad_de_recursos_transito_a_la_vida</w:t>
        </w:r>
        <w:r w:rsidR="004C07FF" w:rsidRPr="002C65E3">
          <w:rPr>
            <w:rStyle w:val="Hipervnculo"/>
            <w:rFonts w:eastAsia="Times New Roman"/>
            <w:szCs w:val="18"/>
          </w:rPr>
          <w:br/>
          <w:t>_independiente_tvi_2019_segundo_semestre_2020_cerrado</w:t>
        </w:r>
      </w:hyperlink>
      <w:r w:rsidR="004C07FF" w:rsidRPr="002C65E3">
        <w:rPr>
          <w:rFonts w:eastAsia="Times New Roman"/>
          <w:color w:val="000000"/>
          <w:szCs w:val="18"/>
        </w:rPr>
        <w:t>.</w:t>
      </w:r>
    </w:p>
  </w:footnote>
  <w:footnote w:id="94">
    <w:p w14:paraId="2F6168E4" w14:textId="2CF8FCE9" w:rsidR="006F4911" w:rsidRPr="002C65E3" w:rsidRDefault="006E13EC"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7" w:history="1">
        <w:r w:rsidR="004C07FF" w:rsidRPr="002C65E3">
          <w:rPr>
            <w:rStyle w:val="Hipervnculo"/>
            <w:rFonts w:eastAsia="Times New Roman"/>
            <w:szCs w:val="18"/>
          </w:rPr>
          <w:t>https://www.senadis.gob.cl/pag/581/1909/programa_de_apoyo_estudiantes_con_</w:t>
        </w:r>
        <w:r w:rsidR="004C07FF" w:rsidRPr="002C65E3">
          <w:rPr>
            <w:rStyle w:val="Hipervnculo"/>
            <w:rFonts w:eastAsia="Times New Roman"/>
            <w:szCs w:val="18"/>
          </w:rPr>
          <w:br/>
          <w:t>discapacidad_en_instituciones_de_educacion_superior_2020_cerrado</w:t>
        </w:r>
      </w:hyperlink>
      <w:r w:rsidR="004C07FF" w:rsidRPr="002C65E3">
        <w:rPr>
          <w:rFonts w:eastAsia="Times New Roman"/>
          <w:color w:val="000000"/>
          <w:szCs w:val="18"/>
        </w:rPr>
        <w:t>.</w:t>
      </w:r>
    </w:p>
  </w:footnote>
  <w:footnote w:id="95">
    <w:p w14:paraId="4701B8F6" w14:textId="244A92C9" w:rsidR="006F4911" w:rsidRPr="002C65E3" w:rsidRDefault="006E13EC"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8" w:history="1">
        <w:r w:rsidR="00343446" w:rsidRPr="002C65E3">
          <w:rPr>
            <w:rStyle w:val="Hipervnculo"/>
            <w:rFonts w:eastAsia="Times New Roman"/>
            <w:szCs w:val="18"/>
          </w:rPr>
          <w:t>https://cdn.digital.gob.cl/filer_public/69/21/6921ca49-4c6e-40bb-8f25-204d7b5e8747/protocolo_</w:t>
        </w:r>
        <w:r w:rsidR="00343446" w:rsidRPr="002C65E3">
          <w:rPr>
            <w:rStyle w:val="Hipervnculo"/>
            <w:rFonts w:eastAsia="Times New Roman"/>
            <w:szCs w:val="18"/>
          </w:rPr>
          <w:br/>
          <w:t>recomendaciones_a_residencias__para_pcd_coronavirus__1.pdf</w:t>
        </w:r>
      </w:hyperlink>
      <w:r w:rsidR="004C07FF" w:rsidRPr="002C65E3">
        <w:rPr>
          <w:rFonts w:eastAsia="Times New Roman"/>
          <w:color w:val="000000"/>
          <w:szCs w:val="18"/>
        </w:rPr>
        <w:t>.</w:t>
      </w:r>
    </w:p>
  </w:footnote>
  <w:footnote w:id="96">
    <w:p w14:paraId="28218FCF" w14:textId="08956D7D" w:rsidR="006F4911" w:rsidRPr="002C65E3" w:rsidRDefault="006E13EC"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La prioridad fue que las personas se pudieran quedar en su casa entregando los apoyos necesarios. Para casos extremos se habilitó una residencia transitoria, mientras se buscaba una solución definitiva.</w:t>
      </w:r>
    </w:p>
  </w:footnote>
  <w:footnote w:id="97">
    <w:p w14:paraId="2A96B4E5" w14:textId="3815A7BE" w:rsidR="006F4911" w:rsidRPr="002C65E3" w:rsidRDefault="006E13EC"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Algunos proyectos se enfocaron en la generación de talleres en línea sobre prevención del coronavirus para PcD y sus familias, entrega de EPP y desinfección, personales e institucionales. </w:t>
      </w:r>
    </w:p>
  </w:footnote>
  <w:footnote w:id="98">
    <w:p w14:paraId="72A66D9C" w14:textId="1A7F1CC4" w:rsidR="006F4911" w:rsidRPr="002C65E3" w:rsidRDefault="006E13EC"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Estas temáticas están referidas a adulto mayor, PcD, personas con enfermedades crónicas e inmunodeprimidas, personas con VIH/SIDA y personas LGBTIQ+, NNA, género y personas migrantes.</w:t>
      </w:r>
    </w:p>
  </w:footnote>
  <w:footnote w:id="99">
    <w:p w14:paraId="75C7F141" w14:textId="1DCC5F81" w:rsidR="006F4911" w:rsidRPr="002C65E3" w:rsidRDefault="006E13EC"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89" w:history="1">
        <w:r w:rsidR="00343446" w:rsidRPr="002C65E3">
          <w:rPr>
            <w:rStyle w:val="Hipervnculo"/>
            <w:rFonts w:eastAsia="Times New Roman"/>
            <w:szCs w:val="18"/>
          </w:rPr>
          <w:t>https://www.nefro.cl/covid/img/noticias/RECOMENDACIONES_PARA_LOS_CEA_</w:t>
        </w:r>
        <w:r w:rsidR="00343446" w:rsidRPr="002C65E3">
          <w:rPr>
            <w:rStyle w:val="Hipervnculo"/>
            <w:rFonts w:eastAsia="Times New Roman"/>
            <w:szCs w:val="18"/>
          </w:rPr>
          <w:br/>
          <w:t>COVID-19.pdf</w:t>
        </w:r>
      </w:hyperlink>
      <w:r w:rsidR="004C07FF" w:rsidRPr="002C65E3">
        <w:rPr>
          <w:rFonts w:eastAsia="Times New Roman"/>
          <w:color w:val="000000"/>
          <w:szCs w:val="18"/>
        </w:rPr>
        <w:t>.</w:t>
      </w:r>
    </w:p>
  </w:footnote>
  <w:footnote w:id="100">
    <w:p w14:paraId="127F46EC" w14:textId="1E2D645F" w:rsidR="006F4911" w:rsidRPr="002C65E3" w:rsidRDefault="006E13EC"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0" w:history="1">
        <w:r w:rsidR="00343446" w:rsidRPr="002C65E3">
          <w:rPr>
            <w:rStyle w:val="Hipervnculo"/>
            <w:rFonts w:eastAsia="Times New Roman"/>
            <w:szCs w:val="18"/>
          </w:rPr>
          <w:t>https://www.minsal.cl/wp-content/uploads/2020/07/ConsideracionesPersonasconDiscapacidad</w:t>
        </w:r>
        <w:r w:rsidR="00343446" w:rsidRPr="002C65E3">
          <w:rPr>
            <w:rStyle w:val="Hipervnculo"/>
            <w:rFonts w:eastAsia="Times New Roman"/>
            <w:szCs w:val="18"/>
          </w:rPr>
          <w:br/>
          <w:t>130720.pdf</w:t>
        </w:r>
      </w:hyperlink>
      <w:r w:rsidR="004C07FF" w:rsidRPr="002C65E3">
        <w:rPr>
          <w:rFonts w:eastAsia="Times New Roman"/>
          <w:color w:val="000000"/>
          <w:szCs w:val="18"/>
        </w:rPr>
        <w:t>.</w:t>
      </w:r>
    </w:p>
  </w:footnote>
  <w:footnote w:id="101">
    <w:p w14:paraId="37D08C66" w14:textId="12CEFAE9" w:rsidR="006F4911" w:rsidRPr="002C65E3" w:rsidRDefault="006E13EC"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1" w:history="1">
        <w:r w:rsidR="00304F41" w:rsidRPr="002C65E3">
          <w:rPr>
            <w:rStyle w:val="Hipervnculo"/>
            <w:rFonts w:eastAsia="Times New Roman"/>
            <w:szCs w:val="18"/>
          </w:rPr>
          <w:t>https://diprece.minsal.cl/wp-content/uploads/2020/10/ESTRATEGIA-DE-RESIDENCIAS-SANITARIAS_RECOMENDACIONES-PARA-EL-INGRESO-SEGUIMIENTO-Y-EGRESO-DE-PERSONAS-CON-DISCAPACIDAD.pdf</w:t>
        </w:r>
      </w:hyperlink>
      <w:r w:rsidR="004C07FF" w:rsidRPr="002C65E3">
        <w:rPr>
          <w:rFonts w:eastAsia="Times New Roman"/>
          <w:color w:val="000000"/>
          <w:szCs w:val="18"/>
        </w:rPr>
        <w:t>.</w:t>
      </w:r>
    </w:p>
  </w:footnote>
  <w:footnote w:id="102">
    <w:p w14:paraId="56A6F587" w14:textId="297C70DF" w:rsidR="006F4911" w:rsidRPr="002C65E3" w:rsidRDefault="0053722D"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92">
        <w:r w:rsidR="006F4911" w:rsidRPr="002C65E3">
          <w:rPr>
            <w:rStyle w:val="Hipervnculo"/>
          </w:rPr>
          <w:t>https://www.minsal.cl/wp-content/uploads/2020/04/DS11.pdf</w:t>
        </w:r>
      </w:hyperlink>
      <w:r w:rsidR="004C07FF" w:rsidRPr="002C65E3">
        <w:rPr>
          <w:rFonts w:eastAsia="Times New Roman"/>
          <w:szCs w:val="18"/>
        </w:rPr>
        <w:t>.</w:t>
      </w:r>
    </w:p>
  </w:footnote>
  <w:footnote w:id="103">
    <w:p w14:paraId="5E261907" w14:textId="2602E5A4"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3" w:history="1">
        <w:r w:rsidR="00304F41" w:rsidRPr="002C65E3">
          <w:rPr>
            <w:rStyle w:val="Hipervnculo"/>
            <w:rFonts w:eastAsia="Times New Roman"/>
            <w:szCs w:val="18"/>
          </w:rPr>
          <w:t>https://www.minsal.cl/nuevo-coronavirus-2019-ncov/material-de-descarga/</w:t>
        </w:r>
      </w:hyperlink>
      <w:r w:rsidR="004C07FF" w:rsidRPr="002C65E3">
        <w:rPr>
          <w:rFonts w:eastAsia="Times New Roman"/>
          <w:color w:val="000000"/>
          <w:szCs w:val="18"/>
        </w:rPr>
        <w:t>.</w:t>
      </w:r>
    </w:p>
  </w:footnote>
  <w:footnote w:id="104">
    <w:p w14:paraId="769B0B57" w14:textId="58309B1F"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4" w:history="1">
        <w:r w:rsidR="00304F41" w:rsidRPr="002C65E3">
          <w:rPr>
            <w:rStyle w:val="Hipervnculo"/>
            <w:rFonts w:eastAsia="Times New Roman"/>
            <w:szCs w:val="18"/>
          </w:rPr>
          <w:t>https://www.minsal.cl/wp-content/uploads/2021/03/GRUPOS-OBJETIVOS-3-marzo-2021.pdf</w:t>
        </w:r>
      </w:hyperlink>
      <w:r w:rsidR="004C07FF" w:rsidRPr="002C65E3">
        <w:rPr>
          <w:rFonts w:eastAsia="Times New Roman"/>
          <w:color w:val="000000"/>
          <w:szCs w:val="18"/>
        </w:rPr>
        <w:t>.</w:t>
      </w:r>
    </w:p>
  </w:footnote>
  <w:footnote w:id="105">
    <w:p w14:paraId="350EF4BA" w14:textId="5BBBC63B"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5" w:history="1">
        <w:r w:rsidR="00304F41" w:rsidRPr="002C65E3">
          <w:rPr>
            <w:rStyle w:val="Hipervnculo"/>
            <w:rFonts w:eastAsia="Times New Roman"/>
            <w:szCs w:val="18"/>
          </w:rPr>
          <w:t>https://diprece.minsal.cl/wp-content/uploads/2020/10/RECOMENDACIONES-PARA-EL-INGRESO-SEGUIMIENTO-Y-EGRESO-DE-PERSONAS-CON-NECESIDADES-DE-MANEJO-TERAPE%CC%81UTICO-ASOCIADO-A-CONDICIONES-DE-SALUD-MENTAL-O-EN-CONDICIONES-DE-EXCLUSIO%CC%81N-SOCIAL-EXTREMA.pdf</w:t>
        </w:r>
      </w:hyperlink>
      <w:r w:rsidR="004C07FF" w:rsidRPr="002C65E3">
        <w:rPr>
          <w:rFonts w:eastAsia="Times New Roman"/>
          <w:color w:val="000000"/>
          <w:szCs w:val="18"/>
        </w:rPr>
        <w:t>.</w:t>
      </w:r>
    </w:p>
  </w:footnote>
  <w:footnote w:id="106">
    <w:p w14:paraId="19CF619C" w14:textId="4DB0BAB2"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6" w:history="1">
        <w:r w:rsidR="00304F41" w:rsidRPr="002C65E3">
          <w:rPr>
            <w:rStyle w:val="Hipervnculo"/>
            <w:rFonts w:eastAsia="Times New Roman"/>
            <w:szCs w:val="18"/>
          </w:rPr>
          <w:t>https://www.senadis.gob.cl/sala_prensa/d/noticias/8226/recomendaciones-para-la-atencion-de-personas-con-discapacidad-en-el-contexto-de-la-pandemia-por-covid-19</w:t>
        </w:r>
      </w:hyperlink>
      <w:r w:rsidR="004C07FF" w:rsidRPr="002C65E3">
        <w:rPr>
          <w:rFonts w:eastAsia="Times New Roman"/>
          <w:color w:val="000000"/>
          <w:szCs w:val="18"/>
        </w:rPr>
        <w:t>.</w:t>
      </w:r>
    </w:p>
  </w:footnote>
  <w:footnote w:id="107">
    <w:p w14:paraId="43E04F93" w14:textId="37DF1591" w:rsidR="006F4911" w:rsidRPr="002C65E3" w:rsidRDefault="0053722D"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Está referido al ámbito del cuidado psicosocial y abordaje de la salud mental, en el resguardo de los derechos de NNA, personas adultas y cuidado de equipos. Véase: </w:t>
      </w:r>
      <w:hyperlink r:id="rId97" w:history="1">
        <w:r w:rsidR="00343446" w:rsidRPr="002C65E3">
          <w:rPr>
            <w:rStyle w:val="Hipervnculo"/>
            <w:rFonts w:eastAsia="Times New Roman"/>
            <w:szCs w:val="18"/>
          </w:rPr>
          <w:t>https://www.senadis.gob.cl/</w:t>
        </w:r>
        <w:r w:rsidR="00343446" w:rsidRPr="002C65E3">
          <w:rPr>
            <w:rStyle w:val="Hipervnculo"/>
            <w:rFonts w:eastAsia="Times New Roman"/>
            <w:szCs w:val="18"/>
          </w:rPr>
          <w:br/>
          <w:t>sala_prensa/d/noticias/8375/senadis-y-mesa-intersectorial-presentan-recomendaciones-y-buenas-practicas-en-salud-mental</w:t>
        </w:r>
      </w:hyperlink>
      <w:r w:rsidR="004C07FF" w:rsidRPr="002C65E3">
        <w:rPr>
          <w:rFonts w:eastAsia="Times New Roman"/>
          <w:szCs w:val="18"/>
        </w:rPr>
        <w:t>.</w:t>
      </w:r>
    </w:p>
  </w:footnote>
  <w:footnote w:id="108">
    <w:p w14:paraId="0F599332" w14:textId="16FDACD2"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8" w:history="1">
        <w:r w:rsidR="00304F41" w:rsidRPr="002C65E3">
          <w:rPr>
            <w:rStyle w:val="Hipervnculo"/>
            <w:rFonts w:eastAsia="Times New Roman"/>
            <w:szCs w:val="18"/>
          </w:rPr>
          <w:t>https://www.senadis.gob.cl/sala_prensa/d/noticias/8338/senadis-y-mesa-intersectorial-de-discapacidad-y-covid-19-desarrollan-webinar-sobre-salud-mental-y-residencias-para-personas-con-discapacidad</w:t>
        </w:r>
      </w:hyperlink>
      <w:r w:rsidR="004C07FF" w:rsidRPr="002C65E3">
        <w:rPr>
          <w:rFonts w:eastAsia="Times New Roman"/>
          <w:color w:val="000000"/>
          <w:szCs w:val="18"/>
        </w:rPr>
        <w:t>.</w:t>
      </w:r>
    </w:p>
  </w:footnote>
  <w:footnote w:id="109">
    <w:p w14:paraId="7A70A201" w14:textId="1CDBB22F"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99">
        <w:r w:rsidR="006F4911" w:rsidRPr="002C65E3">
          <w:rPr>
            <w:rFonts w:eastAsia="Times New Roman"/>
            <w:color w:val="0000FF"/>
            <w:szCs w:val="18"/>
          </w:rPr>
          <w:t>https://degreyd.minsal.cl/salud-mental-y-apoyo-psicosocial-durante-covid19/</w:t>
        </w:r>
      </w:hyperlink>
      <w:r w:rsidR="004C07FF" w:rsidRPr="002C65E3">
        <w:rPr>
          <w:rFonts w:eastAsia="Times New Roman"/>
          <w:color w:val="000000"/>
          <w:szCs w:val="18"/>
        </w:rPr>
        <w:t>.</w:t>
      </w:r>
    </w:p>
  </w:footnote>
  <w:footnote w:id="110">
    <w:p w14:paraId="4E03ED15" w14:textId="334F69E6"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0" w:history="1">
        <w:r w:rsidR="00304F41" w:rsidRPr="002C65E3">
          <w:rPr>
            <w:rStyle w:val="Hipervnculo"/>
            <w:rFonts w:eastAsia="Times New Roman"/>
            <w:szCs w:val="18"/>
          </w:rPr>
          <w:t>https://www.gob.cl/saludablemente/</w:t>
        </w:r>
      </w:hyperlink>
      <w:r w:rsidR="004C07FF" w:rsidRPr="002C65E3">
        <w:rPr>
          <w:rFonts w:eastAsia="Times New Roman"/>
          <w:color w:val="000000"/>
          <w:szCs w:val="18"/>
        </w:rPr>
        <w:t>.</w:t>
      </w:r>
    </w:p>
  </w:footnote>
  <w:footnote w:id="111">
    <w:p w14:paraId="07AB2E0D" w14:textId="1B251B5C"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006F4911" w:rsidRPr="002C65E3">
        <w:rPr>
          <w:rFonts w:eastAsia="Times New Roman"/>
          <w:color w:val="000000"/>
          <w:szCs w:val="18"/>
        </w:rPr>
        <w:t>Actualmente no se encuentra disponible.</w:t>
      </w:r>
    </w:p>
  </w:footnote>
  <w:footnote w:id="112">
    <w:p w14:paraId="4D126005" w14:textId="089E7892"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1" w:history="1">
        <w:r w:rsidR="00304F41" w:rsidRPr="002C65E3">
          <w:rPr>
            <w:rStyle w:val="Hipervnculo"/>
            <w:rFonts w:eastAsia="Times New Roman"/>
            <w:szCs w:val="18"/>
          </w:rPr>
          <w:t>https://saludresponde.minsal.cl/</w:t>
        </w:r>
      </w:hyperlink>
      <w:r w:rsidR="004C07FF" w:rsidRPr="002C65E3">
        <w:rPr>
          <w:rFonts w:eastAsia="Times New Roman"/>
          <w:color w:val="000000"/>
          <w:szCs w:val="18"/>
        </w:rPr>
        <w:t>.</w:t>
      </w:r>
    </w:p>
  </w:footnote>
  <w:footnote w:id="113">
    <w:p w14:paraId="54FA7B9A" w14:textId="42842E9D" w:rsidR="006F4911" w:rsidRPr="002C65E3" w:rsidRDefault="0053722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2" w:history="1">
        <w:r w:rsidR="00304F41" w:rsidRPr="002C65E3">
          <w:rPr>
            <w:rStyle w:val="Hipervnculo"/>
            <w:rFonts w:eastAsia="Times New Roman"/>
            <w:szCs w:val="18"/>
          </w:rPr>
          <w:t>https://saludresponde.minsal.cl/atencion-de-salud-en-lengua-de-senas-chilena/</w:t>
        </w:r>
      </w:hyperlink>
      <w:r w:rsidR="004C07FF" w:rsidRPr="002C65E3">
        <w:rPr>
          <w:rFonts w:eastAsia="Times New Roman"/>
          <w:color w:val="000000"/>
          <w:szCs w:val="18"/>
        </w:rPr>
        <w:t>.</w:t>
      </w:r>
    </w:p>
  </w:footnote>
  <w:footnote w:id="114">
    <w:p w14:paraId="2864B058" w14:textId="63FD1201"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3" w:history="1">
        <w:r w:rsidR="00304F41" w:rsidRPr="002C65E3">
          <w:rPr>
            <w:rStyle w:val="Hipervnculo"/>
            <w:rFonts w:eastAsia="Times New Roman"/>
            <w:szCs w:val="18"/>
          </w:rPr>
          <w:t>https://bcn.cl/2f9qy</w:t>
        </w:r>
      </w:hyperlink>
      <w:r w:rsidR="000A4A14" w:rsidRPr="002C65E3">
        <w:rPr>
          <w:rFonts w:eastAsia="Times New Roman"/>
          <w:color w:val="000000"/>
          <w:szCs w:val="18"/>
        </w:rPr>
        <w:t>.</w:t>
      </w:r>
    </w:p>
  </w:footnote>
  <w:footnote w:id="115">
    <w:p w14:paraId="39CDDAF0" w14:textId="7EA88973"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4" w:history="1">
        <w:r w:rsidR="00304F41" w:rsidRPr="002C65E3">
          <w:rPr>
            <w:rStyle w:val="Hipervnculo"/>
            <w:rFonts w:eastAsia="Times New Roman"/>
            <w:szCs w:val="18"/>
          </w:rPr>
          <w:t>http://bcn.cl/2fwvz</w:t>
        </w:r>
      </w:hyperlink>
      <w:r w:rsidR="000A4A14" w:rsidRPr="002C65E3">
        <w:rPr>
          <w:rFonts w:eastAsia="Times New Roman"/>
          <w:color w:val="000000"/>
          <w:szCs w:val="18"/>
        </w:rPr>
        <w:t>.</w:t>
      </w:r>
    </w:p>
  </w:footnote>
  <w:footnote w:id="116">
    <w:p w14:paraId="29550128" w14:textId="77DE27EE" w:rsidR="006F4911" w:rsidRPr="002C65E3" w:rsidRDefault="00AB7292"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Aporte monetario que forma parte de la Red de Protección Social y fue creado en 2021 de forma que, ante nuevos confinamientos, existiera una herramienta de rápida implementación que permitiera responder de forma oportuna a las familias.</w:t>
      </w:r>
    </w:p>
  </w:footnote>
  <w:footnote w:id="117">
    <w:p w14:paraId="3D1A1873" w14:textId="22ADFFDC" w:rsidR="006F4911" w:rsidRPr="002C65E3" w:rsidRDefault="00AB7292"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105">
        <w:r w:rsidR="006F4911" w:rsidRPr="002C65E3">
          <w:rPr>
            <w:rStyle w:val="Hipervnculo"/>
          </w:rPr>
          <w:t>https://www.chileatiende.gob.cl/fichas/94077-ingreso-familiar-de-emergencia-ife-universal</w:t>
        </w:r>
      </w:hyperlink>
      <w:r w:rsidR="000A4A14" w:rsidRPr="002C65E3">
        <w:rPr>
          <w:rFonts w:eastAsia="Times New Roman"/>
          <w:szCs w:val="18"/>
        </w:rPr>
        <w:t>.</w:t>
      </w:r>
    </w:p>
  </w:footnote>
  <w:footnote w:id="118">
    <w:p w14:paraId="2D28C11B" w14:textId="083D50CD"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6" w:history="1">
        <w:r w:rsidR="00304F41" w:rsidRPr="002C65E3">
          <w:rPr>
            <w:rStyle w:val="Hipervnculo"/>
            <w:rFonts w:eastAsia="Times New Roman"/>
            <w:szCs w:val="18"/>
          </w:rPr>
          <w:t>http://www.registrosocial.gob.cl/</w:t>
        </w:r>
      </w:hyperlink>
      <w:r w:rsidR="000A4A14" w:rsidRPr="002C65E3">
        <w:rPr>
          <w:rFonts w:eastAsia="Times New Roman"/>
          <w:color w:val="000000"/>
          <w:szCs w:val="18"/>
        </w:rPr>
        <w:t>.</w:t>
      </w:r>
    </w:p>
  </w:footnote>
  <w:footnote w:id="119">
    <w:p w14:paraId="0F84EDAC" w14:textId="33516C97"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7" w:history="1">
        <w:r w:rsidR="00304F41" w:rsidRPr="002C65E3">
          <w:rPr>
            <w:rStyle w:val="Hipervnculo"/>
            <w:rFonts w:eastAsia="Times New Roman"/>
            <w:szCs w:val="18"/>
          </w:rPr>
          <w:t>https://bcn.cl/2wni1</w:t>
        </w:r>
      </w:hyperlink>
      <w:r w:rsidR="000A4A14" w:rsidRPr="002C65E3">
        <w:rPr>
          <w:rFonts w:eastAsia="Times New Roman"/>
          <w:color w:val="000000"/>
          <w:szCs w:val="18"/>
        </w:rPr>
        <w:t>.</w:t>
      </w:r>
    </w:p>
  </w:footnote>
  <w:footnote w:id="120">
    <w:p w14:paraId="799E902F" w14:textId="1AC5A124" w:rsidR="006F4911" w:rsidRPr="002C65E3" w:rsidRDefault="00AB7292"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Estos beneficiarios deben pertenecer al 60% más pobre de la población. Asimismo, se aumentó el valor del subsidio, estableciéndose en el 50% del monto máximo de la PGU, esto es, $96.959. </w:t>
      </w:r>
    </w:p>
  </w:footnote>
  <w:footnote w:id="121">
    <w:p w14:paraId="530E5DD3" w14:textId="55BFA576"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8" w:history="1">
        <w:r w:rsidR="00304F41" w:rsidRPr="002C65E3">
          <w:rPr>
            <w:rStyle w:val="Hipervnculo"/>
            <w:rFonts w:eastAsia="Times New Roman"/>
            <w:szCs w:val="18"/>
          </w:rPr>
          <w:t>http://www.senado.cl/appsenado/templates/tramitacion/index.php?boletin_ini=12441-17</w:t>
        </w:r>
      </w:hyperlink>
      <w:r w:rsidR="000A4A14" w:rsidRPr="002C65E3">
        <w:rPr>
          <w:rFonts w:eastAsia="Times New Roman"/>
          <w:color w:val="000000"/>
          <w:szCs w:val="18"/>
        </w:rPr>
        <w:t>.</w:t>
      </w:r>
    </w:p>
  </w:footnote>
  <w:footnote w:id="122">
    <w:p w14:paraId="69324024" w14:textId="343B7A15"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09" w:history="1">
        <w:r w:rsidR="00A60D10" w:rsidRPr="002C65E3">
          <w:rPr>
            <w:rStyle w:val="Hipervnculo"/>
            <w:rFonts w:eastAsia="Times New Roman"/>
            <w:szCs w:val="18"/>
          </w:rPr>
          <w:t>http://www.senado.cl/appsenado/templates/tramitacion/index.php?boletin_ini=12612-07</w:t>
        </w:r>
      </w:hyperlink>
      <w:r w:rsidR="000A4A14" w:rsidRPr="002C65E3">
        <w:rPr>
          <w:rFonts w:eastAsia="Times New Roman"/>
          <w:color w:val="000000"/>
          <w:szCs w:val="18"/>
        </w:rPr>
        <w:t>.</w:t>
      </w:r>
    </w:p>
  </w:footnote>
  <w:footnote w:id="123">
    <w:p w14:paraId="47D392C6" w14:textId="68C745C7"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0" w:history="1">
        <w:r w:rsidR="00A60D10" w:rsidRPr="002C65E3">
          <w:rPr>
            <w:rStyle w:val="Hipervnculo"/>
            <w:rFonts w:eastAsia="Times New Roman"/>
            <w:szCs w:val="18"/>
          </w:rPr>
          <w:t>http://www.senado.cl/appsenado/templates/tramitacion/index.php?boletin_ini=11240-31</w:t>
        </w:r>
      </w:hyperlink>
      <w:r w:rsidR="000A4A14" w:rsidRPr="002C65E3">
        <w:rPr>
          <w:rFonts w:eastAsia="Times New Roman"/>
          <w:color w:val="000000"/>
          <w:szCs w:val="18"/>
        </w:rPr>
        <w:t>.</w:t>
      </w:r>
    </w:p>
  </w:footnote>
  <w:footnote w:id="124">
    <w:p w14:paraId="1AB28CC6" w14:textId="3FCCCE71"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1" w:history="1">
        <w:r w:rsidR="000A4A14" w:rsidRPr="002C65E3">
          <w:rPr>
            <w:rStyle w:val="Hipervnculo"/>
            <w:rFonts w:eastAsia="Times New Roman"/>
            <w:szCs w:val="18"/>
          </w:rPr>
          <w:t>https://www.camara.cl/legislacion/ProyectosDeLey/tramitacion.aspx?prmID=12972&amp;prm</w:t>
        </w:r>
        <w:r w:rsidR="000A4A14" w:rsidRPr="002C65E3">
          <w:rPr>
            <w:rStyle w:val="Hipervnculo"/>
            <w:rFonts w:eastAsia="Times New Roman"/>
            <w:szCs w:val="18"/>
          </w:rPr>
          <w:br/>
          <w:t>BOLETIN=12441-17</w:t>
        </w:r>
      </w:hyperlink>
      <w:r w:rsidR="000A4A14" w:rsidRPr="002C65E3">
        <w:rPr>
          <w:rFonts w:eastAsia="Times New Roman"/>
          <w:color w:val="000000"/>
          <w:szCs w:val="18"/>
        </w:rPr>
        <w:t>.</w:t>
      </w:r>
    </w:p>
  </w:footnote>
  <w:footnote w:id="125">
    <w:p w14:paraId="4ECF4F69" w14:textId="2F189527" w:rsidR="006F4911" w:rsidRPr="002C65E3" w:rsidRDefault="00AB729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2" w:history="1">
        <w:r w:rsidR="00F33697" w:rsidRPr="002C65E3">
          <w:rPr>
            <w:rStyle w:val="Hipervnculo"/>
            <w:rFonts w:eastAsia="Times New Roman"/>
            <w:szCs w:val="18"/>
          </w:rPr>
          <w:t>http://www.senado.cl/appsenado/templates/tramitacion/index.php?boletin_ini=14783-07</w:t>
        </w:r>
      </w:hyperlink>
      <w:r w:rsidR="000A4A14" w:rsidRPr="002C65E3">
        <w:rPr>
          <w:rFonts w:eastAsia="Times New Roman"/>
          <w:color w:val="000000"/>
          <w:szCs w:val="18"/>
        </w:rPr>
        <w:t>.</w:t>
      </w:r>
    </w:p>
  </w:footnote>
  <w:footnote w:id="126">
    <w:p w14:paraId="022653ED" w14:textId="7D260C6D" w:rsidR="006F4911" w:rsidRPr="002C65E3" w:rsidRDefault="00CD10C9"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Actualmente, el Poder Ejecutivo se encuentra trabajando en las adecuaciones correspondientes de este PdL para que la futura ley sobre capacidad jurídica cumpla con el estándar del artículo 12 de la CDPD y la OG N</w:t>
      </w:r>
      <w:r w:rsidR="00405113" w:rsidRPr="002C65E3">
        <w:rPr>
          <w:rFonts w:eastAsia="Times New Roman"/>
          <w:szCs w:val="18"/>
        </w:rPr>
        <w:t>º </w:t>
      </w:r>
      <w:r w:rsidR="006F4911" w:rsidRPr="002C65E3">
        <w:rPr>
          <w:rFonts w:eastAsia="Times New Roman"/>
          <w:szCs w:val="18"/>
        </w:rPr>
        <w:t>1 del Comité.</w:t>
      </w:r>
    </w:p>
  </w:footnote>
  <w:footnote w:id="127">
    <w:p w14:paraId="136E6A57" w14:textId="5D1EB350"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3" w:history="1">
        <w:r w:rsidR="00F33697" w:rsidRPr="002C65E3">
          <w:rPr>
            <w:rStyle w:val="Hipervnculo"/>
            <w:rFonts w:eastAsia="Times New Roman"/>
            <w:szCs w:val="18"/>
          </w:rPr>
          <w:t>http://bcn.cl/2f7cj</w:t>
        </w:r>
      </w:hyperlink>
      <w:r w:rsidR="000A4A14" w:rsidRPr="002C65E3">
        <w:rPr>
          <w:rFonts w:eastAsia="Times New Roman"/>
          <w:color w:val="000000"/>
          <w:szCs w:val="18"/>
        </w:rPr>
        <w:t>.</w:t>
      </w:r>
    </w:p>
  </w:footnote>
  <w:footnote w:id="128">
    <w:p w14:paraId="0DF24AC7" w14:textId="7DD1DC1A" w:rsidR="006F4911" w:rsidRPr="002C65E3" w:rsidRDefault="00CD10C9"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114" w:history="1">
        <w:r w:rsidR="00F33697" w:rsidRPr="002C65E3">
          <w:rPr>
            <w:rStyle w:val="Hipervnculo"/>
            <w:rFonts w:eastAsia="Times New Roman"/>
            <w:szCs w:val="18"/>
          </w:rPr>
          <w:t>http://bcn.cl/2p863</w:t>
        </w:r>
      </w:hyperlink>
      <w:r w:rsidR="000A4A14" w:rsidRPr="002C65E3">
        <w:rPr>
          <w:rFonts w:eastAsia="Times New Roman"/>
          <w:szCs w:val="18"/>
        </w:rPr>
        <w:t>.</w:t>
      </w:r>
    </w:p>
  </w:footnote>
  <w:footnote w:id="129">
    <w:p w14:paraId="232B5D22" w14:textId="76F5BBB1"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5" w:history="1">
        <w:r w:rsidR="00F33697" w:rsidRPr="002C65E3">
          <w:rPr>
            <w:rStyle w:val="Hipervnculo"/>
            <w:rFonts w:eastAsia="Times New Roman"/>
            <w:szCs w:val="18"/>
          </w:rPr>
          <w:t>http://bcn.cl/2p863</w:t>
        </w:r>
      </w:hyperlink>
      <w:r w:rsidR="000A4A14" w:rsidRPr="002C65E3">
        <w:rPr>
          <w:rFonts w:eastAsia="Times New Roman"/>
          <w:color w:val="000000"/>
          <w:szCs w:val="18"/>
        </w:rPr>
        <w:t>.</w:t>
      </w:r>
    </w:p>
  </w:footnote>
  <w:footnote w:id="130">
    <w:p w14:paraId="51A0949A" w14:textId="4C2E6505"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6" w:history="1">
        <w:r w:rsidR="003230BF" w:rsidRPr="002C65E3">
          <w:rPr>
            <w:rStyle w:val="Hipervnculo"/>
            <w:rFonts w:eastAsia="Times New Roman"/>
            <w:szCs w:val="18"/>
          </w:rPr>
          <w:t>https://www.pjud.cl/</w:t>
        </w:r>
      </w:hyperlink>
      <w:r w:rsidR="000A4A14" w:rsidRPr="002C65E3">
        <w:rPr>
          <w:rFonts w:eastAsia="Times New Roman"/>
          <w:color w:val="000000"/>
          <w:szCs w:val="18"/>
        </w:rPr>
        <w:t>.</w:t>
      </w:r>
    </w:p>
  </w:footnote>
  <w:footnote w:id="131">
    <w:p w14:paraId="1871BB14" w14:textId="2AE64410"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7" w:history="1">
        <w:r w:rsidR="003230BF" w:rsidRPr="002C65E3">
          <w:rPr>
            <w:rStyle w:val="Hipervnculo"/>
            <w:rFonts w:eastAsia="Times New Roman"/>
            <w:szCs w:val="18"/>
          </w:rPr>
          <w:t>https://www.youtube.com/watch?v=AE-hnP8KYP4</w:t>
        </w:r>
      </w:hyperlink>
      <w:r w:rsidR="00E74E62" w:rsidRPr="002C65E3">
        <w:rPr>
          <w:rFonts w:eastAsia="Times New Roman"/>
          <w:color w:val="000000"/>
          <w:szCs w:val="18"/>
        </w:rPr>
        <w:t>.</w:t>
      </w:r>
    </w:p>
  </w:footnote>
  <w:footnote w:id="132">
    <w:p w14:paraId="5E22ADA7" w14:textId="5ECDEC15"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8" w:history="1">
        <w:r w:rsidR="003230BF" w:rsidRPr="002C65E3">
          <w:rPr>
            <w:rStyle w:val="Hipervnculo"/>
            <w:rFonts w:eastAsia="Times New Roman"/>
            <w:szCs w:val="18"/>
          </w:rPr>
          <w:t>https://www.youtube.com/playlist?list=PLiM1Z2DRIWDMZTTs4Y4NLEYRk3wQIEvqq</w:t>
        </w:r>
      </w:hyperlink>
      <w:r w:rsidR="00E74E62" w:rsidRPr="002C65E3">
        <w:rPr>
          <w:rFonts w:eastAsia="Times New Roman"/>
          <w:color w:val="000000"/>
          <w:szCs w:val="18"/>
        </w:rPr>
        <w:t>.</w:t>
      </w:r>
    </w:p>
  </w:footnote>
  <w:footnote w:id="133">
    <w:p w14:paraId="736CD321" w14:textId="1CE6CC67"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19" w:history="1">
        <w:r w:rsidR="003230BF" w:rsidRPr="002C65E3">
          <w:rPr>
            <w:rStyle w:val="Hipervnculo"/>
            <w:rFonts w:eastAsia="Times New Roman"/>
            <w:szCs w:val="18"/>
          </w:rPr>
          <w:t>https://www.youtube.com/c/pjudicialchile/featured</w:t>
        </w:r>
      </w:hyperlink>
      <w:r w:rsidR="00E74E62" w:rsidRPr="002C65E3">
        <w:rPr>
          <w:rFonts w:eastAsia="Times New Roman"/>
          <w:color w:val="000000"/>
          <w:szCs w:val="18"/>
        </w:rPr>
        <w:t>.</w:t>
      </w:r>
    </w:p>
  </w:footnote>
  <w:footnote w:id="134">
    <w:p w14:paraId="30EC95AC" w14:textId="04A303FE" w:rsidR="006F4911" w:rsidRPr="002C65E3" w:rsidRDefault="00CD10C9"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Anexo Nº</w:t>
      </w:r>
      <w:r w:rsidR="00405113" w:rsidRPr="002C65E3">
        <w:rPr>
          <w:rFonts w:eastAsia="Times New Roman"/>
          <w:szCs w:val="18"/>
        </w:rPr>
        <w:t> </w:t>
      </w:r>
      <w:r w:rsidR="006F4911" w:rsidRPr="002C65E3">
        <w:rPr>
          <w:rFonts w:eastAsia="Times New Roman"/>
          <w:szCs w:val="18"/>
        </w:rPr>
        <w:t>3.</w:t>
      </w:r>
    </w:p>
  </w:footnote>
  <w:footnote w:id="135">
    <w:p w14:paraId="7F36A48C" w14:textId="5D3C5F09"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0" w:history="1">
        <w:r w:rsidR="003230BF" w:rsidRPr="002C65E3">
          <w:rPr>
            <w:rStyle w:val="Hipervnculo"/>
            <w:rFonts w:eastAsia="Times New Roman"/>
            <w:szCs w:val="18"/>
          </w:rPr>
          <w:t>https://www.senadis.gob.cl/descarga/i/6664/documento</w:t>
        </w:r>
      </w:hyperlink>
      <w:r w:rsidR="00E74E62" w:rsidRPr="002C65E3">
        <w:rPr>
          <w:rFonts w:eastAsia="Times New Roman"/>
          <w:color w:val="000000"/>
          <w:szCs w:val="18"/>
        </w:rPr>
        <w:t>.</w:t>
      </w:r>
    </w:p>
  </w:footnote>
  <w:footnote w:id="136">
    <w:p w14:paraId="6E53907C" w14:textId="7016D161"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1" w:history="1">
        <w:r w:rsidR="003230BF" w:rsidRPr="002C65E3">
          <w:rPr>
            <w:rStyle w:val="Hipervnculo"/>
            <w:rFonts w:eastAsia="Times New Roman"/>
            <w:szCs w:val="18"/>
          </w:rPr>
          <w:t>https://www.pjud.cl/prensa-y-comunicaciones/noticias-del-poder-judicial/63136</w:t>
        </w:r>
      </w:hyperlink>
      <w:r w:rsidR="00E74E62" w:rsidRPr="002C65E3">
        <w:rPr>
          <w:rFonts w:eastAsia="Times New Roman"/>
          <w:color w:val="000000"/>
          <w:szCs w:val="18"/>
        </w:rPr>
        <w:t>.</w:t>
      </w:r>
    </w:p>
  </w:footnote>
  <w:footnote w:id="137">
    <w:p w14:paraId="16DAC82E" w14:textId="366B72C5"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2" w:history="1">
        <w:r w:rsidR="003230BF" w:rsidRPr="002C65E3">
          <w:rPr>
            <w:rStyle w:val="Hipervnculo"/>
            <w:rFonts w:eastAsia="Times New Roman"/>
            <w:szCs w:val="18"/>
          </w:rPr>
          <w:t>https://www.senadis.gob.cl/participacion/d/noticias/8811/senadis-expone-en-curso-de-instructores-en-derechos-humanos-aplicables-a-la-funcion-policial</w:t>
        </w:r>
      </w:hyperlink>
      <w:r w:rsidR="00E74E62" w:rsidRPr="002C65E3">
        <w:rPr>
          <w:rFonts w:eastAsia="Times New Roman"/>
          <w:color w:val="000000"/>
          <w:szCs w:val="18"/>
        </w:rPr>
        <w:t>.</w:t>
      </w:r>
    </w:p>
  </w:footnote>
  <w:footnote w:id="138">
    <w:p w14:paraId="623E4C2C" w14:textId="1EF8CE12" w:rsidR="006F4911" w:rsidRPr="002C65E3" w:rsidRDefault="00CD10C9"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Anexo N</w:t>
      </w:r>
      <w:r w:rsidR="00405113" w:rsidRPr="002C65E3">
        <w:rPr>
          <w:rFonts w:eastAsia="Times New Roman"/>
          <w:szCs w:val="18"/>
        </w:rPr>
        <w:t>º </w:t>
      </w:r>
      <w:r w:rsidR="006F4911" w:rsidRPr="002C65E3">
        <w:rPr>
          <w:rFonts w:eastAsia="Times New Roman"/>
          <w:szCs w:val="18"/>
        </w:rPr>
        <w:t>4.</w:t>
      </w:r>
    </w:p>
  </w:footnote>
  <w:footnote w:id="139">
    <w:p w14:paraId="0AFD2E6C" w14:textId="531EC535"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3" w:history="1">
        <w:r w:rsidR="003230BF" w:rsidRPr="002C65E3">
          <w:rPr>
            <w:rStyle w:val="Hipervnculo"/>
            <w:rFonts w:eastAsia="Times New Roman"/>
            <w:szCs w:val="18"/>
          </w:rPr>
          <w:t>https://www.ucentral.cl/noticias/fac-derecho-y-humanidades/proyecto-vcm-discapacidad-en-la-carcel-reconociendo-derechos-para-la</w:t>
        </w:r>
      </w:hyperlink>
      <w:r w:rsidR="00E74E62" w:rsidRPr="002C65E3">
        <w:rPr>
          <w:rFonts w:eastAsia="Times New Roman"/>
          <w:color w:val="000000"/>
          <w:szCs w:val="18"/>
        </w:rPr>
        <w:t>.</w:t>
      </w:r>
    </w:p>
  </w:footnote>
  <w:footnote w:id="140">
    <w:p w14:paraId="2DEA9112" w14:textId="06DFD342" w:rsidR="006F4911" w:rsidRPr="002C65E3" w:rsidRDefault="00CD10C9"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En 2021 se programó una capacitación por región. Para el 2022 se comprometieron 25 capacitaciones.</w:t>
      </w:r>
    </w:p>
  </w:footnote>
  <w:footnote w:id="141">
    <w:p w14:paraId="1ACC1CFC" w14:textId="3962E88A" w:rsidR="006F4911" w:rsidRPr="002C65E3" w:rsidRDefault="00CD10C9"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Esta mesa está destinada a abordar integralmente las necesidades de las PcD privadas de libertad o usuarias de Gendarmería, conforme a los principios de accesibilidad universal, ajustes razonables, movilidad personal, habilitación y rehabilitación.</w:t>
      </w:r>
    </w:p>
  </w:footnote>
  <w:footnote w:id="142">
    <w:p w14:paraId="2380A0ED" w14:textId="5E8073B2"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4" w:history="1">
        <w:r w:rsidR="003230BF" w:rsidRPr="002C65E3">
          <w:rPr>
            <w:rStyle w:val="Hipervnculo"/>
            <w:rFonts w:eastAsia="Times New Roman"/>
            <w:szCs w:val="18"/>
          </w:rPr>
          <w:t>https://academiajudicial.cl/</w:t>
        </w:r>
      </w:hyperlink>
      <w:r w:rsidR="00E74E62" w:rsidRPr="002C65E3">
        <w:rPr>
          <w:rFonts w:eastAsia="Times New Roman"/>
          <w:color w:val="000000"/>
          <w:szCs w:val="18"/>
        </w:rPr>
        <w:t>.</w:t>
      </w:r>
    </w:p>
  </w:footnote>
  <w:footnote w:id="143">
    <w:p w14:paraId="18AA727A" w14:textId="00E34DA8"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5" w:history="1">
        <w:r w:rsidR="003230BF" w:rsidRPr="002C65E3">
          <w:rPr>
            <w:rStyle w:val="Hipervnculo"/>
            <w:rFonts w:eastAsia="Times New Roman"/>
            <w:szCs w:val="18"/>
          </w:rPr>
          <w:t>https://academiajudicial.cl/wp-content/uploads/2021/11/4056-2022.docx.pdf</w:t>
        </w:r>
      </w:hyperlink>
      <w:r w:rsidR="00E74E62" w:rsidRPr="002C65E3">
        <w:rPr>
          <w:rFonts w:eastAsia="Times New Roman"/>
          <w:color w:val="000000"/>
          <w:szCs w:val="18"/>
        </w:rPr>
        <w:t>.</w:t>
      </w:r>
    </w:p>
  </w:footnote>
  <w:footnote w:id="144">
    <w:p w14:paraId="5DF665A5" w14:textId="41FD8D8D" w:rsidR="006F4911" w:rsidRPr="002C65E3" w:rsidRDefault="00CD10C9"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El objeto de este curso es reflexionar respecto al derecho de acceso a la justicia de PcD en tribunales. </w:t>
      </w:r>
    </w:p>
  </w:footnote>
  <w:footnote w:id="145">
    <w:p w14:paraId="50A6550A" w14:textId="7C074349" w:rsidR="006F4911" w:rsidRPr="002C65E3" w:rsidRDefault="00CD10C9"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Sobre las PcD al interior del PJUD, hay 19 funcionarios en calidad de titular o contrata anual y se han impulsado acciones para motivar la inscripción al RND.</w:t>
      </w:r>
    </w:p>
  </w:footnote>
  <w:footnote w:id="146">
    <w:p w14:paraId="18194244" w14:textId="2B26DF47" w:rsidR="006F4911" w:rsidRPr="002C65E3" w:rsidRDefault="00CD10C9"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6" w:history="1">
        <w:r w:rsidR="003230BF" w:rsidRPr="002C65E3">
          <w:rPr>
            <w:rStyle w:val="Hipervnculo"/>
            <w:rFonts w:eastAsia="Times New Roman"/>
            <w:szCs w:val="18"/>
          </w:rPr>
          <w:t>http://bcn.cl/2o7zd</w:t>
        </w:r>
      </w:hyperlink>
      <w:r w:rsidR="00E74E62" w:rsidRPr="002C65E3">
        <w:rPr>
          <w:rFonts w:eastAsia="Times New Roman"/>
          <w:color w:val="000000"/>
          <w:szCs w:val="18"/>
        </w:rPr>
        <w:t>.</w:t>
      </w:r>
    </w:p>
  </w:footnote>
  <w:footnote w:id="147">
    <w:p w14:paraId="1C0FF82E" w14:textId="0D5077F2" w:rsidR="006F4911" w:rsidRPr="002C65E3" w:rsidRDefault="00572F3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7" w:history="1">
        <w:r w:rsidR="00E74E62" w:rsidRPr="002C65E3">
          <w:rPr>
            <w:rStyle w:val="Hipervnculo"/>
            <w:rFonts w:eastAsia="Times New Roman"/>
            <w:szCs w:val="18"/>
          </w:rPr>
          <w:t>http://www.fiscaliadechile.cl/transparencia/documentos/reglamentos/reglamento_inclusion</w:t>
        </w:r>
        <w:r w:rsidR="00E74E62" w:rsidRPr="002C65E3">
          <w:rPr>
            <w:rStyle w:val="Hipervnculo"/>
            <w:rFonts w:eastAsia="Times New Roman"/>
            <w:szCs w:val="18"/>
          </w:rPr>
          <w:br/>
          <w:t>_de_personas_con_discapacidad_al_mundo_laboral.pdf</w:t>
        </w:r>
      </w:hyperlink>
      <w:r w:rsidR="00E74E62" w:rsidRPr="002C65E3">
        <w:rPr>
          <w:rFonts w:eastAsia="Times New Roman"/>
          <w:color w:val="000000"/>
          <w:szCs w:val="18"/>
        </w:rPr>
        <w:t>.</w:t>
      </w:r>
    </w:p>
  </w:footnote>
  <w:footnote w:id="148">
    <w:p w14:paraId="2BB0CF82" w14:textId="021866FC" w:rsidR="006F4911" w:rsidRPr="002C65E3" w:rsidRDefault="00572F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Asistieron 268 funcionarios.</w:t>
      </w:r>
    </w:p>
  </w:footnote>
  <w:footnote w:id="149">
    <w:p w14:paraId="39157D0D" w14:textId="7CDCCC0F" w:rsidR="006F4911" w:rsidRPr="002C65E3" w:rsidRDefault="00CB74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Anexo Nº</w:t>
      </w:r>
      <w:r w:rsidR="00405113" w:rsidRPr="002C65E3">
        <w:rPr>
          <w:rFonts w:eastAsia="Times New Roman"/>
          <w:szCs w:val="18"/>
        </w:rPr>
        <w:t> </w:t>
      </w:r>
      <w:r w:rsidR="006F4911" w:rsidRPr="002C65E3">
        <w:rPr>
          <w:rFonts w:eastAsia="Times New Roman"/>
          <w:szCs w:val="18"/>
        </w:rPr>
        <w:t xml:space="preserve">4. </w:t>
      </w:r>
    </w:p>
  </w:footnote>
  <w:footnote w:id="150">
    <w:p w14:paraId="086B38DD" w14:textId="63163306"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8" w:history="1">
        <w:r w:rsidR="003230BF" w:rsidRPr="002C65E3">
          <w:rPr>
            <w:rStyle w:val="Hipervnculo"/>
            <w:rFonts w:eastAsia="Times New Roman"/>
            <w:szCs w:val="18"/>
          </w:rPr>
          <w:t>http://bcn.cl/2irkh</w:t>
        </w:r>
      </w:hyperlink>
      <w:r w:rsidR="00E74E62" w:rsidRPr="002C65E3">
        <w:rPr>
          <w:rFonts w:eastAsia="Times New Roman"/>
          <w:color w:val="000000"/>
          <w:szCs w:val="18"/>
        </w:rPr>
        <w:t>.</w:t>
      </w:r>
    </w:p>
  </w:footnote>
  <w:footnote w:id="151">
    <w:p w14:paraId="1471214C" w14:textId="65B066E6"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29" w:history="1">
        <w:r w:rsidR="003230BF" w:rsidRPr="002C65E3">
          <w:rPr>
            <w:rStyle w:val="Hipervnculo"/>
            <w:rFonts w:eastAsia="Times New Roman"/>
            <w:szCs w:val="18"/>
          </w:rPr>
          <w:t>http://bcn.cl/33we7</w:t>
        </w:r>
      </w:hyperlink>
      <w:r w:rsidR="00E74E62" w:rsidRPr="002C65E3">
        <w:rPr>
          <w:rFonts w:eastAsia="Times New Roman"/>
          <w:color w:val="000000"/>
          <w:szCs w:val="18"/>
        </w:rPr>
        <w:t>.</w:t>
      </w:r>
    </w:p>
  </w:footnote>
  <w:footnote w:id="152">
    <w:p w14:paraId="53171E20" w14:textId="3B687580"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0" w:history="1">
        <w:r w:rsidR="003230BF" w:rsidRPr="002C65E3">
          <w:rPr>
            <w:rStyle w:val="Hipervnculo"/>
            <w:rFonts w:eastAsia="Times New Roman"/>
            <w:szCs w:val="18"/>
          </w:rPr>
          <w:t>http://bcn.cl/2p863</w:t>
        </w:r>
      </w:hyperlink>
      <w:r w:rsidR="00E74E62" w:rsidRPr="002C65E3">
        <w:rPr>
          <w:rFonts w:eastAsia="Times New Roman"/>
          <w:color w:val="000000"/>
          <w:szCs w:val="18"/>
        </w:rPr>
        <w:t>.</w:t>
      </w:r>
    </w:p>
  </w:footnote>
  <w:footnote w:id="153">
    <w:p w14:paraId="38EB9056" w14:textId="31707137"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1" w:history="1">
        <w:r w:rsidR="003230BF" w:rsidRPr="002C65E3">
          <w:rPr>
            <w:rStyle w:val="Hipervnculo"/>
            <w:rFonts w:eastAsia="Times New Roman"/>
            <w:szCs w:val="18"/>
          </w:rPr>
          <w:t>https://www.senado.cl/appsenado/templates/tramitacion/index.php?boletin_ini=14233-07</w:t>
        </w:r>
      </w:hyperlink>
      <w:r w:rsidR="00E74E62" w:rsidRPr="002C65E3">
        <w:rPr>
          <w:rFonts w:eastAsia="Times New Roman"/>
          <w:color w:val="000000"/>
          <w:szCs w:val="18"/>
        </w:rPr>
        <w:t>.</w:t>
      </w:r>
    </w:p>
  </w:footnote>
  <w:footnote w:id="154">
    <w:p w14:paraId="400CFD7F" w14:textId="41B409EC"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2" w:history="1">
        <w:r w:rsidR="003230BF" w:rsidRPr="002C65E3">
          <w:rPr>
            <w:rStyle w:val="Hipervnculo"/>
            <w:rFonts w:eastAsia="Times New Roman"/>
            <w:szCs w:val="18"/>
          </w:rPr>
          <w:t>https://www.senado.cl/appsenado/templates/tramitacion/index.php?boletin_ini=13437-07</w:t>
        </w:r>
      </w:hyperlink>
      <w:r w:rsidR="00E74E62" w:rsidRPr="002C65E3">
        <w:rPr>
          <w:rFonts w:eastAsia="Times New Roman"/>
          <w:color w:val="000000"/>
          <w:szCs w:val="18"/>
        </w:rPr>
        <w:t>.</w:t>
      </w:r>
    </w:p>
  </w:footnote>
  <w:footnote w:id="155">
    <w:p w14:paraId="4D65CB33" w14:textId="32ED6C64"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3" w:history="1">
        <w:r w:rsidR="003230BF" w:rsidRPr="002C65E3">
          <w:rPr>
            <w:rStyle w:val="Hipervnculo"/>
            <w:rFonts w:eastAsia="Times New Roman"/>
            <w:szCs w:val="18"/>
          </w:rPr>
          <w:t>http://www.senado.cl/appsenado/templates/tramitacion/index.php?boletin_ini=12213-07</w:t>
        </w:r>
      </w:hyperlink>
      <w:r w:rsidR="00E74E62" w:rsidRPr="002C65E3">
        <w:rPr>
          <w:rFonts w:eastAsia="Times New Roman"/>
          <w:color w:val="000000"/>
          <w:szCs w:val="18"/>
        </w:rPr>
        <w:t>.</w:t>
      </w:r>
    </w:p>
  </w:footnote>
  <w:footnote w:id="156">
    <w:p w14:paraId="55314A1A" w14:textId="59640102"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4" w:history="1">
        <w:r w:rsidR="003230BF" w:rsidRPr="002C65E3">
          <w:rPr>
            <w:rStyle w:val="Hipervnculo"/>
            <w:rFonts w:eastAsia="Times New Roman"/>
            <w:szCs w:val="18"/>
          </w:rPr>
          <w:t>http://bcn.cl/2p863</w:t>
        </w:r>
      </w:hyperlink>
      <w:r w:rsidR="00E74E62" w:rsidRPr="002C65E3">
        <w:rPr>
          <w:rFonts w:eastAsia="Times New Roman"/>
          <w:color w:val="000000"/>
          <w:szCs w:val="18"/>
        </w:rPr>
        <w:t>.</w:t>
      </w:r>
    </w:p>
  </w:footnote>
  <w:footnote w:id="157">
    <w:p w14:paraId="5EF4BAD5" w14:textId="6C878AE8"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5" w:history="1">
        <w:r w:rsidR="003230BF" w:rsidRPr="002C65E3">
          <w:rPr>
            <w:rStyle w:val="Hipervnculo"/>
            <w:rFonts w:eastAsia="Times New Roman"/>
            <w:szCs w:val="18"/>
          </w:rPr>
          <w:t>https://bcn.cl/2fbiv</w:t>
        </w:r>
      </w:hyperlink>
      <w:r w:rsidR="00E74E62" w:rsidRPr="002C65E3">
        <w:rPr>
          <w:rFonts w:eastAsia="Times New Roman"/>
          <w:color w:val="000000"/>
          <w:szCs w:val="18"/>
        </w:rPr>
        <w:t>.</w:t>
      </w:r>
    </w:p>
  </w:footnote>
  <w:footnote w:id="158">
    <w:p w14:paraId="6DB07317" w14:textId="33E668A5" w:rsidR="006F4911" w:rsidRPr="002C65E3" w:rsidRDefault="00CB74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La denuncia es obligatoria para ciertas personas en razón de su cargo. CONAPREM, si bien no tiene facultades sancionatorias, ante denuncias desarrolla sumarios administrativos, pudiendo investigar y hacer visibles posibles vulneraciones, proponiendo medidas reparatorias y preventivas.</w:t>
      </w:r>
    </w:p>
  </w:footnote>
  <w:footnote w:id="159">
    <w:p w14:paraId="253C20E9" w14:textId="26E8D6AD"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6" w:history="1">
        <w:r w:rsidR="003230BF" w:rsidRPr="002C65E3">
          <w:rPr>
            <w:rStyle w:val="Hipervnculo"/>
            <w:rFonts w:eastAsia="Times New Roman"/>
            <w:szCs w:val="18"/>
          </w:rPr>
          <w:t>http://bcn.cl/33x29</w:t>
        </w:r>
      </w:hyperlink>
      <w:r w:rsidR="00260F15" w:rsidRPr="002C65E3">
        <w:rPr>
          <w:rFonts w:eastAsia="Times New Roman"/>
          <w:color w:val="000000"/>
          <w:szCs w:val="18"/>
        </w:rPr>
        <w:t>.</w:t>
      </w:r>
    </w:p>
  </w:footnote>
  <w:footnote w:id="160">
    <w:p w14:paraId="0EC73F53" w14:textId="4D807002"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7" w:history="1">
        <w:r w:rsidR="003230BF" w:rsidRPr="002C65E3">
          <w:rPr>
            <w:rStyle w:val="Hipervnculo"/>
            <w:rFonts w:eastAsia="Times New Roman"/>
            <w:szCs w:val="18"/>
          </w:rPr>
          <w:t>http://bcn.cl/2p863</w:t>
        </w:r>
      </w:hyperlink>
      <w:r w:rsidR="00260F15" w:rsidRPr="002C65E3">
        <w:rPr>
          <w:rFonts w:eastAsia="Times New Roman"/>
          <w:color w:val="000000"/>
          <w:szCs w:val="18"/>
        </w:rPr>
        <w:t>.</w:t>
      </w:r>
    </w:p>
  </w:footnote>
  <w:footnote w:id="161">
    <w:p w14:paraId="0CD4FADE" w14:textId="484AA60C" w:rsidR="006F4911" w:rsidRPr="002C65E3" w:rsidRDefault="00CB74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Este criterio lo aplicó CONAPREM en sesión de 14.10.2021 al revisar antecedentes para práctica de psicocirugía, la que fue rechazada por no constar consentimiento informado de la persona afectada y porque no se había abordado previamente la posibilidad de otras terapias.</w:t>
      </w:r>
    </w:p>
  </w:footnote>
  <w:footnote w:id="162">
    <w:p w14:paraId="61A8D476" w14:textId="5355C94D"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8">
        <w:r w:rsidR="006F4911" w:rsidRPr="002C65E3">
          <w:rPr>
            <w:rFonts w:eastAsia="Times New Roman"/>
            <w:color w:val="0000FF"/>
            <w:szCs w:val="18"/>
          </w:rPr>
          <w:t>http://bcn.cl/33x2a</w:t>
        </w:r>
      </w:hyperlink>
      <w:r w:rsidR="00260F15" w:rsidRPr="002C65E3">
        <w:rPr>
          <w:rFonts w:eastAsia="Times New Roman"/>
          <w:color w:val="000000"/>
          <w:szCs w:val="18"/>
        </w:rPr>
        <w:t>.</w:t>
      </w:r>
    </w:p>
  </w:footnote>
  <w:footnote w:id="163">
    <w:p w14:paraId="24EBAD74" w14:textId="1D18813E"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39" w:history="1">
        <w:r w:rsidR="003230BF" w:rsidRPr="002C65E3">
          <w:rPr>
            <w:rStyle w:val="Hipervnculo"/>
            <w:rFonts w:eastAsia="Times New Roman"/>
            <w:szCs w:val="18"/>
          </w:rPr>
          <w:t>https://www.minsal.cl/wp-content/uploads/2017/12/PDF-PLAN-NACIONAL-SALUD-MENTAL-2017-A-2025.-7-dic-2017.pdf</w:t>
        </w:r>
      </w:hyperlink>
      <w:r w:rsidR="00260F15" w:rsidRPr="002C65E3">
        <w:rPr>
          <w:rFonts w:eastAsia="Times New Roman"/>
          <w:color w:val="000000"/>
          <w:szCs w:val="18"/>
        </w:rPr>
        <w:t>.</w:t>
      </w:r>
    </w:p>
  </w:footnote>
  <w:footnote w:id="164">
    <w:p w14:paraId="0069F4EA" w14:textId="5022DB13"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0" w:history="1">
        <w:r w:rsidR="003230BF" w:rsidRPr="002C65E3">
          <w:rPr>
            <w:rStyle w:val="Hipervnculo"/>
            <w:rFonts w:eastAsia="Times New Roman"/>
            <w:szCs w:val="18"/>
          </w:rPr>
          <w:t>https://mnpt.cl/wp-content/uploads/2021/09/74830-INFORME-ANUAL-CPT-INTE-web-INDH.pdf</w:t>
        </w:r>
      </w:hyperlink>
      <w:r w:rsidR="00260F15" w:rsidRPr="002C65E3">
        <w:rPr>
          <w:rFonts w:eastAsia="Times New Roman"/>
          <w:color w:val="000000"/>
          <w:szCs w:val="18"/>
        </w:rPr>
        <w:t>.</w:t>
      </w:r>
    </w:p>
  </w:footnote>
  <w:footnote w:id="165">
    <w:p w14:paraId="7BE56A34" w14:textId="2C66F39C" w:rsidR="006F4911" w:rsidRPr="002C65E3" w:rsidRDefault="00CB74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Reglamento de Hospitalización Psiquiátrica, Norma técnica de terapia electroconvulsiva, Protocolo de acción frente a vulneración de derechos ocurridos en contexto de atención de salud mental.</w:t>
      </w:r>
    </w:p>
  </w:footnote>
  <w:footnote w:id="166">
    <w:p w14:paraId="2B284BBF" w14:textId="643B408A"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1" w:history="1">
        <w:r w:rsidR="003230BF" w:rsidRPr="002C65E3">
          <w:rPr>
            <w:rStyle w:val="Hipervnculo"/>
            <w:rFonts w:eastAsia="Times New Roman"/>
            <w:szCs w:val="18"/>
          </w:rPr>
          <w:t>https://eurosocial.eu/wp-content/uploads/2020/03/document7.pdf</w:t>
        </w:r>
      </w:hyperlink>
      <w:r w:rsidR="00260F15" w:rsidRPr="002C65E3">
        <w:rPr>
          <w:rFonts w:eastAsia="Times New Roman"/>
          <w:color w:val="000000"/>
          <w:szCs w:val="18"/>
        </w:rPr>
        <w:t>.</w:t>
      </w:r>
    </w:p>
  </w:footnote>
  <w:footnote w:id="167">
    <w:p w14:paraId="43EEB42E" w14:textId="100E162C" w:rsidR="006F4911" w:rsidRPr="002C65E3" w:rsidRDefault="00CB74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El Manual dispone que no se pueden hacer diferencias al recepcionar denuncias, tachar la validez jurídica o incidir desfavorablemente en el inicio de la investigación, relevando que los delitos de violencia de género cometidos en contra de PcD, se cometen frecuentemente en el seno del hogar, y por ello las PcD se encuentran en una situación que requiere especial protección. Adicionalmente, MP cuenta con la Instrucción General que imparte criterios de actuación en delitos de violencia institucional.</w:t>
      </w:r>
    </w:p>
  </w:footnote>
  <w:footnote w:id="168">
    <w:p w14:paraId="378321BA" w14:textId="6BF71A19" w:rsidR="006F4911" w:rsidRPr="002C65E3" w:rsidRDefault="00CB740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La implementación de la </w:t>
      </w:r>
      <w:hyperlink r:id="rId142">
        <w:r w:rsidR="006F4911" w:rsidRPr="002C65E3">
          <w:rPr>
            <w:rFonts w:eastAsia="Times New Roman"/>
            <w:szCs w:val="18"/>
          </w:rPr>
          <w:t>Ley N</w:t>
        </w:r>
        <w:r w:rsidR="00405113" w:rsidRPr="002C65E3">
          <w:rPr>
            <w:rFonts w:eastAsia="Times New Roman"/>
            <w:szCs w:val="18"/>
          </w:rPr>
          <w:t>º </w:t>
        </w:r>
        <w:r w:rsidR="006F4911" w:rsidRPr="002C65E3">
          <w:rPr>
            <w:rFonts w:eastAsia="Times New Roman"/>
            <w:szCs w:val="18"/>
          </w:rPr>
          <w:t>21.057</w:t>
        </w:r>
      </w:hyperlink>
      <w:r w:rsidR="006F4911" w:rsidRPr="002C65E3">
        <w:rPr>
          <w:rFonts w:eastAsia="Times New Roman"/>
          <w:szCs w:val="18"/>
        </w:rPr>
        <w:t xml:space="preserve"> se encuentra tercera etapa desde 03.10.2022, completando su implementación en todo el país.</w:t>
      </w:r>
    </w:p>
  </w:footnote>
  <w:footnote w:id="169">
    <w:p w14:paraId="3CB1AE51" w14:textId="5027E9C4"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3" w:history="1">
        <w:r w:rsidR="003230BF" w:rsidRPr="002C65E3">
          <w:rPr>
            <w:rStyle w:val="Hipervnculo"/>
            <w:rFonts w:eastAsia="Times New Roman"/>
            <w:szCs w:val="18"/>
          </w:rPr>
          <w:t>http://bcn.cl/33qa6</w:t>
        </w:r>
      </w:hyperlink>
      <w:r w:rsidR="00260F15" w:rsidRPr="002C65E3">
        <w:rPr>
          <w:rFonts w:eastAsia="Times New Roman"/>
          <w:color w:val="000000"/>
          <w:szCs w:val="18"/>
        </w:rPr>
        <w:t>.</w:t>
      </w:r>
    </w:p>
  </w:footnote>
  <w:footnote w:id="170">
    <w:p w14:paraId="077939CA" w14:textId="263FD2CE" w:rsidR="006F4911" w:rsidRPr="002C65E3" w:rsidRDefault="00CB7401"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4" w:history="1">
        <w:r w:rsidR="00260F15" w:rsidRPr="002C65E3">
          <w:rPr>
            <w:rStyle w:val="Hipervnculo"/>
            <w:rFonts w:eastAsia="Times New Roman"/>
            <w:szCs w:val="18"/>
          </w:rPr>
          <w:t>https://ordenesgenerales.investigaciones.cl/Archivo/Descarga/?file=7A3C8B3639FE6D2</w:t>
        </w:r>
        <w:r w:rsidR="00260F15" w:rsidRPr="002C65E3">
          <w:rPr>
            <w:rStyle w:val="Hipervnculo"/>
            <w:rFonts w:eastAsia="Times New Roman"/>
            <w:szCs w:val="18"/>
          </w:rPr>
          <w:br/>
          <w:t>F62020269C421582E4F10B2F9</w:t>
        </w:r>
      </w:hyperlink>
      <w:r w:rsidR="00260F15" w:rsidRPr="002C65E3">
        <w:rPr>
          <w:rFonts w:eastAsia="Times New Roman"/>
          <w:szCs w:val="18"/>
        </w:rPr>
        <w:t>.</w:t>
      </w:r>
    </w:p>
  </w:footnote>
  <w:footnote w:id="171">
    <w:p w14:paraId="50AA9E1F" w14:textId="7986F110" w:rsidR="006F4911" w:rsidRPr="002C65E3" w:rsidRDefault="008328DB"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5" w:history="1">
        <w:r w:rsidR="003230BF" w:rsidRPr="002C65E3">
          <w:rPr>
            <w:rStyle w:val="Hipervnculo"/>
            <w:rFonts w:eastAsia="Times New Roman"/>
            <w:szCs w:val="18"/>
          </w:rPr>
          <w:t>http://bcn.cl/2nfgq</w:t>
        </w:r>
      </w:hyperlink>
      <w:r w:rsidR="00260F15" w:rsidRPr="002C65E3">
        <w:rPr>
          <w:rFonts w:eastAsia="Times New Roman"/>
          <w:color w:val="000000"/>
          <w:szCs w:val="18"/>
        </w:rPr>
        <w:t>.</w:t>
      </w:r>
    </w:p>
  </w:footnote>
  <w:footnote w:id="172">
    <w:p w14:paraId="3C80FDC1" w14:textId="48DAF6E9" w:rsidR="006F4911" w:rsidRPr="002C65E3" w:rsidRDefault="008328D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6" w:history="1">
        <w:r w:rsidR="003230BF" w:rsidRPr="002C65E3">
          <w:rPr>
            <w:rStyle w:val="Hipervnculo"/>
            <w:rFonts w:eastAsia="Times New Roman"/>
            <w:szCs w:val="18"/>
          </w:rPr>
          <w:t>https://www.sernameg.gob.cl/?p=34095</w:t>
        </w:r>
      </w:hyperlink>
      <w:r w:rsidR="00260F15" w:rsidRPr="002C65E3">
        <w:rPr>
          <w:rFonts w:eastAsia="Times New Roman"/>
          <w:color w:val="000000"/>
          <w:szCs w:val="18"/>
        </w:rPr>
        <w:t>.</w:t>
      </w:r>
    </w:p>
  </w:footnote>
  <w:footnote w:id="173">
    <w:p w14:paraId="3B939D92" w14:textId="7D02D287" w:rsidR="006F4911" w:rsidRPr="002C65E3" w:rsidRDefault="008328DB"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Los enfoques que trabaja son igualdad de género, DDHH, interculturalidad, interseccionalidad y territorial. Cuando no es posible implementar un programa de orientación e información y/o intervención psico-socio-educativa y jurídica, debido a que las mujeres presentan variables interseccionales significativas, estas acciones son realizadas en forma directa por las profesionales del CM Sorda. Junto con la atención individual, se implementa atención socioeducativa en modalidad grupal.</w:t>
      </w:r>
    </w:p>
  </w:footnote>
  <w:footnote w:id="174">
    <w:p w14:paraId="2910B651" w14:textId="133F2B7A" w:rsidR="006F4911" w:rsidRPr="002C65E3" w:rsidRDefault="008328D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7" w:anchor=":~:text=El%20fono%20800%20000%20058,contexto%20de%20la%20actual%20pandemia" w:history="1">
        <w:r w:rsidR="00260F15" w:rsidRPr="002C65E3">
          <w:rPr>
            <w:rStyle w:val="Hipervnculo"/>
            <w:rFonts w:eastAsia="Times New Roman"/>
            <w:szCs w:val="18"/>
          </w:rPr>
          <w:t>https://www.senadis.gob.cl/pag/588/1880/linea_800_conectados_al_cuidar#:~:text=El%20fono%</w:t>
        </w:r>
        <w:r w:rsidR="00260F15" w:rsidRPr="002C65E3">
          <w:rPr>
            <w:rStyle w:val="Hipervnculo"/>
            <w:rFonts w:eastAsia="Times New Roman"/>
            <w:szCs w:val="18"/>
          </w:rPr>
          <w:br/>
          <w:t>20800%20000%20058,contexto%20de%20la%20actual%20pandemia</w:t>
        </w:r>
      </w:hyperlink>
      <w:r w:rsidR="00260F15" w:rsidRPr="002C65E3">
        <w:rPr>
          <w:rFonts w:eastAsia="Times New Roman"/>
          <w:color w:val="000000"/>
          <w:szCs w:val="18"/>
        </w:rPr>
        <w:t>.</w:t>
      </w:r>
    </w:p>
  </w:footnote>
  <w:footnote w:id="175">
    <w:p w14:paraId="012F17D2" w14:textId="4D666D65" w:rsidR="006F4911" w:rsidRPr="002C65E3" w:rsidRDefault="008328DB"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El estudio identificó que las PcD se ven menos expuestas a delitos sexuales (11%), robos no violentos (13%) y estafas (9%). Sin embargo, es posible que el bajo porcentaje esté asociado al fenómeno de la no denuncia. Asimismo, de los diferentes delitos identificados, el más transversal entre las PcD es el abuso sexual, en especial a mujeres, NNA, con discapacidad intelectual, psicosocial, auditiva, visual.</w:t>
      </w:r>
    </w:p>
  </w:footnote>
  <w:footnote w:id="176">
    <w:p w14:paraId="06B19754" w14:textId="7973B132" w:rsidR="006F4911" w:rsidRPr="002C65E3" w:rsidRDefault="008328D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8" w:history="1">
        <w:r w:rsidR="003230BF" w:rsidRPr="002C65E3">
          <w:rPr>
            <w:rStyle w:val="Hipervnculo"/>
            <w:rFonts w:eastAsia="Times New Roman"/>
            <w:szCs w:val="18"/>
          </w:rPr>
          <w:t>https://bcn.cl/2yieq</w:t>
        </w:r>
      </w:hyperlink>
      <w:r w:rsidR="00260F15" w:rsidRPr="002C65E3">
        <w:rPr>
          <w:rFonts w:eastAsia="Times New Roman"/>
          <w:color w:val="000000"/>
          <w:szCs w:val="18"/>
        </w:rPr>
        <w:t>.</w:t>
      </w:r>
    </w:p>
  </w:footnote>
  <w:footnote w:id="177">
    <w:p w14:paraId="6607224B" w14:textId="02A0532B" w:rsidR="006F4911" w:rsidRPr="002C65E3" w:rsidRDefault="008328DB"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Ley N</w:t>
      </w:r>
      <w:r w:rsidR="00405113" w:rsidRPr="002C65E3">
        <w:rPr>
          <w:rFonts w:eastAsia="Times New Roman"/>
          <w:szCs w:val="18"/>
        </w:rPr>
        <w:t>º </w:t>
      </w:r>
      <w:r w:rsidR="006F4911" w:rsidRPr="002C65E3">
        <w:rPr>
          <w:rFonts w:eastAsia="Times New Roman"/>
          <w:szCs w:val="18"/>
        </w:rPr>
        <w:t>21.302. El Departamento de Asistencia y Transferencia Técnica del Servicio, a cargo de formar equipos para elevar la calidad de las intervenciones, incluye distintos enfoques como discapacidad. En 2022, una de las capacitaciones especializadas fue sobre intervención en residencias para NNA con discapacidad intelectual.</w:t>
      </w:r>
    </w:p>
  </w:footnote>
  <w:footnote w:id="178">
    <w:p w14:paraId="3ABB861A" w14:textId="6661CF1C" w:rsidR="006F4911" w:rsidRPr="002C65E3" w:rsidRDefault="008328D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49">
        <w:r w:rsidR="006F4911" w:rsidRPr="002C65E3">
          <w:rPr>
            <w:rFonts w:eastAsia="Times New Roman"/>
            <w:color w:val="0000FF"/>
            <w:szCs w:val="18"/>
          </w:rPr>
          <w:t>http://bcn.cl/31wsm</w:t>
        </w:r>
      </w:hyperlink>
      <w:r w:rsidR="00260F15" w:rsidRPr="002C65E3">
        <w:rPr>
          <w:rFonts w:eastAsia="Times New Roman"/>
          <w:color w:val="000000"/>
          <w:szCs w:val="18"/>
        </w:rPr>
        <w:t>.</w:t>
      </w:r>
    </w:p>
  </w:footnote>
  <w:footnote w:id="179">
    <w:p w14:paraId="4714765A" w14:textId="5153606E" w:rsidR="006F4911" w:rsidRPr="002C65E3" w:rsidRDefault="008328D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0">
        <w:r w:rsidR="006F4911" w:rsidRPr="002C65E3">
          <w:rPr>
            <w:rFonts w:eastAsia="Times New Roman"/>
            <w:color w:val="0000FF"/>
            <w:szCs w:val="18"/>
          </w:rPr>
          <w:t>http://bcn.cl/2pe6i</w:t>
        </w:r>
      </w:hyperlink>
      <w:r w:rsidR="00260F15" w:rsidRPr="002C65E3">
        <w:rPr>
          <w:rFonts w:eastAsia="Times New Roman"/>
          <w:color w:val="000000"/>
          <w:szCs w:val="18"/>
        </w:rPr>
        <w:t>.</w:t>
      </w:r>
    </w:p>
  </w:footnote>
  <w:footnote w:id="180">
    <w:p w14:paraId="770D2B8A" w14:textId="06A72E16" w:rsidR="006F4911" w:rsidRPr="002C65E3" w:rsidRDefault="008328D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1" w:history="1">
        <w:r w:rsidR="003230BF" w:rsidRPr="002C65E3">
          <w:rPr>
            <w:rStyle w:val="Hipervnculo"/>
            <w:rFonts w:eastAsia="Times New Roman"/>
            <w:szCs w:val="18"/>
          </w:rPr>
          <w:t>http://bcn.cl/2p863</w:t>
        </w:r>
      </w:hyperlink>
      <w:r w:rsidR="00260F15" w:rsidRPr="002C65E3">
        <w:rPr>
          <w:rFonts w:eastAsia="Times New Roman"/>
          <w:color w:val="000000"/>
          <w:szCs w:val="18"/>
        </w:rPr>
        <w:t>.</w:t>
      </w:r>
    </w:p>
  </w:footnote>
  <w:footnote w:id="181">
    <w:p w14:paraId="4F4C4CF6" w14:textId="7340B87B" w:rsidR="006F4911" w:rsidRPr="002C65E3" w:rsidRDefault="008328DB"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2" w:history="1">
        <w:r w:rsidR="00601662" w:rsidRPr="002C65E3">
          <w:rPr>
            <w:rStyle w:val="Hipervnculo"/>
            <w:rFonts w:eastAsia="Times New Roman"/>
            <w:szCs w:val="18"/>
          </w:rPr>
          <w:t>https://bcn.cl/2yieq</w:t>
        </w:r>
      </w:hyperlink>
      <w:r w:rsidR="00260F15" w:rsidRPr="002C65E3">
        <w:t>.</w:t>
      </w:r>
    </w:p>
  </w:footnote>
  <w:footnote w:id="182">
    <w:p w14:paraId="3D314EB6" w14:textId="569FB877" w:rsidR="006F4911" w:rsidRPr="002C65E3" w:rsidRDefault="0060166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3" w:history="1">
        <w:r w:rsidR="003230BF" w:rsidRPr="002C65E3">
          <w:rPr>
            <w:rStyle w:val="Hipervnculo"/>
            <w:rFonts w:eastAsia="Times New Roman"/>
            <w:szCs w:val="18"/>
          </w:rPr>
          <w:t>http://bcn.cl/2p863</w:t>
        </w:r>
      </w:hyperlink>
      <w:r w:rsidR="00260F15" w:rsidRPr="002C65E3">
        <w:rPr>
          <w:rFonts w:eastAsia="Times New Roman"/>
          <w:color w:val="000000"/>
          <w:szCs w:val="18"/>
        </w:rPr>
        <w:t>.</w:t>
      </w:r>
    </w:p>
  </w:footnote>
  <w:footnote w:id="183">
    <w:p w14:paraId="27A571B0" w14:textId="48748918" w:rsidR="006F4911" w:rsidRPr="002C65E3" w:rsidRDefault="0060166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4" w:history="1">
        <w:r w:rsidR="003230BF" w:rsidRPr="002C65E3">
          <w:rPr>
            <w:rStyle w:val="Hipervnculo"/>
            <w:rFonts w:eastAsia="Times New Roman"/>
            <w:szCs w:val="18"/>
          </w:rPr>
          <w:t>http://bcn.cl/2k5t8</w:t>
        </w:r>
      </w:hyperlink>
      <w:r w:rsidR="00260F15" w:rsidRPr="002C65E3">
        <w:rPr>
          <w:rFonts w:eastAsia="Times New Roman"/>
          <w:color w:val="000000"/>
          <w:szCs w:val="18"/>
        </w:rPr>
        <w:t>.</w:t>
      </w:r>
    </w:p>
  </w:footnote>
  <w:footnote w:id="184">
    <w:p w14:paraId="1107310D" w14:textId="39BC2BB8" w:rsidR="006F4911" w:rsidRPr="002C65E3" w:rsidRDefault="0060166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5" w:history="1">
        <w:r w:rsidR="003230BF" w:rsidRPr="002C65E3">
          <w:rPr>
            <w:rStyle w:val="Hipervnculo"/>
            <w:rFonts w:eastAsia="Times New Roman"/>
            <w:szCs w:val="18"/>
          </w:rPr>
          <w:t>https://www.senadis.gob.cl/descarga/i/5219</w:t>
        </w:r>
      </w:hyperlink>
      <w:r w:rsidR="00260F15" w:rsidRPr="002C65E3">
        <w:rPr>
          <w:rFonts w:eastAsia="Times New Roman"/>
          <w:color w:val="000000"/>
          <w:szCs w:val="18"/>
        </w:rPr>
        <w:t>.</w:t>
      </w:r>
    </w:p>
  </w:footnote>
  <w:footnote w:id="185">
    <w:p w14:paraId="5BF17778" w14:textId="02E60F0F" w:rsidR="006F4911" w:rsidRPr="002C65E3" w:rsidRDefault="00601662" w:rsidP="00387A71">
      <w:pPr>
        <w:pStyle w:val="Textonotapie"/>
        <w:rPr>
          <w:rFonts w:eastAsia="Times New Roman"/>
          <w:sz w:val="16"/>
          <w:szCs w:val="16"/>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156">
        <w:r w:rsidR="006F4911" w:rsidRPr="002C65E3">
          <w:rPr>
            <w:rStyle w:val="Hipervnculo"/>
          </w:rPr>
          <w:t>https://www.senadis.gob.cl/sala_prensa/d/noticias/7364</w:t>
        </w:r>
      </w:hyperlink>
      <w:r w:rsidR="00260F15" w:rsidRPr="002C65E3">
        <w:rPr>
          <w:rStyle w:val="Hipervnculo"/>
          <w:szCs w:val="18"/>
        </w:rPr>
        <w:t>.</w:t>
      </w:r>
    </w:p>
  </w:footnote>
  <w:footnote w:id="186">
    <w:p w14:paraId="598115D4" w14:textId="4EDC646D" w:rsidR="006F4911" w:rsidRPr="002C65E3" w:rsidRDefault="00AD7E8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7" w:history="1">
        <w:r w:rsidR="003230BF" w:rsidRPr="002C65E3">
          <w:rPr>
            <w:rStyle w:val="Hipervnculo"/>
            <w:rFonts w:eastAsia="Times New Roman"/>
            <w:szCs w:val="18"/>
          </w:rPr>
          <w:t>https://bcn.cl/34k6a</w:t>
        </w:r>
      </w:hyperlink>
      <w:r w:rsidR="007C57E2" w:rsidRPr="002C65E3">
        <w:rPr>
          <w:rFonts w:eastAsia="Times New Roman"/>
          <w:color w:val="000000"/>
          <w:szCs w:val="18"/>
        </w:rPr>
        <w:t>.</w:t>
      </w:r>
    </w:p>
  </w:footnote>
  <w:footnote w:id="187">
    <w:p w14:paraId="482F3AAF" w14:textId="7805895B" w:rsidR="006F4911" w:rsidRPr="002C65E3" w:rsidRDefault="00AD7E8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8" w:history="1">
        <w:r w:rsidR="003230BF" w:rsidRPr="002C65E3">
          <w:rPr>
            <w:rStyle w:val="Hipervnculo"/>
            <w:rFonts w:eastAsia="Times New Roman"/>
            <w:szCs w:val="18"/>
          </w:rPr>
          <w:t>https://bcn.cl/34yyl</w:t>
        </w:r>
      </w:hyperlink>
      <w:r w:rsidR="007C57E2" w:rsidRPr="002C65E3">
        <w:rPr>
          <w:rFonts w:eastAsia="Times New Roman"/>
          <w:color w:val="000000"/>
          <w:szCs w:val="18"/>
        </w:rPr>
        <w:t>.</w:t>
      </w:r>
    </w:p>
  </w:footnote>
  <w:footnote w:id="188">
    <w:p w14:paraId="56EB2F27" w14:textId="07735E26" w:rsidR="006F4911" w:rsidRPr="002C65E3" w:rsidRDefault="00AD7E8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59" w:history="1">
        <w:r w:rsidR="003230BF" w:rsidRPr="002C65E3">
          <w:rPr>
            <w:rStyle w:val="Hipervnculo"/>
            <w:rFonts w:eastAsia="Times New Roman"/>
            <w:szCs w:val="18"/>
          </w:rPr>
          <w:t>https://bcn.cl/34mv6</w:t>
        </w:r>
      </w:hyperlink>
      <w:r w:rsidR="007C57E2" w:rsidRPr="002C65E3">
        <w:rPr>
          <w:rFonts w:eastAsia="Times New Roman"/>
          <w:color w:val="000000"/>
          <w:szCs w:val="18"/>
        </w:rPr>
        <w:t>.</w:t>
      </w:r>
    </w:p>
  </w:footnote>
  <w:footnote w:id="189">
    <w:p w14:paraId="177CD45F" w14:textId="6FEF9578" w:rsidR="006F4911" w:rsidRPr="002C65E3" w:rsidRDefault="00AD7E8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0" w:history="1">
        <w:r w:rsidR="003230BF" w:rsidRPr="002C65E3">
          <w:rPr>
            <w:rStyle w:val="Hipervnculo"/>
            <w:rFonts w:eastAsia="Times New Roman"/>
            <w:szCs w:val="18"/>
          </w:rPr>
          <w:t>https://estadisticas.ssosorno.cl/mortalidad_natalidad/archivos/Norma-160-registro-CAPNV.pdf</w:t>
        </w:r>
      </w:hyperlink>
      <w:r w:rsidR="007C57E2" w:rsidRPr="002C65E3">
        <w:rPr>
          <w:rFonts w:eastAsia="Times New Roman"/>
          <w:color w:val="000000"/>
          <w:szCs w:val="18"/>
        </w:rPr>
        <w:t>.</w:t>
      </w:r>
    </w:p>
  </w:footnote>
  <w:footnote w:id="190">
    <w:p w14:paraId="2AEBF4E3" w14:textId="5546093D" w:rsidR="006F4911" w:rsidRPr="002C65E3" w:rsidRDefault="00AD7E8D"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1" w:history="1">
        <w:r w:rsidR="003230BF" w:rsidRPr="002C65E3">
          <w:rPr>
            <w:rStyle w:val="Hipervnculo"/>
            <w:rFonts w:eastAsia="Times New Roman"/>
            <w:szCs w:val="18"/>
          </w:rPr>
          <w:t>https://degi.saludoriente.cl/degidssmo/documentos/normas/NORMA_820.pdf</w:t>
        </w:r>
      </w:hyperlink>
      <w:r w:rsidR="007C57E2" w:rsidRPr="002C65E3">
        <w:rPr>
          <w:rFonts w:eastAsia="Times New Roman"/>
          <w:color w:val="000000"/>
          <w:szCs w:val="18"/>
        </w:rPr>
        <w:t>.</w:t>
      </w:r>
    </w:p>
  </w:footnote>
  <w:footnote w:id="191">
    <w:p w14:paraId="391E8108" w14:textId="7ADD51AF" w:rsidR="006F4911" w:rsidRPr="002C65E3" w:rsidRDefault="00AD7E8D" w:rsidP="00387A71">
      <w:pPr>
        <w:pStyle w:val="Textonotapie"/>
        <w:rPr>
          <w:rStyle w:val="Hipervnculo"/>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El 68% de cuidadores que participaron del piloto consideró que disminuyó sus niveles de sobrecarga percibidos. Por su parte, en PcD se registró una fuerte baja en la percepción de soledad o aislamiento, baja en la frecuencia de barreras para participar y de no tener apoyos suficientes de la comunidad para participar. Véase: </w:t>
      </w:r>
      <w:hyperlink r:id="rId162">
        <w:r w:rsidR="006F4911" w:rsidRPr="002C65E3">
          <w:rPr>
            <w:rStyle w:val="Hipervnculo"/>
          </w:rPr>
          <w:t>https://www.senadis.gob.cl/sala_prensa/d/noticias/8171</w:t>
        </w:r>
      </w:hyperlink>
      <w:r w:rsidR="007C57E2" w:rsidRPr="002C65E3">
        <w:rPr>
          <w:rStyle w:val="Hipervnculo"/>
          <w:rFonts w:eastAsia="Times New Roman"/>
          <w:szCs w:val="18"/>
        </w:rPr>
        <w:t>.</w:t>
      </w:r>
    </w:p>
  </w:footnote>
  <w:footnote w:id="192">
    <w:p w14:paraId="6248DE34" w14:textId="17938F54" w:rsidR="006F4911" w:rsidRPr="002C65E3" w:rsidRDefault="00AD7E8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3" w:history="1">
        <w:r w:rsidR="003230BF" w:rsidRPr="002C65E3">
          <w:rPr>
            <w:rStyle w:val="Hipervnculo"/>
            <w:rFonts w:eastAsia="Times New Roman"/>
            <w:szCs w:val="18"/>
          </w:rPr>
          <w:t>https://www.senadis.gob.cl/descarga/i/4661/documento</w:t>
        </w:r>
      </w:hyperlink>
      <w:r w:rsidR="007C57E2" w:rsidRPr="002C65E3">
        <w:rPr>
          <w:rFonts w:eastAsia="Times New Roman"/>
          <w:color w:val="000000"/>
          <w:szCs w:val="18"/>
        </w:rPr>
        <w:t>.</w:t>
      </w:r>
    </w:p>
  </w:footnote>
  <w:footnote w:id="193">
    <w:p w14:paraId="208169FA" w14:textId="12EE3A99" w:rsidR="006F4911" w:rsidRPr="002C65E3" w:rsidRDefault="00AD7E8D"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4" w:history="1">
        <w:r w:rsidR="003230BF" w:rsidRPr="002C65E3">
          <w:rPr>
            <w:rStyle w:val="Hipervnculo"/>
            <w:rFonts w:eastAsia="Times New Roman"/>
            <w:szCs w:val="18"/>
          </w:rPr>
          <w:t>https://certificacion.chilevalora.cl/ChileValora-publica/perfilesEdit.html?paramRequest=941</w:t>
        </w:r>
      </w:hyperlink>
      <w:r w:rsidR="007C57E2" w:rsidRPr="002C65E3">
        <w:rPr>
          <w:rFonts w:eastAsia="Times New Roman"/>
          <w:color w:val="000000"/>
          <w:szCs w:val="18"/>
        </w:rPr>
        <w:t>.</w:t>
      </w:r>
    </w:p>
  </w:footnote>
  <w:footnote w:id="194">
    <w:p w14:paraId="1FCB63AE" w14:textId="171CFA93" w:rsidR="006F4911" w:rsidRPr="002C65E3" w:rsidRDefault="007A755F"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Entre estos, los Pavimentos Participativos, Espacios Públicos, Recuperación de Barrios y Pequeñas Localidades.</w:t>
      </w:r>
    </w:p>
  </w:footnote>
  <w:footnote w:id="195">
    <w:p w14:paraId="58BBC51A" w14:textId="584AB215" w:rsidR="006F4911" w:rsidRPr="002C65E3" w:rsidRDefault="007A755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5" w:history="1">
        <w:r w:rsidR="007C57E2" w:rsidRPr="002C65E3">
          <w:rPr>
            <w:rStyle w:val="Hipervnculo"/>
            <w:rFonts w:eastAsia="Times New Roman"/>
            <w:szCs w:val="18"/>
          </w:rPr>
          <w:t>https://biblioteca.digital.gob.cl/bitstream/handle/123456789/3569/GUIA%20DE%20</w:t>
        </w:r>
        <w:r w:rsidR="007C57E2" w:rsidRPr="002C65E3">
          <w:rPr>
            <w:rStyle w:val="Hipervnculo"/>
            <w:rFonts w:eastAsia="Times New Roman"/>
            <w:szCs w:val="18"/>
          </w:rPr>
          <w:br/>
          <w:t>SOLUCIONES%20ACCESIBLES%20PARA%20ESPACIOS%20PUBLICOS%20Y%20VIVIENDAS%20PARA%20PERSONAS%20CON%20DISCAPACIDAD.pdf?sequence=1&amp;isAllowed=y</w:t>
        </w:r>
      </w:hyperlink>
      <w:r w:rsidR="007C57E2" w:rsidRPr="002C65E3">
        <w:rPr>
          <w:rFonts w:eastAsia="Times New Roman"/>
          <w:color w:val="000000"/>
          <w:szCs w:val="18"/>
        </w:rPr>
        <w:t>.</w:t>
      </w:r>
    </w:p>
  </w:footnote>
  <w:footnote w:id="196">
    <w:p w14:paraId="36856DCF" w14:textId="449EB9CD" w:rsidR="006F4911" w:rsidRPr="002C65E3" w:rsidRDefault="007A755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6" w:history="1">
        <w:r w:rsidR="003230BF" w:rsidRPr="002C65E3">
          <w:rPr>
            <w:rStyle w:val="Hipervnculo"/>
            <w:rFonts w:eastAsia="Times New Roman"/>
            <w:szCs w:val="18"/>
          </w:rPr>
          <w:t>http://bcn.cl/2p863</w:t>
        </w:r>
      </w:hyperlink>
      <w:r w:rsidR="007C57E2" w:rsidRPr="002C65E3">
        <w:rPr>
          <w:rFonts w:eastAsia="Times New Roman"/>
          <w:color w:val="000000"/>
          <w:szCs w:val="18"/>
        </w:rPr>
        <w:t>.</w:t>
      </w:r>
    </w:p>
  </w:footnote>
  <w:footnote w:id="197">
    <w:p w14:paraId="37D25F3D" w14:textId="184AD613" w:rsidR="006F4911" w:rsidRPr="002C65E3" w:rsidRDefault="007A755F"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7" w:history="1">
        <w:r w:rsidR="003230BF" w:rsidRPr="002C65E3">
          <w:rPr>
            <w:rStyle w:val="Hipervnculo"/>
            <w:rFonts w:eastAsia="Times New Roman"/>
            <w:szCs w:val="18"/>
          </w:rPr>
          <w:t>http://bcn.cl/2yieq</w:t>
        </w:r>
      </w:hyperlink>
      <w:r w:rsidR="007C57E2" w:rsidRPr="002C65E3">
        <w:rPr>
          <w:rFonts w:eastAsia="Times New Roman"/>
          <w:color w:val="000000"/>
          <w:szCs w:val="18"/>
        </w:rPr>
        <w:t>.</w:t>
      </w:r>
    </w:p>
  </w:footnote>
  <w:footnote w:id="198">
    <w:p w14:paraId="1C9C741D" w14:textId="0A036043" w:rsidR="006F4911" w:rsidRPr="002C65E3" w:rsidRDefault="007A755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8" w:history="1">
        <w:r w:rsidR="00282DE3" w:rsidRPr="002C65E3">
          <w:rPr>
            <w:rStyle w:val="Hipervnculo"/>
            <w:rFonts w:eastAsia="Times New Roman"/>
            <w:szCs w:val="18"/>
          </w:rPr>
          <w:t>http://bcn.cl/2xglt</w:t>
        </w:r>
      </w:hyperlink>
      <w:r w:rsidR="007C57E2" w:rsidRPr="002C65E3">
        <w:rPr>
          <w:rFonts w:eastAsia="Times New Roman"/>
          <w:color w:val="000000"/>
          <w:szCs w:val="18"/>
        </w:rPr>
        <w:t>.</w:t>
      </w:r>
    </w:p>
  </w:footnote>
  <w:footnote w:id="199">
    <w:p w14:paraId="391F44EB" w14:textId="3E909726" w:rsidR="006F4911" w:rsidRPr="002C65E3" w:rsidRDefault="007A755F"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69" w:history="1">
        <w:r w:rsidR="00282DE3" w:rsidRPr="002C65E3">
          <w:rPr>
            <w:rStyle w:val="Hipervnculo"/>
            <w:rFonts w:eastAsia="Times New Roman"/>
            <w:szCs w:val="18"/>
          </w:rPr>
          <w:t>http://bcn.cl/2qwqa</w:t>
        </w:r>
      </w:hyperlink>
      <w:r w:rsidR="007C57E2" w:rsidRPr="002C65E3">
        <w:rPr>
          <w:rFonts w:eastAsia="Times New Roman"/>
          <w:color w:val="000000"/>
          <w:szCs w:val="18"/>
        </w:rPr>
        <w:t>.</w:t>
      </w:r>
    </w:p>
  </w:footnote>
  <w:footnote w:id="200">
    <w:p w14:paraId="7FA3B0AD" w14:textId="5B4921EB" w:rsidR="006F4911" w:rsidRPr="002C65E3" w:rsidRDefault="007A755F"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Compuesto por representantes del Estado, empleadores y trabajadores.</w:t>
      </w:r>
    </w:p>
  </w:footnote>
  <w:footnote w:id="201">
    <w:p w14:paraId="45BDDDB9" w14:textId="04C9A19B" w:rsidR="006F4911" w:rsidRPr="002C65E3" w:rsidRDefault="007A755F"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Para ejecutar procesos de enseñanza-aprendizaje de la LSCH y de la cultura sorda, a personas que la aprenden como segunda lengua. Véase: </w:t>
      </w:r>
      <w:hyperlink r:id="rId170" w:history="1">
        <w:r w:rsidR="00343446" w:rsidRPr="002C65E3">
          <w:rPr>
            <w:rStyle w:val="Hipervnculo"/>
            <w:rFonts w:eastAsia="Times New Roman"/>
            <w:szCs w:val="18"/>
          </w:rPr>
          <w:t>https://certificacion.chilevalora.cl/ChileValora-publica/</w:t>
        </w:r>
        <w:r w:rsidR="00343446" w:rsidRPr="002C65E3">
          <w:rPr>
            <w:rStyle w:val="Hipervnculo"/>
            <w:rFonts w:eastAsia="Times New Roman"/>
            <w:szCs w:val="18"/>
          </w:rPr>
          <w:br/>
          <w:t>perfilesEdit.html?paramRequest=1615&amp;bsearch=&amp;bsector=-1&amp;bsubsector=-1&amp;barea=-1&amp;bcentro=-1&amp;bperfil=-1&amp;resultados_length=10</w:t>
        </w:r>
      </w:hyperlink>
      <w:r w:rsidR="00CF25DD" w:rsidRPr="002C65E3">
        <w:rPr>
          <w:rFonts w:eastAsia="Times New Roman"/>
          <w:szCs w:val="18"/>
        </w:rPr>
        <w:t>.</w:t>
      </w:r>
    </w:p>
  </w:footnote>
  <w:footnote w:id="202">
    <w:p w14:paraId="1FEFEC3C" w14:textId="68B28DE1" w:rsidR="006F4911" w:rsidRPr="002C65E3" w:rsidRDefault="007A755F"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Para transmitir la LSCH y la cultura sorda, apoyar a docentes y asistentes de la educación en el proceso de enseñanza-aprendizaje de estudiantes sordos, de acuerdo a las características del contexto escolar, principios de la pedagogía sorda y el marco común europeo de referencia para las lenguas. Véase: </w:t>
      </w:r>
      <w:hyperlink r:id="rId171" w:history="1">
        <w:r w:rsidR="00343446" w:rsidRPr="002C65E3">
          <w:rPr>
            <w:rStyle w:val="Hipervnculo"/>
            <w:rFonts w:eastAsia="Times New Roman"/>
            <w:szCs w:val="18"/>
          </w:rPr>
          <w:t>https://certificacion.chilevalora.cl/ChileValora-publica/perfilesEdit.html?paramRequest=</w:t>
        </w:r>
        <w:r w:rsidR="00343446" w:rsidRPr="002C65E3">
          <w:rPr>
            <w:rStyle w:val="Hipervnculo"/>
            <w:rFonts w:eastAsia="Times New Roman"/>
            <w:szCs w:val="18"/>
          </w:rPr>
          <w:br/>
          <w:t>1614&amp;bsearch=&amp;bsector=-1&amp;bsubsector=-1&amp;barea=-1&amp;bcentro=-1&amp;bperfil=-1&amp;resultados_</w:t>
        </w:r>
        <w:r w:rsidR="00343446" w:rsidRPr="002C65E3">
          <w:rPr>
            <w:rStyle w:val="Hipervnculo"/>
            <w:rFonts w:eastAsia="Times New Roman"/>
            <w:szCs w:val="18"/>
          </w:rPr>
          <w:br/>
          <w:t>length=10</w:t>
        </w:r>
      </w:hyperlink>
      <w:r w:rsidR="00CF25DD" w:rsidRPr="002C65E3">
        <w:rPr>
          <w:rFonts w:eastAsia="Times New Roman"/>
          <w:szCs w:val="18"/>
        </w:rPr>
        <w:t>.</w:t>
      </w:r>
    </w:p>
  </w:footnote>
  <w:footnote w:id="203">
    <w:p w14:paraId="52466E19" w14:textId="4406B6A3"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2" w:history="1">
        <w:r w:rsidR="00282DE3" w:rsidRPr="002C65E3">
          <w:rPr>
            <w:rStyle w:val="Hipervnculo"/>
            <w:rFonts w:eastAsia="Times New Roman"/>
            <w:szCs w:val="18"/>
          </w:rPr>
          <w:t>https://sistemas.sence.cl/sipfor/Planes/PDFPlan.aspx?id=3280</w:t>
        </w:r>
      </w:hyperlink>
      <w:r w:rsidR="00CF25DD" w:rsidRPr="002C65E3">
        <w:rPr>
          <w:rFonts w:eastAsia="Times New Roman"/>
          <w:color w:val="000000"/>
          <w:szCs w:val="18"/>
        </w:rPr>
        <w:t>.</w:t>
      </w:r>
    </w:p>
  </w:footnote>
  <w:footnote w:id="204">
    <w:p w14:paraId="72FA86AD" w14:textId="50995D7C"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3" w:history="1">
        <w:r w:rsidR="00282DE3" w:rsidRPr="002C65E3">
          <w:rPr>
            <w:rStyle w:val="Hipervnculo"/>
            <w:rFonts w:eastAsia="Times New Roman"/>
            <w:szCs w:val="18"/>
          </w:rPr>
          <w:t>https://sistemas.sence.cl/sipfor/Planes/PDFPlan.aspx?id=3281</w:t>
        </w:r>
      </w:hyperlink>
      <w:r w:rsidR="00CF25DD" w:rsidRPr="002C65E3">
        <w:rPr>
          <w:rFonts w:eastAsia="Times New Roman"/>
          <w:color w:val="000000"/>
          <w:szCs w:val="18"/>
        </w:rPr>
        <w:t>.</w:t>
      </w:r>
    </w:p>
  </w:footnote>
  <w:footnote w:id="205">
    <w:p w14:paraId="100D93A3" w14:textId="26A448D2"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4" w:history="1">
        <w:r w:rsidR="00282DE3" w:rsidRPr="002C65E3">
          <w:rPr>
            <w:rStyle w:val="Hipervnculo"/>
            <w:rFonts w:eastAsia="Times New Roman"/>
            <w:szCs w:val="18"/>
          </w:rPr>
          <w:t>https://youtu.be/2S72YisobEE</w:t>
        </w:r>
      </w:hyperlink>
      <w:r w:rsidR="00CF25DD" w:rsidRPr="002C65E3">
        <w:rPr>
          <w:rFonts w:eastAsia="Times New Roman"/>
          <w:color w:val="000000"/>
          <w:szCs w:val="18"/>
        </w:rPr>
        <w:t>.</w:t>
      </w:r>
    </w:p>
  </w:footnote>
  <w:footnote w:id="206">
    <w:p w14:paraId="73E58032" w14:textId="078A73EA"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5" w:history="1">
        <w:r w:rsidR="00282DE3" w:rsidRPr="002C65E3">
          <w:rPr>
            <w:rStyle w:val="Hipervnculo"/>
            <w:rFonts w:eastAsia="Times New Roman"/>
            <w:szCs w:val="18"/>
          </w:rPr>
          <w:t>https://youtu.be/TpbCKzw4k60</w:t>
        </w:r>
      </w:hyperlink>
      <w:r w:rsidR="00CF25DD" w:rsidRPr="002C65E3">
        <w:rPr>
          <w:rFonts w:eastAsia="Times New Roman"/>
          <w:color w:val="000000"/>
          <w:szCs w:val="18"/>
        </w:rPr>
        <w:t>.</w:t>
      </w:r>
    </w:p>
  </w:footnote>
  <w:footnote w:id="207">
    <w:p w14:paraId="4673EFE8" w14:textId="658D8064"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6" w:history="1">
        <w:r w:rsidR="00282DE3" w:rsidRPr="002C65E3">
          <w:rPr>
            <w:rStyle w:val="Hipervnculo"/>
            <w:rFonts w:eastAsia="Times New Roman"/>
            <w:szCs w:val="18"/>
          </w:rPr>
          <w:t>https://youtu.be/xsk8VS5EsR4</w:t>
        </w:r>
      </w:hyperlink>
      <w:r w:rsidR="00CF25DD" w:rsidRPr="002C65E3">
        <w:rPr>
          <w:rFonts w:eastAsia="Times New Roman"/>
          <w:color w:val="000000"/>
          <w:szCs w:val="18"/>
        </w:rPr>
        <w:t>.</w:t>
      </w:r>
    </w:p>
  </w:footnote>
  <w:footnote w:id="208">
    <w:p w14:paraId="68C766EE" w14:textId="008378DD"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7" w:history="1">
        <w:r w:rsidR="00282DE3" w:rsidRPr="002C65E3">
          <w:rPr>
            <w:rStyle w:val="Hipervnculo"/>
            <w:rFonts w:eastAsia="Times New Roman"/>
            <w:szCs w:val="18"/>
          </w:rPr>
          <w:t>https://youtu.be/dB426_YoxhE</w:t>
        </w:r>
      </w:hyperlink>
      <w:r w:rsidR="00CF25DD" w:rsidRPr="002C65E3">
        <w:rPr>
          <w:rFonts w:eastAsia="Times New Roman"/>
          <w:color w:val="000000"/>
          <w:szCs w:val="18"/>
        </w:rPr>
        <w:t>.</w:t>
      </w:r>
    </w:p>
  </w:footnote>
  <w:footnote w:id="209">
    <w:p w14:paraId="44C49586" w14:textId="4EC0656A" w:rsidR="006F4911" w:rsidRPr="002C65E3" w:rsidRDefault="00E32FEA"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8" w:history="1">
        <w:r w:rsidR="00282DE3" w:rsidRPr="002C65E3">
          <w:rPr>
            <w:rStyle w:val="Hipervnculo"/>
            <w:rFonts w:eastAsia="Times New Roman"/>
            <w:szCs w:val="18"/>
          </w:rPr>
          <w:t>https://youtu.be/TUt3CrW_R-4</w:t>
        </w:r>
      </w:hyperlink>
      <w:r w:rsidR="00CF25DD" w:rsidRPr="002C65E3">
        <w:rPr>
          <w:rFonts w:eastAsia="Times New Roman"/>
          <w:color w:val="000000"/>
          <w:szCs w:val="18"/>
        </w:rPr>
        <w:t>.</w:t>
      </w:r>
    </w:p>
  </w:footnote>
  <w:footnote w:id="210">
    <w:p w14:paraId="44A90015" w14:textId="45FF7704"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79" w:history="1">
        <w:r w:rsidR="00282DE3" w:rsidRPr="002C65E3">
          <w:rPr>
            <w:rStyle w:val="Hipervnculo"/>
            <w:rFonts w:eastAsia="Times New Roman"/>
            <w:szCs w:val="18"/>
          </w:rPr>
          <w:t>https://youtu.be/2RmM42xwxgM</w:t>
        </w:r>
      </w:hyperlink>
      <w:r w:rsidR="00CF25DD" w:rsidRPr="002C65E3">
        <w:rPr>
          <w:rFonts w:eastAsia="Times New Roman"/>
          <w:color w:val="000000"/>
          <w:szCs w:val="18"/>
        </w:rPr>
        <w:t>.</w:t>
      </w:r>
    </w:p>
  </w:footnote>
  <w:footnote w:id="211">
    <w:p w14:paraId="22750DA2" w14:textId="74859BC8"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0" w:history="1">
        <w:r w:rsidR="00282DE3" w:rsidRPr="002C65E3">
          <w:rPr>
            <w:rStyle w:val="Hipervnculo"/>
            <w:rFonts w:eastAsia="Times New Roman"/>
            <w:szCs w:val="18"/>
          </w:rPr>
          <w:t>https://youtu.be/65AvdOQFfaI</w:t>
        </w:r>
      </w:hyperlink>
      <w:r w:rsidR="00CF25DD" w:rsidRPr="002C65E3">
        <w:rPr>
          <w:rFonts w:eastAsia="Times New Roman"/>
          <w:color w:val="000000"/>
          <w:szCs w:val="18"/>
        </w:rPr>
        <w:t>.</w:t>
      </w:r>
    </w:p>
  </w:footnote>
  <w:footnote w:id="212">
    <w:p w14:paraId="7F98B7D2" w14:textId="44B644DD"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1" w:history="1">
        <w:r w:rsidR="00282DE3" w:rsidRPr="002C65E3">
          <w:rPr>
            <w:rStyle w:val="Hipervnculo"/>
            <w:rFonts w:eastAsia="Times New Roman"/>
            <w:szCs w:val="18"/>
          </w:rPr>
          <w:t>https://youtu.be/8G-qSdZTCXA</w:t>
        </w:r>
      </w:hyperlink>
      <w:r w:rsidR="00CF25DD" w:rsidRPr="002C65E3">
        <w:rPr>
          <w:rFonts w:eastAsia="Times New Roman"/>
          <w:color w:val="000000"/>
          <w:szCs w:val="18"/>
        </w:rPr>
        <w:t>.</w:t>
      </w:r>
    </w:p>
  </w:footnote>
  <w:footnote w:id="213">
    <w:p w14:paraId="20D0E76E" w14:textId="1F7C99D8"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2" w:history="1">
        <w:r w:rsidR="00282DE3" w:rsidRPr="002C65E3">
          <w:rPr>
            <w:rStyle w:val="Hipervnculo"/>
            <w:rFonts w:eastAsia="Times New Roman"/>
            <w:szCs w:val="18"/>
          </w:rPr>
          <w:t>https://youtu.be/WnlxzpoY3fY</w:t>
        </w:r>
      </w:hyperlink>
      <w:r w:rsidR="00CF25DD" w:rsidRPr="002C65E3">
        <w:t>.</w:t>
      </w:r>
    </w:p>
  </w:footnote>
  <w:footnote w:id="214">
    <w:p w14:paraId="094B2F6C" w14:textId="5A9FD987"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3" w:history="1">
        <w:r w:rsidR="00282DE3" w:rsidRPr="002C65E3">
          <w:rPr>
            <w:rStyle w:val="Hipervnculo"/>
            <w:rFonts w:eastAsia="Times New Roman"/>
            <w:szCs w:val="18"/>
          </w:rPr>
          <w:t>http://www.senado.cl/appsenado/templates/tramitacion/index.php?boletin_ini=12441-17</w:t>
        </w:r>
      </w:hyperlink>
      <w:r w:rsidR="00CF25DD" w:rsidRPr="002C65E3">
        <w:rPr>
          <w:rFonts w:eastAsia="Times New Roman"/>
          <w:color w:val="000000"/>
          <w:szCs w:val="18"/>
        </w:rPr>
        <w:t>.</w:t>
      </w:r>
    </w:p>
  </w:footnote>
  <w:footnote w:id="215">
    <w:p w14:paraId="2466E826" w14:textId="0A8E64AE"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4" w:history="1">
        <w:r w:rsidR="00282DE3" w:rsidRPr="002C65E3">
          <w:rPr>
            <w:rStyle w:val="Hipervnculo"/>
            <w:rFonts w:eastAsia="Times New Roman"/>
            <w:szCs w:val="18"/>
          </w:rPr>
          <w:t>https://bcn.cl/34syf</w:t>
        </w:r>
      </w:hyperlink>
      <w:r w:rsidR="00CF25DD" w:rsidRPr="002C65E3">
        <w:rPr>
          <w:rFonts w:eastAsia="Times New Roman"/>
          <w:color w:val="000000"/>
          <w:szCs w:val="18"/>
        </w:rPr>
        <w:t>.</w:t>
      </w:r>
    </w:p>
  </w:footnote>
  <w:footnote w:id="216">
    <w:p w14:paraId="1AE4D033" w14:textId="553C99FD"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5" w:history="1">
        <w:r w:rsidR="00282DE3" w:rsidRPr="002C65E3">
          <w:rPr>
            <w:rStyle w:val="Hipervnculo"/>
            <w:rFonts w:eastAsia="Times New Roman"/>
            <w:szCs w:val="18"/>
          </w:rPr>
          <w:t>http://www.senado.cl/appsenado/templates/tramitacion/index.php?boletin_ini=9119-18</w:t>
        </w:r>
      </w:hyperlink>
      <w:r w:rsidR="00F92AE0" w:rsidRPr="002C65E3">
        <w:rPr>
          <w:rFonts w:eastAsia="Times New Roman"/>
          <w:color w:val="000000"/>
          <w:szCs w:val="18"/>
        </w:rPr>
        <w:t>.</w:t>
      </w:r>
    </w:p>
  </w:footnote>
  <w:footnote w:id="217">
    <w:p w14:paraId="5713F890" w14:textId="574EE153"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6" w:history="1">
        <w:r w:rsidR="00282DE3" w:rsidRPr="002C65E3">
          <w:rPr>
            <w:rStyle w:val="Hipervnculo"/>
            <w:rFonts w:eastAsia="Times New Roman"/>
            <w:szCs w:val="18"/>
          </w:rPr>
          <w:t>https://www.senadis.gob.cl/sala_prensa/d/noticias/8572/programa-mujer-sexualidad-y-maternidad-de-sernameg-abre-inscripciones-a-sus-talleres</w:t>
        </w:r>
      </w:hyperlink>
      <w:r w:rsidR="00F92AE0" w:rsidRPr="002C65E3">
        <w:rPr>
          <w:rFonts w:eastAsia="Times New Roman"/>
          <w:color w:val="000000"/>
          <w:szCs w:val="18"/>
        </w:rPr>
        <w:t>.</w:t>
      </w:r>
    </w:p>
  </w:footnote>
  <w:footnote w:id="218">
    <w:p w14:paraId="34338375" w14:textId="5DDF1D73"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7" w:history="1">
        <w:r w:rsidR="00282DE3" w:rsidRPr="002C65E3">
          <w:rPr>
            <w:rStyle w:val="Hipervnculo"/>
            <w:rFonts w:eastAsia="Times New Roman"/>
            <w:szCs w:val="18"/>
          </w:rPr>
          <w:t>https://www.senadis.gob.cl/sala_prensa/d/noticias/8663</w:t>
        </w:r>
      </w:hyperlink>
      <w:r w:rsidR="00F92AE0" w:rsidRPr="002C65E3">
        <w:rPr>
          <w:rFonts w:eastAsia="Times New Roman"/>
          <w:color w:val="000000"/>
          <w:szCs w:val="18"/>
        </w:rPr>
        <w:t>.</w:t>
      </w:r>
    </w:p>
  </w:footnote>
  <w:footnote w:id="219">
    <w:p w14:paraId="3746DC7F" w14:textId="7F619B8E"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8" w:history="1">
        <w:r w:rsidR="00282DE3" w:rsidRPr="002C65E3">
          <w:rPr>
            <w:rStyle w:val="Hipervnculo"/>
            <w:rFonts w:eastAsia="Times New Roman"/>
            <w:szCs w:val="18"/>
          </w:rPr>
          <w:t>https://www.senadis.gob.cl/descarga/i/6033/documento</w:t>
        </w:r>
      </w:hyperlink>
      <w:r w:rsidR="00F92AE0" w:rsidRPr="002C65E3">
        <w:rPr>
          <w:rFonts w:eastAsia="Times New Roman"/>
          <w:color w:val="000000"/>
          <w:szCs w:val="18"/>
        </w:rPr>
        <w:t>.</w:t>
      </w:r>
    </w:p>
  </w:footnote>
  <w:footnote w:id="220">
    <w:p w14:paraId="3485C86F" w14:textId="426355ED"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89" w:history="1">
        <w:r w:rsidR="00282DE3" w:rsidRPr="002C65E3">
          <w:rPr>
            <w:rStyle w:val="Hipervnculo"/>
            <w:rFonts w:eastAsia="Times New Roman"/>
            <w:szCs w:val="18"/>
          </w:rPr>
          <w:t>https://diprece.minsal.cl/wrdprss_minsal/wp-content/uploads/2018/03/POLITICA-NACIONAL-DE-SALUD-SEXUAL-Y-REPRODUCTIVA-..pdf</w:t>
        </w:r>
      </w:hyperlink>
      <w:r w:rsidR="00F92AE0" w:rsidRPr="002C65E3">
        <w:rPr>
          <w:rFonts w:eastAsia="Times New Roman"/>
          <w:color w:val="000000"/>
          <w:szCs w:val="18"/>
        </w:rPr>
        <w:t>.</w:t>
      </w:r>
    </w:p>
  </w:footnote>
  <w:footnote w:id="221">
    <w:p w14:paraId="0B670B11" w14:textId="079A8E08" w:rsidR="006F4911" w:rsidRPr="002C65E3" w:rsidRDefault="00E32FEA"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0" w:history="1">
        <w:r w:rsidR="00282DE3" w:rsidRPr="002C65E3">
          <w:rPr>
            <w:rStyle w:val="Hipervnculo"/>
            <w:rFonts w:eastAsia="Times New Roman"/>
            <w:szCs w:val="18"/>
          </w:rPr>
          <w:t>https://www.sernameg.gob.cl/?page_id=26830</w:t>
        </w:r>
      </w:hyperlink>
      <w:r w:rsidR="00F92AE0" w:rsidRPr="002C65E3">
        <w:rPr>
          <w:rFonts w:eastAsia="Times New Roman"/>
          <w:color w:val="000000"/>
          <w:szCs w:val="18"/>
        </w:rPr>
        <w:t>.</w:t>
      </w:r>
    </w:p>
  </w:footnote>
  <w:footnote w:id="222">
    <w:p w14:paraId="0B203C42" w14:textId="03C9554C"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1" w:history="1">
        <w:r w:rsidR="00282DE3" w:rsidRPr="002C65E3">
          <w:rPr>
            <w:rStyle w:val="Hipervnculo"/>
            <w:rFonts w:eastAsia="Times New Roman"/>
            <w:szCs w:val="18"/>
          </w:rPr>
          <w:t>https://especial.mineduc.cl/recursos-apoyo-al-aprendizaje/recursos-audiovisuales-para-la-diversificacion-de-la-ensenanza/capsulas/</w:t>
        </w:r>
      </w:hyperlink>
      <w:r w:rsidR="00F92AE0" w:rsidRPr="002C65E3">
        <w:rPr>
          <w:rFonts w:eastAsia="Times New Roman"/>
          <w:color w:val="000000"/>
          <w:szCs w:val="18"/>
        </w:rPr>
        <w:t>.</w:t>
      </w:r>
    </w:p>
  </w:footnote>
  <w:footnote w:id="223">
    <w:p w14:paraId="6EB4627A" w14:textId="0C09CCF2"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2">
        <w:r w:rsidR="006F4911" w:rsidRPr="002C65E3">
          <w:rPr>
            <w:rFonts w:eastAsia="Times New Roman"/>
            <w:color w:val="0000FF"/>
            <w:szCs w:val="18"/>
          </w:rPr>
          <w:t>http://bcn.cl/2f7b6</w:t>
        </w:r>
      </w:hyperlink>
      <w:r w:rsidR="00F92AE0" w:rsidRPr="002C65E3">
        <w:rPr>
          <w:rFonts w:eastAsia="Times New Roman"/>
          <w:color w:val="000000"/>
          <w:szCs w:val="18"/>
        </w:rPr>
        <w:t>.</w:t>
      </w:r>
    </w:p>
  </w:footnote>
  <w:footnote w:id="224">
    <w:p w14:paraId="1932CC7F" w14:textId="25B9DF89" w:rsidR="006F4911" w:rsidRPr="002C65E3" w:rsidRDefault="00E32FEA" w:rsidP="00387A71">
      <w:pPr>
        <w:pStyle w:val="Textonotapie"/>
        <w:rPr>
          <w:rFonts w:eastAsia="Times New Roman"/>
          <w:color w:val="000000"/>
          <w:szCs w:val="18"/>
          <w:u w:val="single"/>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3">
        <w:r w:rsidR="006F4911" w:rsidRPr="002C65E3">
          <w:rPr>
            <w:rFonts w:eastAsia="Times New Roman"/>
            <w:color w:val="0000FF"/>
            <w:szCs w:val="18"/>
          </w:rPr>
          <w:t>https://especial.mineduc.cl/recursos-apoyo-al-aprendizaje/infografias-del-decreto-n83/</w:t>
        </w:r>
      </w:hyperlink>
      <w:r w:rsidR="00F92AE0" w:rsidRPr="002C65E3">
        <w:rPr>
          <w:rFonts w:eastAsia="Times New Roman"/>
          <w:color w:val="000000"/>
          <w:szCs w:val="18"/>
        </w:rPr>
        <w:t>.</w:t>
      </w:r>
    </w:p>
  </w:footnote>
  <w:footnote w:id="225">
    <w:p w14:paraId="4CDBE673" w14:textId="1F63BE37"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4">
        <w:r w:rsidR="006F4911" w:rsidRPr="002C65E3">
          <w:rPr>
            <w:rFonts w:eastAsia="Times New Roman"/>
            <w:color w:val="0000FF"/>
            <w:szCs w:val="18"/>
          </w:rPr>
          <w:t>https://especial.mineduc.cl/recursos-apoyo-al-aprendizaje/recursos-las-los-docentes/progresiones-de-aprendizaje-en-espiral-y-orientaciones-para-su-implementacion/</w:t>
        </w:r>
      </w:hyperlink>
      <w:r w:rsidR="00F92AE0" w:rsidRPr="002C65E3">
        <w:rPr>
          <w:rFonts w:eastAsia="Times New Roman"/>
          <w:color w:val="000000"/>
          <w:szCs w:val="18"/>
        </w:rPr>
        <w:t>.</w:t>
      </w:r>
    </w:p>
  </w:footnote>
  <w:footnote w:id="226">
    <w:p w14:paraId="2B249A1A" w14:textId="1A5ABB0E" w:rsidR="006F4911" w:rsidRPr="002C65E3" w:rsidRDefault="00E32FEA"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5" w:history="1">
        <w:r w:rsidR="00282DE3" w:rsidRPr="002C65E3">
          <w:rPr>
            <w:rStyle w:val="Hipervnculo"/>
            <w:rFonts w:eastAsia="Times New Roman"/>
            <w:szCs w:val="18"/>
          </w:rPr>
          <w:t>http://bcn.cl/2f7b6</w:t>
        </w:r>
      </w:hyperlink>
      <w:r w:rsidR="00F92AE0" w:rsidRPr="002C65E3">
        <w:rPr>
          <w:rFonts w:eastAsia="Times New Roman"/>
          <w:color w:val="000000"/>
          <w:szCs w:val="18"/>
        </w:rPr>
        <w:t>.</w:t>
      </w:r>
    </w:p>
  </w:footnote>
  <w:footnote w:id="227">
    <w:p w14:paraId="3638A67F" w14:textId="3D8D62C5" w:rsidR="006F4911" w:rsidRPr="002C65E3" w:rsidRDefault="007751A6"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Anexo Nº</w:t>
      </w:r>
      <w:r w:rsidR="00405113" w:rsidRPr="002C65E3">
        <w:rPr>
          <w:rFonts w:eastAsia="Times New Roman"/>
          <w:szCs w:val="18"/>
        </w:rPr>
        <w:t> </w:t>
      </w:r>
      <w:r w:rsidR="006F4911" w:rsidRPr="002C65E3">
        <w:rPr>
          <w:rFonts w:eastAsia="Times New Roman"/>
          <w:szCs w:val="18"/>
        </w:rPr>
        <w:t>5.</w:t>
      </w:r>
    </w:p>
  </w:footnote>
  <w:footnote w:id="228">
    <w:p w14:paraId="365821D1" w14:textId="7656DD6A" w:rsidR="006F4911" w:rsidRPr="002C65E3" w:rsidRDefault="007751A6"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6" w:history="1">
        <w:r w:rsidR="00343446" w:rsidRPr="002C65E3">
          <w:rPr>
            <w:rStyle w:val="Hipervnculo"/>
            <w:rFonts w:eastAsia="Times New Roman"/>
            <w:szCs w:val="18"/>
          </w:rPr>
          <w:t>https://www.innovacion.mineduc.cl/iniciativas/tecnologias-de-acceso-universal-para-la-</w:t>
        </w:r>
        <w:r w:rsidR="00343446" w:rsidRPr="002C65E3">
          <w:rPr>
            <w:rStyle w:val="Hipervnculo"/>
            <w:rFonts w:eastAsia="Times New Roman"/>
            <w:szCs w:val="18"/>
          </w:rPr>
          <w:br/>
          <w:t>educacion-2022</w:t>
        </w:r>
      </w:hyperlink>
      <w:r w:rsidR="00F92AE0" w:rsidRPr="002C65E3">
        <w:rPr>
          <w:rFonts w:eastAsia="Times New Roman"/>
          <w:color w:val="000000"/>
          <w:szCs w:val="18"/>
        </w:rPr>
        <w:t>.</w:t>
      </w:r>
    </w:p>
  </w:footnote>
  <w:footnote w:id="229">
    <w:p w14:paraId="6E1613EF" w14:textId="1565C36D" w:rsidR="006F4911" w:rsidRPr="002C65E3" w:rsidRDefault="007751A6"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7" w:history="1">
        <w:r w:rsidR="00282DE3" w:rsidRPr="002C65E3">
          <w:rPr>
            <w:rStyle w:val="Hipervnculo"/>
            <w:rFonts w:eastAsia="Times New Roman"/>
            <w:szCs w:val="18"/>
          </w:rPr>
          <w:t>https://especial.mineduc.cl/en-junio-se-realizo-el-i-seminario-internacional-tic-y-retos-multiples/</w:t>
        </w:r>
      </w:hyperlink>
      <w:r w:rsidR="00F92AE0" w:rsidRPr="002C65E3">
        <w:rPr>
          <w:rFonts w:eastAsia="Times New Roman"/>
          <w:color w:val="000000"/>
          <w:szCs w:val="18"/>
        </w:rPr>
        <w:t>.</w:t>
      </w:r>
    </w:p>
  </w:footnote>
  <w:footnote w:id="230">
    <w:p w14:paraId="60079CD3" w14:textId="23495CA4" w:rsidR="006F4911" w:rsidRPr="002C65E3" w:rsidRDefault="007751A6"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Atendida la suspensión de clases presenciales por pandemia, hubo estudiantes con discapacidad que, si bien estuvieron matriculados, no pudieron ser evaluados presencialmente para confirmación diagnóstica de discapacidad según el Decreto N</w:t>
      </w:r>
      <w:r w:rsidR="00405113" w:rsidRPr="002C65E3">
        <w:rPr>
          <w:rFonts w:eastAsia="Times New Roman"/>
          <w:szCs w:val="18"/>
        </w:rPr>
        <w:t>º </w:t>
      </w:r>
      <w:r w:rsidR="006F4911" w:rsidRPr="002C65E3">
        <w:rPr>
          <w:rFonts w:eastAsia="Times New Roman"/>
          <w:szCs w:val="18"/>
        </w:rPr>
        <w:t>170 (http://bcn.cl/2s8hu).</w:t>
      </w:r>
    </w:p>
  </w:footnote>
  <w:footnote w:id="231">
    <w:p w14:paraId="1F18452A" w14:textId="42B4A9A9" w:rsidR="006F4911" w:rsidRPr="002C65E3" w:rsidRDefault="007751A6"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No contempla proceso de postulación de excepcionalidades PIE.</w:t>
      </w:r>
    </w:p>
  </w:footnote>
  <w:footnote w:id="232">
    <w:p w14:paraId="01220F10" w14:textId="2177FF2C" w:rsidR="006F4911" w:rsidRPr="002C65E3" w:rsidRDefault="00BC3D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Se adjudicaron 46 proyectos en todas las regiones, salvo Tarapacá, por un monto de $360.537.952. En</w:t>
      </w:r>
      <w:r w:rsidR="00343446" w:rsidRPr="002C65E3">
        <w:rPr>
          <w:rFonts w:eastAsia="Times New Roman"/>
          <w:szCs w:val="18"/>
        </w:rPr>
        <w:t> </w:t>
      </w:r>
      <w:r w:rsidR="006F4911" w:rsidRPr="002C65E3">
        <w:rPr>
          <w:rFonts w:eastAsia="Times New Roman"/>
          <w:szCs w:val="18"/>
        </w:rPr>
        <w:t>2022 se realizó el concurso en las mismas condiciones que el 2021, pero, por el regreso a la presencialidad, no se financió internet.</w:t>
      </w:r>
    </w:p>
  </w:footnote>
  <w:footnote w:id="233">
    <w:p w14:paraId="12A89223" w14:textId="1F0DD7B1" w:rsidR="006F4911" w:rsidRPr="002C65E3" w:rsidRDefault="00BC3D3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198" w:history="1">
        <w:r w:rsidR="00282DE3" w:rsidRPr="002C65E3">
          <w:rPr>
            <w:rStyle w:val="Hipervnculo"/>
            <w:rFonts w:eastAsia="Times New Roman"/>
            <w:szCs w:val="18"/>
          </w:rPr>
          <w:t>https://academia.senadis.cl/</w:t>
        </w:r>
      </w:hyperlink>
      <w:r w:rsidR="001C7E9D" w:rsidRPr="002C65E3">
        <w:rPr>
          <w:rFonts w:eastAsia="Times New Roman"/>
          <w:color w:val="000000"/>
          <w:szCs w:val="18"/>
        </w:rPr>
        <w:t>.</w:t>
      </w:r>
    </w:p>
  </w:footnote>
  <w:footnote w:id="234">
    <w:p w14:paraId="67FAFA77" w14:textId="4F64B1D9" w:rsidR="006F4911" w:rsidRPr="002C65E3" w:rsidRDefault="00BC3D34" w:rsidP="00387A71">
      <w:pPr>
        <w:pStyle w:val="Textonotapie"/>
        <w:rPr>
          <w:rFonts w:eastAsia="Times New Roman"/>
          <w:sz w:val="16"/>
          <w:szCs w:val="16"/>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199" w:history="1">
        <w:r w:rsidR="00282DE3" w:rsidRPr="002C65E3">
          <w:rPr>
            <w:rStyle w:val="Hipervnculo"/>
            <w:rFonts w:eastAsia="Times New Roman"/>
            <w:szCs w:val="18"/>
          </w:rPr>
          <w:t>https://www.senadis.gob.cl/descarga/i/5609/documento</w:t>
        </w:r>
      </w:hyperlink>
      <w:r w:rsidR="001C7E9D" w:rsidRPr="002C65E3">
        <w:rPr>
          <w:rFonts w:eastAsia="Times New Roman"/>
          <w:szCs w:val="18"/>
        </w:rPr>
        <w:t>.</w:t>
      </w:r>
    </w:p>
  </w:footnote>
  <w:footnote w:id="235">
    <w:p w14:paraId="2267A3F3" w14:textId="0F4CEDD9" w:rsidR="006F4911" w:rsidRPr="002C65E3" w:rsidRDefault="00BC3D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En 2018, se capacitó a profesionales de la red de rehabilitación pública de las regiones Metropolitana, Biobío, O´Higgins, Valparaíso, Araucanía y Coquimbo. En 2019, se capacitó a profesionales de las regiones del Maule, Tarapacá, Arica y Parinacota, Metropolitana, Antofagasta, Los Lagos y Los Ríos. </w:t>
      </w:r>
    </w:p>
  </w:footnote>
  <w:footnote w:id="236">
    <w:p w14:paraId="7D09750B" w14:textId="7EDBC72E" w:rsidR="006F4911" w:rsidRPr="002C65E3" w:rsidRDefault="00BC3D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El plan de capacitación incluyó a la población de niñas y adolescentes con discapacidad, permitiendo a las/os profesionales de rehabilitación favorecer el ejercicio de derechos de las PcD.</w:t>
      </w:r>
    </w:p>
  </w:footnote>
  <w:footnote w:id="237">
    <w:p w14:paraId="6EDC2A0B" w14:textId="75E3CE07" w:rsidR="006F4911" w:rsidRPr="002C65E3" w:rsidRDefault="00BC3D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200" w:history="1">
        <w:r w:rsidR="00282DE3" w:rsidRPr="002C65E3">
          <w:rPr>
            <w:rStyle w:val="Hipervnculo"/>
            <w:rFonts w:eastAsia="Times New Roman"/>
            <w:szCs w:val="18"/>
          </w:rPr>
          <w:t>https://www.senadis.gob.cl/descarga/i/6045/documento</w:t>
        </w:r>
      </w:hyperlink>
      <w:r w:rsidR="001C7E9D" w:rsidRPr="002C65E3">
        <w:rPr>
          <w:rFonts w:eastAsia="Times New Roman"/>
          <w:szCs w:val="18"/>
        </w:rPr>
        <w:t>.</w:t>
      </w:r>
    </w:p>
  </w:footnote>
  <w:footnote w:id="238">
    <w:p w14:paraId="0F45DC5D" w14:textId="75019683" w:rsidR="006F4911" w:rsidRPr="002C65E3" w:rsidRDefault="00BC3D3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01" w:history="1">
        <w:r w:rsidR="00282DE3" w:rsidRPr="002C65E3">
          <w:rPr>
            <w:rStyle w:val="Hipervnculo"/>
            <w:rFonts w:eastAsia="Times New Roman"/>
            <w:szCs w:val="18"/>
          </w:rPr>
          <w:t>https://www.senadis.gob.cl/sala_prensa/d/noticias/8663</w:t>
        </w:r>
      </w:hyperlink>
      <w:r w:rsidR="001C7E9D" w:rsidRPr="002C65E3">
        <w:rPr>
          <w:rFonts w:eastAsia="Times New Roman"/>
          <w:color w:val="000000"/>
          <w:szCs w:val="18"/>
        </w:rPr>
        <w:t>.</w:t>
      </w:r>
    </w:p>
  </w:footnote>
  <w:footnote w:id="239">
    <w:p w14:paraId="062392B6" w14:textId="3FBDB987" w:rsidR="006F4911" w:rsidRPr="002C65E3" w:rsidRDefault="00BC3D3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02" w:history="1">
        <w:r w:rsidR="00282DE3" w:rsidRPr="002C65E3">
          <w:rPr>
            <w:rStyle w:val="Hipervnculo"/>
            <w:rFonts w:eastAsia="Times New Roman"/>
            <w:szCs w:val="18"/>
          </w:rPr>
          <w:t>http://bcn.cl/2zg0t</w:t>
        </w:r>
      </w:hyperlink>
      <w:r w:rsidR="001C7E9D" w:rsidRPr="002C65E3">
        <w:rPr>
          <w:rFonts w:eastAsia="Times New Roman"/>
          <w:color w:val="000000"/>
          <w:szCs w:val="18"/>
        </w:rPr>
        <w:t>.</w:t>
      </w:r>
    </w:p>
  </w:footnote>
  <w:footnote w:id="240">
    <w:p w14:paraId="1DC00911" w14:textId="0431CF37" w:rsidR="006F4911" w:rsidRPr="002C65E3" w:rsidRDefault="00BC3D3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03" w:history="1">
        <w:r w:rsidR="00282DE3" w:rsidRPr="002C65E3">
          <w:rPr>
            <w:rStyle w:val="Hipervnculo"/>
            <w:rFonts w:eastAsia="Times New Roman"/>
            <w:szCs w:val="18"/>
          </w:rPr>
          <w:t>http://bcn.cl/2p863</w:t>
        </w:r>
      </w:hyperlink>
      <w:r w:rsidR="001C7E9D" w:rsidRPr="002C65E3">
        <w:rPr>
          <w:rFonts w:eastAsia="Times New Roman"/>
          <w:color w:val="000000"/>
          <w:szCs w:val="18"/>
        </w:rPr>
        <w:t>.</w:t>
      </w:r>
    </w:p>
  </w:footnote>
  <w:footnote w:id="241">
    <w:p w14:paraId="6B288673" w14:textId="1190959B" w:rsidR="006F4911" w:rsidRPr="002C65E3" w:rsidRDefault="00BC3D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Este plan contó con un proceso de participación en su elaboración, siendo la regulación y DDHH una de sus líneas de acción. Véase: </w:t>
      </w:r>
      <w:hyperlink r:id="rId204">
        <w:r w:rsidR="006F4911" w:rsidRPr="002C65E3">
          <w:rPr>
            <w:rFonts w:eastAsia="Times New Roman"/>
            <w:color w:val="0000FF"/>
            <w:szCs w:val="18"/>
          </w:rPr>
          <w:t>https://www.minsal.cl/wp-content/uploads/2017/12/PDF-PLAN-NACIONAL-SALUD-MENTAL-2017-A-2025.-7-dic-2017.pdf</w:t>
        </w:r>
      </w:hyperlink>
      <w:r w:rsidR="001C7E9D" w:rsidRPr="002C65E3">
        <w:rPr>
          <w:rFonts w:eastAsia="Times New Roman"/>
          <w:szCs w:val="18"/>
        </w:rPr>
        <w:t>.</w:t>
      </w:r>
    </w:p>
  </w:footnote>
  <w:footnote w:id="242">
    <w:p w14:paraId="0CBAC93D" w14:textId="033EE06A" w:rsidR="006F4911" w:rsidRPr="002C65E3" w:rsidRDefault="00BC3D3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006F4911" w:rsidRPr="002C65E3">
        <w:rPr>
          <w:rFonts w:eastAsia="Times New Roman"/>
          <w:color w:val="000000"/>
          <w:szCs w:val="18"/>
        </w:rPr>
        <w:t xml:space="preserve"> </w:t>
      </w:r>
      <w:r w:rsidRPr="002C65E3">
        <w:rPr>
          <w:rFonts w:eastAsia="Times New Roman"/>
          <w:color w:val="000000"/>
          <w:szCs w:val="18"/>
        </w:rPr>
        <w:tab/>
      </w:r>
      <w:hyperlink r:id="rId205" w:history="1">
        <w:r w:rsidR="00282DE3" w:rsidRPr="002C65E3">
          <w:rPr>
            <w:rStyle w:val="Hipervnculo"/>
            <w:rFonts w:eastAsia="Times New Roman"/>
            <w:szCs w:val="18"/>
          </w:rPr>
          <w:t>https://www.minsal.cl/consejoasesorensaludmental/</w:t>
        </w:r>
      </w:hyperlink>
      <w:r w:rsidR="001C7E9D" w:rsidRPr="002C65E3">
        <w:rPr>
          <w:rFonts w:eastAsia="Times New Roman"/>
          <w:color w:val="000000"/>
          <w:szCs w:val="18"/>
        </w:rPr>
        <w:t>.</w:t>
      </w:r>
    </w:p>
  </w:footnote>
  <w:footnote w:id="243">
    <w:p w14:paraId="74C6EC85" w14:textId="14749E2E" w:rsidR="006F4911" w:rsidRPr="002C65E3" w:rsidRDefault="00BC3D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Programa de Gobierno 2022-2026, p. 127 </w:t>
      </w:r>
      <w:hyperlink r:id="rId206" w:history="1">
        <w:r w:rsidR="00343446" w:rsidRPr="002C65E3">
          <w:rPr>
            <w:rStyle w:val="Hipervnculo"/>
          </w:rPr>
          <w:t>https://s3.amazonaws.com/cdn.boricpresidente.cl/web/</w:t>
        </w:r>
        <w:r w:rsidR="00343446" w:rsidRPr="002C65E3">
          <w:rPr>
            <w:rStyle w:val="Hipervnculo"/>
          </w:rPr>
          <w:br/>
          <w:t>programa/Plan+de+gobierno+AD+2022-2026+(2).pdf</w:t>
        </w:r>
      </w:hyperlink>
      <w:r w:rsidR="001C7E9D" w:rsidRPr="002C65E3">
        <w:rPr>
          <w:rFonts w:eastAsia="Times New Roman"/>
          <w:szCs w:val="18"/>
        </w:rPr>
        <w:t>.</w:t>
      </w:r>
    </w:p>
  </w:footnote>
  <w:footnote w:id="244">
    <w:p w14:paraId="0E6C8F79" w14:textId="10DBAF2C" w:rsidR="006F4911" w:rsidRPr="002C65E3" w:rsidRDefault="00BC3D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i/>
          <w:szCs w:val="18"/>
        </w:rPr>
        <w:t>Ibid</w:t>
      </w:r>
      <w:r w:rsidR="00343446" w:rsidRPr="002C65E3">
        <w:rPr>
          <w:rFonts w:eastAsia="Times New Roman"/>
          <w:i/>
          <w:szCs w:val="18"/>
        </w:rPr>
        <w:t>.</w:t>
      </w:r>
      <w:r w:rsidR="006F4911" w:rsidRPr="002C65E3">
        <w:rPr>
          <w:rFonts w:eastAsia="Times New Roman"/>
          <w:szCs w:val="18"/>
        </w:rPr>
        <w:t>, p. 26</w:t>
      </w:r>
      <w:r w:rsidR="001C7E9D" w:rsidRPr="002C65E3">
        <w:rPr>
          <w:rFonts w:eastAsia="Times New Roman"/>
          <w:szCs w:val="18"/>
        </w:rPr>
        <w:t>.</w:t>
      </w:r>
    </w:p>
  </w:footnote>
  <w:footnote w:id="245">
    <w:p w14:paraId="75C8D0D2" w14:textId="3637AC59" w:rsidR="006F4911" w:rsidRPr="002C65E3" w:rsidRDefault="00BC3D34"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i/>
          <w:szCs w:val="18"/>
        </w:rPr>
        <w:t>Ibid</w:t>
      </w:r>
      <w:r w:rsidR="00343446" w:rsidRPr="002C65E3">
        <w:rPr>
          <w:rFonts w:eastAsia="Times New Roman"/>
          <w:i/>
          <w:szCs w:val="18"/>
        </w:rPr>
        <w:t>.</w:t>
      </w:r>
      <w:r w:rsidR="006F4911" w:rsidRPr="002C65E3">
        <w:rPr>
          <w:rFonts w:eastAsia="Times New Roman"/>
          <w:szCs w:val="18"/>
        </w:rPr>
        <w:t>, p. 31</w:t>
      </w:r>
      <w:r w:rsidR="001C7E9D" w:rsidRPr="002C65E3">
        <w:rPr>
          <w:rFonts w:eastAsia="Times New Roman"/>
          <w:szCs w:val="18"/>
        </w:rPr>
        <w:t>.</w:t>
      </w:r>
    </w:p>
  </w:footnote>
  <w:footnote w:id="246">
    <w:p w14:paraId="34000D83" w14:textId="4E59E094" w:rsidR="006F4911" w:rsidRPr="002C65E3" w:rsidRDefault="00E3136F"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207">
        <w:r w:rsidR="006F4911" w:rsidRPr="002C65E3">
          <w:rPr>
            <w:rFonts w:eastAsia="Times New Roman"/>
            <w:szCs w:val="18"/>
          </w:rPr>
          <w:t>https://programassociales.ministeriodesarrollosocial.gob.cl/pdf/2022/PRG2022_3_60312.pdf</w:t>
        </w:r>
      </w:hyperlink>
      <w:r w:rsidR="001C7E9D" w:rsidRPr="002C65E3">
        <w:rPr>
          <w:rFonts w:eastAsia="Times New Roman"/>
          <w:szCs w:val="18"/>
        </w:rPr>
        <w:t>.</w:t>
      </w:r>
    </w:p>
  </w:footnote>
  <w:footnote w:id="247">
    <w:p w14:paraId="011332EF" w14:textId="3FF0B880" w:rsidR="006F4911" w:rsidRPr="002C65E3" w:rsidRDefault="00E3136F" w:rsidP="00387A71">
      <w:pPr>
        <w:pStyle w:val="Textonotapie"/>
        <w:rPr>
          <w:rFonts w:eastAsia="Times New Roman"/>
          <w:sz w:val="16"/>
          <w:szCs w:val="16"/>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Programa de Gobierno 2022-2026, pág. 127 </w:t>
      </w:r>
      <w:hyperlink r:id="rId208" w:history="1">
        <w:r w:rsidR="00343446" w:rsidRPr="002C65E3">
          <w:rPr>
            <w:rStyle w:val="Hipervnculo"/>
          </w:rPr>
          <w:t>https://s3.amazonaws.com/cdn.boricpresidente.cl/web/</w:t>
        </w:r>
        <w:r w:rsidR="00343446" w:rsidRPr="002C65E3">
          <w:rPr>
            <w:rStyle w:val="Hipervnculo"/>
          </w:rPr>
          <w:br/>
          <w:t>programa/Plan+de+gobierno+AD+2022-2026+(2).pdf</w:t>
        </w:r>
      </w:hyperlink>
      <w:r w:rsidR="001C7E9D" w:rsidRPr="002C65E3">
        <w:rPr>
          <w:rStyle w:val="Hipervnculo"/>
        </w:rPr>
        <w:t>.</w:t>
      </w:r>
    </w:p>
  </w:footnote>
  <w:footnote w:id="248">
    <w:p w14:paraId="5895B438" w14:textId="3FA64F69" w:rsidR="006F4911" w:rsidRPr="002C65E3" w:rsidRDefault="00E3136F"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El financiamiento de AATT ha sido siempre un nudo crítico en SENADIS, por ello, entre 2019 y</w:t>
      </w:r>
      <w:r w:rsidR="00343446" w:rsidRPr="002C65E3">
        <w:rPr>
          <w:rFonts w:eastAsia="Times New Roman"/>
          <w:szCs w:val="18"/>
        </w:rPr>
        <w:t> </w:t>
      </w:r>
      <w:r w:rsidR="006F4911" w:rsidRPr="002C65E3">
        <w:rPr>
          <w:rFonts w:eastAsia="Times New Roman"/>
          <w:szCs w:val="18"/>
        </w:rPr>
        <w:t>2021, se destinó gran parte del presupuesto a cubrir parte de las postulaciones no adjudicadas en convocatorias anteriores, con la finalidad de evitar que las personas deban realizar nuevamente su postulación. Respecto a 2021, esto último fue incluso solicitado por CONADIS en audiencia de lobby con el MDSF.</w:t>
      </w:r>
    </w:p>
  </w:footnote>
  <w:footnote w:id="249">
    <w:p w14:paraId="022FA76F" w14:textId="73069D01" w:rsidR="006F4911" w:rsidRPr="002C65E3" w:rsidRDefault="007B1418"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09" w:history="1">
        <w:r w:rsidR="00282DE3" w:rsidRPr="002C65E3">
          <w:rPr>
            <w:rStyle w:val="Hipervnculo"/>
            <w:rFonts w:eastAsia="Times New Roman"/>
            <w:szCs w:val="18"/>
          </w:rPr>
          <w:t>https://www.mintrab.gob.cl/wp-content/uploads/2021/06/INFORME-LEY-N-21.015-PDF.pdf</w:t>
        </w:r>
      </w:hyperlink>
      <w:r w:rsidR="00CE62FA" w:rsidRPr="002C65E3">
        <w:rPr>
          <w:rFonts w:eastAsia="Times New Roman"/>
          <w:color w:val="000000"/>
          <w:szCs w:val="18"/>
        </w:rPr>
        <w:t>.</w:t>
      </w:r>
    </w:p>
  </w:footnote>
  <w:footnote w:id="250">
    <w:p w14:paraId="7936F927" w14:textId="7DE76932" w:rsidR="006F4911" w:rsidRPr="002C65E3" w:rsidRDefault="003128F3"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Se considera que un contrato se encuentra vigente, si no se registra fecha de término de la relación laboral o si ella corresponde a fecha posterior de la analizada.</w:t>
      </w:r>
    </w:p>
  </w:footnote>
  <w:footnote w:id="251">
    <w:p w14:paraId="4D015756" w14:textId="769EFF10" w:rsidR="006F4911" w:rsidRPr="002C65E3" w:rsidRDefault="003128F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10">
        <w:r w:rsidR="006F4911" w:rsidRPr="002C65E3">
          <w:rPr>
            <w:rFonts w:eastAsia="Times New Roman"/>
            <w:color w:val="0000FF"/>
            <w:szCs w:val="18"/>
          </w:rPr>
          <w:t>http://www.senado.cl/appsenado/templates/tramitacion/index.php?boletin_ini=14445-13</w:t>
        </w:r>
      </w:hyperlink>
      <w:r w:rsidR="00CE62FA" w:rsidRPr="002C65E3">
        <w:rPr>
          <w:rFonts w:eastAsia="Times New Roman"/>
          <w:color w:val="000000"/>
          <w:szCs w:val="18"/>
        </w:rPr>
        <w:t>.</w:t>
      </w:r>
    </w:p>
  </w:footnote>
  <w:footnote w:id="252">
    <w:p w14:paraId="47806D10" w14:textId="4CABFD53" w:rsidR="006F4911" w:rsidRPr="002C65E3" w:rsidRDefault="003128F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006F4911" w:rsidRPr="002C65E3">
        <w:rPr>
          <w:rFonts w:eastAsia="Times New Roman"/>
          <w:color w:val="000000"/>
          <w:szCs w:val="18"/>
        </w:rPr>
        <w:t>https://www.subtrab.gob.cl/wp-content/uploads/2021/05/banner-manual-de-buenas-practicas-1.pdf</w:t>
      </w:r>
      <w:r w:rsidR="00CE62FA" w:rsidRPr="002C65E3">
        <w:rPr>
          <w:rFonts w:eastAsia="Times New Roman"/>
          <w:color w:val="000000"/>
          <w:szCs w:val="18"/>
        </w:rPr>
        <w:t>.</w:t>
      </w:r>
    </w:p>
  </w:footnote>
  <w:footnote w:id="253">
    <w:p w14:paraId="24E4CB17" w14:textId="26A5EDF2" w:rsidR="006F4911" w:rsidRPr="002C65E3" w:rsidRDefault="003128F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11" w:history="1">
        <w:r w:rsidR="00282DE3" w:rsidRPr="002C65E3">
          <w:rPr>
            <w:rStyle w:val="Hipervnculo"/>
            <w:rFonts w:eastAsia="Times New Roman"/>
            <w:szCs w:val="18"/>
          </w:rPr>
          <w:t>https://pactodeproductividad.cl/</w:t>
        </w:r>
      </w:hyperlink>
      <w:r w:rsidR="00CE62FA" w:rsidRPr="002C65E3">
        <w:rPr>
          <w:rFonts w:eastAsia="Times New Roman"/>
          <w:color w:val="000000"/>
          <w:szCs w:val="18"/>
        </w:rPr>
        <w:t>.</w:t>
      </w:r>
    </w:p>
  </w:footnote>
  <w:footnote w:id="254">
    <w:p w14:paraId="785007BF" w14:textId="718D636B" w:rsidR="006F4911" w:rsidRPr="002C65E3" w:rsidRDefault="003128F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12" w:anchor=":~:text=%C2%BFQu%C3%A9%20es%20el%20Comit%C3%A9%20de,discapacidad%20en%20Chile%20(PcD)" w:history="1">
        <w:r w:rsidR="00343446" w:rsidRPr="002C65E3">
          <w:rPr>
            <w:rStyle w:val="Hipervnculo"/>
            <w:rFonts w:eastAsia="Times New Roman"/>
            <w:szCs w:val="18"/>
          </w:rPr>
          <w:t>https://sofofa.cl/centros-sofofa/centro-discapacidad/cil/#:~:text=%C2%BFQu%C3%A9%</w:t>
        </w:r>
        <w:r w:rsidR="00343446" w:rsidRPr="002C65E3">
          <w:rPr>
            <w:rStyle w:val="Hipervnculo"/>
            <w:rFonts w:eastAsia="Times New Roman"/>
            <w:szCs w:val="18"/>
          </w:rPr>
          <w:br/>
          <w:t>20es%20el%20Comit%C3%A9%20de,discapacidad%20en%20Chile%20(PcD)</w:t>
        </w:r>
      </w:hyperlink>
      <w:r w:rsidR="006F4911" w:rsidRPr="002C65E3">
        <w:rPr>
          <w:rFonts w:eastAsia="Times New Roman"/>
          <w:color w:val="000000"/>
          <w:szCs w:val="18"/>
        </w:rPr>
        <w:t>.</w:t>
      </w:r>
      <w:r w:rsidR="00282DE3" w:rsidRPr="002C65E3">
        <w:rPr>
          <w:rFonts w:eastAsia="Times New Roman"/>
          <w:color w:val="000000"/>
          <w:szCs w:val="18"/>
        </w:rPr>
        <w:t xml:space="preserve"> </w:t>
      </w:r>
    </w:p>
  </w:footnote>
  <w:footnote w:id="255">
    <w:p w14:paraId="314614C9" w14:textId="25ADCFB6" w:rsidR="006F4911" w:rsidRPr="002C65E3" w:rsidRDefault="003128F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13" w:history="1">
        <w:r w:rsidR="00282DE3" w:rsidRPr="002C65E3">
          <w:rPr>
            <w:rStyle w:val="Hipervnculo"/>
            <w:rFonts w:eastAsia="Times New Roman"/>
            <w:szCs w:val="18"/>
          </w:rPr>
          <w:t>https://www.dt.gob.cl/legislacion/1624/w3-article-119460.html</w:t>
        </w:r>
      </w:hyperlink>
      <w:r w:rsidR="00035951" w:rsidRPr="002C65E3">
        <w:rPr>
          <w:rFonts w:eastAsia="Times New Roman"/>
          <w:color w:val="000000"/>
          <w:szCs w:val="18"/>
        </w:rPr>
        <w:t>.</w:t>
      </w:r>
    </w:p>
  </w:footnote>
  <w:footnote w:id="256">
    <w:p w14:paraId="68983A29" w14:textId="1388A37E" w:rsidR="006F4911" w:rsidRPr="002C65E3" w:rsidRDefault="003128F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14" w:history="1">
        <w:r w:rsidR="00282DE3" w:rsidRPr="002C65E3">
          <w:rPr>
            <w:rStyle w:val="Hipervnculo"/>
            <w:rFonts w:eastAsia="Times New Roman"/>
            <w:szCs w:val="18"/>
          </w:rPr>
          <w:t>https://www.dt.gob.cl/legislacion/1624/w3-article-121654.html</w:t>
        </w:r>
      </w:hyperlink>
      <w:r w:rsidR="00035951" w:rsidRPr="002C65E3">
        <w:rPr>
          <w:rFonts w:eastAsia="Times New Roman"/>
          <w:color w:val="000000"/>
          <w:szCs w:val="18"/>
        </w:rPr>
        <w:t>.</w:t>
      </w:r>
    </w:p>
  </w:footnote>
  <w:footnote w:id="257">
    <w:p w14:paraId="32FC1A40" w14:textId="40680F33" w:rsidR="006F4911" w:rsidRPr="002C65E3" w:rsidRDefault="003128F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15" w:history="1">
        <w:r w:rsidR="00282DE3" w:rsidRPr="002C65E3">
          <w:rPr>
            <w:rStyle w:val="Hipervnculo"/>
            <w:rFonts w:eastAsia="Times New Roman"/>
            <w:szCs w:val="18"/>
          </w:rPr>
          <w:t>https://sence.gob.cl/personas/discapacidad</w:t>
        </w:r>
      </w:hyperlink>
      <w:r w:rsidR="00035951" w:rsidRPr="002C65E3">
        <w:rPr>
          <w:rFonts w:eastAsia="Times New Roman"/>
          <w:color w:val="000000"/>
          <w:szCs w:val="18"/>
        </w:rPr>
        <w:t>.</w:t>
      </w:r>
    </w:p>
  </w:footnote>
  <w:footnote w:id="258">
    <w:p w14:paraId="0C87DD8C" w14:textId="7BF4E306" w:rsidR="006F4911" w:rsidRPr="002C65E3" w:rsidRDefault="003128F3"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Desde 2020 al 03.08.2022</w:t>
      </w:r>
      <w:r w:rsidR="00035951" w:rsidRPr="002C65E3">
        <w:rPr>
          <w:rFonts w:eastAsia="Times New Roman"/>
          <w:szCs w:val="18"/>
        </w:rPr>
        <w:t>.</w:t>
      </w:r>
    </w:p>
  </w:footnote>
  <w:footnote w:id="259">
    <w:p w14:paraId="534B0499" w14:textId="5F9D29D3" w:rsidR="006F4911" w:rsidRPr="002C65E3" w:rsidRDefault="003128F3" w:rsidP="00387A71">
      <w:pPr>
        <w:pStyle w:val="Textonotapie"/>
        <w:rPr>
          <w:rFonts w:eastAsia="Times New Roman"/>
          <w:sz w:val="16"/>
          <w:szCs w:val="16"/>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En 2019 se realizaron 16 seminarios regionales y charlas complementarias en diversas comunas de 9</w:t>
      </w:r>
      <w:r w:rsidR="00343446" w:rsidRPr="002C65E3">
        <w:rPr>
          <w:rFonts w:eastAsia="Times New Roman"/>
          <w:szCs w:val="18"/>
        </w:rPr>
        <w:t> </w:t>
      </w:r>
      <w:r w:rsidR="006F4911" w:rsidRPr="002C65E3">
        <w:rPr>
          <w:rFonts w:eastAsia="Times New Roman"/>
          <w:szCs w:val="18"/>
        </w:rPr>
        <w:t>regiones. Durante 2020, 4 jornadas virtuales de concientización, conversatorios y un webinario nacional, en las que participaron 338 personas. En 2021, 6 conversatorios a nivel nacional, con la participación de 1.023 organizaciones y 1.286 asistentes. En 2022, acciones de promoción del enfoque de derechos, realizándose, a junio 2022, 4 seminarios a nivel nacional sobre inclusión laboral, con 350 personas en promedio, de cerca de 480 organizaciones.</w:t>
      </w:r>
      <w:r w:rsidR="006F4911" w:rsidRPr="002C65E3">
        <w:rPr>
          <w:rFonts w:eastAsia="Times New Roman"/>
          <w:sz w:val="16"/>
          <w:szCs w:val="16"/>
        </w:rPr>
        <w:t xml:space="preserve"> </w:t>
      </w:r>
    </w:p>
  </w:footnote>
  <w:footnote w:id="260">
    <w:p w14:paraId="7FFC3905" w14:textId="5B4F7283" w:rsidR="006F4911" w:rsidRPr="002C65E3" w:rsidRDefault="0036006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Durante 2020 realizaron su proceso de formación, 232 organizaciones, aprobando un total de 349 personas. Durante 2021, se inscribieron un total de 301 organizaciones, aprobando un total de 457 personas. Hasta julio de 2022, se inscribieron 172 organizaciones. En la modalidad de enseñanza en línea, se han inscrito 97 organizaciones en modalidad híbrida 40, correspondientes a 11 regiones del país (públicas y privadas). </w:t>
      </w:r>
    </w:p>
  </w:footnote>
  <w:footnote w:id="261">
    <w:p w14:paraId="0A24740C" w14:textId="2C41DFEF" w:rsidR="006F4911" w:rsidRPr="002C65E3" w:rsidRDefault="0036006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Diversidad e Inclusión; Normativa Vigente en inclusión laboral de PcD; Políticas Laborales Inclusivas; Ajustes Razonables; y Selección y Reclutamiento, las que tuvieron una duración promedio de 25-30 horas de formación. En las capacitaciones se aplica el Índice de Inclusión Laboral </w:t>
      </w:r>
      <w:r w:rsidR="00776BAA" w:rsidRPr="002C65E3">
        <w:rPr>
          <w:rFonts w:eastAsia="Times New Roman"/>
          <w:szCs w:val="18"/>
        </w:rPr>
        <w:br/>
        <w:t>—</w:t>
      </w:r>
      <w:r w:rsidR="006F4911" w:rsidRPr="002C65E3">
        <w:rPr>
          <w:rFonts w:eastAsia="Times New Roman"/>
          <w:szCs w:val="18"/>
        </w:rPr>
        <w:t>autodiagnóstico institucional sobre el nivel de inclusión de las organizaciones</w:t>
      </w:r>
      <w:r w:rsidR="00776BAA" w:rsidRPr="002C65E3">
        <w:rPr>
          <w:rFonts w:eastAsia="Times New Roman"/>
          <w:szCs w:val="18"/>
        </w:rPr>
        <w:t>—</w:t>
      </w:r>
      <w:r w:rsidR="006F4911" w:rsidRPr="002C65E3">
        <w:rPr>
          <w:rFonts w:eastAsia="Times New Roman"/>
          <w:szCs w:val="18"/>
        </w:rPr>
        <w:t xml:space="preserve"> en dos oportunidades, al inicio y luego de tres meses de terminadas las capacitaciones. A julio de 2022, 137 entidades han contestado el Índice de Inclusión Laboral.</w:t>
      </w:r>
    </w:p>
  </w:footnote>
  <w:footnote w:id="262">
    <w:p w14:paraId="3384B452" w14:textId="7B31EA08" w:rsidR="006F4911" w:rsidRPr="002C65E3" w:rsidRDefault="0036006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216" w:history="1">
        <w:r w:rsidR="00282DE3" w:rsidRPr="002C65E3">
          <w:rPr>
            <w:rStyle w:val="Hipervnculo"/>
            <w:rFonts w:eastAsia="Times New Roman"/>
            <w:szCs w:val="18"/>
          </w:rPr>
          <w:t>http://bcn.cl/2maxp</w:t>
        </w:r>
      </w:hyperlink>
      <w:r w:rsidR="00035951" w:rsidRPr="002C65E3">
        <w:rPr>
          <w:rFonts w:eastAsia="Times New Roman"/>
          <w:szCs w:val="18"/>
        </w:rPr>
        <w:t>.</w:t>
      </w:r>
    </w:p>
  </w:footnote>
  <w:footnote w:id="263">
    <w:p w14:paraId="05067DF7" w14:textId="05BC7F78" w:rsidR="006F4911" w:rsidRPr="002C65E3" w:rsidRDefault="00360061" w:rsidP="00387A71">
      <w:pPr>
        <w:pStyle w:val="Textonotapie"/>
        <w:rPr>
          <w:rFonts w:eastAsia="Times New Roman"/>
          <w:sz w:val="16"/>
          <w:szCs w:val="16"/>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i/>
          <w:iCs/>
          <w:szCs w:val="18"/>
        </w:rPr>
        <w:t>Fuente:</w:t>
      </w:r>
      <w:r w:rsidR="006F4911" w:rsidRPr="002C65E3">
        <w:rPr>
          <w:rFonts w:eastAsia="Times New Roman"/>
          <w:szCs w:val="18"/>
        </w:rPr>
        <w:t xml:space="preserve"> Banco Integrado de Programas Sociales (BIPS), 2022.</w:t>
      </w:r>
    </w:p>
  </w:footnote>
  <w:footnote w:id="264">
    <w:p w14:paraId="651B2DD7" w14:textId="0075ACAE" w:rsidR="006F4911" w:rsidRPr="002C65E3" w:rsidRDefault="00360061"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i/>
          <w:szCs w:val="18"/>
        </w:rPr>
        <w:t>Fuente:</w:t>
      </w:r>
      <w:r w:rsidR="006F4911" w:rsidRPr="002C65E3">
        <w:rPr>
          <w:rFonts w:eastAsia="Times New Roman"/>
          <w:szCs w:val="18"/>
        </w:rPr>
        <w:t xml:space="preserve"> BIPS, 2022.</w:t>
      </w:r>
    </w:p>
  </w:footnote>
  <w:footnote w:id="265">
    <w:p w14:paraId="5EBA8B63" w14:textId="10652879" w:rsidR="006F4911" w:rsidRPr="002C65E3" w:rsidRDefault="00553642"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i/>
          <w:szCs w:val="18"/>
        </w:rPr>
        <w:t>Ibid</w:t>
      </w:r>
      <w:r w:rsidR="006F4911" w:rsidRPr="002C65E3">
        <w:rPr>
          <w:rFonts w:eastAsia="Times New Roman"/>
          <w:szCs w:val="18"/>
        </w:rPr>
        <w:t>.</w:t>
      </w:r>
    </w:p>
  </w:footnote>
  <w:footnote w:id="266">
    <w:p w14:paraId="35823F97" w14:textId="030E7A48" w:rsidR="006F4911" w:rsidRPr="002C65E3" w:rsidRDefault="00553642"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i/>
          <w:szCs w:val="18"/>
        </w:rPr>
        <w:t>Ibid</w:t>
      </w:r>
      <w:r w:rsidR="006F4911" w:rsidRPr="002C65E3">
        <w:rPr>
          <w:rFonts w:eastAsia="Times New Roman"/>
          <w:szCs w:val="18"/>
        </w:rPr>
        <w:t>.</w:t>
      </w:r>
    </w:p>
  </w:footnote>
  <w:footnote w:id="267">
    <w:p w14:paraId="60CE4989" w14:textId="7ABF4AC2" w:rsidR="006F4911" w:rsidRPr="002C65E3" w:rsidRDefault="00553642"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17" w:history="1">
        <w:r w:rsidR="00282DE3" w:rsidRPr="002C65E3">
          <w:rPr>
            <w:rStyle w:val="Hipervnculo"/>
            <w:rFonts w:eastAsia="Times New Roman"/>
            <w:szCs w:val="18"/>
          </w:rPr>
          <w:t>https://www.senadis.gob.cl/pag/647/1575/programa_transito_a_la_vida_independiente_2022</w:t>
        </w:r>
      </w:hyperlink>
      <w:r w:rsidR="00035951" w:rsidRPr="002C65E3">
        <w:rPr>
          <w:rFonts w:eastAsia="Times New Roman"/>
          <w:color w:val="000000"/>
          <w:szCs w:val="18"/>
        </w:rPr>
        <w:t>.</w:t>
      </w:r>
    </w:p>
  </w:footnote>
  <w:footnote w:id="268">
    <w:p w14:paraId="64E80A1F" w14:textId="01B84F3D" w:rsidR="006F4911" w:rsidRPr="002C65E3" w:rsidRDefault="00553642" w:rsidP="00387A71">
      <w:pPr>
        <w:pStyle w:val="Textonotapie"/>
        <w:spacing w:after="60"/>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2016: </w:t>
      </w:r>
      <w:hyperlink r:id="rId218" w:history="1">
        <w:r w:rsidR="00387A71" w:rsidRPr="002C65E3">
          <w:rPr>
            <w:rStyle w:val="Hipervnculo"/>
            <w:rFonts w:eastAsia="Times New Roman"/>
            <w:szCs w:val="18"/>
          </w:rPr>
          <w:t>https://www.senadis.gob.cl/pag/311/1795/convocatoria_programa_transito_a_la_vida_</w:t>
        </w:r>
        <w:r w:rsidR="00387A71" w:rsidRPr="002C65E3">
          <w:rPr>
            <w:rStyle w:val="Hipervnculo"/>
            <w:rFonts w:eastAsia="Times New Roman"/>
            <w:szCs w:val="18"/>
          </w:rPr>
          <w:br/>
          <w:t>independiente_2016</w:t>
        </w:r>
      </w:hyperlink>
      <w:r w:rsidR="00387A71" w:rsidRPr="002C65E3">
        <w:rPr>
          <w:rFonts w:eastAsia="Times New Roman"/>
          <w:szCs w:val="18"/>
        </w:rPr>
        <w:t>.</w:t>
      </w:r>
    </w:p>
    <w:p w14:paraId="34D9430B" w14:textId="0F8C06FF" w:rsidR="006F4911" w:rsidRPr="002C65E3" w:rsidRDefault="006F4911" w:rsidP="00387A71">
      <w:pPr>
        <w:spacing w:after="60" w:line="240" w:lineRule="auto"/>
        <w:ind w:left="1128"/>
        <w:rPr>
          <w:rFonts w:eastAsia="Times New Roman"/>
          <w:sz w:val="18"/>
          <w:szCs w:val="18"/>
        </w:rPr>
      </w:pPr>
      <w:bookmarkStart w:id="47" w:name="_147n2zr" w:colFirst="0" w:colLast="0"/>
      <w:bookmarkEnd w:id="47"/>
      <w:r w:rsidRPr="002C65E3">
        <w:rPr>
          <w:rFonts w:eastAsia="Times New Roman"/>
          <w:sz w:val="18"/>
          <w:szCs w:val="18"/>
        </w:rPr>
        <w:t xml:space="preserve">2019: </w:t>
      </w:r>
      <w:hyperlink r:id="rId219" w:history="1">
        <w:r w:rsidR="00282DE3" w:rsidRPr="002C65E3">
          <w:rPr>
            <w:rStyle w:val="Hipervnculo"/>
            <w:rFonts w:eastAsia="Times New Roman"/>
            <w:sz w:val="18"/>
            <w:szCs w:val="18"/>
          </w:rPr>
          <w:t>https://www.senadis.gob.cl/sala_prensa/d/noticias/7624</w:t>
        </w:r>
      </w:hyperlink>
      <w:r w:rsidRPr="002C65E3">
        <w:rPr>
          <w:rFonts w:eastAsia="Times New Roman"/>
          <w:sz w:val="18"/>
          <w:szCs w:val="18"/>
        </w:rPr>
        <w:t xml:space="preserve">, </w:t>
      </w:r>
      <w:hyperlink r:id="rId220" w:history="1">
        <w:r w:rsidR="00282DE3" w:rsidRPr="002C65E3">
          <w:rPr>
            <w:rStyle w:val="Hipervnculo"/>
            <w:rFonts w:eastAsia="Times New Roman"/>
            <w:sz w:val="18"/>
            <w:szCs w:val="18"/>
          </w:rPr>
          <w:t>https://www.senadis.gob.cl/sala_prensa/d/noticias/7630</w:t>
        </w:r>
      </w:hyperlink>
      <w:r w:rsidRPr="002C65E3">
        <w:rPr>
          <w:rFonts w:eastAsia="Times New Roman"/>
          <w:sz w:val="18"/>
          <w:szCs w:val="18"/>
        </w:rPr>
        <w:t xml:space="preserve">, </w:t>
      </w:r>
      <w:r w:rsidR="00553642" w:rsidRPr="002C65E3">
        <w:rPr>
          <w:rFonts w:eastAsia="Times New Roman"/>
          <w:sz w:val="18"/>
          <w:szCs w:val="18"/>
        </w:rPr>
        <w:tab/>
      </w:r>
      <w:hyperlink r:id="rId221">
        <w:r w:rsidRPr="002C65E3">
          <w:rPr>
            <w:rFonts w:eastAsia="Times New Roman"/>
            <w:sz w:val="18"/>
            <w:szCs w:val="18"/>
          </w:rPr>
          <w:t>https://www.senadis.gob.cl/sala_prensa/d/noticias/7629</w:t>
        </w:r>
      </w:hyperlink>
      <w:r w:rsidRPr="002C65E3">
        <w:rPr>
          <w:rFonts w:eastAsia="Times New Roman"/>
          <w:sz w:val="18"/>
          <w:szCs w:val="18"/>
        </w:rPr>
        <w:t>,</w:t>
      </w:r>
      <w:r w:rsidR="00387A71" w:rsidRPr="002C65E3">
        <w:rPr>
          <w:rFonts w:eastAsia="Times New Roman"/>
          <w:sz w:val="18"/>
          <w:szCs w:val="18"/>
        </w:rPr>
        <w:br/>
      </w:r>
      <w:r w:rsidRPr="002C65E3">
        <w:rPr>
          <w:rFonts w:eastAsia="Times New Roman"/>
          <w:sz w:val="18"/>
          <w:szCs w:val="18"/>
        </w:rPr>
        <w:t>f</w:t>
      </w:r>
      <w:hyperlink r:id="rId222">
        <w:r w:rsidRPr="002C65E3">
          <w:rPr>
            <w:rFonts w:eastAsia="Times New Roman"/>
            <w:sz w:val="18"/>
            <w:szCs w:val="18"/>
          </w:rPr>
          <w:t>https://www.senadis.gob.cl/sala_prensa/d/noticias/7641</w:t>
        </w:r>
      </w:hyperlink>
      <w:r w:rsidR="00387A71" w:rsidRPr="002C65E3">
        <w:rPr>
          <w:rFonts w:eastAsia="Times New Roman"/>
          <w:sz w:val="18"/>
          <w:szCs w:val="18"/>
        </w:rPr>
        <w:t>.</w:t>
      </w:r>
    </w:p>
    <w:p w14:paraId="0DEDD989" w14:textId="75D2C5C9" w:rsidR="006F4911" w:rsidRPr="002C65E3" w:rsidRDefault="00553642" w:rsidP="00343446">
      <w:pPr>
        <w:pStyle w:val="Textonotapie"/>
        <w:spacing w:after="60"/>
        <w:rPr>
          <w:rFonts w:eastAsia="Times New Roman"/>
          <w:szCs w:val="18"/>
        </w:rPr>
      </w:pPr>
      <w:r w:rsidRPr="002C65E3">
        <w:rPr>
          <w:rFonts w:eastAsia="Times New Roman"/>
          <w:szCs w:val="18"/>
        </w:rPr>
        <w:tab/>
      </w:r>
      <w:r w:rsidRPr="002C65E3">
        <w:rPr>
          <w:rFonts w:eastAsia="Times New Roman"/>
          <w:szCs w:val="18"/>
        </w:rPr>
        <w:tab/>
      </w:r>
      <w:r w:rsidR="006F4911" w:rsidRPr="002C65E3">
        <w:rPr>
          <w:rFonts w:eastAsia="Times New Roman"/>
          <w:szCs w:val="18"/>
        </w:rPr>
        <w:t xml:space="preserve">2020: </w:t>
      </w:r>
      <w:hyperlink r:id="rId223" w:history="1">
        <w:r w:rsidR="00387A71" w:rsidRPr="002C65E3">
          <w:rPr>
            <w:rStyle w:val="Hipervnculo"/>
            <w:rFonts w:eastAsia="Times New Roman"/>
            <w:szCs w:val="18"/>
          </w:rPr>
          <w:t>https://www.senadis.gob.cl/pag/594/1910/continuidad_de_recursos_transito_a_la_vida_</w:t>
        </w:r>
        <w:r w:rsidR="00387A71" w:rsidRPr="002C65E3">
          <w:rPr>
            <w:rStyle w:val="Hipervnculo"/>
            <w:rFonts w:eastAsia="Times New Roman"/>
            <w:szCs w:val="18"/>
          </w:rPr>
          <w:br/>
          <w:t>independiente_tvi_2019_segundo_semestre_2020_cerrado</w:t>
        </w:r>
      </w:hyperlink>
      <w:r w:rsidR="00035951" w:rsidRPr="002C65E3">
        <w:rPr>
          <w:rFonts w:eastAsia="Times New Roman"/>
          <w:szCs w:val="18"/>
        </w:rPr>
        <w:t>.</w:t>
      </w:r>
    </w:p>
    <w:p w14:paraId="78BF1CC1" w14:textId="710A7D61" w:rsidR="006F4911" w:rsidRPr="002C65E3" w:rsidRDefault="006F4911" w:rsidP="00343446">
      <w:pPr>
        <w:spacing w:after="60" w:line="240" w:lineRule="auto"/>
        <w:ind w:left="1128"/>
        <w:rPr>
          <w:rFonts w:eastAsia="Times New Roman"/>
          <w:sz w:val="18"/>
          <w:szCs w:val="18"/>
        </w:rPr>
      </w:pPr>
      <w:r w:rsidRPr="002C65E3">
        <w:rPr>
          <w:rFonts w:eastAsia="Times New Roman"/>
          <w:sz w:val="18"/>
          <w:szCs w:val="18"/>
        </w:rPr>
        <w:t xml:space="preserve">2021: </w:t>
      </w:r>
      <w:hyperlink r:id="rId224" w:history="1">
        <w:r w:rsidR="006B67B8" w:rsidRPr="002C65E3">
          <w:rPr>
            <w:rStyle w:val="Hipervnculo"/>
            <w:rFonts w:eastAsia="Times New Roman"/>
            <w:sz w:val="18"/>
            <w:szCs w:val="18"/>
          </w:rPr>
          <w:t>https://www.senadis.gob.cl/sala_prensa/d/noticias/8574</w:t>
        </w:r>
      </w:hyperlink>
      <w:r w:rsidRPr="002C65E3">
        <w:rPr>
          <w:rFonts w:eastAsia="Times New Roman"/>
          <w:sz w:val="18"/>
          <w:szCs w:val="18"/>
        </w:rPr>
        <w:t xml:space="preserve">, </w:t>
      </w:r>
      <w:hyperlink r:id="rId225" w:history="1">
        <w:r w:rsidR="00282DE3" w:rsidRPr="002C65E3">
          <w:rPr>
            <w:rStyle w:val="Hipervnculo"/>
            <w:rFonts w:eastAsia="Times New Roman"/>
            <w:sz w:val="18"/>
            <w:szCs w:val="18"/>
          </w:rPr>
          <w:t>https://www.senadis.gob.cl/sala_prensa/d/noticias/8617</w:t>
        </w:r>
      </w:hyperlink>
      <w:r w:rsidRPr="002C65E3">
        <w:rPr>
          <w:rFonts w:eastAsia="Times New Roman"/>
          <w:sz w:val="18"/>
          <w:szCs w:val="18"/>
        </w:rPr>
        <w:t xml:space="preserve">, </w:t>
      </w:r>
      <w:r w:rsidR="00C607C3" w:rsidRPr="002C65E3">
        <w:rPr>
          <w:rFonts w:eastAsia="Times New Roman"/>
          <w:sz w:val="18"/>
          <w:szCs w:val="18"/>
        </w:rPr>
        <w:br/>
      </w:r>
      <w:r w:rsidRPr="002C65E3">
        <w:rPr>
          <w:rFonts w:eastAsia="Times New Roman"/>
          <w:sz w:val="18"/>
          <w:szCs w:val="18"/>
        </w:rPr>
        <w:t xml:space="preserve">Instagram: </w:t>
      </w:r>
      <w:hyperlink r:id="rId226" w:history="1">
        <w:r w:rsidR="00553642" w:rsidRPr="002C65E3">
          <w:rPr>
            <w:rStyle w:val="Hipervnculo"/>
            <w:rFonts w:eastAsia="Times New Roman"/>
            <w:sz w:val="18"/>
            <w:szCs w:val="18"/>
          </w:rPr>
          <w:t>https://www.instagram.com/p/CSKzJP7rLQM/</w:t>
        </w:r>
      </w:hyperlink>
      <w:r w:rsidR="00343446" w:rsidRPr="002C65E3">
        <w:rPr>
          <w:rFonts w:eastAsia="Times New Roman"/>
          <w:sz w:val="18"/>
          <w:szCs w:val="18"/>
        </w:rPr>
        <w:t>.</w:t>
      </w:r>
    </w:p>
    <w:p w14:paraId="56BF1CF6" w14:textId="3FCB0ACC" w:rsidR="006F4911" w:rsidRPr="002C65E3" w:rsidRDefault="006F4911" w:rsidP="00387A71">
      <w:pPr>
        <w:spacing w:line="240" w:lineRule="auto"/>
        <w:ind w:left="1130"/>
        <w:rPr>
          <w:rFonts w:eastAsia="Times New Roman"/>
          <w:sz w:val="16"/>
          <w:szCs w:val="16"/>
        </w:rPr>
      </w:pPr>
      <w:r w:rsidRPr="002C65E3">
        <w:rPr>
          <w:rFonts w:eastAsia="Times New Roman"/>
          <w:sz w:val="18"/>
          <w:szCs w:val="18"/>
        </w:rPr>
        <w:t xml:space="preserve">2022: </w:t>
      </w:r>
      <w:hyperlink r:id="rId227" w:history="1">
        <w:r w:rsidR="00343446" w:rsidRPr="002C65E3">
          <w:rPr>
            <w:rStyle w:val="Hipervnculo"/>
            <w:rFonts w:eastAsia="Times New Roman"/>
            <w:sz w:val="18"/>
            <w:szCs w:val="18"/>
          </w:rPr>
          <w:t>https://www.senadis.gob.cl/sala_prensa/d/noticias/8772/ministra-vega-lanza-programa-</w:t>
        </w:r>
        <w:r w:rsidR="00343446" w:rsidRPr="002C65E3">
          <w:rPr>
            <w:rStyle w:val="Hipervnculo"/>
            <w:rFonts w:eastAsia="Times New Roman"/>
            <w:sz w:val="18"/>
            <w:szCs w:val="18"/>
          </w:rPr>
          <w:br/>
          <w:t>para-financiar-servicios-de-apoyo-y-adaptaciones-para-personas-con-discapacidad</w:t>
        </w:r>
      </w:hyperlink>
      <w:r w:rsidRPr="002C65E3">
        <w:rPr>
          <w:rFonts w:eastAsia="Times New Roman"/>
          <w:sz w:val="18"/>
          <w:szCs w:val="18"/>
        </w:rPr>
        <w:t xml:space="preserve">, Instagram: </w:t>
      </w:r>
      <w:hyperlink r:id="rId228">
        <w:r w:rsidRPr="002C65E3">
          <w:rPr>
            <w:rFonts w:eastAsia="Times New Roman"/>
            <w:sz w:val="18"/>
            <w:szCs w:val="18"/>
          </w:rPr>
          <w:t>https://www.instagram.com/p/Cel1-jktyX9/</w:t>
        </w:r>
      </w:hyperlink>
      <w:r w:rsidR="00343446" w:rsidRPr="002C65E3">
        <w:rPr>
          <w:sz w:val="18"/>
          <w:szCs w:val="18"/>
        </w:rPr>
        <w:t>.</w:t>
      </w:r>
    </w:p>
  </w:footnote>
  <w:footnote w:id="269">
    <w:p w14:paraId="7CC6E527" w14:textId="279B2DC1" w:rsidR="006F4911" w:rsidRPr="002C65E3" w:rsidRDefault="002276D5" w:rsidP="00387A71">
      <w:pPr>
        <w:pStyle w:val="Textonotapie"/>
        <w:rPr>
          <w:rStyle w:val="Hipervnculo"/>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hyperlink r:id="rId229">
        <w:r w:rsidR="006F4911" w:rsidRPr="002C65E3">
          <w:rPr>
            <w:rStyle w:val="Hipervnculo"/>
          </w:rPr>
          <w:t>https://datasocial.ministeriodesarrollosocial.gob.cl/programas/dashboard</w:t>
        </w:r>
      </w:hyperlink>
      <w:r w:rsidR="006B67B8" w:rsidRPr="002C65E3">
        <w:rPr>
          <w:rStyle w:val="Hipervnculo"/>
        </w:rPr>
        <w:t>.</w:t>
      </w:r>
    </w:p>
  </w:footnote>
  <w:footnote w:id="270">
    <w:p w14:paraId="7551F68F" w14:textId="51FCDCDC" w:rsidR="006F4911" w:rsidRPr="002C65E3" w:rsidRDefault="002276D5"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Busca mejorar la salud mental de cuidadoras/es, fomentando el autocuidado y desarrollo de habilidades, actitudes y competencias, para avanzar en su autonomía económica y física. </w:t>
      </w:r>
    </w:p>
  </w:footnote>
  <w:footnote w:id="271">
    <w:p w14:paraId="646CD3A4" w14:textId="2E20E604" w:rsidR="006F4911" w:rsidRPr="002C65E3" w:rsidRDefault="002276D5"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Busca fortalecer las habilidades y competencias para el desarrollo de emprendimientos, promoviendo las iniciativas colectivas desarrolladas en un territorio común.</w:t>
      </w:r>
    </w:p>
  </w:footnote>
  <w:footnote w:id="272">
    <w:p w14:paraId="3E0038FC" w14:textId="3AAB71C6" w:rsidR="006F4911" w:rsidRPr="002C65E3" w:rsidRDefault="002276D5"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30" w:anchor=":~:text=El%20fono%20800%20000%20058,contexto%20de%20la%20actual%20pandemia" w:history="1">
        <w:r w:rsidR="006B67B8" w:rsidRPr="002C65E3">
          <w:rPr>
            <w:rStyle w:val="Hipervnculo"/>
            <w:rFonts w:eastAsia="Times New Roman"/>
            <w:szCs w:val="18"/>
          </w:rPr>
          <w:t>https://www.senadis.gob.cl/pag/588/1880/linea_800_conectados_al_cuidar#:~:text=</w:t>
        </w:r>
        <w:r w:rsidR="006B67B8" w:rsidRPr="002C65E3">
          <w:rPr>
            <w:rStyle w:val="Hipervnculo"/>
            <w:rFonts w:eastAsia="Times New Roman"/>
            <w:szCs w:val="18"/>
          </w:rPr>
          <w:br/>
          <w:t>El%20fono%20800%20000%20058,contexto%20de%20la%20actual%20pandemia</w:t>
        </w:r>
      </w:hyperlink>
      <w:r w:rsidR="006B67B8" w:rsidRPr="002C65E3">
        <w:rPr>
          <w:rFonts w:eastAsia="Times New Roman"/>
          <w:color w:val="000000"/>
          <w:szCs w:val="18"/>
        </w:rPr>
        <w:t>.</w:t>
      </w:r>
    </w:p>
  </w:footnote>
  <w:footnote w:id="273">
    <w:p w14:paraId="2996DF6F" w14:textId="149DDDB0" w:rsidR="006F4911" w:rsidRPr="002C65E3" w:rsidRDefault="002276D5"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Ello equivale al 98,56% del total reportado.</w:t>
      </w:r>
    </w:p>
  </w:footnote>
  <w:footnote w:id="274">
    <w:p w14:paraId="1C066E88" w14:textId="2D8976E7" w:rsidR="006F4911" w:rsidRPr="002C65E3" w:rsidRDefault="002276D5"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Para personas entre 18 y 24 años, mujeres y PcD, el subsidio es de un 60% de la remuneración bruta mensual y, hasta junio de 2022, tuvo un tope de $250.000 mensuales. Desde julio a septiembre 2022, el tope es de $300.000. Véase: </w:t>
      </w:r>
      <w:hyperlink r:id="rId231">
        <w:r w:rsidR="006F4911" w:rsidRPr="002C65E3">
          <w:rPr>
            <w:rFonts w:eastAsia="Times New Roman"/>
            <w:szCs w:val="18"/>
          </w:rPr>
          <w:t>https://www.subsidioalempleo.cl/IFELaboral/index.html#</w:t>
        </w:r>
      </w:hyperlink>
      <w:r w:rsidR="004978F3" w:rsidRPr="002C65E3">
        <w:rPr>
          <w:rFonts w:eastAsia="Times New Roman"/>
          <w:szCs w:val="18"/>
        </w:rPr>
        <w:t>.</w:t>
      </w:r>
    </w:p>
  </w:footnote>
  <w:footnote w:id="275">
    <w:p w14:paraId="3DCB1CA4" w14:textId="493C0DC9" w:rsidR="006F4911" w:rsidRPr="002C65E3" w:rsidRDefault="002276D5"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Boletín N</w:t>
      </w:r>
      <w:r w:rsidR="00405113" w:rsidRPr="002C65E3">
        <w:rPr>
          <w:rFonts w:eastAsia="Times New Roman"/>
          <w:szCs w:val="18"/>
        </w:rPr>
        <w:t>º </w:t>
      </w:r>
      <w:r w:rsidR="006F4911" w:rsidRPr="002C65E3">
        <w:rPr>
          <w:rFonts w:eastAsia="Times New Roman"/>
          <w:szCs w:val="18"/>
        </w:rPr>
        <w:t>12.521-07 (</w:t>
      </w:r>
      <w:hyperlink r:id="rId232" w:history="1">
        <w:r w:rsidR="00387A71" w:rsidRPr="002C65E3">
          <w:rPr>
            <w:rStyle w:val="Hipervnculo"/>
            <w:rFonts w:eastAsia="Times New Roman"/>
            <w:szCs w:val="18"/>
          </w:rPr>
          <w:t>http://www.senado.cl/appsenado/templates/tramitacion/</w:t>
        </w:r>
        <w:r w:rsidR="00387A71" w:rsidRPr="002C65E3">
          <w:rPr>
            <w:rStyle w:val="Hipervnculo"/>
            <w:rFonts w:eastAsia="Times New Roman"/>
            <w:szCs w:val="18"/>
          </w:rPr>
          <w:br/>
          <w:t>index.php?boletin_ini=12521-07</w:t>
        </w:r>
      </w:hyperlink>
      <w:r w:rsidR="006F4911" w:rsidRPr="002C65E3">
        <w:rPr>
          <w:rFonts w:eastAsia="Times New Roman"/>
          <w:szCs w:val="18"/>
        </w:rPr>
        <w:t>) y N</w:t>
      </w:r>
      <w:r w:rsidR="00405113" w:rsidRPr="002C65E3">
        <w:rPr>
          <w:rFonts w:eastAsia="Times New Roman"/>
          <w:szCs w:val="18"/>
        </w:rPr>
        <w:t>º </w:t>
      </w:r>
      <w:r w:rsidR="006F4911" w:rsidRPr="002C65E3">
        <w:rPr>
          <w:rFonts w:eastAsia="Times New Roman"/>
          <w:szCs w:val="18"/>
        </w:rPr>
        <w:t>12.816-07 (http://www.senado.cl/appsenado/templates/</w:t>
      </w:r>
      <w:r w:rsidR="00387A71" w:rsidRPr="002C65E3">
        <w:rPr>
          <w:rFonts w:eastAsia="Times New Roman"/>
          <w:szCs w:val="18"/>
        </w:rPr>
        <w:br/>
      </w:r>
      <w:r w:rsidR="006F4911" w:rsidRPr="002C65E3">
        <w:rPr>
          <w:rFonts w:eastAsia="Times New Roman"/>
          <w:szCs w:val="18"/>
        </w:rPr>
        <w:t>tramitacion/index.php?boletin_ini=12816-07)</w:t>
      </w:r>
      <w:r w:rsidR="004978F3" w:rsidRPr="002C65E3">
        <w:rPr>
          <w:rFonts w:eastAsia="Times New Roman"/>
          <w:szCs w:val="18"/>
        </w:rPr>
        <w:t>.</w:t>
      </w:r>
    </w:p>
  </w:footnote>
  <w:footnote w:id="276">
    <w:p w14:paraId="34169320" w14:textId="7F0A1614" w:rsidR="006F4911" w:rsidRPr="002C65E3" w:rsidRDefault="002276D5"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33" w:history="1">
        <w:r w:rsidR="00C607C3" w:rsidRPr="002C65E3">
          <w:rPr>
            <w:rStyle w:val="Hipervnculo"/>
            <w:rFonts w:eastAsia="Times New Roman"/>
            <w:szCs w:val="18"/>
          </w:rPr>
          <w:t>http://bcn.cl/2f6ur</w:t>
        </w:r>
      </w:hyperlink>
      <w:r w:rsidR="006F6BAB" w:rsidRPr="002C65E3">
        <w:rPr>
          <w:rFonts w:eastAsia="Times New Roman"/>
          <w:color w:val="000000"/>
          <w:szCs w:val="18"/>
        </w:rPr>
        <w:t>.</w:t>
      </w:r>
    </w:p>
  </w:footnote>
  <w:footnote w:id="277">
    <w:p w14:paraId="6116FA68" w14:textId="6C8FA3B7" w:rsidR="006F4911" w:rsidRPr="002C65E3" w:rsidRDefault="002276D5"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34" w:history="1">
        <w:r w:rsidR="00C607C3" w:rsidRPr="002C65E3">
          <w:rPr>
            <w:rStyle w:val="Hipervnculo"/>
            <w:rFonts w:eastAsia="Times New Roman"/>
            <w:szCs w:val="18"/>
          </w:rPr>
          <w:t>http://bcn.cl/323ec</w:t>
        </w:r>
      </w:hyperlink>
      <w:r w:rsidR="006F6BAB" w:rsidRPr="002C65E3">
        <w:rPr>
          <w:rFonts w:eastAsia="Times New Roman"/>
          <w:color w:val="000000"/>
          <w:szCs w:val="18"/>
        </w:rPr>
        <w:t>.</w:t>
      </w:r>
    </w:p>
  </w:footnote>
  <w:footnote w:id="278">
    <w:p w14:paraId="49914212" w14:textId="5C44762E" w:rsidR="006F4911" w:rsidRPr="002C65E3" w:rsidRDefault="002276D5"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35" w:history="1">
        <w:r w:rsidR="00C607C3" w:rsidRPr="002C65E3">
          <w:rPr>
            <w:rStyle w:val="Hipervnculo"/>
            <w:rFonts w:eastAsia="Times New Roman"/>
            <w:szCs w:val="18"/>
          </w:rPr>
          <w:t>http://bcn.cl/2nfzd</w:t>
        </w:r>
      </w:hyperlink>
      <w:r w:rsidR="006F6BAB" w:rsidRPr="002C65E3">
        <w:rPr>
          <w:rFonts w:eastAsia="Times New Roman"/>
          <w:color w:val="000000"/>
          <w:szCs w:val="18"/>
        </w:rPr>
        <w:t>.</w:t>
      </w:r>
    </w:p>
  </w:footnote>
  <w:footnote w:id="279">
    <w:p w14:paraId="64A081A8" w14:textId="6AE70AC6" w:rsidR="006F4911" w:rsidRPr="002C65E3" w:rsidRDefault="002276D5"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36" w:history="1">
        <w:r w:rsidR="00C607C3" w:rsidRPr="002C65E3">
          <w:rPr>
            <w:rStyle w:val="Hipervnculo"/>
            <w:rFonts w:eastAsia="Times New Roman"/>
            <w:szCs w:val="18"/>
          </w:rPr>
          <w:t>http://www.paisdi.cl/</w:t>
        </w:r>
      </w:hyperlink>
      <w:r w:rsidR="006F6BAB" w:rsidRPr="002C65E3">
        <w:rPr>
          <w:rFonts w:eastAsia="Times New Roman"/>
          <w:color w:val="000000"/>
          <w:szCs w:val="18"/>
        </w:rPr>
        <w:t>.</w:t>
      </w:r>
    </w:p>
  </w:footnote>
  <w:footnote w:id="280">
    <w:p w14:paraId="7C9AF10E" w14:textId="03AE7760" w:rsidR="006F4911" w:rsidRPr="002C65E3" w:rsidRDefault="002276D5" w:rsidP="00387A71">
      <w:pPr>
        <w:pStyle w:val="Textonotapie"/>
        <w:spacing w:after="60"/>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15.05.2021 y 16.05.2021: Elecciones de Convencionales Constituyentes, gobernadores regionales, alcaldes y concejales: </w:t>
      </w:r>
      <w:hyperlink r:id="rId237">
        <w:r w:rsidR="006F4911" w:rsidRPr="002C65E3">
          <w:rPr>
            <w:rFonts w:eastAsia="Times New Roman"/>
            <w:szCs w:val="18"/>
          </w:rPr>
          <w:t>https://www.senadis.gob.cl/sala_prensa/d/noticias/8514</w:t>
        </w:r>
      </w:hyperlink>
      <w:r w:rsidR="006F4911" w:rsidRPr="002C65E3">
        <w:rPr>
          <w:rFonts w:eastAsia="Times New Roman"/>
          <w:szCs w:val="18"/>
        </w:rPr>
        <w:t xml:space="preserve">, </w:t>
      </w:r>
      <w:r w:rsidR="00387A71" w:rsidRPr="002C65E3">
        <w:rPr>
          <w:rFonts w:eastAsia="Times New Roman"/>
          <w:szCs w:val="18"/>
        </w:rPr>
        <w:br/>
      </w:r>
      <w:hyperlink r:id="rId238" w:history="1">
        <w:r w:rsidR="00387A71" w:rsidRPr="002C65E3">
          <w:rPr>
            <w:rStyle w:val="Hipervnculo"/>
            <w:rFonts w:eastAsia="Times New Roman"/>
            <w:szCs w:val="18"/>
          </w:rPr>
          <w:t>https://www.senadis.gob.cl/sala_prensa/d/noticias/8515</w:t>
        </w:r>
      </w:hyperlink>
      <w:r w:rsidR="006F4911" w:rsidRPr="002C65E3">
        <w:rPr>
          <w:rFonts w:eastAsia="Times New Roman"/>
          <w:szCs w:val="18"/>
        </w:rPr>
        <w:t xml:space="preserve">, Video 1: </w:t>
      </w:r>
      <w:hyperlink r:id="rId239" w:history="1">
        <w:r w:rsidR="00387A71" w:rsidRPr="002C65E3">
          <w:rPr>
            <w:rStyle w:val="Hipervnculo"/>
            <w:rFonts w:eastAsia="Times New Roman"/>
            <w:szCs w:val="18"/>
          </w:rPr>
          <w:t>https://www.instagram.com/p/</w:t>
        </w:r>
        <w:r w:rsidR="00387A71" w:rsidRPr="002C65E3">
          <w:rPr>
            <w:rStyle w:val="Hipervnculo"/>
            <w:rFonts w:eastAsia="Times New Roman"/>
            <w:szCs w:val="18"/>
          </w:rPr>
          <w:br/>
          <w:t>COx8dienITA/</w:t>
        </w:r>
      </w:hyperlink>
      <w:r w:rsidR="006F4911" w:rsidRPr="002C65E3">
        <w:rPr>
          <w:rFonts w:eastAsia="Times New Roman"/>
          <w:szCs w:val="18"/>
        </w:rPr>
        <w:t xml:space="preserve">. Video 2: </w:t>
      </w:r>
      <w:hyperlink r:id="rId240">
        <w:r w:rsidR="006F4911" w:rsidRPr="002C65E3">
          <w:rPr>
            <w:rFonts w:eastAsia="Times New Roman"/>
            <w:szCs w:val="18"/>
          </w:rPr>
          <w:t>https://www.instagram.com/p/CO1DypgnqyA/</w:t>
        </w:r>
      </w:hyperlink>
      <w:r w:rsidR="006F4911" w:rsidRPr="002C65E3">
        <w:rPr>
          <w:rFonts w:eastAsia="Times New Roman"/>
          <w:szCs w:val="18"/>
        </w:rPr>
        <w:t xml:space="preserve"> Instagram: </w:t>
      </w:r>
      <w:hyperlink r:id="rId241" w:history="1">
        <w:r w:rsidR="00387A71" w:rsidRPr="002C65E3">
          <w:rPr>
            <w:rStyle w:val="Hipervnculo"/>
            <w:rFonts w:eastAsia="Times New Roman"/>
            <w:szCs w:val="18"/>
          </w:rPr>
          <w:t>https://www.instagram.com/p/CO3wZXRh-tu/</w:t>
        </w:r>
      </w:hyperlink>
      <w:r w:rsidR="00387A71" w:rsidRPr="002C65E3">
        <w:rPr>
          <w:rFonts w:eastAsia="Times New Roman"/>
          <w:szCs w:val="18"/>
        </w:rPr>
        <w:t>.</w:t>
      </w:r>
    </w:p>
    <w:p w14:paraId="1C47BA8A" w14:textId="77777777" w:rsidR="00387A71" w:rsidRPr="002C65E3" w:rsidRDefault="002276D5" w:rsidP="00387A71">
      <w:pPr>
        <w:pStyle w:val="Textonotapie"/>
        <w:spacing w:after="60"/>
        <w:rPr>
          <w:rFonts w:eastAsia="Times New Roman"/>
          <w:szCs w:val="18"/>
        </w:rPr>
      </w:pPr>
      <w:r w:rsidRPr="002C65E3">
        <w:rPr>
          <w:rFonts w:eastAsia="Times New Roman"/>
          <w:szCs w:val="18"/>
        </w:rPr>
        <w:tab/>
      </w:r>
      <w:r w:rsidRPr="002C65E3">
        <w:rPr>
          <w:rFonts w:eastAsia="Times New Roman"/>
          <w:szCs w:val="18"/>
        </w:rPr>
        <w:tab/>
      </w:r>
      <w:r w:rsidR="006F4911" w:rsidRPr="002C65E3">
        <w:rPr>
          <w:rFonts w:eastAsia="Times New Roman"/>
          <w:szCs w:val="18"/>
        </w:rPr>
        <w:t xml:space="preserve">13.06.2021: Segunda vuelta votación Gobernadores: </w:t>
      </w:r>
      <w:hyperlink r:id="rId242" w:history="1">
        <w:r w:rsidR="00387A71" w:rsidRPr="002C65E3">
          <w:rPr>
            <w:rStyle w:val="Hipervnculo"/>
            <w:rFonts w:eastAsia="Times New Roman"/>
            <w:szCs w:val="18"/>
          </w:rPr>
          <w:t>https://www.senadis.gob.cl/sala_prensa/d/</w:t>
        </w:r>
        <w:r w:rsidR="00387A71" w:rsidRPr="002C65E3">
          <w:rPr>
            <w:rStyle w:val="Hipervnculo"/>
            <w:rFonts w:eastAsia="Times New Roman"/>
            <w:szCs w:val="18"/>
          </w:rPr>
          <w:br/>
          <w:t>noticias/8535</w:t>
        </w:r>
      </w:hyperlink>
      <w:r w:rsidR="006F4911" w:rsidRPr="002C65E3">
        <w:rPr>
          <w:rFonts w:eastAsia="Times New Roman"/>
          <w:szCs w:val="18"/>
        </w:rPr>
        <w:t xml:space="preserve">, Instagram: </w:t>
      </w:r>
      <w:r w:rsidR="00387A71" w:rsidRPr="002C65E3">
        <w:rPr>
          <w:rFonts w:eastAsia="Times New Roman"/>
          <w:szCs w:val="18"/>
        </w:rPr>
        <w:fldChar w:fldCharType="begin"/>
      </w:r>
      <w:r w:rsidR="00387A71" w:rsidRPr="002C65E3">
        <w:rPr>
          <w:rFonts w:eastAsia="Times New Roman"/>
          <w:szCs w:val="18"/>
        </w:rPr>
        <w:instrText>HYPERLINK "https://www.instagram.com/p/CQEaOz6pMCA/.</w:instrText>
      </w:r>
    </w:p>
    <w:p w14:paraId="06CBFF73" w14:textId="77777777" w:rsidR="00387A71" w:rsidRPr="002C65E3" w:rsidRDefault="00387A71" w:rsidP="00387A71">
      <w:pPr>
        <w:pStyle w:val="Textonotapie"/>
        <w:spacing w:after="60"/>
        <w:rPr>
          <w:rStyle w:val="Hipervnculo"/>
          <w:rFonts w:eastAsia="Times New Roman"/>
          <w:szCs w:val="18"/>
        </w:rPr>
      </w:pPr>
      <w:r w:rsidRPr="002C65E3">
        <w:rPr>
          <w:rFonts w:eastAsia="Times New Roman"/>
          <w:szCs w:val="18"/>
        </w:rPr>
        <w:instrText>"</w:instrText>
      </w:r>
      <w:r w:rsidRPr="002C65E3">
        <w:rPr>
          <w:rFonts w:eastAsia="Times New Roman"/>
          <w:szCs w:val="18"/>
        </w:rPr>
      </w:r>
      <w:r w:rsidRPr="002C65E3">
        <w:rPr>
          <w:rFonts w:eastAsia="Times New Roman"/>
          <w:szCs w:val="18"/>
        </w:rPr>
        <w:fldChar w:fldCharType="separate"/>
      </w:r>
      <w:r w:rsidRPr="002C65E3">
        <w:rPr>
          <w:rStyle w:val="Hipervnculo"/>
          <w:rFonts w:eastAsia="Times New Roman"/>
          <w:szCs w:val="18"/>
        </w:rPr>
        <w:t>https://www.instagram.com/p/CQEaOz6pMCA/.</w:t>
      </w:r>
    </w:p>
    <w:p w14:paraId="657EFD5E" w14:textId="77777777" w:rsidR="00387A71" w:rsidRPr="002C65E3" w:rsidRDefault="00387A71" w:rsidP="00387A71">
      <w:pPr>
        <w:pStyle w:val="Textonotapie"/>
        <w:spacing w:after="60"/>
        <w:rPr>
          <w:rFonts w:eastAsia="Times New Roman"/>
          <w:szCs w:val="18"/>
        </w:rPr>
      </w:pPr>
      <w:r w:rsidRPr="002C65E3">
        <w:rPr>
          <w:rFonts w:eastAsia="Times New Roman"/>
          <w:szCs w:val="18"/>
        </w:rPr>
        <w:fldChar w:fldCharType="end"/>
      </w:r>
      <w:r w:rsidR="002276D5" w:rsidRPr="002C65E3">
        <w:rPr>
          <w:szCs w:val="18"/>
        </w:rPr>
        <w:tab/>
      </w:r>
      <w:r w:rsidR="002276D5" w:rsidRPr="002C65E3">
        <w:rPr>
          <w:szCs w:val="18"/>
        </w:rPr>
        <w:tab/>
      </w:r>
      <w:r w:rsidR="006F4911" w:rsidRPr="002C65E3">
        <w:rPr>
          <w:rFonts w:eastAsia="Times New Roman"/>
          <w:szCs w:val="18"/>
        </w:rPr>
        <w:t xml:space="preserve">18.07.2021: Primarias Presidenciales: </w:t>
      </w:r>
      <w:hyperlink r:id="rId243">
        <w:r w:rsidR="006F4911" w:rsidRPr="002C65E3">
          <w:rPr>
            <w:rFonts w:eastAsia="Times New Roman"/>
            <w:szCs w:val="18"/>
          </w:rPr>
          <w:t>https://www.senadis.gob.cl/sala_prensa/d/noticias/8560</w:t>
        </w:r>
      </w:hyperlink>
      <w:r w:rsidR="006F4911" w:rsidRPr="002C65E3">
        <w:rPr>
          <w:rFonts w:eastAsia="Times New Roman"/>
          <w:szCs w:val="18"/>
        </w:rPr>
        <w:t>, Video:</w:t>
      </w:r>
      <w:r w:rsidRPr="002C65E3">
        <w:rPr>
          <w:rFonts w:eastAsia="Times New Roman"/>
          <w:szCs w:val="18"/>
        </w:rPr>
        <w:t> </w:t>
      </w:r>
      <w:hyperlink r:id="rId244">
        <w:r w:rsidR="006F4911" w:rsidRPr="002C65E3">
          <w:rPr>
            <w:rFonts w:eastAsia="Times New Roman"/>
            <w:szCs w:val="18"/>
          </w:rPr>
          <w:t>https://www.instagram.com/p/CRUtm0AFA_6/</w:t>
        </w:r>
      </w:hyperlink>
      <w:r w:rsidR="006F4911" w:rsidRPr="002C65E3">
        <w:rPr>
          <w:rFonts w:eastAsia="Times New Roman"/>
          <w:szCs w:val="18"/>
        </w:rPr>
        <w:t xml:space="preserve">, Instagram: </w:t>
      </w:r>
      <w:r w:rsidRPr="002C65E3">
        <w:rPr>
          <w:rFonts w:eastAsia="Times New Roman"/>
          <w:szCs w:val="18"/>
        </w:rPr>
        <w:fldChar w:fldCharType="begin"/>
      </w:r>
      <w:r w:rsidRPr="002C65E3">
        <w:rPr>
          <w:rFonts w:eastAsia="Times New Roman"/>
          <w:szCs w:val="18"/>
        </w:rPr>
        <w:instrText>HYPERLINK "https://www.instagram.com/</w:instrText>
      </w:r>
      <w:r w:rsidRPr="002C65E3">
        <w:rPr>
          <w:rFonts w:eastAsia="Times New Roman"/>
          <w:szCs w:val="18"/>
        </w:rPr>
        <w:br/>
        <w:instrText>p/CRXSECsgswq/.</w:instrText>
      </w:r>
    </w:p>
    <w:p w14:paraId="53CAEC05" w14:textId="77777777" w:rsidR="00387A71" w:rsidRPr="002C65E3" w:rsidRDefault="00387A71" w:rsidP="00387A71">
      <w:pPr>
        <w:pStyle w:val="Textonotapie"/>
        <w:spacing w:after="60"/>
        <w:rPr>
          <w:rStyle w:val="Hipervnculo"/>
          <w:rFonts w:eastAsia="Times New Roman"/>
          <w:szCs w:val="18"/>
        </w:rPr>
      </w:pPr>
      <w:r w:rsidRPr="002C65E3">
        <w:rPr>
          <w:rFonts w:eastAsia="Times New Roman"/>
          <w:szCs w:val="18"/>
        </w:rPr>
        <w:instrText>"</w:instrText>
      </w:r>
      <w:r w:rsidRPr="002C65E3">
        <w:rPr>
          <w:rFonts w:eastAsia="Times New Roman"/>
          <w:szCs w:val="18"/>
        </w:rPr>
      </w:r>
      <w:r w:rsidRPr="002C65E3">
        <w:rPr>
          <w:rFonts w:eastAsia="Times New Roman"/>
          <w:szCs w:val="18"/>
        </w:rPr>
        <w:fldChar w:fldCharType="separate"/>
      </w:r>
      <w:r w:rsidRPr="002C65E3">
        <w:rPr>
          <w:rStyle w:val="Hipervnculo"/>
          <w:rFonts w:eastAsia="Times New Roman"/>
          <w:szCs w:val="18"/>
        </w:rPr>
        <w:t>https://www.instagram.com/</w:t>
      </w:r>
      <w:r w:rsidRPr="002C65E3">
        <w:rPr>
          <w:rStyle w:val="Hipervnculo"/>
          <w:rFonts w:eastAsia="Times New Roman"/>
          <w:szCs w:val="18"/>
        </w:rPr>
        <w:br/>
        <w:t>p/CRXSECsgswq/.</w:t>
      </w:r>
    </w:p>
    <w:p w14:paraId="5083CA62" w14:textId="2C28F01C" w:rsidR="006F4911" w:rsidRPr="002C65E3" w:rsidRDefault="00387A71" w:rsidP="00387A71">
      <w:pPr>
        <w:pStyle w:val="Textonotapie"/>
        <w:spacing w:after="60"/>
        <w:rPr>
          <w:rFonts w:eastAsia="Times New Roman"/>
          <w:szCs w:val="18"/>
        </w:rPr>
      </w:pPr>
      <w:r w:rsidRPr="002C65E3">
        <w:rPr>
          <w:rFonts w:eastAsia="Times New Roman"/>
          <w:szCs w:val="18"/>
        </w:rPr>
        <w:fldChar w:fldCharType="end"/>
      </w:r>
      <w:r w:rsidR="002276D5" w:rsidRPr="002C65E3">
        <w:rPr>
          <w:szCs w:val="18"/>
        </w:rPr>
        <w:tab/>
      </w:r>
      <w:r w:rsidR="002276D5" w:rsidRPr="002C65E3">
        <w:rPr>
          <w:szCs w:val="18"/>
        </w:rPr>
        <w:tab/>
      </w:r>
      <w:r w:rsidR="006F4911" w:rsidRPr="002C65E3">
        <w:rPr>
          <w:rFonts w:eastAsia="Times New Roman"/>
          <w:szCs w:val="18"/>
        </w:rPr>
        <w:t xml:space="preserve">21.11.2021: Elecciones Presidencial, Parlamentarias y de Consejeros Regionales: </w:t>
      </w:r>
      <w:r w:rsidRPr="002C65E3">
        <w:rPr>
          <w:rFonts w:eastAsia="Times New Roman"/>
          <w:szCs w:val="18"/>
        </w:rPr>
        <w:br/>
      </w:r>
      <w:hyperlink r:id="rId245" w:history="1">
        <w:r w:rsidRPr="002C65E3">
          <w:rPr>
            <w:rStyle w:val="Hipervnculo"/>
            <w:rFonts w:eastAsia="Times New Roman"/>
            <w:szCs w:val="18"/>
          </w:rPr>
          <w:t>https://www.senadis.gob.cl/sala_prensa/d/noticias/8644</w:t>
        </w:r>
      </w:hyperlink>
      <w:r w:rsidR="006F4911" w:rsidRPr="002C65E3">
        <w:rPr>
          <w:rFonts w:eastAsia="Times New Roman"/>
          <w:szCs w:val="18"/>
        </w:rPr>
        <w:t xml:space="preserve">, Video: </w:t>
      </w:r>
      <w:hyperlink r:id="rId246" w:history="1">
        <w:r w:rsidRPr="002C65E3">
          <w:rPr>
            <w:rStyle w:val="Hipervnculo"/>
            <w:rFonts w:eastAsia="Times New Roman"/>
            <w:szCs w:val="18"/>
          </w:rPr>
          <w:t>https://www.instagram.com/p/</w:t>
        </w:r>
        <w:r w:rsidRPr="002C65E3">
          <w:rPr>
            <w:rStyle w:val="Hipervnculo"/>
            <w:rFonts w:eastAsia="Times New Roman"/>
            <w:szCs w:val="18"/>
          </w:rPr>
          <w:br/>
          <w:t>CWeIMZssvb-/</w:t>
        </w:r>
      </w:hyperlink>
      <w:r w:rsidR="006F4911" w:rsidRPr="002C65E3">
        <w:rPr>
          <w:rFonts w:eastAsia="Times New Roman"/>
          <w:szCs w:val="18"/>
        </w:rPr>
        <w:t xml:space="preserve">, Instagram: </w:t>
      </w:r>
      <w:hyperlink r:id="rId247">
        <w:r w:rsidR="006F4911" w:rsidRPr="002C65E3">
          <w:rPr>
            <w:rFonts w:eastAsia="Times New Roman"/>
            <w:szCs w:val="18"/>
          </w:rPr>
          <w:t>https://www.instagram.com/p/CWbK9Xitx45/</w:t>
        </w:r>
      </w:hyperlink>
      <w:r w:rsidR="006F4911" w:rsidRPr="002C65E3">
        <w:rPr>
          <w:rFonts w:eastAsia="Times New Roman"/>
          <w:szCs w:val="18"/>
        </w:rPr>
        <w:t xml:space="preserve">, </w:t>
      </w:r>
      <w:hyperlink r:id="rId248" w:history="1">
        <w:r w:rsidRPr="002C65E3">
          <w:rPr>
            <w:rStyle w:val="Hipervnculo"/>
            <w:rFonts w:eastAsia="Times New Roman"/>
            <w:szCs w:val="18"/>
          </w:rPr>
          <w:t>https://www.instagram.com/p/CWeMOiijxbO/</w:t>
        </w:r>
      </w:hyperlink>
      <w:r w:rsidRPr="002C65E3">
        <w:rPr>
          <w:rFonts w:eastAsia="Times New Roman"/>
          <w:szCs w:val="18"/>
        </w:rPr>
        <w:t>.</w:t>
      </w:r>
    </w:p>
    <w:p w14:paraId="6AF7F57B" w14:textId="509703D7" w:rsidR="006F4911" w:rsidRPr="002C65E3" w:rsidRDefault="002276D5" w:rsidP="00387A71">
      <w:pPr>
        <w:pStyle w:val="Textonotapie"/>
        <w:rPr>
          <w:rFonts w:eastAsia="Times New Roman"/>
          <w:szCs w:val="18"/>
        </w:rPr>
      </w:pPr>
      <w:r w:rsidRPr="002C65E3">
        <w:rPr>
          <w:rFonts w:eastAsia="Times New Roman"/>
          <w:szCs w:val="18"/>
        </w:rPr>
        <w:tab/>
      </w:r>
      <w:r w:rsidRPr="002C65E3">
        <w:rPr>
          <w:rFonts w:eastAsia="Times New Roman"/>
          <w:szCs w:val="18"/>
        </w:rPr>
        <w:tab/>
      </w:r>
      <w:r w:rsidR="006F4911" w:rsidRPr="002C65E3">
        <w:rPr>
          <w:rFonts w:eastAsia="Times New Roman"/>
          <w:szCs w:val="18"/>
        </w:rPr>
        <w:t xml:space="preserve">19.112.2021: Segunda vuelta Elecciones Presidenciales: </w:t>
      </w:r>
      <w:hyperlink r:id="rId249" w:history="1">
        <w:r w:rsidR="00387A71" w:rsidRPr="002C65E3">
          <w:rPr>
            <w:rStyle w:val="Hipervnculo"/>
            <w:rFonts w:eastAsia="Times New Roman"/>
            <w:szCs w:val="18"/>
          </w:rPr>
          <w:t>https://www.senadis.gob.cl/sala_prensa/</w:t>
        </w:r>
        <w:r w:rsidR="00387A71" w:rsidRPr="002C65E3">
          <w:rPr>
            <w:rStyle w:val="Hipervnculo"/>
            <w:rFonts w:eastAsia="Times New Roman"/>
            <w:szCs w:val="18"/>
          </w:rPr>
          <w:br/>
          <w:t>d/noticias/8660</w:t>
        </w:r>
      </w:hyperlink>
      <w:r w:rsidR="006F4911" w:rsidRPr="002C65E3">
        <w:rPr>
          <w:rFonts w:eastAsia="Times New Roman"/>
          <w:szCs w:val="18"/>
        </w:rPr>
        <w:t xml:space="preserve">, Video: </w:t>
      </w:r>
      <w:hyperlink r:id="rId250">
        <w:r w:rsidR="006F4911" w:rsidRPr="002C65E3">
          <w:rPr>
            <w:rFonts w:eastAsia="Times New Roman"/>
            <w:szCs w:val="18"/>
          </w:rPr>
          <w:t>https://www.instagram.com/p/CXmG7CAJF3Q/</w:t>
        </w:r>
      </w:hyperlink>
      <w:r w:rsidR="006F4911" w:rsidRPr="002C65E3">
        <w:rPr>
          <w:rFonts w:eastAsia="Times New Roman"/>
          <w:szCs w:val="18"/>
        </w:rPr>
        <w:t xml:space="preserve">, Instagram: </w:t>
      </w:r>
      <w:hyperlink r:id="rId251">
        <w:r w:rsidR="006F4911" w:rsidRPr="002C65E3">
          <w:rPr>
            <w:rFonts w:eastAsia="Times New Roman"/>
            <w:szCs w:val="18"/>
          </w:rPr>
          <w:t>https://www.instagram.com/p/CXg7lgNNelP/</w:t>
        </w:r>
      </w:hyperlink>
      <w:r w:rsidR="006F6BAB" w:rsidRPr="002C65E3">
        <w:rPr>
          <w:rFonts w:eastAsia="Times New Roman"/>
          <w:szCs w:val="18"/>
        </w:rPr>
        <w:t>.</w:t>
      </w:r>
    </w:p>
  </w:footnote>
  <w:footnote w:id="281">
    <w:p w14:paraId="45914E65" w14:textId="5279E284" w:rsidR="006F4911" w:rsidRPr="002C65E3" w:rsidRDefault="00E518DC"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r w:rsidR="006F4911" w:rsidRPr="002C65E3">
        <w:rPr>
          <w:rFonts w:eastAsia="Times New Roman"/>
          <w:color w:val="000000"/>
          <w:szCs w:val="18"/>
        </w:rPr>
        <w:t>https://bcn.cl/2i837</w:t>
      </w:r>
      <w:r w:rsidR="006F6BAB" w:rsidRPr="002C65E3">
        <w:rPr>
          <w:rFonts w:eastAsia="Times New Roman"/>
          <w:color w:val="000000"/>
          <w:szCs w:val="18"/>
        </w:rPr>
        <w:t>.</w:t>
      </w:r>
    </w:p>
  </w:footnote>
  <w:footnote w:id="282">
    <w:p w14:paraId="727942F1" w14:textId="1B5F18FE" w:rsidR="006F4911" w:rsidRPr="002C65E3" w:rsidRDefault="00E518DC"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El II Estudio Nacional de Hábitos de Actividad Física y Deporte en Población con Discapacidad de</w:t>
      </w:r>
      <w:r w:rsidR="00387A71" w:rsidRPr="002C65E3">
        <w:rPr>
          <w:rFonts w:eastAsia="Times New Roman"/>
          <w:szCs w:val="18"/>
        </w:rPr>
        <w:t> </w:t>
      </w:r>
      <w:r w:rsidR="006F4911" w:rsidRPr="002C65E3">
        <w:rPr>
          <w:rFonts w:eastAsia="Times New Roman"/>
          <w:szCs w:val="18"/>
        </w:rPr>
        <w:t xml:space="preserve">2020, arrojó que el 60% de las PcD, son inactivas físicamente, mientras que el 14,1% se consideró como activa y 25,9% parcialmente activos. A nivel competitivo, la muestra reveló que el 12.6% manifestó tener discapacidad visual, 0,3% auditiva, 10,9% intelectual y un 76,1% física. </w:t>
      </w:r>
      <w:r w:rsidR="00387A71" w:rsidRPr="002C65E3">
        <w:rPr>
          <w:rFonts w:eastAsia="Times New Roman"/>
          <w:szCs w:val="18"/>
        </w:rPr>
        <w:br/>
      </w:r>
      <w:hyperlink r:id="rId252" w:history="1">
        <w:r w:rsidR="00387A71" w:rsidRPr="002C65E3">
          <w:rPr>
            <w:rStyle w:val="Hipervnculo"/>
            <w:rFonts w:eastAsia="Times New Roman"/>
            <w:szCs w:val="18"/>
          </w:rPr>
          <w:t>https://sigi-s3.s3.amazonaws.com/sigi/files/20606_resumen_ejecutivo_ii_estudio_nacional_</w:t>
        </w:r>
        <w:r w:rsidR="00387A71" w:rsidRPr="002C65E3">
          <w:rPr>
            <w:rStyle w:val="Hipervnculo"/>
            <w:rFonts w:eastAsia="Times New Roman"/>
            <w:szCs w:val="18"/>
          </w:rPr>
          <w:br/>
          <w:t>de_h_bitos_de_actividad_f_sica_y_deporte_en_poblaci_n_con_discapacidad_.pdf</w:t>
        </w:r>
      </w:hyperlink>
      <w:r w:rsidR="006F6BAB" w:rsidRPr="002C65E3">
        <w:t>.</w:t>
      </w:r>
    </w:p>
  </w:footnote>
  <w:footnote w:id="283">
    <w:p w14:paraId="310A17FB" w14:textId="66CDC799" w:rsidR="006F4911" w:rsidRPr="002C65E3" w:rsidRDefault="00E518DC"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 xml:space="preserve">Se han desarrollado diversos programas, como los Planes Comunales de la Actividad Física y Deporte, que exigen el desarrollo de actividades física y deportivas de organizaciones de y para PcD de nivel local. </w:t>
      </w:r>
    </w:p>
  </w:footnote>
  <w:footnote w:id="284">
    <w:p w14:paraId="6B46B88B" w14:textId="6BEF2624" w:rsidR="006F4911" w:rsidRPr="002C65E3" w:rsidRDefault="00E518DC" w:rsidP="00387A71">
      <w:pPr>
        <w:pStyle w:val="Textonotapie"/>
        <w:rPr>
          <w:rFonts w:eastAsia="Times New Roman"/>
          <w:sz w:val="16"/>
          <w:szCs w:val="16"/>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Este programa, en 2018, tuvo una participación de 2.283 NNA con discapacidad y en 2019 de 1.907; en 2020, debido a la pandemia y suspensión de actividades, sólo llegó a 55 NNA; en 2021 se reactivó la participación, llegando a 1.565 NNA.</w:t>
      </w:r>
    </w:p>
  </w:footnote>
  <w:footnote w:id="285">
    <w:p w14:paraId="1322ADD3" w14:textId="4D87115B" w:rsidR="006F4911" w:rsidRPr="002C65E3" w:rsidRDefault="002E1A4E"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Promueve la inclusión a través de la información, recomendaciones y especificaciones de las principales líneas que tienen enfoque de inclusión en los Fondos Cultura.</w:t>
      </w:r>
    </w:p>
  </w:footnote>
  <w:footnote w:id="286">
    <w:p w14:paraId="34733EE9" w14:textId="4C43A708" w:rsidR="006F4911" w:rsidRPr="002C65E3" w:rsidRDefault="002E1A4E"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53" w:history="1">
        <w:r w:rsidR="00C607C3" w:rsidRPr="002C65E3">
          <w:rPr>
            <w:rStyle w:val="Hipervnculo"/>
            <w:rFonts w:eastAsia="Times New Roman"/>
            <w:szCs w:val="18"/>
          </w:rPr>
          <w:t>http://bcn.cl/30el9</w:t>
        </w:r>
      </w:hyperlink>
      <w:r w:rsidR="00C81485" w:rsidRPr="002C65E3">
        <w:rPr>
          <w:rFonts w:eastAsia="Times New Roman"/>
          <w:color w:val="000000"/>
          <w:szCs w:val="18"/>
        </w:rPr>
        <w:t>.</w:t>
      </w:r>
    </w:p>
  </w:footnote>
  <w:footnote w:id="287">
    <w:p w14:paraId="44414085" w14:textId="6FE27E29" w:rsidR="006F4911" w:rsidRPr="002C65E3" w:rsidRDefault="002E1A4E"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54" w:history="1">
        <w:r w:rsidR="00C607C3" w:rsidRPr="002C65E3">
          <w:rPr>
            <w:rStyle w:val="Hipervnculo"/>
            <w:rFonts w:eastAsia="Times New Roman"/>
            <w:szCs w:val="18"/>
          </w:rPr>
          <w:t>http://bcn.cl/30el9</w:t>
        </w:r>
      </w:hyperlink>
      <w:r w:rsidR="00C81485" w:rsidRPr="002C65E3">
        <w:rPr>
          <w:rFonts w:eastAsia="Times New Roman"/>
          <w:color w:val="000000"/>
          <w:szCs w:val="18"/>
        </w:rPr>
        <w:t>.</w:t>
      </w:r>
    </w:p>
  </w:footnote>
  <w:footnote w:id="288">
    <w:p w14:paraId="1654F9EC" w14:textId="5A862E04" w:rsidR="006F4911" w:rsidRPr="002C65E3" w:rsidRDefault="002E1A4E"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55" w:history="1">
        <w:r w:rsidR="00C607C3" w:rsidRPr="002C65E3">
          <w:rPr>
            <w:rStyle w:val="Hipervnculo"/>
            <w:rFonts w:eastAsia="Times New Roman"/>
            <w:szCs w:val="18"/>
          </w:rPr>
          <w:t>https://www.ciudadaccesible.cl/manuales-accesibilidad-universal/</w:t>
        </w:r>
      </w:hyperlink>
      <w:r w:rsidR="00C81485" w:rsidRPr="002C65E3">
        <w:rPr>
          <w:rFonts w:eastAsia="Times New Roman"/>
          <w:color w:val="000000"/>
          <w:szCs w:val="18"/>
        </w:rPr>
        <w:t>.</w:t>
      </w:r>
    </w:p>
  </w:footnote>
  <w:footnote w:id="289">
    <w:p w14:paraId="550490C6" w14:textId="78F3505A" w:rsidR="006F4911" w:rsidRPr="002C65E3" w:rsidRDefault="002E1A4E"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Actualmente, cuenta con 62 largometrajes con subtítulos descriptivos, además, durante 2022, se adjudicó una licitación para 65 películas.</w:t>
      </w:r>
    </w:p>
  </w:footnote>
  <w:footnote w:id="290">
    <w:p w14:paraId="2B32E50E" w14:textId="673127D1" w:rsidR="006F4911" w:rsidRPr="002C65E3" w:rsidRDefault="002E1A4E"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56" w:history="1">
        <w:r w:rsidR="00C607C3" w:rsidRPr="002C65E3">
          <w:rPr>
            <w:rStyle w:val="Hipervnculo"/>
            <w:rFonts w:eastAsia="Times New Roman"/>
            <w:szCs w:val="18"/>
          </w:rPr>
          <w:t>http://bcn.cl/2nw2z</w:t>
        </w:r>
      </w:hyperlink>
      <w:r w:rsidR="00C81485" w:rsidRPr="002C65E3">
        <w:rPr>
          <w:rFonts w:eastAsia="Times New Roman"/>
          <w:color w:val="000000"/>
          <w:szCs w:val="18"/>
        </w:rPr>
        <w:t>.</w:t>
      </w:r>
    </w:p>
  </w:footnote>
  <w:footnote w:id="291">
    <w:p w14:paraId="5A8A1DDB" w14:textId="73087735" w:rsidR="006F4911" w:rsidRPr="002C65E3" w:rsidRDefault="00C607C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57" w:history="1">
        <w:r w:rsidRPr="002C65E3">
          <w:rPr>
            <w:rStyle w:val="Hipervnculo"/>
            <w:rFonts w:eastAsia="Times New Roman"/>
            <w:szCs w:val="18"/>
          </w:rPr>
          <w:t>http://bcn.cl/2u07b</w:t>
        </w:r>
      </w:hyperlink>
      <w:r w:rsidR="00C81485" w:rsidRPr="002C65E3">
        <w:rPr>
          <w:rFonts w:eastAsia="Times New Roman"/>
          <w:color w:val="000000"/>
          <w:szCs w:val="18"/>
        </w:rPr>
        <w:t>.</w:t>
      </w:r>
    </w:p>
  </w:footnote>
  <w:footnote w:id="292">
    <w:p w14:paraId="7FA8373E" w14:textId="64266288" w:rsidR="006F4911" w:rsidRPr="002C65E3" w:rsidRDefault="00C607C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58" w:history="1">
        <w:r w:rsidRPr="002C65E3">
          <w:rPr>
            <w:rStyle w:val="Hipervnculo"/>
            <w:rFonts w:eastAsia="Times New Roman"/>
            <w:szCs w:val="18"/>
          </w:rPr>
          <w:t>http://bcn.cl/2yieq</w:t>
        </w:r>
      </w:hyperlink>
      <w:r w:rsidR="00C81485" w:rsidRPr="002C65E3">
        <w:rPr>
          <w:rFonts w:eastAsia="Times New Roman"/>
          <w:color w:val="000000"/>
          <w:szCs w:val="18"/>
        </w:rPr>
        <w:t>.</w:t>
      </w:r>
    </w:p>
  </w:footnote>
  <w:footnote w:id="293">
    <w:p w14:paraId="735C39CF" w14:textId="42E438D7" w:rsidR="006F4911" w:rsidRPr="002C65E3" w:rsidRDefault="00C607C3" w:rsidP="00387A71">
      <w:pPr>
        <w:pStyle w:val="Textonotapie"/>
        <w:rPr>
          <w:rFonts w:eastAsia="Times New Roman"/>
          <w:szCs w:val="18"/>
        </w:rPr>
      </w:pPr>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Sexo, edad, identificación jefe de hogar, nacionalidad, pertenencia a pueblo indígena, ubicación geográfica por región y por zona urbana o rural, entre otros.</w:t>
      </w:r>
    </w:p>
  </w:footnote>
  <w:footnote w:id="294">
    <w:p w14:paraId="3422B6CE" w14:textId="00330C57" w:rsidR="006F4911" w:rsidRPr="002C65E3" w:rsidRDefault="00C607C3" w:rsidP="00387A71">
      <w:pPr>
        <w:pStyle w:val="Textonotapie"/>
        <w:rPr>
          <w:rFonts w:eastAsia="Times New Roman"/>
          <w:color w:val="000000"/>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59" w:history="1">
        <w:r w:rsidRPr="002C65E3">
          <w:rPr>
            <w:rStyle w:val="Hipervnculo"/>
            <w:rFonts w:eastAsia="Times New Roman"/>
            <w:szCs w:val="18"/>
          </w:rPr>
          <w:t>http://bcn.cl/2v1ja</w:t>
        </w:r>
      </w:hyperlink>
      <w:r w:rsidR="00C81485" w:rsidRPr="002C65E3">
        <w:rPr>
          <w:rFonts w:eastAsia="Times New Roman"/>
          <w:color w:val="000000"/>
          <w:szCs w:val="18"/>
        </w:rPr>
        <w:t>.</w:t>
      </w:r>
    </w:p>
  </w:footnote>
  <w:footnote w:id="295">
    <w:p w14:paraId="32CBD960" w14:textId="144B84AF" w:rsidR="006F4911" w:rsidRPr="002C65E3" w:rsidRDefault="00C607C3"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60" w:history="1">
        <w:r w:rsidRPr="002C65E3">
          <w:rPr>
            <w:rStyle w:val="Hipervnculo"/>
            <w:rFonts w:eastAsia="Times New Roman"/>
            <w:szCs w:val="18"/>
          </w:rPr>
          <w:t>https://www.gob.cl/pasoapaso/cifrasoficiales/</w:t>
        </w:r>
      </w:hyperlink>
      <w:r w:rsidR="006F4911" w:rsidRPr="002C65E3">
        <w:rPr>
          <w:rFonts w:eastAsia="Times New Roman"/>
          <w:color w:val="000000"/>
          <w:szCs w:val="18"/>
        </w:rPr>
        <w:t xml:space="preserve">, </w:t>
      </w:r>
      <w:hyperlink r:id="rId261">
        <w:r w:rsidR="006F4911" w:rsidRPr="002C65E3">
          <w:rPr>
            <w:rFonts w:eastAsia="Times New Roman"/>
            <w:color w:val="0000FF"/>
            <w:szCs w:val="18"/>
          </w:rPr>
          <w:t>https://deis.minsal.cl/</w:t>
        </w:r>
      </w:hyperlink>
      <w:r w:rsidR="0058101F" w:rsidRPr="002C65E3">
        <w:rPr>
          <w:rFonts w:eastAsia="Times New Roman"/>
          <w:color w:val="000000"/>
          <w:szCs w:val="18"/>
        </w:rPr>
        <w:t>.</w:t>
      </w:r>
    </w:p>
  </w:footnote>
  <w:footnote w:id="296">
    <w:p w14:paraId="515EF7DD" w14:textId="6CEE4C92"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62" w:history="1">
        <w:r w:rsidR="00C607C3" w:rsidRPr="002C65E3">
          <w:rPr>
            <w:rStyle w:val="Hipervnculo"/>
            <w:rFonts w:eastAsia="Times New Roman"/>
            <w:szCs w:val="18"/>
          </w:rPr>
          <w:t>https://www.senadis.gob.cl/</w:t>
        </w:r>
      </w:hyperlink>
      <w:r w:rsidR="0058101F" w:rsidRPr="002C65E3">
        <w:rPr>
          <w:rFonts w:eastAsia="Times New Roman"/>
          <w:color w:val="000000"/>
          <w:szCs w:val="18"/>
        </w:rPr>
        <w:t>.</w:t>
      </w:r>
    </w:p>
  </w:footnote>
  <w:footnote w:id="297">
    <w:p w14:paraId="1731DC48" w14:textId="0E2FF87C" w:rsidR="006F4911" w:rsidRPr="002C65E3" w:rsidRDefault="00860774" w:rsidP="00387A71">
      <w:pPr>
        <w:pStyle w:val="Textonotapie"/>
        <w:rPr>
          <w:rFonts w:eastAsia="Times New Roman"/>
          <w:szCs w:val="18"/>
        </w:rPr>
      </w:pPr>
      <w:r w:rsidRPr="002C65E3">
        <w:rPr>
          <w:szCs w:val="18"/>
        </w:rPr>
        <w:tab/>
      </w:r>
      <w:r w:rsidR="006F4911" w:rsidRPr="002C65E3">
        <w:rPr>
          <w:szCs w:val="18"/>
          <w:vertAlign w:val="superscript"/>
        </w:rPr>
        <w:footnoteRef/>
      </w:r>
      <w:r w:rsidRPr="002C65E3">
        <w:rPr>
          <w:szCs w:val="18"/>
        </w:rPr>
        <w:tab/>
      </w:r>
      <w:hyperlink r:id="rId263" w:history="1">
        <w:r w:rsidRPr="002C65E3">
          <w:rPr>
            <w:rStyle w:val="Hipervnculo"/>
            <w:rFonts w:eastAsia="Times New Roman"/>
            <w:szCs w:val="18"/>
          </w:rPr>
          <w:t>https://www.senadis.gob.cl/pag/355/1197/ii_estudio_nacional_de_discapacidad</w:t>
        </w:r>
      </w:hyperlink>
      <w:r w:rsidR="006F4911" w:rsidRPr="002C65E3">
        <w:rPr>
          <w:rFonts w:eastAsia="Times New Roman"/>
          <w:szCs w:val="18"/>
        </w:rPr>
        <w:t xml:space="preserve">; </w:t>
      </w:r>
      <w:hyperlink r:id="rId264" w:history="1">
        <w:r w:rsidR="00387A71" w:rsidRPr="002C65E3">
          <w:rPr>
            <w:rStyle w:val="Hipervnculo"/>
          </w:rPr>
          <w:t>https://www.senadis.gob.cl/pag/306/1570/publicaciones</w:t>
        </w:r>
      </w:hyperlink>
      <w:r w:rsidR="006F4911" w:rsidRPr="002C65E3">
        <w:rPr>
          <w:rStyle w:val="Hipervnculo"/>
        </w:rPr>
        <w:t xml:space="preserve">; </w:t>
      </w:r>
      <w:hyperlink r:id="rId265" w:history="1">
        <w:r w:rsidR="00387A71" w:rsidRPr="002C65E3">
          <w:rPr>
            <w:rStyle w:val="Hipervnculo"/>
          </w:rPr>
          <w:t>https://www.senadis.gob.cl/</w:t>
        </w:r>
        <w:r w:rsidR="00387A71" w:rsidRPr="002C65E3">
          <w:rPr>
            <w:rStyle w:val="Hipervnculo"/>
          </w:rPr>
          <w:br/>
          <w:t>pag/387/1650/material_grafico</w:t>
        </w:r>
      </w:hyperlink>
      <w:r w:rsidR="006F4911" w:rsidRPr="002C65E3">
        <w:rPr>
          <w:rStyle w:val="Hipervnculo"/>
          <w:color w:val="auto"/>
        </w:rPr>
        <w:t>;</w:t>
      </w:r>
      <w:r w:rsidR="006F4911" w:rsidRPr="002C65E3">
        <w:rPr>
          <w:rFonts w:eastAsia="Times New Roman"/>
          <w:szCs w:val="18"/>
        </w:rPr>
        <w:t xml:space="preserve"> </w:t>
      </w:r>
      <w:hyperlink r:id="rId266" w:history="1">
        <w:r w:rsidR="00387A71" w:rsidRPr="002C65E3">
          <w:rPr>
            <w:rStyle w:val="Hipervnculo"/>
            <w:rFonts w:eastAsia="Times New Roman"/>
            <w:szCs w:val="18"/>
          </w:rPr>
          <w:t>https://youtu.be/9Be-17SVozo</w:t>
        </w:r>
      </w:hyperlink>
      <w:r w:rsidR="006F4911" w:rsidRPr="002C65E3">
        <w:rPr>
          <w:rFonts w:eastAsia="Times New Roman"/>
          <w:szCs w:val="18"/>
        </w:rPr>
        <w:t xml:space="preserve">; </w:t>
      </w:r>
      <w:hyperlink r:id="rId267">
        <w:r w:rsidR="006F4911" w:rsidRPr="002C65E3">
          <w:rPr>
            <w:rStyle w:val="Hipervnculo"/>
          </w:rPr>
          <w:t>https://youtu.be/NB5hrPulyzk</w:t>
        </w:r>
      </w:hyperlink>
      <w:r w:rsidR="00660547" w:rsidRPr="002C65E3">
        <w:rPr>
          <w:rStyle w:val="Hipervnculo"/>
        </w:rPr>
        <w:t>.</w:t>
      </w:r>
    </w:p>
  </w:footnote>
  <w:footnote w:id="298">
    <w:p w14:paraId="6EDC7638" w14:textId="0C7F4786"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68" w:history="1">
        <w:r w:rsidR="00C607C3" w:rsidRPr="002C65E3">
          <w:rPr>
            <w:rStyle w:val="Hipervnculo"/>
            <w:rFonts w:eastAsia="Times New Roman"/>
            <w:szCs w:val="18"/>
          </w:rPr>
          <w:t>https://www.senadis.gob.cl/descarga/i/4581</w:t>
        </w:r>
      </w:hyperlink>
      <w:r w:rsidR="00660547" w:rsidRPr="002C65E3">
        <w:rPr>
          <w:rFonts w:eastAsia="Times New Roman"/>
          <w:color w:val="000000"/>
          <w:szCs w:val="18"/>
        </w:rPr>
        <w:t>.</w:t>
      </w:r>
    </w:p>
  </w:footnote>
  <w:footnote w:id="299">
    <w:p w14:paraId="1AB027CD" w14:textId="15A8E453"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69" w:history="1">
        <w:r w:rsidR="00C607C3" w:rsidRPr="002C65E3">
          <w:rPr>
            <w:rStyle w:val="Hipervnculo"/>
            <w:rFonts w:eastAsia="Times New Roman"/>
            <w:szCs w:val="18"/>
          </w:rPr>
          <w:t>https://www.senadis.gob.cl/pag/447/1729/otros_documentos_de_interes</w:t>
        </w:r>
      </w:hyperlink>
      <w:r w:rsidR="00660547" w:rsidRPr="002C65E3">
        <w:rPr>
          <w:rFonts w:eastAsia="Times New Roman"/>
          <w:color w:val="000000"/>
          <w:szCs w:val="18"/>
        </w:rPr>
        <w:t>.</w:t>
      </w:r>
    </w:p>
  </w:footnote>
  <w:footnote w:id="300">
    <w:p w14:paraId="72F394D9" w14:textId="7E2818FB"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70" w:history="1">
        <w:r w:rsidR="00C607C3" w:rsidRPr="002C65E3">
          <w:rPr>
            <w:rStyle w:val="Hipervnculo"/>
            <w:rFonts w:eastAsia="Times New Roman"/>
            <w:szCs w:val="18"/>
          </w:rPr>
          <w:t>https://www.senadis.gob.cl/descarga/i/6034/documento</w:t>
        </w:r>
      </w:hyperlink>
      <w:r w:rsidR="00660547" w:rsidRPr="002C65E3">
        <w:rPr>
          <w:rFonts w:eastAsia="Times New Roman"/>
          <w:color w:val="000000"/>
          <w:szCs w:val="18"/>
        </w:rPr>
        <w:t>.</w:t>
      </w:r>
    </w:p>
  </w:footnote>
  <w:footnote w:id="301">
    <w:p w14:paraId="05A23D93" w14:textId="1052B974"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71" w:history="1">
        <w:r w:rsidR="00C607C3" w:rsidRPr="002C65E3">
          <w:rPr>
            <w:rStyle w:val="Hipervnculo"/>
            <w:rFonts w:eastAsia="Times New Roman"/>
            <w:szCs w:val="18"/>
          </w:rPr>
          <w:t>https://www.senadis.gob.cl/descarga/i/6396/documento</w:t>
        </w:r>
      </w:hyperlink>
      <w:r w:rsidR="00660547" w:rsidRPr="002C65E3">
        <w:rPr>
          <w:rFonts w:eastAsia="Times New Roman"/>
          <w:color w:val="000000"/>
          <w:szCs w:val="18"/>
        </w:rPr>
        <w:t>.</w:t>
      </w:r>
    </w:p>
  </w:footnote>
  <w:footnote w:id="302">
    <w:p w14:paraId="3C20E3E1" w14:textId="598FA059"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72" w:history="1">
        <w:r w:rsidR="00C607C3" w:rsidRPr="002C65E3">
          <w:rPr>
            <w:rStyle w:val="Hipervnculo"/>
            <w:rFonts w:eastAsia="Times New Roman"/>
            <w:szCs w:val="18"/>
          </w:rPr>
          <w:t>https://www.senadis.gob.cl/descarga/i/5609/documento</w:t>
        </w:r>
      </w:hyperlink>
      <w:r w:rsidR="00660547" w:rsidRPr="002C65E3">
        <w:rPr>
          <w:rFonts w:eastAsia="Times New Roman"/>
          <w:color w:val="000000"/>
          <w:szCs w:val="18"/>
        </w:rPr>
        <w:t>.</w:t>
      </w:r>
    </w:p>
  </w:footnote>
  <w:footnote w:id="303">
    <w:p w14:paraId="54D30069" w14:textId="164463FD"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73" w:history="1">
        <w:r w:rsidR="00C607C3" w:rsidRPr="002C65E3">
          <w:rPr>
            <w:rStyle w:val="Hipervnculo"/>
            <w:rFonts w:eastAsia="Times New Roman"/>
            <w:szCs w:val="18"/>
          </w:rPr>
          <w:t>https://www.senadis.gob.cl/descarga/i/6045/documento</w:t>
        </w:r>
      </w:hyperlink>
      <w:r w:rsidR="00660547" w:rsidRPr="002C65E3">
        <w:rPr>
          <w:rFonts w:eastAsia="Times New Roman"/>
          <w:color w:val="000000"/>
          <w:szCs w:val="18"/>
        </w:rPr>
        <w:t>.</w:t>
      </w:r>
    </w:p>
  </w:footnote>
  <w:footnote w:id="304">
    <w:p w14:paraId="3DC39589" w14:textId="7980B1CE"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74" w:history="1">
        <w:r w:rsidR="00660547" w:rsidRPr="002C65E3">
          <w:rPr>
            <w:rStyle w:val="Hipervnculo"/>
            <w:rFonts w:eastAsia="Times New Roman"/>
            <w:szCs w:val="18"/>
          </w:rPr>
          <w:t>https://www.senadis.gob.cl/pag/579/1868/diagnostico_del_plan_nacional_de_calificacion</w:t>
        </w:r>
        <w:r w:rsidR="00660547" w:rsidRPr="002C65E3">
          <w:rPr>
            <w:rStyle w:val="Hipervnculo"/>
            <w:rFonts w:eastAsia="Times New Roman"/>
            <w:szCs w:val="18"/>
          </w:rPr>
          <w:br/>
          <w:t>_y_certificacion</w:t>
        </w:r>
      </w:hyperlink>
      <w:r w:rsidR="00660547" w:rsidRPr="002C65E3">
        <w:rPr>
          <w:rFonts w:eastAsia="Times New Roman"/>
          <w:color w:val="000000"/>
          <w:szCs w:val="18"/>
        </w:rPr>
        <w:t>.</w:t>
      </w:r>
    </w:p>
  </w:footnote>
  <w:footnote w:id="305">
    <w:p w14:paraId="134C76FF" w14:textId="76293DDC" w:rsidR="006F4911" w:rsidRPr="002C65E3" w:rsidRDefault="00860774" w:rsidP="00387A71">
      <w:pPr>
        <w:pStyle w:val="Textonotapie"/>
        <w:rPr>
          <w:rFonts w:eastAsia="Times New Roman"/>
          <w:color w:val="000000"/>
          <w:szCs w:val="18"/>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75" w:history="1">
        <w:r w:rsidR="00C607C3" w:rsidRPr="002C65E3">
          <w:rPr>
            <w:rStyle w:val="Hipervnculo"/>
            <w:rFonts w:eastAsia="Times New Roman"/>
            <w:szCs w:val="18"/>
          </w:rPr>
          <w:t>https://www.senadis.gob.cl/documentos/listado/146/accesibilidad</w:t>
        </w:r>
      </w:hyperlink>
      <w:r w:rsidR="00660547" w:rsidRPr="002C65E3">
        <w:rPr>
          <w:rFonts w:eastAsia="Times New Roman"/>
          <w:color w:val="000000"/>
          <w:szCs w:val="18"/>
        </w:rPr>
        <w:t>.</w:t>
      </w:r>
    </w:p>
  </w:footnote>
  <w:footnote w:id="306">
    <w:p w14:paraId="3316284E" w14:textId="1350DB54" w:rsidR="006F4911" w:rsidRPr="002C65E3" w:rsidRDefault="00860774" w:rsidP="00387A71">
      <w:pPr>
        <w:pStyle w:val="Textonotapie"/>
        <w:rPr>
          <w:rFonts w:eastAsia="Times New Roman"/>
          <w:sz w:val="16"/>
          <w:szCs w:val="16"/>
        </w:rPr>
      </w:pPr>
      <w:r w:rsidRPr="002C65E3">
        <w:rPr>
          <w:rFonts w:eastAsia="Times New Roman"/>
          <w:color w:val="000000"/>
          <w:szCs w:val="18"/>
        </w:rPr>
        <w:tab/>
      </w:r>
      <w:r w:rsidR="006F4911" w:rsidRPr="002C65E3">
        <w:rPr>
          <w:szCs w:val="18"/>
          <w:vertAlign w:val="superscript"/>
        </w:rPr>
        <w:footnoteRef/>
      </w:r>
      <w:r w:rsidRPr="002C65E3">
        <w:rPr>
          <w:rFonts w:eastAsia="Times New Roman"/>
          <w:color w:val="000000"/>
          <w:szCs w:val="18"/>
        </w:rPr>
        <w:tab/>
      </w:r>
      <w:hyperlink r:id="rId276" w:history="1">
        <w:r w:rsidR="00C607C3" w:rsidRPr="002C65E3">
          <w:rPr>
            <w:rStyle w:val="Hipervnculo"/>
            <w:rFonts w:eastAsia="Times New Roman"/>
            <w:szCs w:val="18"/>
          </w:rPr>
          <w:t>https://www.senadis.gob.cl/descarga/i/4581</w:t>
        </w:r>
      </w:hyperlink>
      <w:r w:rsidR="00660547" w:rsidRPr="002C65E3">
        <w:rPr>
          <w:rFonts w:eastAsia="Times New Roman"/>
          <w:color w:val="000000"/>
          <w:szCs w:val="18"/>
        </w:rPr>
        <w:t>.</w:t>
      </w:r>
      <w:r w:rsidR="00387A71" w:rsidRPr="002C65E3">
        <w:rPr>
          <w:rFonts w:eastAsia="Times New Roman"/>
          <w:color w:val="000000"/>
          <w:szCs w:val="18"/>
        </w:rPr>
        <w:t xml:space="preserve"> </w:t>
      </w:r>
      <w:r w:rsidR="006F4911" w:rsidRPr="002C65E3">
        <w:rPr>
          <w:rFonts w:eastAsia="Times New Roman"/>
          <w:szCs w:val="18"/>
        </w:rPr>
        <w:t>Interpretación en línea en LSCH en 100 de 190 sucursales a nivel nacional.</w:t>
      </w:r>
    </w:p>
    <w:bookmarkStart w:id="52" w:name="_3o7alnk" w:colFirst="0" w:colLast="0"/>
    <w:bookmarkEnd w:id="52"/>
  </w:footnote>
  <w:footnote w:id="307">
    <w:p w14:paraId="7415195D" w14:textId="76EBCA82" w:rsidR="006F4911" w:rsidRPr="002C65E3" w:rsidRDefault="00F07BD7" w:rsidP="00387A71">
      <w:pPr>
        <w:pStyle w:val="Textonotapie"/>
        <w:rPr>
          <w:rFonts w:eastAsia="Times New Roman"/>
          <w:szCs w:val="18"/>
        </w:rPr>
      </w:pPr>
      <w:bookmarkStart w:id="55" w:name="_3o7alnk" w:colFirst="0" w:colLast="0"/>
      <w:bookmarkEnd w:id="55"/>
      <w:r w:rsidRPr="002C65E3">
        <w:rPr>
          <w:rFonts w:eastAsia="Times New Roman"/>
          <w:szCs w:val="18"/>
        </w:rPr>
        <w:tab/>
      </w:r>
      <w:r w:rsidR="006F4911" w:rsidRPr="002C65E3">
        <w:rPr>
          <w:szCs w:val="18"/>
          <w:vertAlign w:val="superscript"/>
        </w:rPr>
        <w:footnoteRef/>
      </w:r>
      <w:r w:rsidRPr="002C65E3">
        <w:rPr>
          <w:rFonts w:eastAsia="Times New Roman"/>
          <w:szCs w:val="18"/>
        </w:rPr>
        <w:tab/>
      </w:r>
      <w:r w:rsidR="006F4911" w:rsidRPr="002C65E3">
        <w:rPr>
          <w:rFonts w:eastAsia="Times New Roman"/>
          <w:szCs w:val="18"/>
        </w:rPr>
        <w:t>En julio de 2022 se publicó licitación (</w:t>
      </w:r>
      <w:hyperlink r:id="rId277" w:history="1">
        <w:r w:rsidR="00387A71" w:rsidRPr="002C65E3">
          <w:rPr>
            <w:rStyle w:val="Hipervnculo"/>
            <w:rFonts w:eastAsia="Times New Roman"/>
            <w:szCs w:val="18"/>
          </w:rPr>
          <w:t>https://www.mercadopublico.cl/Procurement/Modules/RFB/</w:t>
        </w:r>
        <w:r w:rsidR="00387A71" w:rsidRPr="002C65E3">
          <w:rPr>
            <w:rStyle w:val="Hipervnculo"/>
            <w:rFonts w:eastAsia="Times New Roman"/>
            <w:szCs w:val="18"/>
          </w:rPr>
          <w:br/>
          <w:t>DetailsAcquisition.aspx?qs=37aEMrv7C1KA5ihn6nAMGQ</w:t>
        </w:r>
      </w:hyperlink>
      <w:r w:rsidR="006F4911" w:rsidRPr="002C65E3">
        <w:rPr>
          <w:rFonts w:eastAsia="Times New Roman"/>
          <w:szCs w:val="18"/>
        </w:rPr>
        <w:t>==) para implementar esta medida, contemplando componente de participación ciudadana y recomendaciones emanadas de organismos internacionales en el ámbito de la discapacidad, pero fue revocada por falta de oferentes. SENADIS espera realizar una nueva convocatoria a finales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21D18" w14:textId="0B51E34F" w:rsidR="001A4396" w:rsidRPr="001A4396" w:rsidRDefault="00FF329E" w:rsidP="00FF329E">
    <w:pPr>
      <w:pStyle w:val="Encabezado"/>
      <w:tabs>
        <w:tab w:val="right" w:pos="9638"/>
      </w:tabs>
    </w:pPr>
    <w:r>
      <w:t>CRPD/C/CHL/2-4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E6FD7" w14:textId="4D4A8249" w:rsidR="001A4396" w:rsidRPr="00935A0B" w:rsidRDefault="00FF329E" w:rsidP="00FF329E">
    <w:pPr>
      <w:pStyle w:val="Encabezado"/>
      <w:tabs>
        <w:tab w:val="right" w:pos="9638"/>
      </w:tabs>
      <w:jc w:val="right"/>
      <w:rPr>
        <w:u w:val="double"/>
      </w:rPr>
    </w:pPr>
    <w:r>
      <w:t>CRPD/C/CHL/2-4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6F9EC"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943EE"/>
    <w:multiLevelType w:val="multilevel"/>
    <w:tmpl w:val="8FC4D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D954887"/>
    <w:multiLevelType w:val="hybridMultilevel"/>
    <w:tmpl w:val="5A48E46A"/>
    <w:lvl w:ilvl="0" w:tplc="B4360C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F54005A" w:tentative="1">
      <w:start w:val="1"/>
      <w:numFmt w:val="lowerLetter"/>
      <w:lvlText w:val="%2."/>
      <w:lvlJc w:val="left"/>
      <w:pPr>
        <w:tabs>
          <w:tab w:val="num" w:pos="1440"/>
        </w:tabs>
        <w:ind w:left="1440" w:hanging="360"/>
      </w:pPr>
    </w:lvl>
    <w:lvl w:ilvl="2" w:tplc="C7F49440" w:tentative="1">
      <w:start w:val="1"/>
      <w:numFmt w:val="lowerRoman"/>
      <w:lvlText w:val="%3."/>
      <w:lvlJc w:val="right"/>
      <w:pPr>
        <w:tabs>
          <w:tab w:val="num" w:pos="2160"/>
        </w:tabs>
        <w:ind w:left="2160" w:hanging="180"/>
      </w:pPr>
    </w:lvl>
    <w:lvl w:ilvl="3" w:tplc="F5961DF2" w:tentative="1">
      <w:start w:val="1"/>
      <w:numFmt w:val="decimal"/>
      <w:lvlText w:val="%4."/>
      <w:lvlJc w:val="left"/>
      <w:pPr>
        <w:tabs>
          <w:tab w:val="num" w:pos="2880"/>
        </w:tabs>
        <w:ind w:left="2880" w:hanging="360"/>
      </w:pPr>
    </w:lvl>
    <w:lvl w:ilvl="4" w:tplc="5212D96E" w:tentative="1">
      <w:start w:val="1"/>
      <w:numFmt w:val="lowerLetter"/>
      <w:lvlText w:val="%5."/>
      <w:lvlJc w:val="left"/>
      <w:pPr>
        <w:tabs>
          <w:tab w:val="num" w:pos="3600"/>
        </w:tabs>
        <w:ind w:left="3600" w:hanging="360"/>
      </w:pPr>
    </w:lvl>
    <w:lvl w:ilvl="5" w:tplc="F1F84E54" w:tentative="1">
      <w:start w:val="1"/>
      <w:numFmt w:val="lowerRoman"/>
      <w:lvlText w:val="%6."/>
      <w:lvlJc w:val="right"/>
      <w:pPr>
        <w:tabs>
          <w:tab w:val="num" w:pos="4320"/>
        </w:tabs>
        <w:ind w:left="4320" w:hanging="180"/>
      </w:pPr>
    </w:lvl>
    <w:lvl w:ilvl="6" w:tplc="551C6A12" w:tentative="1">
      <w:start w:val="1"/>
      <w:numFmt w:val="decimal"/>
      <w:lvlText w:val="%7."/>
      <w:lvlJc w:val="left"/>
      <w:pPr>
        <w:tabs>
          <w:tab w:val="num" w:pos="5040"/>
        </w:tabs>
        <w:ind w:left="5040" w:hanging="360"/>
      </w:pPr>
    </w:lvl>
    <w:lvl w:ilvl="7" w:tplc="9252F2BE" w:tentative="1">
      <w:start w:val="1"/>
      <w:numFmt w:val="lowerLetter"/>
      <w:lvlText w:val="%8."/>
      <w:lvlJc w:val="left"/>
      <w:pPr>
        <w:tabs>
          <w:tab w:val="num" w:pos="5760"/>
        </w:tabs>
        <w:ind w:left="5760" w:hanging="360"/>
      </w:pPr>
    </w:lvl>
    <w:lvl w:ilvl="8" w:tplc="065C6306" w:tentative="1">
      <w:start w:val="1"/>
      <w:numFmt w:val="lowerRoman"/>
      <w:lvlText w:val="%9."/>
      <w:lvlJc w:val="right"/>
      <w:pPr>
        <w:tabs>
          <w:tab w:val="num" w:pos="6480"/>
        </w:tabs>
        <w:ind w:left="6480" w:hanging="180"/>
      </w:pPr>
    </w:lvl>
  </w:abstractNum>
  <w:abstractNum w:abstractNumId="12" w15:restartNumberingAfterBreak="0">
    <w:nsid w:val="158A0A19"/>
    <w:multiLevelType w:val="hybridMultilevel"/>
    <w:tmpl w:val="5198C80E"/>
    <w:lvl w:ilvl="0" w:tplc="D88C015A">
      <w:start w:val="84"/>
      <w:numFmt w:val="bullet"/>
      <w:lvlText w:val=""/>
      <w:lvlJc w:val="left"/>
      <w:pPr>
        <w:ind w:left="1664" w:hanging="360"/>
      </w:pPr>
      <w:rPr>
        <w:rFonts w:ascii="Symbol" w:eastAsiaTheme="minorEastAsia" w:hAnsi="Symbol" w:cs="Times New Roman" w:hint="default"/>
      </w:rPr>
    </w:lvl>
    <w:lvl w:ilvl="1" w:tplc="0C0A0003" w:tentative="1">
      <w:start w:val="1"/>
      <w:numFmt w:val="bullet"/>
      <w:lvlText w:val="o"/>
      <w:lvlJc w:val="left"/>
      <w:pPr>
        <w:ind w:left="2384" w:hanging="360"/>
      </w:pPr>
      <w:rPr>
        <w:rFonts w:ascii="Courier New" w:hAnsi="Courier New" w:cs="Courier New" w:hint="default"/>
      </w:rPr>
    </w:lvl>
    <w:lvl w:ilvl="2" w:tplc="0C0A0005" w:tentative="1">
      <w:start w:val="1"/>
      <w:numFmt w:val="bullet"/>
      <w:lvlText w:val=""/>
      <w:lvlJc w:val="left"/>
      <w:pPr>
        <w:ind w:left="3104" w:hanging="360"/>
      </w:pPr>
      <w:rPr>
        <w:rFonts w:ascii="Wingdings" w:hAnsi="Wingdings" w:hint="default"/>
      </w:rPr>
    </w:lvl>
    <w:lvl w:ilvl="3" w:tplc="0C0A0001" w:tentative="1">
      <w:start w:val="1"/>
      <w:numFmt w:val="bullet"/>
      <w:lvlText w:val=""/>
      <w:lvlJc w:val="left"/>
      <w:pPr>
        <w:ind w:left="3824" w:hanging="360"/>
      </w:pPr>
      <w:rPr>
        <w:rFonts w:ascii="Symbol" w:hAnsi="Symbol" w:hint="default"/>
      </w:rPr>
    </w:lvl>
    <w:lvl w:ilvl="4" w:tplc="0C0A0003" w:tentative="1">
      <w:start w:val="1"/>
      <w:numFmt w:val="bullet"/>
      <w:lvlText w:val="o"/>
      <w:lvlJc w:val="left"/>
      <w:pPr>
        <w:ind w:left="4544" w:hanging="360"/>
      </w:pPr>
      <w:rPr>
        <w:rFonts w:ascii="Courier New" w:hAnsi="Courier New" w:cs="Courier New" w:hint="default"/>
      </w:rPr>
    </w:lvl>
    <w:lvl w:ilvl="5" w:tplc="0C0A0005" w:tentative="1">
      <w:start w:val="1"/>
      <w:numFmt w:val="bullet"/>
      <w:lvlText w:val=""/>
      <w:lvlJc w:val="left"/>
      <w:pPr>
        <w:ind w:left="5264" w:hanging="360"/>
      </w:pPr>
      <w:rPr>
        <w:rFonts w:ascii="Wingdings" w:hAnsi="Wingdings" w:hint="default"/>
      </w:rPr>
    </w:lvl>
    <w:lvl w:ilvl="6" w:tplc="0C0A0001" w:tentative="1">
      <w:start w:val="1"/>
      <w:numFmt w:val="bullet"/>
      <w:lvlText w:val=""/>
      <w:lvlJc w:val="left"/>
      <w:pPr>
        <w:ind w:left="5984" w:hanging="360"/>
      </w:pPr>
      <w:rPr>
        <w:rFonts w:ascii="Symbol" w:hAnsi="Symbol" w:hint="default"/>
      </w:rPr>
    </w:lvl>
    <w:lvl w:ilvl="7" w:tplc="0C0A0003" w:tentative="1">
      <w:start w:val="1"/>
      <w:numFmt w:val="bullet"/>
      <w:lvlText w:val="o"/>
      <w:lvlJc w:val="left"/>
      <w:pPr>
        <w:ind w:left="6704" w:hanging="360"/>
      </w:pPr>
      <w:rPr>
        <w:rFonts w:ascii="Courier New" w:hAnsi="Courier New" w:cs="Courier New" w:hint="default"/>
      </w:rPr>
    </w:lvl>
    <w:lvl w:ilvl="8" w:tplc="0C0A0005" w:tentative="1">
      <w:start w:val="1"/>
      <w:numFmt w:val="bullet"/>
      <w:lvlText w:val=""/>
      <w:lvlJc w:val="left"/>
      <w:pPr>
        <w:ind w:left="7424" w:hanging="360"/>
      </w:pPr>
      <w:rPr>
        <w:rFonts w:ascii="Wingdings" w:hAnsi="Wingdings" w:hint="default"/>
      </w:rPr>
    </w:lvl>
  </w:abstractNum>
  <w:abstractNum w:abstractNumId="13" w15:restartNumberingAfterBreak="0">
    <w:nsid w:val="18540B99"/>
    <w:multiLevelType w:val="multilevel"/>
    <w:tmpl w:val="17B62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41B497D"/>
    <w:multiLevelType w:val="hybridMultilevel"/>
    <w:tmpl w:val="065658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81C6F850">
      <w:start w:val="1"/>
      <w:numFmt w:val="bullet"/>
      <w:pStyle w:val="Bullet2G"/>
      <w:lvlText w:val="•"/>
      <w:lvlJc w:val="left"/>
      <w:pPr>
        <w:tabs>
          <w:tab w:val="num" w:pos="2268"/>
        </w:tabs>
        <w:ind w:left="2268" w:hanging="170"/>
      </w:pPr>
      <w:rPr>
        <w:rFonts w:ascii="Times New Roman" w:hAnsi="Times New Roman" w:cs="Times New Roman" w:hint="default"/>
      </w:rPr>
    </w:lvl>
    <w:lvl w:ilvl="1" w:tplc="B2AE4C6A" w:tentative="1">
      <w:start w:val="1"/>
      <w:numFmt w:val="bullet"/>
      <w:lvlText w:val="o"/>
      <w:lvlJc w:val="left"/>
      <w:pPr>
        <w:tabs>
          <w:tab w:val="num" w:pos="1440"/>
        </w:tabs>
        <w:ind w:left="1440" w:hanging="360"/>
      </w:pPr>
      <w:rPr>
        <w:rFonts w:ascii="Courier New" w:hAnsi="Courier New" w:hint="default"/>
      </w:rPr>
    </w:lvl>
    <w:lvl w:ilvl="2" w:tplc="0E6ED0EE" w:tentative="1">
      <w:start w:val="1"/>
      <w:numFmt w:val="bullet"/>
      <w:lvlText w:val=""/>
      <w:lvlJc w:val="left"/>
      <w:pPr>
        <w:tabs>
          <w:tab w:val="num" w:pos="2160"/>
        </w:tabs>
        <w:ind w:left="2160" w:hanging="360"/>
      </w:pPr>
      <w:rPr>
        <w:rFonts w:ascii="Wingdings" w:hAnsi="Wingdings" w:hint="default"/>
      </w:rPr>
    </w:lvl>
    <w:lvl w:ilvl="3" w:tplc="F85A5526" w:tentative="1">
      <w:start w:val="1"/>
      <w:numFmt w:val="bullet"/>
      <w:lvlText w:val=""/>
      <w:lvlJc w:val="left"/>
      <w:pPr>
        <w:tabs>
          <w:tab w:val="num" w:pos="2880"/>
        </w:tabs>
        <w:ind w:left="2880" w:hanging="360"/>
      </w:pPr>
      <w:rPr>
        <w:rFonts w:ascii="Symbol" w:hAnsi="Symbol" w:hint="default"/>
      </w:rPr>
    </w:lvl>
    <w:lvl w:ilvl="4" w:tplc="0A302F66" w:tentative="1">
      <w:start w:val="1"/>
      <w:numFmt w:val="bullet"/>
      <w:lvlText w:val="o"/>
      <w:lvlJc w:val="left"/>
      <w:pPr>
        <w:tabs>
          <w:tab w:val="num" w:pos="3600"/>
        </w:tabs>
        <w:ind w:left="3600" w:hanging="360"/>
      </w:pPr>
      <w:rPr>
        <w:rFonts w:ascii="Courier New" w:hAnsi="Courier New" w:hint="default"/>
      </w:rPr>
    </w:lvl>
    <w:lvl w:ilvl="5" w:tplc="D2EC32CE" w:tentative="1">
      <w:start w:val="1"/>
      <w:numFmt w:val="bullet"/>
      <w:lvlText w:val=""/>
      <w:lvlJc w:val="left"/>
      <w:pPr>
        <w:tabs>
          <w:tab w:val="num" w:pos="4320"/>
        </w:tabs>
        <w:ind w:left="4320" w:hanging="360"/>
      </w:pPr>
      <w:rPr>
        <w:rFonts w:ascii="Wingdings" w:hAnsi="Wingdings" w:hint="default"/>
      </w:rPr>
    </w:lvl>
    <w:lvl w:ilvl="6" w:tplc="617AF7B2" w:tentative="1">
      <w:start w:val="1"/>
      <w:numFmt w:val="bullet"/>
      <w:lvlText w:val=""/>
      <w:lvlJc w:val="left"/>
      <w:pPr>
        <w:tabs>
          <w:tab w:val="num" w:pos="5040"/>
        </w:tabs>
        <w:ind w:left="5040" w:hanging="360"/>
      </w:pPr>
      <w:rPr>
        <w:rFonts w:ascii="Symbol" w:hAnsi="Symbol" w:hint="default"/>
      </w:rPr>
    </w:lvl>
    <w:lvl w:ilvl="7" w:tplc="1AF0BB88" w:tentative="1">
      <w:start w:val="1"/>
      <w:numFmt w:val="bullet"/>
      <w:lvlText w:val="o"/>
      <w:lvlJc w:val="left"/>
      <w:pPr>
        <w:tabs>
          <w:tab w:val="num" w:pos="5760"/>
        </w:tabs>
        <w:ind w:left="5760" w:hanging="360"/>
      </w:pPr>
      <w:rPr>
        <w:rFonts w:ascii="Courier New" w:hAnsi="Courier New" w:hint="default"/>
      </w:rPr>
    </w:lvl>
    <w:lvl w:ilvl="8" w:tplc="C63EB7F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1D319E"/>
    <w:multiLevelType w:val="multilevel"/>
    <w:tmpl w:val="86389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243FAA"/>
    <w:multiLevelType w:val="hybridMultilevel"/>
    <w:tmpl w:val="8F3A2B40"/>
    <w:lvl w:ilvl="0" w:tplc="7888697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81CC0"/>
    <w:multiLevelType w:val="multilevel"/>
    <w:tmpl w:val="3364D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FEA0969"/>
    <w:multiLevelType w:val="multilevel"/>
    <w:tmpl w:val="57A86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2F35274"/>
    <w:multiLevelType w:val="hybridMultilevel"/>
    <w:tmpl w:val="8588259C"/>
    <w:lvl w:ilvl="0" w:tplc="EAEAABC0">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FD3DE4"/>
    <w:multiLevelType w:val="hybridMultilevel"/>
    <w:tmpl w:val="569E52D4"/>
    <w:lvl w:ilvl="0" w:tplc="C596A77A">
      <w:start w:val="1"/>
      <w:numFmt w:val="bullet"/>
      <w:pStyle w:val="Bullet1G"/>
      <w:lvlText w:val="•"/>
      <w:lvlJc w:val="left"/>
      <w:pPr>
        <w:tabs>
          <w:tab w:val="num" w:pos="1701"/>
        </w:tabs>
        <w:ind w:left="1701" w:hanging="170"/>
      </w:pPr>
      <w:rPr>
        <w:rFonts w:ascii="Times New Roman" w:hAnsi="Times New Roman" w:cs="Times New Roman" w:hint="default"/>
      </w:rPr>
    </w:lvl>
    <w:lvl w:ilvl="1" w:tplc="92E2773A" w:tentative="1">
      <w:start w:val="1"/>
      <w:numFmt w:val="bullet"/>
      <w:lvlText w:val="o"/>
      <w:lvlJc w:val="left"/>
      <w:pPr>
        <w:tabs>
          <w:tab w:val="num" w:pos="1440"/>
        </w:tabs>
        <w:ind w:left="1440" w:hanging="360"/>
      </w:pPr>
      <w:rPr>
        <w:rFonts w:ascii="Courier New" w:hAnsi="Courier New" w:hint="default"/>
      </w:rPr>
    </w:lvl>
    <w:lvl w:ilvl="2" w:tplc="7A581ADC" w:tentative="1">
      <w:start w:val="1"/>
      <w:numFmt w:val="bullet"/>
      <w:lvlText w:val=""/>
      <w:lvlJc w:val="left"/>
      <w:pPr>
        <w:tabs>
          <w:tab w:val="num" w:pos="2160"/>
        </w:tabs>
        <w:ind w:left="2160" w:hanging="360"/>
      </w:pPr>
      <w:rPr>
        <w:rFonts w:ascii="Wingdings" w:hAnsi="Wingdings" w:hint="default"/>
      </w:rPr>
    </w:lvl>
    <w:lvl w:ilvl="3" w:tplc="B79A1182" w:tentative="1">
      <w:start w:val="1"/>
      <w:numFmt w:val="bullet"/>
      <w:lvlText w:val=""/>
      <w:lvlJc w:val="left"/>
      <w:pPr>
        <w:tabs>
          <w:tab w:val="num" w:pos="2880"/>
        </w:tabs>
        <w:ind w:left="2880" w:hanging="360"/>
      </w:pPr>
      <w:rPr>
        <w:rFonts w:ascii="Symbol" w:hAnsi="Symbol" w:hint="default"/>
      </w:rPr>
    </w:lvl>
    <w:lvl w:ilvl="4" w:tplc="E5266704" w:tentative="1">
      <w:start w:val="1"/>
      <w:numFmt w:val="bullet"/>
      <w:lvlText w:val="o"/>
      <w:lvlJc w:val="left"/>
      <w:pPr>
        <w:tabs>
          <w:tab w:val="num" w:pos="3600"/>
        </w:tabs>
        <w:ind w:left="3600" w:hanging="360"/>
      </w:pPr>
      <w:rPr>
        <w:rFonts w:ascii="Courier New" w:hAnsi="Courier New" w:hint="default"/>
      </w:rPr>
    </w:lvl>
    <w:lvl w:ilvl="5" w:tplc="8C02A43E" w:tentative="1">
      <w:start w:val="1"/>
      <w:numFmt w:val="bullet"/>
      <w:lvlText w:val=""/>
      <w:lvlJc w:val="left"/>
      <w:pPr>
        <w:tabs>
          <w:tab w:val="num" w:pos="4320"/>
        </w:tabs>
        <w:ind w:left="4320" w:hanging="360"/>
      </w:pPr>
      <w:rPr>
        <w:rFonts w:ascii="Wingdings" w:hAnsi="Wingdings" w:hint="default"/>
      </w:rPr>
    </w:lvl>
    <w:lvl w:ilvl="6" w:tplc="7A349E82" w:tentative="1">
      <w:start w:val="1"/>
      <w:numFmt w:val="bullet"/>
      <w:lvlText w:val=""/>
      <w:lvlJc w:val="left"/>
      <w:pPr>
        <w:tabs>
          <w:tab w:val="num" w:pos="5040"/>
        </w:tabs>
        <w:ind w:left="5040" w:hanging="360"/>
      </w:pPr>
      <w:rPr>
        <w:rFonts w:ascii="Symbol" w:hAnsi="Symbol" w:hint="default"/>
      </w:rPr>
    </w:lvl>
    <w:lvl w:ilvl="7" w:tplc="52A02EA2" w:tentative="1">
      <w:start w:val="1"/>
      <w:numFmt w:val="bullet"/>
      <w:lvlText w:val="o"/>
      <w:lvlJc w:val="left"/>
      <w:pPr>
        <w:tabs>
          <w:tab w:val="num" w:pos="5760"/>
        </w:tabs>
        <w:ind w:left="5760" w:hanging="360"/>
      </w:pPr>
      <w:rPr>
        <w:rFonts w:ascii="Courier New" w:hAnsi="Courier New" w:hint="default"/>
      </w:rPr>
    </w:lvl>
    <w:lvl w:ilvl="8" w:tplc="899826F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4C6F2E"/>
    <w:multiLevelType w:val="multilevel"/>
    <w:tmpl w:val="EEDCF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101003C"/>
    <w:multiLevelType w:val="multilevel"/>
    <w:tmpl w:val="4356B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3456926"/>
    <w:multiLevelType w:val="multilevel"/>
    <w:tmpl w:val="47362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5C42187"/>
    <w:multiLevelType w:val="hybridMultilevel"/>
    <w:tmpl w:val="DF80B5F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9887819">
    <w:abstractNumId w:val="28"/>
  </w:num>
  <w:num w:numId="2" w16cid:durableId="1914778482">
    <w:abstractNumId w:val="25"/>
  </w:num>
  <w:num w:numId="3" w16cid:durableId="2119833581">
    <w:abstractNumId w:val="20"/>
  </w:num>
  <w:num w:numId="4" w16cid:durableId="1944917891">
    <w:abstractNumId w:val="22"/>
  </w:num>
  <w:num w:numId="5" w16cid:durableId="802620356">
    <w:abstractNumId w:val="15"/>
  </w:num>
  <w:num w:numId="6" w16cid:durableId="1371688353">
    <w:abstractNumId w:val="9"/>
  </w:num>
  <w:num w:numId="7" w16cid:durableId="988940262">
    <w:abstractNumId w:val="7"/>
  </w:num>
  <w:num w:numId="8" w16cid:durableId="36008957">
    <w:abstractNumId w:val="6"/>
  </w:num>
  <w:num w:numId="9" w16cid:durableId="864174481">
    <w:abstractNumId w:val="5"/>
  </w:num>
  <w:num w:numId="10" w16cid:durableId="962346096">
    <w:abstractNumId w:val="4"/>
  </w:num>
  <w:num w:numId="11" w16cid:durableId="903101121">
    <w:abstractNumId w:val="8"/>
  </w:num>
  <w:num w:numId="12" w16cid:durableId="332026890">
    <w:abstractNumId w:val="3"/>
  </w:num>
  <w:num w:numId="13" w16cid:durableId="1050153754">
    <w:abstractNumId w:val="2"/>
  </w:num>
  <w:num w:numId="14" w16cid:durableId="863129588">
    <w:abstractNumId w:val="1"/>
  </w:num>
  <w:num w:numId="15" w16cid:durableId="418452653">
    <w:abstractNumId w:val="0"/>
  </w:num>
  <w:num w:numId="16" w16cid:durableId="1483085092">
    <w:abstractNumId w:val="11"/>
  </w:num>
  <w:num w:numId="17" w16cid:durableId="583414858">
    <w:abstractNumId w:val="16"/>
  </w:num>
  <w:num w:numId="18" w16cid:durableId="1495298822">
    <w:abstractNumId w:val="26"/>
  </w:num>
  <w:num w:numId="19" w16cid:durableId="175005156">
    <w:abstractNumId w:val="19"/>
  </w:num>
  <w:num w:numId="20" w16cid:durableId="1237013383">
    <w:abstractNumId w:val="23"/>
  </w:num>
  <w:num w:numId="21" w16cid:durableId="126555874">
    <w:abstractNumId w:val="13"/>
  </w:num>
  <w:num w:numId="22" w16cid:durableId="1639411393">
    <w:abstractNumId w:val="24"/>
  </w:num>
  <w:num w:numId="23" w16cid:durableId="1085151868">
    <w:abstractNumId w:val="18"/>
  </w:num>
  <w:num w:numId="24" w16cid:durableId="1971082826">
    <w:abstractNumId w:val="10"/>
  </w:num>
  <w:num w:numId="25" w16cid:durableId="2054579735">
    <w:abstractNumId w:val="27"/>
  </w:num>
  <w:num w:numId="26" w16cid:durableId="2708738">
    <w:abstractNumId w:val="21"/>
  </w:num>
  <w:num w:numId="27" w16cid:durableId="53358241">
    <w:abstractNumId w:val="14"/>
  </w:num>
  <w:num w:numId="28" w16cid:durableId="1053891513">
    <w:abstractNumId w:val="17"/>
  </w:num>
  <w:num w:numId="29" w16cid:durableId="374236302">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35951"/>
    <w:rsid w:val="00042B72"/>
    <w:rsid w:val="00053EA6"/>
    <w:rsid w:val="000558BD"/>
    <w:rsid w:val="00060563"/>
    <w:rsid w:val="00064984"/>
    <w:rsid w:val="000851E7"/>
    <w:rsid w:val="000A4A14"/>
    <w:rsid w:val="000B57E7"/>
    <w:rsid w:val="000B6373"/>
    <w:rsid w:val="000D3664"/>
    <w:rsid w:val="000D6CBE"/>
    <w:rsid w:val="000F09DF"/>
    <w:rsid w:val="000F61B2"/>
    <w:rsid w:val="00101D96"/>
    <w:rsid w:val="00107243"/>
    <w:rsid w:val="001075E9"/>
    <w:rsid w:val="00127B97"/>
    <w:rsid w:val="00156F70"/>
    <w:rsid w:val="001776CD"/>
    <w:rsid w:val="00180183"/>
    <w:rsid w:val="0018024D"/>
    <w:rsid w:val="0018649F"/>
    <w:rsid w:val="00196389"/>
    <w:rsid w:val="001A4396"/>
    <w:rsid w:val="001B3EF6"/>
    <w:rsid w:val="001B5105"/>
    <w:rsid w:val="001C3955"/>
    <w:rsid w:val="001C7A89"/>
    <w:rsid w:val="001C7E9D"/>
    <w:rsid w:val="001F32B5"/>
    <w:rsid w:val="001F7A21"/>
    <w:rsid w:val="00203C19"/>
    <w:rsid w:val="00227383"/>
    <w:rsid w:val="002276D5"/>
    <w:rsid w:val="00230720"/>
    <w:rsid w:val="00257C1A"/>
    <w:rsid w:val="00260F15"/>
    <w:rsid w:val="002664B6"/>
    <w:rsid w:val="002725DF"/>
    <w:rsid w:val="002818F7"/>
    <w:rsid w:val="00282DE3"/>
    <w:rsid w:val="002A02C6"/>
    <w:rsid w:val="002A2EFC"/>
    <w:rsid w:val="002C0E18"/>
    <w:rsid w:val="002C65E3"/>
    <w:rsid w:val="002C7C4F"/>
    <w:rsid w:val="002D4172"/>
    <w:rsid w:val="002D5AAC"/>
    <w:rsid w:val="002E1A4E"/>
    <w:rsid w:val="002F405F"/>
    <w:rsid w:val="00301299"/>
    <w:rsid w:val="00304F41"/>
    <w:rsid w:val="00307FB6"/>
    <w:rsid w:val="00312616"/>
    <w:rsid w:val="003128F3"/>
    <w:rsid w:val="00317339"/>
    <w:rsid w:val="00322004"/>
    <w:rsid w:val="003230BF"/>
    <w:rsid w:val="003402C2"/>
    <w:rsid w:val="00343446"/>
    <w:rsid w:val="00356166"/>
    <w:rsid w:val="00360061"/>
    <w:rsid w:val="00376E4E"/>
    <w:rsid w:val="00381C24"/>
    <w:rsid w:val="00387A71"/>
    <w:rsid w:val="003958D0"/>
    <w:rsid w:val="003A3CE4"/>
    <w:rsid w:val="003A57ED"/>
    <w:rsid w:val="003B00E5"/>
    <w:rsid w:val="003D3526"/>
    <w:rsid w:val="003E0332"/>
    <w:rsid w:val="003F43D1"/>
    <w:rsid w:val="003F6FF0"/>
    <w:rsid w:val="004021F2"/>
    <w:rsid w:val="00405113"/>
    <w:rsid w:val="00407B78"/>
    <w:rsid w:val="00424203"/>
    <w:rsid w:val="004452DE"/>
    <w:rsid w:val="00454E07"/>
    <w:rsid w:val="00467ECF"/>
    <w:rsid w:val="00476628"/>
    <w:rsid w:val="004978F3"/>
    <w:rsid w:val="004B6CC2"/>
    <w:rsid w:val="004C07FF"/>
    <w:rsid w:val="004D1828"/>
    <w:rsid w:val="004D7E71"/>
    <w:rsid w:val="004D7FB8"/>
    <w:rsid w:val="004E7D98"/>
    <w:rsid w:val="0050108D"/>
    <w:rsid w:val="00511A8F"/>
    <w:rsid w:val="00513081"/>
    <w:rsid w:val="005172CB"/>
    <w:rsid w:val="00517901"/>
    <w:rsid w:val="00521CF4"/>
    <w:rsid w:val="00521DC1"/>
    <w:rsid w:val="00526683"/>
    <w:rsid w:val="00536B1E"/>
    <w:rsid w:val="0053722D"/>
    <w:rsid w:val="00553642"/>
    <w:rsid w:val="00567C51"/>
    <w:rsid w:val="005709E0"/>
    <w:rsid w:val="00572E19"/>
    <w:rsid w:val="00572F34"/>
    <w:rsid w:val="00575534"/>
    <w:rsid w:val="00575DCD"/>
    <w:rsid w:val="0058101F"/>
    <w:rsid w:val="00594B30"/>
    <w:rsid w:val="005961C8"/>
    <w:rsid w:val="005B4BC1"/>
    <w:rsid w:val="005D7914"/>
    <w:rsid w:val="005F0B42"/>
    <w:rsid w:val="00601662"/>
    <w:rsid w:val="0061052B"/>
    <w:rsid w:val="00615628"/>
    <w:rsid w:val="00621949"/>
    <w:rsid w:val="006551F6"/>
    <w:rsid w:val="006559CF"/>
    <w:rsid w:val="00660281"/>
    <w:rsid w:val="00660547"/>
    <w:rsid w:val="00681A10"/>
    <w:rsid w:val="00683C29"/>
    <w:rsid w:val="00695F4B"/>
    <w:rsid w:val="006B3A77"/>
    <w:rsid w:val="006B5C8B"/>
    <w:rsid w:val="006B67B8"/>
    <w:rsid w:val="006C2031"/>
    <w:rsid w:val="006C4954"/>
    <w:rsid w:val="006D317E"/>
    <w:rsid w:val="006D461A"/>
    <w:rsid w:val="006E13EC"/>
    <w:rsid w:val="006E60E1"/>
    <w:rsid w:val="006F35EE"/>
    <w:rsid w:val="006F4911"/>
    <w:rsid w:val="006F6BAB"/>
    <w:rsid w:val="007021FF"/>
    <w:rsid w:val="00712895"/>
    <w:rsid w:val="00717B7E"/>
    <w:rsid w:val="00725E69"/>
    <w:rsid w:val="00754B77"/>
    <w:rsid w:val="00757357"/>
    <w:rsid w:val="00766AA8"/>
    <w:rsid w:val="007751A6"/>
    <w:rsid w:val="00776BAA"/>
    <w:rsid w:val="00780DF5"/>
    <w:rsid w:val="00791BE9"/>
    <w:rsid w:val="007A6067"/>
    <w:rsid w:val="007A755F"/>
    <w:rsid w:val="007B1418"/>
    <w:rsid w:val="007C19C6"/>
    <w:rsid w:val="007C333F"/>
    <w:rsid w:val="007C57E2"/>
    <w:rsid w:val="007E072F"/>
    <w:rsid w:val="00805D1C"/>
    <w:rsid w:val="00825F8D"/>
    <w:rsid w:val="008328DB"/>
    <w:rsid w:val="00834B71"/>
    <w:rsid w:val="00841CBA"/>
    <w:rsid w:val="00860774"/>
    <w:rsid w:val="0086445C"/>
    <w:rsid w:val="00870BFC"/>
    <w:rsid w:val="00871F9E"/>
    <w:rsid w:val="00883133"/>
    <w:rsid w:val="00894693"/>
    <w:rsid w:val="008A08D7"/>
    <w:rsid w:val="008B1E79"/>
    <w:rsid w:val="008B579F"/>
    <w:rsid w:val="008B6909"/>
    <w:rsid w:val="008C2E75"/>
    <w:rsid w:val="008D5BA8"/>
    <w:rsid w:val="009063C3"/>
    <w:rsid w:val="00906890"/>
    <w:rsid w:val="00907713"/>
    <w:rsid w:val="00911BE4"/>
    <w:rsid w:val="00935A0B"/>
    <w:rsid w:val="00951972"/>
    <w:rsid w:val="00953B31"/>
    <w:rsid w:val="009608F3"/>
    <w:rsid w:val="00976D7B"/>
    <w:rsid w:val="009874BF"/>
    <w:rsid w:val="009A1045"/>
    <w:rsid w:val="009E0B33"/>
    <w:rsid w:val="009E1FB1"/>
    <w:rsid w:val="00A073E0"/>
    <w:rsid w:val="00A27D3D"/>
    <w:rsid w:val="00A32382"/>
    <w:rsid w:val="00A44B2D"/>
    <w:rsid w:val="00A52EA8"/>
    <w:rsid w:val="00A60D10"/>
    <w:rsid w:val="00A670F5"/>
    <w:rsid w:val="00A711FB"/>
    <w:rsid w:val="00A84021"/>
    <w:rsid w:val="00A86F80"/>
    <w:rsid w:val="00A90C2B"/>
    <w:rsid w:val="00A917B3"/>
    <w:rsid w:val="00A946CC"/>
    <w:rsid w:val="00A96987"/>
    <w:rsid w:val="00AB4B51"/>
    <w:rsid w:val="00AB7292"/>
    <w:rsid w:val="00AC3575"/>
    <w:rsid w:val="00AD7E8D"/>
    <w:rsid w:val="00AE1FED"/>
    <w:rsid w:val="00AE5F3B"/>
    <w:rsid w:val="00B06D83"/>
    <w:rsid w:val="00B10CC7"/>
    <w:rsid w:val="00B146F9"/>
    <w:rsid w:val="00B539E7"/>
    <w:rsid w:val="00B547A7"/>
    <w:rsid w:val="00B563EB"/>
    <w:rsid w:val="00B62458"/>
    <w:rsid w:val="00B67BF4"/>
    <w:rsid w:val="00B80A93"/>
    <w:rsid w:val="00BC3D34"/>
    <w:rsid w:val="00BD33EE"/>
    <w:rsid w:val="00BD72DF"/>
    <w:rsid w:val="00BF2E5C"/>
    <w:rsid w:val="00C02577"/>
    <w:rsid w:val="00C04A7D"/>
    <w:rsid w:val="00C106D6"/>
    <w:rsid w:val="00C1070A"/>
    <w:rsid w:val="00C204F5"/>
    <w:rsid w:val="00C607C3"/>
    <w:rsid w:val="00C60F0C"/>
    <w:rsid w:val="00C805C9"/>
    <w:rsid w:val="00C81485"/>
    <w:rsid w:val="00C86513"/>
    <w:rsid w:val="00C92939"/>
    <w:rsid w:val="00CA1679"/>
    <w:rsid w:val="00CB151C"/>
    <w:rsid w:val="00CB242B"/>
    <w:rsid w:val="00CB7401"/>
    <w:rsid w:val="00CC3501"/>
    <w:rsid w:val="00CD10C9"/>
    <w:rsid w:val="00CE19B3"/>
    <w:rsid w:val="00CE5A1A"/>
    <w:rsid w:val="00CE62FA"/>
    <w:rsid w:val="00CF25DD"/>
    <w:rsid w:val="00CF55F6"/>
    <w:rsid w:val="00CF7403"/>
    <w:rsid w:val="00CF754D"/>
    <w:rsid w:val="00D04407"/>
    <w:rsid w:val="00D04D8E"/>
    <w:rsid w:val="00D050D4"/>
    <w:rsid w:val="00D14EF7"/>
    <w:rsid w:val="00D33D63"/>
    <w:rsid w:val="00D46FF5"/>
    <w:rsid w:val="00D4778E"/>
    <w:rsid w:val="00D56F9E"/>
    <w:rsid w:val="00D621FC"/>
    <w:rsid w:val="00D65EF3"/>
    <w:rsid w:val="00D67900"/>
    <w:rsid w:val="00D7481B"/>
    <w:rsid w:val="00D80D30"/>
    <w:rsid w:val="00D82740"/>
    <w:rsid w:val="00D90138"/>
    <w:rsid w:val="00D90F98"/>
    <w:rsid w:val="00D924B0"/>
    <w:rsid w:val="00DD58C2"/>
    <w:rsid w:val="00DE4501"/>
    <w:rsid w:val="00E0141B"/>
    <w:rsid w:val="00E01F95"/>
    <w:rsid w:val="00E02680"/>
    <w:rsid w:val="00E14188"/>
    <w:rsid w:val="00E3136F"/>
    <w:rsid w:val="00E31CF9"/>
    <w:rsid w:val="00E32FEA"/>
    <w:rsid w:val="00E518DC"/>
    <w:rsid w:val="00E52DD2"/>
    <w:rsid w:val="00E56EE3"/>
    <w:rsid w:val="00E66052"/>
    <w:rsid w:val="00E72271"/>
    <w:rsid w:val="00E73F76"/>
    <w:rsid w:val="00E74E62"/>
    <w:rsid w:val="00E75677"/>
    <w:rsid w:val="00E81EB1"/>
    <w:rsid w:val="00E8268A"/>
    <w:rsid w:val="00E86371"/>
    <w:rsid w:val="00E86D58"/>
    <w:rsid w:val="00E9644B"/>
    <w:rsid w:val="00EA2C9F"/>
    <w:rsid w:val="00EA7582"/>
    <w:rsid w:val="00ED0BDA"/>
    <w:rsid w:val="00ED3749"/>
    <w:rsid w:val="00EE551A"/>
    <w:rsid w:val="00EE7654"/>
    <w:rsid w:val="00EF1360"/>
    <w:rsid w:val="00EF3220"/>
    <w:rsid w:val="00F05A6F"/>
    <w:rsid w:val="00F07ABB"/>
    <w:rsid w:val="00F07BD7"/>
    <w:rsid w:val="00F33697"/>
    <w:rsid w:val="00F34577"/>
    <w:rsid w:val="00F3635F"/>
    <w:rsid w:val="00F37BF0"/>
    <w:rsid w:val="00F43810"/>
    <w:rsid w:val="00F60756"/>
    <w:rsid w:val="00F63772"/>
    <w:rsid w:val="00F76855"/>
    <w:rsid w:val="00F76A49"/>
    <w:rsid w:val="00F92AE0"/>
    <w:rsid w:val="00F9377E"/>
    <w:rsid w:val="00F94155"/>
    <w:rsid w:val="00FA3430"/>
    <w:rsid w:val="00FB53F8"/>
    <w:rsid w:val="00FD234F"/>
    <w:rsid w:val="00FD2EF7"/>
    <w:rsid w:val="00FE447E"/>
    <w:rsid w:val="00FF329E"/>
    <w:rsid w:val="00FF5C2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491A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D7481B"/>
    <w:pPr>
      <w:keepNext/>
      <w:outlineLvl w:val="1"/>
    </w:pPr>
    <w:rPr>
      <w:rFonts w:cs="Arial"/>
      <w:bCs/>
      <w:iCs/>
      <w:szCs w:val="28"/>
    </w:rPr>
  </w:style>
  <w:style w:type="paragraph" w:styleId="Ttulo3">
    <w:name w:val="heading 3"/>
    <w:basedOn w:val="Normal"/>
    <w:next w:val="Normal"/>
    <w:rsid w:val="00D7481B"/>
    <w:pPr>
      <w:keepNext/>
      <w:spacing w:before="240" w:after="60"/>
      <w:outlineLvl w:val="2"/>
    </w:pPr>
    <w:rPr>
      <w:rFonts w:ascii="Arial" w:hAnsi="Arial" w:cs="Arial"/>
      <w:b/>
      <w:bCs/>
      <w:sz w:val="26"/>
      <w:szCs w:val="26"/>
    </w:rPr>
  </w:style>
  <w:style w:type="paragraph" w:styleId="Ttulo4">
    <w:name w:val="heading 4"/>
    <w:basedOn w:val="Normal"/>
    <w:next w:val="Normal"/>
    <w:rsid w:val="00D7481B"/>
    <w:pPr>
      <w:keepNext/>
      <w:spacing w:before="240" w:after="60"/>
      <w:outlineLvl w:val="3"/>
    </w:pPr>
    <w:rPr>
      <w:b/>
      <w:bCs/>
      <w:sz w:val="28"/>
      <w:szCs w:val="28"/>
    </w:rPr>
  </w:style>
  <w:style w:type="paragraph" w:styleId="Ttulo5">
    <w:name w:val="heading 5"/>
    <w:basedOn w:val="Normal"/>
    <w:next w:val="Normal"/>
    <w:rsid w:val="00D7481B"/>
    <w:pPr>
      <w:spacing w:before="240" w:after="60"/>
      <w:outlineLvl w:val="4"/>
    </w:pPr>
    <w:rPr>
      <w:b/>
      <w:bCs/>
      <w:i/>
      <w:iCs/>
      <w:sz w:val="26"/>
      <w:szCs w:val="26"/>
    </w:rPr>
  </w:style>
  <w:style w:type="paragraph" w:styleId="Ttulo6">
    <w:name w:val="heading 6"/>
    <w:basedOn w:val="Normal"/>
    <w:next w:val="Normal"/>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17B7E"/>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TtuloTDC">
    <w:name w:val="TOC Heading"/>
    <w:basedOn w:val="Ttulo1"/>
    <w:next w:val="Normal"/>
    <w:uiPriority w:val="39"/>
    <w:unhideWhenUsed/>
    <w:qFormat/>
    <w:rsid w:val="006F4911"/>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DC1">
    <w:name w:val="toc 1"/>
    <w:basedOn w:val="Normal"/>
    <w:next w:val="Normal"/>
    <w:autoRedefine/>
    <w:uiPriority w:val="39"/>
    <w:unhideWhenUsed/>
    <w:rsid w:val="006F4911"/>
    <w:pPr>
      <w:spacing w:after="100"/>
    </w:pPr>
  </w:style>
  <w:style w:type="character" w:styleId="Mencinsinresolver">
    <w:name w:val="Unresolved Mention"/>
    <w:basedOn w:val="Fuentedeprrafopredeter"/>
    <w:uiPriority w:val="99"/>
    <w:semiHidden/>
    <w:unhideWhenUsed/>
    <w:rsid w:val="006B5C8B"/>
    <w:rPr>
      <w:color w:val="605E5C"/>
      <w:shd w:val="clear" w:color="auto" w:fill="E1DFDD"/>
    </w:rPr>
  </w:style>
  <w:style w:type="table" w:customStyle="1" w:styleId="TableNormal1">
    <w:name w:val="Table Normal1"/>
    <w:rsid w:val="006F4911"/>
    <w:pPr>
      <w:spacing w:line="276" w:lineRule="auto"/>
    </w:pPr>
    <w:rPr>
      <w:rFonts w:ascii="Arial" w:eastAsia="Arial" w:hAnsi="Arial" w:cs="Arial"/>
      <w:sz w:val="22"/>
      <w:szCs w:val="22"/>
      <w:lang w:val="es-CL" w:eastAsia="en-US"/>
    </w:rPr>
    <w:tblPr>
      <w:tblCellMar>
        <w:top w:w="0" w:type="dxa"/>
        <w:left w:w="0" w:type="dxa"/>
        <w:bottom w:w="0" w:type="dxa"/>
        <w:right w:w="0" w:type="dxa"/>
      </w:tblCellMar>
    </w:tblPr>
  </w:style>
  <w:style w:type="paragraph" w:styleId="Prrafodelista">
    <w:name w:val="List Paragraph"/>
    <w:basedOn w:val="Normal"/>
    <w:uiPriority w:val="34"/>
    <w:qFormat/>
    <w:rsid w:val="006F4911"/>
    <w:pPr>
      <w:spacing w:line="276" w:lineRule="auto"/>
      <w:ind w:left="720"/>
      <w:contextualSpacing/>
    </w:pPr>
    <w:rPr>
      <w:rFonts w:ascii="Arial" w:eastAsia="Arial" w:hAnsi="Arial" w:cs="Arial"/>
      <w:sz w:val="22"/>
      <w:szCs w:val="22"/>
      <w:lang w:val="es-CL" w:eastAsia="en-US"/>
    </w:rPr>
  </w:style>
  <w:style w:type="character" w:customStyle="1" w:styleId="EncabezadoCar">
    <w:name w:val="Encabezado Car"/>
    <w:aliases w:val="6_G Car"/>
    <w:basedOn w:val="Fuentedeprrafopredeter"/>
    <w:link w:val="Encabezado"/>
    <w:uiPriority w:val="99"/>
    <w:rsid w:val="006F4911"/>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6F4911"/>
    <w:rPr>
      <w:rFonts w:eastAsiaTheme="minorEastAsia"/>
      <w:sz w:val="16"/>
      <w:lang w:val="es-ES" w:eastAsia="es-ES"/>
    </w:rPr>
  </w:style>
  <w:style w:type="paragraph" w:styleId="TDC2">
    <w:name w:val="toc 2"/>
    <w:basedOn w:val="Normal"/>
    <w:next w:val="Normal"/>
    <w:autoRedefine/>
    <w:uiPriority w:val="39"/>
    <w:unhideWhenUsed/>
    <w:rsid w:val="006F4911"/>
    <w:pPr>
      <w:spacing w:after="100" w:line="276" w:lineRule="auto"/>
      <w:ind w:left="220"/>
    </w:pPr>
    <w:rPr>
      <w:rFonts w:ascii="Arial" w:eastAsia="Arial" w:hAnsi="Arial" w:cs="Arial"/>
      <w:sz w:val="22"/>
      <w:szCs w:val="22"/>
      <w:lang w:val="es-CL" w:eastAsia="en-US"/>
    </w:rPr>
  </w:style>
  <w:style w:type="character" w:styleId="Refdecomentario">
    <w:name w:val="annotation reference"/>
    <w:basedOn w:val="Fuentedeprrafopredeter"/>
    <w:uiPriority w:val="99"/>
    <w:semiHidden/>
    <w:unhideWhenUsed/>
    <w:rsid w:val="006F4911"/>
    <w:rPr>
      <w:sz w:val="16"/>
      <w:szCs w:val="16"/>
    </w:rPr>
  </w:style>
  <w:style w:type="paragraph" w:styleId="Textocomentario">
    <w:name w:val="annotation text"/>
    <w:basedOn w:val="Normal"/>
    <w:link w:val="TextocomentarioCar"/>
    <w:uiPriority w:val="99"/>
    <w:semiHidden/>
    <w:unhideWhenUsed/>
    <w:rsid w:val="006F4911"/>
    <w:pPr>
      <w:spacing w:line="240" w:lineRule="auto"/>
    </w:pPr>
    <w:rPr>
      <w:rFonts w:ascii="Arial" w:eastAsia="Arial" w:hAnsi="Arial" w:cs="Arial"/>
      <w:lang w:val="es-CL" w:eastAsia="en-US"/>
    </w:rPr>
  </w:style>
  <w:style w:type="character" w:customStyle="1" w:styleId="TextocomentarioCar">
    <w:name w:val="Texto comentario Car"/>
    <w:basedOn w:val="Fuentedeprrafopredeter"/>
    <w:link w:val="Textocomentario"/>
    <w:uiPriority w:val="99"/>
    <w:semiHidden/>
    <w:rsid w:val="006F4911"/>
    <w:rPr>
      <w:rFonts w:ascii="Arial" w:eastAsia="Arial" w:hAnsi="Arial" w:cs="Arial"/>
      <w:lang w:val="es-CL" w:eastAsia="en-US"/>
    </w:rPr>
  </w:style>
  <w:style w:type="paragraph" w:styleId="Asuntodelcomentario">
    <w:name w:val="annotation subject"/>
    <w:basedOn w:val="Textocomentario"/>
    <w:next w:val="Textocomentario"/>
    <w:link w:val="AsuntodelcomentarioCar"/>
    <w:uiPriority w:val="99"/>
    <w:semiHidden/>
    <w:unhideWhenUsed/>
    <w:rsid w:val="006F4911"/>
    <w:rPr>
      <w:b/>
      <w:bCs/>
    </w:rPr>
  </w:style>
  <w:style w:type="character" w:customStyle="1" w:styleId="AsuntodelcomentarioCar">
    <w:name w:val="Asunto del comentario Car"/>
    <w:basedOn w:val="TextocomentarioCar"/>
    <w:link w:val="Asuntodelcomentario"/>
    <w:uiPriority w:val="99"/>
    <w:semiHidden/>
    <w:rsid w:val="006F4911"/>
    <w:rPr>
      <w:rFonts w:ascii="Arial" w:eastAsia="Arial" w:hAnsi="Arial" w:cs="Arial"/>
      <w:b/>
      <w:bCs/>
      <w:lang w:val="es-CL" w:eastAsia="en-US"/>
    </w:rPr>
  </w:style>
  <w:style w:type="paragraph" w:styleId="Revisin">
    <w:name w:val="Revision"/>
    <w:hidden/>
    <w:uiPriority w:val="99"/>
    <w:semiHidden/>
    <w:rsid w:val="00907713"/>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cn.cl/307il" TargetMode="External"/><Relationship Id="rId18" Type="http://schemas.openxmlformats.org/officeDocument/2006/relationships/hyperlink" Target="https://youtu.be/65AvdOQFfa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youtube.com/c/HospitalDigitalChile/search?query=discapacidad" TargetMode="External"/><Relationship Id="rId17" Type="http://schemas.openxmlformats.org/officeDocument/2006/relationships/hyperlink" Target="https://oirsw.carabineros.cl/"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comisariavirtual.cl/etapas/ejecutar/7745467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bcn.cl/2q0sp"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ence.gob.cl/personas/formate-para-el-trabaj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b.cl/coronavirus/"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www.youtube.com/watch?v=AE-hnP8KYP4" TargetMode="External"/><Relationship Id="rId21" Type="http://schemas.openxmlformats.org/officeDocument/2006/relationships/hyperlink" Target="http://bcn.cl/3129i" TargetMode="External"/><Relationship Id="rId42" Type="http://schemas.openxmlformats.org/officeDocument/2006/relationships/hyperlink" Target="https://www.senadis.gob.cl/sala_prensa/d/noticias/8052/" TargetMode="External"/><Relationship Id="rId63" Type="http://schemas.openxmlformats.org/officeDocument/2006/relationships/hyperlink" Target="https://play.google.com/store/apps/details?id=com.exefire.comunidadsorda132" TargetMode="External"/><Relationship Id="rId84" Type="http://schemas.openxmlformats.org/officeDocument/2006/relationships/hyperlink" Target="https://www.senadis.gob.cl/sala_prensa/d/noticias/8223" TargetMode="External"/><Relationship Id="rId138" Type="http://schemas.openxmlformats.org/officeDocument/2006/relationships/hyperlink" Target="http://bcn.cl/33x2a" TargetMode="External"/><Relationship Id="rId159" Type="http://schemas.openxmlformats.org/officeDocument/2006/relationships/hyperlink" Target="https://bcn.cl/34mv6" TargetMode="External"/><Relationship Id="rId170" Type="http://schemas.openxmlformats.org/officeDocument/2006/relationships/hyperlink" Target="https://certificacion.chilevalora.cl/ChileValora-publica/perfilesEdit.html?paramRequest=1615&amp;bsearch=&amp;bsector=-1&amp;bsubsector=-1&amp;barea=-1&amp;bcentro=-1&amp;bperfil=-1&amp;resultados_length=10" TargetMode="External"/><Relationship Id="rId191" Type="http://schemas.openxmlformats.org/officeDocument/2006/relationships/hyperlink" Target="https://especial.mineduc.cl/recursos-apoyo-al-aprendizaje/recursos-audiovisuales-para-la-diversificacion-de-la-ensenanza/capsulas/" TargetMode="External"/><Relationship Id="rId205" Type="http://schemas.openxmlformats.org/officeDocument/2006/relationships/hyperlink" Target="https://www.minsal.cl/consejoasesorensaludmental/" TargetMode="External"/><Relationship Id="rId226" Type="http://schemas.openxmlformats.org/officeDocument/2006/relationships/hyperlink" Target="https://www.instagram.com/p/CSKzJP7rLQM/" TargetMode="External"/><Relationship Id="rId247" Type="http://schemas.openxmlformats.org/officeDocument/2006/relationships/hyperlink" Target="https://www.instagram.com/p/CWbK9Xitx45/" TargetMode="External"/><Relationship Id="rId107" Type="http://schemas.openxmlformats.org/officeDocument/2006/relationships/hyperlink" Target="https://bcn.cl/2wni1" TargetMode="External"/><Relationship Id="rId268" Type="http://schemas.openxmlformats.org/officeDocument/2006/relationships/hyperlink" Target="https://www.senadis.gob.cl/descarga/i/4581" TargetMode="External"/><Relationship Id="rId11" Type="http://schemas.openxmlformats.org/officeDocument/2006/relationships/hyperlink" Target="https://www.bcn.cl/leychile/consulta/vinculaciones/reglamento?idNorma=1103997&amp;fechaVigencia=2018-04-01&amp;clase_vinculacion=REGLAMENTO" TargetMode="External"/><Relationship Id="rId32" Type="http://schemas.openxmlformats.org/officeDocument/2006/relationships/hyperlink" Target="https://incluyendo.senadis.cl/" TargetMode="External"/><Relationship Id="rId53" Type="http://schemas.openxmlformats.org/officeDocument/2006/relationships/hyperlink" Target="http://bcn.cl/2irkh" TargetMode="External"/><Relationship Id="rId74" Type="http://schemas.openxmlformats.org/officeDocument/2006/relationships/hyperlink" Target="https://siac.onemi.gov.cl/documentos/TEMP/Audio_Recomendaciones_Inclusivas.mp3" TargetMode="External"/><Relationship Id="rId128" Type="http://schemas.openxmlformats.org/officeDocument/2006/relationships/hyperlink" Target="http://bcn.cl/2irkh" TargetMode="External"/><Relationship Id="rId149" Type="http://schemas.openxmlformats.org/officeDocument/2006/relationships/hyperlink" Target="http://bcn.cl/31wsm" TargetMode="External"/><Relationship Id="rId5" Type="http://schemas.openxmlformats.org/officeDocument/2006/relationships/hyperlink" Target="https://www.senadis.gob.cl/pag/579/1901/diagnostico_del_plan_nacional_de_calificacion_y_certificacion" TargetMode="External"/><Relationship Id="rId95" Type="http://schemas.openxmlformats.org/officeDocument/2006/relationships/hyperlink" Target="https://diprece.minsal.cl/wp-content/uploads/2020/10/RECOMENDACIONES-PARA-EL-INGRESO-SEGUIMIENTO-Y-EGRESO-DE-PERSONAS-CON-NECESIDADES-DE-MANEJO-TERAPE%CC%81UTICO-ASOCIADO-A-CONDICIONES-DE-SALUD-MENTAL-O-EN-CONDICIONES-DE-EXCLUSIO%CC%81N-SOCIAL-EXTREMA.pdf" TargetMode="External"/><Relationship Id="rId160" Type="http://schemas.openxmlformats.org/officeDocument/2006/relationships/hyperlink" Target="https://estadisticas.ssosorno.cl/mortalidad_natalidad/archivos/Norma-160-registro-CAPNV.pdf" TargetMode="External"/><Relationship Id="rId181" Type="http://schemas.openxmlformats.org/officeDocument/2006/relationships/hyperlink" Target="https://youtu.be/8G-qSdZTCXA" TargetMode="External"/><Relationship Id="rId216" Type="http://schemas.openxmlformats.org/officeDocument/2006/relationships/hyperlink" Target="http://bcn.cl/2maxp" TargetMode="External"/><Relationship Id="rId237" Type="http://schemas.openxmlformats.org/officeDocument/2006/relationships/hyperlink" Target="https://www.senadis.gob.cl/sala_prensa/d/noticias/8514" TargetMode="External"/><Relationship Id="rId258" Type="http://schemas.openxmlformats.org/officeDocument/2006/relationships/hyperlink" Target="http://bcn.cl/2yieq" TargetMode="External"/><Relationship Id="rId22" Type="http://schemas.openxmlformats.org/officeDocument/2006/relationships/hyperlink" Target="http://bcn.cl/32rls" TargetMode="External"/><Relationship Id="rId43" Type="http://schemas.openxmlformats.org/officeDocument/2006/relationships/hyperlink" Target="http://www.chilequequeremos.cl" TargetMode="External"/><Relationship Id="rId64" Type="http://schemas.openxmlformats.org/officeDocument/2006/relationships/hyperlink" Target="https://degreyd.minsal.cl/hospitales-se-preparan-para-que-personas-con-dicapacidad-enfrenten-emergencias-y-desastres/" TargetMode="External"/><Relationship Id="rId118" Type="http://schemas.openxmlformats.org/officeDocument/2006/relationships/hyperlink" Target="https://www.youtube.com/playlist?list=PLiM1Z2DRIWDMZTTs4Y4NLEYRk3wQIEvqq" TargetMode="External"/><Relationship Id="rId139" Type="http://schemas.openxmlformats.org/officeDocument/2006/relationships/hyperlink" Target="https://www.minsal.cl/wp-content/uploads/2017/12/PDF-PLAN-NACIONAL-SALUD-MENTAL-2017-A-2025.-7-dic-2017.pdf" TargetMode="External"/><Relationship Id="rId85" Type="http://schemas.openxmlformats.org/officeDocument/2006/relationships/hyperlink" Target="https://www.senadis.gob.cl/pag/569/1649/proceso_de_financiamiento_ayudas_tecnicas_2020" TargetMode="External"/><Relationship Id="rId150" Type="http://schemas.openxmlformats.org/officeDocument/2006/relationships/hyperlink" Target="http://bcn.cl/2pe6i" TargetMode="External"/><Relationship Id="rId171" Type="http://schemas.openxmlformats.org/officeDocument/2006/relationships/hyperlink" Target="https://certificacion.chilevalora.cl/ChileValora-publica/perfilesEdit.html?paramRequest=1614&amp;bsearch=&amp;bsector=-1&amp;bsubsector=-1&amp;barea=-1&amp;bcentro=-1&amp;bperfil=-1&amp;resultados_length=10" TargetMode="External"/><Relationship Id="rId192" Type="http://schemas.openxmlformats.org/officeDocument/2006/relationships/hyperlink" Target="http://bcn.cl/2f7b6" TargetMode="External"/><Relationship Id="rId206" Type="http://schemas.openxmlformats.org/officeDocument/2006/relationships/hyperlink" Target="https://s3.amazonaws.com/cdn.boricpresidente.cl/web/programa/Plan+de+gobierno+AD+2022-2026+(2).pdf" TargetMode="External"/><Relationship Id="rId227" Type="http://schemas.openxmlformats.org/officeDocument/2006/relationships/hyperlink" Target="https://www.senadis.gob.cl/sala_prensa/d/noticias/8772/ministra-vega-lanza-programa-para-financiar-servicios-de-apoyo-y-adaptaciones-para-personas-con-discapacidad" TargetMode="External"/><Relationship Id="rId248" Type="http://schemas.openxmlformats.org/officeDocument/2006/relationships/hyperlink" Target="https://www.instagram.com/p/CWeMOiijxbO/" TargetMode="External"/><Relationship Id="rId269" Type="http://schemas.openxmlformats.org/officeDocument/2006/relationships/hyperlink" Target="https://www.senadis.gob.cl/pag/447/1729/otros_documentos_de_interes" TargetMode="External"/><Relationship Id="rId12" Type="http://schemas.openxmlformats.org/officeDocument/2006/relationships/hyperlink" Target="https://www.senadis.gob.cl/pag/459/1740/consulta_ciudadana_ano_2017_proceso_cerrado" TargetMode="External"/><Relationship Id="rId33" Type="http://schemas.openxmlformats.org/officeDocument/2006/relationships/hyperlink" Target="http://bcn.cl/2irkh" TargetMode="External"/><Relationship Id="rId108" Type="http://schemas.openxmlformats.org/officeDocument/2006/relationships/hyperlink" Target="http://www.senado.cl/appsenado/templates/tramitacion/index.php?boletin_ini=12441-17" TargetMode="External"/><Relationship Id="rId129" Type="http://schemas.openxmlformats.org/officeDocument/2006/relationships/hyperlink" Target="http://bcn.cl/33we7" TargetMode="External"/><Relationship Id="rId54" Type="http://schemas.openxmlformats.org/officeDocument/2006/relationships/hyperlink" Target="http://bcn.cl/2nbtt" TargetMode="External"/><Relationship Id="rId75" Type="http://schemas.openxmlformats.org/officeDocument/2006/relationships/hyperlink" Target="https://www.youtube.com/watch?v=Z1jeYXkwtO0" TargetMode="External"/><Relationship Id="rId96" Type="http://schemas.openxmlformats.org/officeDocument/2006/relationships/hyperlink" Target="https://www.senadis.gob.cl/sala_prensa/d/noticias/8226/recomendaciones-para-la-atencion-de-personas-con-discapacidad-en-el-contexto-de-la-pandemia-por-covid-19" TargetMode="External"/><Relationship Id="rId140" Type="http://schemas.openxmlformats.org/officeDocument/2006/relationships/hyperlink" Target="https://mnpt.cl/wp-content/uploads/2021/09/74830-INFORME-ANUAL-CPT-INTE-web-INDH.pdf" TargetMode="External"/><Relationship Id="rId161" Type="http://schemas.openxmlformats.org/officeDocument/2006/relationships/hyperlink" Target="https://degi.saludoriente.cl/degidssmo/documentos/normas/NORMA_820.pdf" TargetMode="External"/><Relationship Id="rId182" Type="http://schemas.openxmlformats.org/officeDocument/2006/relationships/hyperlink" Target="https://youtu.be/WnlxzpoY3fY" TargetMode="External"/><Relationship Id="rId217" Type="http://schemas.openxmlformats.org/officeDocument/2006/relationships/hyperlink" Target="https://www.senadis.gob.cl/pag/647/1575/programa_transito_a_la_vida_independiente_2022" TargetMode="External"/><Relationship Id="rId6" Type="http://schemas.openxmlformats.org/officeDocument/2006/relationships/hyperlink" Target="https://milicenciamedica.cl/assets/pdf/MANUAL_CALIFICACION_Y_CERTIFICACION_DISCAPACIDAD_2022.pdf" TargetMode="External"/><Relationship Id="rId238" Type="http://schemas.openxmlformats.org/officeDocument/2006/relationships/hyperlink" Target="https://www.senadis.gob.cl/sala_prensa/d/noticias/8515" TargetMode="External"/><Relationship Id="rId259" Type="http://schemas.openxmlformats.org/officeDocument/2006/relationships/hyperlink" Target="http://bcn.cl/2v1ja" TargetMode="External"/><Relationship Id="rId23" Type="http://schemas.openxmlformats.org/officeDocument/2006/relationships/hyperlink" Target="http://bcn.cl/307il" TargetMode="External"/><Relationship Id="rId119" Type="http://schemas.openxmlformats.org/officeDocument/2006/relationships/hyperlink" Target="https://www.youtube.com/c/pjudicialchile/featured" TargetMode="External"/><Relationship Id="rId270" Type="http://schemas.openxmlformats.org/officeDocument/2006/relationships/hyperlink" Target="https://www.senadis.gob.cl/descarga/i/6034/documento" TargetMode="External"/><Relationship Id="rId44" Type="http://schemas.openxmlformats.org/officeDocument/2006/relationships/hyperlink" Target="https://www.senadis.gob.cl/sala_prensa/d/noticias/8147" TargetMode="External"/><Relationship Id="rId65" Type="http://schemas.openxmlformats.org/officeDocument/2006/relationships/hyperlink" Target="https://degreyd.minsal.cl/hospital-de-coyhaique-inicio-trabajo-para-incluir-a-personas-con-discapacidad-en-planes-de-emergencias/" TargetMode="External"/><Relationship Id="rId86" Type="http://schemas.openxmlformats.org/officeDocument/2006/relationships/hyperlink" Target="https://www.senadis.gob.cl/pag/594/1910/continuidad_de_recursos_transito_a_la_vida_independiente_tvi_2019_segundo_semestre_2020_cerrado" TargetMode="External"/><Relationship Id="rId130" Type="http://schemas.openxmlformats.org/officeDocument/2006/relationships/hyperlink" Target="http://bcn.cl/2p863" TargetMode="External"/><Relationship Id="rId151" Type="http://schemas.openxmlformats.org/officeDocument/2006/relationships/hyperlink" Target="http://bcn.cl/2p863" TargetMode="External"/><Relationship Id="rId172" Type="http://schemas.openxmlformats.org/officeDocument/2006/relationships/hyperlink" Target="https://sistemas.sence.cl/sipfor/Planes/PDFPlan.aspx?id=3280" TargetMode="External"/><Relationship Id="rId193" Type="http://schemas.openxmlformats.org/officeDocument/2006/relationships/hyperlink" Target="https://especial.mineduc.cl/recursos-apoyo-al-aprendizaje/infografias-del-decreto-n83/" TargetMode="External"/><Relationship Id="rId202" Type="http://schemas.openxmlformats.org/officeDocument/2006/relationships/hyperlink" Target="http://bcn.cl/2zg0t" TargetMode="External"/><Relationship Id="rId207" Type="http://schemas.openxmlformats.org/officeDocument/2006/relationships/hyperlink" Target="https://programassociales.ministeriodesarrollosocial.gob.cl/pdf/2022/PRG2022_3_60312.pdf" TargetMode="External"/><Relationship Id="rId223" Type="http://schemas.openxmlformats.org/officeDocument/2006/relationships/hyperlink" Target="https://www.senadis.gob.cl/pag/594/1910/continuidad_de_recursos_transito_a_la_vida_independiente_tvi_2019_segundo_semestre_2020_cerrado" TargetMode="External"/><Relationship Id="rId228" Type="http://schemas.openxmlformats.org/officeDocument/2006/relationships/hyperlink" Target="https://www.instagram.com/p/Cel1-jktyX9/" TargetMode="External"/><Relationship Id="rId244" Type="http://schemas.openxmlformats.org/officeDocument/2006/relationships/hyperlink" Target="https://www.instagram.com/p/CRUtm0AFA_6/" TargetMode="External"/><Relationship Id="rId249" Type="http://schemas.openxmlformats.org/officeDocument/2006/relationships/hyperlink" Target="https://www.senadis.gob.cl/sala_prensa/d/noticias/8660" TargetMode="External"/><Relationship Id="rId13" Type="http://schemas.openxmlformats.org/officeDocument/2006/relationships/hyperlink" Target="https://www.senadis.gob.cl/sala_prensa/d/noticias/6885" TargetMode="External"/><Relationship Id="rId18" Type="http://schemas.openxmlformats.org/officeDocument/2006/relationships/hyperlink" Target="http://bcn.cl/2g7mr" TargetMode="External"/><Relationship Id="rId39" Type="http://schemas.openxmlformats.org/officeDocument/2006/relationships/hyperlink" Target="https://www.senadis.gob.cl/pag/603/1903/convocatoria_2021_consejos_regionales_de_la_sociedad_civil" TargetMode="External"/><Relationship Id="rId109" Type="http://schemas.openxmlformats.org/officeDocument/2006/relationships/hyperlink" Target="http://www.senado.cl/appsenado/templates/tramitacion/index.php?boletin_ini=12612-07" TargetMode="External"/><Relationship Id="rId260" Type="http://schemas.openxmlformats.org/officeDocument/2006/relationships/hyperlink" Target="https://www.gob.cl/pasoapaso/cifrasoficiales/" TargetMode="External"/><Relationship Id="rId265" Type="http://schemas.openxmlformats.org/officeDocument/2006/relationships/hyperlink" Target="https://www.senadis.gob.cl/pag/387/1650/material_grafico" TargetMode="External"/><Relationship Id="rId34" Type="http://schemas.openxmlformats.org/officeDocument/2006/relationships/hyperlink" Target="https://www.senadis.gob.cl/pag/509/1798/campana_buen_trato_de_ninas_ninos_y_adolescentes_con_discapacidad_en_el_mundo" TargetMode="External"/><Relationship Id="rId50" Type="http://schemas.openxmlformats.org/officeDocument/2006/relationships/hyperlink" Target="https://bcn.cl/2to97" TargetMode="External"/><Relationship Id="rId55" Type="http://schemas.openxmlformats.org/officeDocument/2006/relationships/hyperlink" Target="https://bcn.cl/2upv5" TargetMode="External"/><Relationship Id="rId76" Type="http://schemas.openxmlformats.org/officeDocument/2006/relationships/hyperlink" Target="https://youtu.be/9uVuW_O9eD4" TargetMode="External"/><Relationship Id="rId97" Type="http://schemas.openxmlformats.org/officeDocument/2006/relationships/hyperlink" Target="https://www.senadis.gob.cl/sala_prensa/d/noticias/8375/senadis-y-mesa-intersectorial-presentan-recomendaciones-y-buenas-practicas-en-salud-mental" TargetMode="External"/><Relationship Id="rId104" Type="http://schemas.openxmlformats.org/officeDocument/2006/relationships/hyperlink" Target="http://bcn.cl/2fwvz" TargetMode="External"/><Relationship Id="rId120" Type="http://schemas.openxmlformats.org/officeDocument/2006/relationships/hyperlink" Target="https://www.senadis.gob.cl/descarga/i/6664/documento" TargetMode="External"/><Relationship Id="rId125" Type="http://schemas.openxmlformats.org/officeDocument/2006/relationships/hyperlink" Target="https://academiajudicial.cl/wp-content/uploads/2021/11/4056-2022.docx.pdf" TargetMode="External"/><Relationship Id="rId141" Type="http://schemas.openxmlformats.org/officeDocument/2006/relationships/hyperlink" Target="https://eurosocial.eu/wp-content/uploads/2020/03/document7.pdf" TargetMode="External"/><Relationship Id="rId146" Type="http://schemas.openxmlformats.org/officeDocument/2006/relationships/hyperlink" Target="https://www.sernameg.gob.cl/?p=34095" TargetMode="External"/><Relationship Id="rId167" Type="http://schemas.openxmlformats.org/officeDocument/2006/relationships/hyperlink" Target="http://bcn.cl/2yieq" TargetMode="External"/><Relationship Id="rId188" Type="http://schemas.openxmlformats.org/officeDocument/2006/relationships/hyperlink" Target="https://www.senadis.gob.cl/descarga/i/6033/documento" TargetMode="External"/><Relationship Id="rId7" Type="http://schemas.openxmlformats.org/officeDocument/2006/relationships/hyperlink" Target="http://bcn.cl/2irkh" TargetMode="External"/><Relationship Id="rId71" Type="http://schemas.openxmlformats.org/officeDocument/2006/relationships/hyperlink" Target="https://www.senadis.gob.cl/descarga/i/3410/documento" TargetMode="External"/><Relationship Id="rId92" Type="http://schemas.openxmlformats.org/officeDocument/2006/relationships/hyperlink" Target="https://www.minsal.cl/wp-content/uploads/2020/04/DS11.pdf" TargetMode="External"/><Relationship Id="rId162" Type="http://schemas.openxmlformats.org/officeDocument/2006/relationships/hyperlink" Target="https://www.senadis.gob.cl/sala_prensa/d/noticias/8171" TargetMode="External"/><Relationship Id="rId183" Type="http://schemas.openxmlformats.org/officeDocument/2006/relationships/hyperlink" Target="http://www.senado.cl/appsenado/templates/tramitacion/index.php?boletin_ini=12441-17" TargetMode="External"/><Relationship Id="rId213" Type="http://schemas.openxmlformats.org/officeDocument/2006/relationships/hyperlink" Target="https://www.dt.gob.cl/legislacion/1624/w3-article-119460.html" TargetMode="External"/><Relationship Id="rId218" Type="http://schemas.openxmlformats.org/officeDocument/2006/relationships/hyperlink" Target="https://www.senadis.gob.cl/pag/311/1795/convocatoria_programa_transito_a_la_vida_independiente_2016" TargetMode="External"/><Relationship Id="rId234" Type="http://schemas.openxmlformats.org/officeDocument/2006/relationships/hyperlink" Target="http://bcn.cl/323ec" TargetMode="External"/><Relationship Id="rId239" Type="http://schemas.openxmlformats.org/officeDocument/2006/relationships/hyperlink" Target="https://www.instagram.com/p/COx8dienITA/" TargetMode="External"/><Relationship Id="rId2" Type="http://schemas.openxmlformats.org/officeDocument/2006/relationships/hyperlink" Target="https://www.diariooficial.interior.gob.cl/publicaciones/2020/08/25/42739/01/1804456.pdf" TargetMode="External"/><Relationship Id="rId29" Type="http://schemas.openxmlformats.org/officeDocument/2006/relationships/hyperlink" Target="https://www.senadis.gob.cl/sala_prensa/d/noticias/8268/senadis-y-servicio-civil-lanzan-cursos-sobre-inclusion-de-personas-con-discapacidad-para-funcionarios-publicos" TargetMode="External"/><Relationship Id="rId250" Type="http://schemas.openxmlformats.org/officeDocument/2006/relationships/hyperlink" Target="https://www.instagram.com/p/CXmG7CAJF3Q/" TargetMode="External"/><Relationship Id="rId255" Type="http://schemas.openxmlformats.org/officeDocument/2006/relationships/hyperlink" Target="https://www.ciudadaccesible.cl/manuales-accesibilidad-universal/" TargetMode="External"/><Relationship Id="rId271" Type="http://schemas.openxmlformats.org/officeDocument/2006/relationships/hyperlink" Target="https://www.senadis.gob.cl/descarga/i/6396/documento" TargetMode="External"/><Relationship Id="rId276" Type="http://schemas.openxmlformats.org/officeDocument/2006/relationships/hyperlink" Target="https://www.senadis.gob.cl/descarga/i/4581" TargetMode="External"/><Relationship Id="rId24" Type="http://schemas.openxmlformats.org/officeDocument/2006/relationships/hyperlink" Target="http://bcn.cl/2m4k0" TargetMode="External"/><Relationship Id="rId40" Type="http://schemas.openxmlformats.org/officeDocument/2006/relationships/hyperlink" Target="https://www.senadis.gob.cl/pag/348/1612/avisos_publicados" TargetMode="External"/><Relationship Id="rId45" Type="http://schemas.openxmlformats.org/officeDocument/2006/relationships/hyperlink" Target="https://www.senadis.gob.cl/sala_prensa/d/noticias/8140" TargetMode="External"/><Relationship Id="rId66" Type="http://schemas.openxmlformats.org/officeDocument/2006/relationships/hyperlink" Target="https://degreyd.minsal.cl/wp-content/uploads/2019/07/Orientaciones-T%C3%A9cnicas-Establecimiento-Seguro-2019.pdf" TargetMode="External"/><Relationship Id="rId87" Type="http://schemas.openxmlformats.org/officeDocument/2006/relationships/hyperlink" Target="https://www.senadis.gob.cl/pag/581/1909/programa_de_apoyo_estudiantes_con_discapacidad_en_instituciones_de_educacion_superior_2020_cerrado" TargetMode="External"/><Relationship Id="rId110" Type="http://schemas.openxmlformats.org/officeDocument/2006/relationships/hyperlink" Target="http://www.senado.cl/appsenado/templates/tramitacion/index.php?boletin_ini=11240-31" TargetMode="External"/><Relationship Id="rId115" Type="http://schemas.openxmlformats.org/officeDocument/2006/relationships/hyperlink" Target="http://bcn.cl/2p863" TargetMode="External"/><Relationship Id="rId131" Type="http://schemas.openxmlformats.org/officeDocument/2006/relationships/hyperlink" Target="https://www.senado.cl/appsenado/templates/tramitacion/index.php?boletin_ini=14233-07" TargetMode="External"/><Relationship Id="rId136" Type="http://schemas.openxmlformats.org/officeDocument/2006/relationships/hyperlink" Target="http://bcn.cl/33x29" TargetMode="External"/><Relationship Id="rId157" Type="http://schemas.openxmlformats.org/officeDocument/2006/relationships/hyperlink" Target="https://bcn.cl/34k6a" TargetMode="External"/><Relationship Id="rId178" Type="http://schemas.openxmlformats.org/officeDocument/2006/relationships/hyperlink" Target="https://youtu.be/TUt3CrW_R-4" TargetMode="External"/><Relationship Id="rId61" Type="http://schemas.openxmlformats.org/officeDocument/2006/relationships/hyperlink" Target="https://cms-dgd-prod.s3-us-west-2.amazonaws.com/uploads/pdf/Instructivo-N%C2%BA001-Transformacion-Digital-2019.pdf" TargetMode="External"/><Relationship Id="rId82" Type="http://schemas.openxmlformats.org/officeDocument/2006/relationships/hyperlink" Target="https://www.senadis.gob.cl/pag/588/1880/linea_800_conectados_al_cuidar" TargetMode="External"/><Relationship Id="rId152" Type="http://schemas.openxmlformats.org/officeDocument/2006/relationships/hyperlink" Target="https://bcn.cl/2yieq" TargetMode="External"/><Relationship Id="rId173" Type="http://schemas.openxmlformats.org/officeDocument/2006/relationships/hyperlink" Target="https://sistemas.sence.cl/sipfor/Planes/PDFPlan.aspx?id=3281" TargetMode="External"/><Relationship Id="rId194" Type="http://schemas.openxmlformats.org/officeDocument/2006/relationships/hyperlink" Target="https://especial.mineduc.cl/recursos-apoyo-al-aprendizaje/recursos-las-los-docentes/progresiones-de-aprendizaje-en-espiral-y-orientaciones-para-su-implementacion/" TargetMode="External"/><Relationship Id="rId199" Type="http://schemas.openxmlformats.org/officeDocument/2006/relationships/hyperlink" Target="https://www.senadis.gob.cl/descarga/i/5609/documento" TargetMode="External"/><Relationship Id="rId203" Type="http://schemas.openxmlformats.org/officeDocument/2006/relationships/hyperlink" Target="http://bcn.cl/2p863" TargetMode="External"/><Relationship Id="rId208" Type="http://schemas.openxmlformats.org/officeDocument/2006/relationships/hyperlink" Target="https://s3.amazonaws.com/cdn.boricpresidente.cl/web/programa/Plan+de+gobierno+AD+2022-2026+(2).pdf" TargetMode="External"/><Relationship Id="rId229" Type="http://schemas.openxmlformats.org/officeDocument/2006/relationships/hyperlink" Target="https://datasocial.ministeriodesarrollosocial.gob.cl/programas/dashboard" TargetMode="External"/><Relationship Id="rId19" Type="http://schemas.openxmlformats.org/officeDocument/2006/relationships/hyperlink" Target="http://bcn.cl/33fh9" TargetMode="External"/><Relationship Id="rId224" Type="http://schemas.openxmlformats.org/officeDocument/2006/relationships/hyperlink" Target="https://www.senadis.gob.cl/sala_prensa/d/noticias/8574" TargetMode="External"/><Relationship Id="rId240" Type="http://schemas.openxmlformats.org/officeDocument/2006/relationships/hyperlink" Target="https://www.instagram.com/p/CO1DypgnqyA/" TargetMode="External"/><Relationship Id="rId245" Type="http://schemas.openxmlformats.org/officeDocument/2006/relationships/hyperlink" Target="https://www.senadis.gob.cl/sala_prensa/d/noticias/8644" TargetMode="External"/><Relationship Id="rId261" Type="http://schemas.openxmlformats.org/officeDocument/2006/relationships/hyperlink" Target="https://deis.minsal.cl/" TargetMode="External"/><Relationship Id="rId266" Type="http://schemas.openxmlformats.org/officeDocument/2006/relationships/hyperlink" Target="https://youtu.be/9Be-17SVozo" TargetMode="External"/><Relationship Id="rId14" Type="http://schemas.openxmlformats.org/officeDocument/2006/relationships/hyperlink" Target="https://www.senadis.gob.cl/sala_prensa/d/noticias/6727" TargetMode="External"/><Relationship Id="rId30" Type="http://schemas.openxmlformats.org/officeDocument/2006/relationships/hyperlink" Target="https://academia.senadis.cl/?utm_source=serviciocivil&amp;utm_medium=tarjeta&amp;utm_campaign=campus" TargetMode="External"/><Relationship Id="rId35" Type="http://schemas.openxmlformats.org/officeDocument/2006/relationships/hyperlink" Target="https://observatorio.msgg.gob.cl/las-palabras-correctas-hacen-la-diferencia/" TargetMode="External"/><Relationship Id="rId56" Type="http://schemas.openxmlformats.org/officeDocument/2006/relationships/hyperlink" Target="http://bcn.cl/2v1ja" TargetMode="External"/><Relationship Id="rId77" Type="http://schemas.openxmlformats.org/officeDocument/2006/relationships/hyperlink" Target="https://www.previsionsocial.gob.cl/sps/download/Guia-de-Implementacon-del-PRRD-en-los-centros-de-trabajo.pdf" TargetMode="External"/><Relationship Id="rId100" Type="http://schemas.openxmlformats.org/officeDocument/2006/relationships/hyperlink" Target="https://www.gob.cl/saludablemente/" TargetMode="External"/><Relationship Id="rId105" Type="http://schemas.openxmlformats.org/officeDocument/2006/relationships/hyperlink" Target="https://www.chileatiende.gob.cl/fichas/94077-ingreso-familiar-de-emergencia-ife-universal" TargetMode="External"/><Relationship Id="rId126" Type="http://schemas.openxmlformats.org/officeDocument/2006/relationships/hyperlink" Target="http://bcn.cl/2o7zd" TargetMode="External"/><Relationship Id="rId147" Type="http://schemas.openxmlformats.org/officeDocument/2006/relationships/hyperlink" Target="https://www.senadis.gob.cl/pag/588/1880/linea_800_conectados_al_cuidar" TargetMode="External"/><Relationship Id="rId168" Type="http://schemas.openxmlformats.org/officeDocument/2006/relationships/hyperlink" Target="http://bcn.cl/2xglt" TargetMode="External"/><Relationship Id="rId8" Type="http://schemas.openxmlformats.org/officeDocument/2006/relationships/hyperlink" Target="http://bcn.cl/2ltmx" TargetMode="External"/><Relationship Id="rId51" Type="http://schemas.openxmlformats.org/officeDocument/2006/relationships/hyperlink" Target="https://bcn.cl/33fh9" TargetMode="External"/><Relationship Id="rId72" Type="http://schemas.openxmlformats.org/officeDocument/2006/relationships/hyperlink" Target="https://www.senadis.gob.cl/descarga/i/3434/documento" TargetMode="External"/><Relationship Id="rId93" Type="http://schemas.openxmlformats.org/officeDocument/2006/relationships/hyperlink" Target="https://www.minsal.cl/nuevo-coronavirus-2019-ncov/material-de-descarga/" TargetMode="External"/><Relationship Id="rId98" Type="http://schemas.openxmlformats.org/officeDocument/2006/relationships/hyperlink" Target="https://www.senadis.gob.cl/sala_prensa/d/noticias/8338/senadis-y-mesa-intersectorial-de-discapacidad-y-covid-19-desarrollan-webinar-sobre-salud-mental-y-residencias-para-personas-con-discapacidad" TargetMode="External"/><Relationship Id="rId121" Type="http://schemas.openxmlformats.org/officeDocument/2006/relationships/hyperlink" Target="https://www.pjud.cl/prensa-y-comunicaciones/noticias-del-poder-judicial/63136" TargetMode="External"/><Relationship Id="rId142" Type="http://schemas.openxmlformats.org/officeDocument/2006/relationships/hyperlink" Target="http://bcn.cl/30jt1" TargetMode="External"/><Relationship Id="rId163" Type="http://schemas.openxmlformats.org/officeDocument/2006/relationships/hyperlink" Target="https://www.senadis.gob.cl/descarga/i/4661/documento" TargetMode="External"/><Relationship Id="rId184" Type="http://schemas.openxmlformats.org/officeDocument/2006/relationships/hyperlink" Target="https://bcn.cl/34syf" TargetMode="External"/><Relationship Id="rId189" Type="http://schemas.openxmlformats.org/officeDocument/2006/relationships/hyperlink" Target="https://diprece.minsal.cl/wrdprss_minsal/wp-content/uploads/2018/03/POLITICA-NACIONAL-DE-SALUD-SEXUAL-Y-REPRODUCTIVA-..pdf" TargetMode="External"/><Relationship Id="rId219" Type="http://schemas.openxmlformats.org/officeDocument/2006/relationships/hyperlink" Target="https://www.senadis.gob.cl/sala_prensa/d/noticias/7624" TargetMode="External"/><Relationship Id="rId3" Type="http://schemas.openxmlformats.org/officeDocument/2006/relationships/hyperlink" Target="https://www.senadis.gob.cl/sala_prensa/d/noticias/8815" TargetMode="External"/><Relationship Id="rId214" Type="http://schemas.openxmlformats.org/officeDocument/2006/relationships/hyperlink" Target="https://www.dt.gob.cl/legislacion/1624/w3-article-121654.html" TargetMode="External"/><Relationship Id="rId230" Type="http://schemas.openxmlformats.org/officeDocument/2006/relationships/hyperlink" Target="https://www.senadis.gob.cl/pag/588/1880/linea_800_conectados_al_cuidar" TargetMode="External"/><Relationship Id="rId235" Type="http://schemas.openxmlformats.org/officeDocument/2006/relationships/hyperlink" Target="http://bcn.cl/2nfzd" TargetMode="External"/><Relationship Id="rId251" Type="http://schemas.openxmlformats.org/officeDocument/2006/relationships/hyperlink" Target="https://www.instagram.com/p/CXg7lgNNelP/" TargetMode="External"/><Relationship Id="rId256" Type="http://schemas.openxmlformats.org/officeDocument/2006/relationships/hyperlink" Target="http://bcn.cl/2nw2z" TargetMode="External"/><Relationship Id="rId277" Type="http://schemas.openxmlformats.org/officeDocument/2006/relationships/hyperlink" Target="https://www.mercadopublico.cl/Procurement/Modules/RFB/DetailsAcquisition.aspx?qs=37aEMrv7C1KA5ihn6nAMGQ" TargetMode="External"/><Relationship Id="rId25" Type="http://schemas.openxmlformats.org/officeDocument/2006/relationships/hyperlink" Target="https://www.camara.cl/legislacion/ProyectosDeLey/tramitacion.aspx?prmID=13286&amp;prmBOLETIN=12748-17" TargetMode="External"/><Relationship Id="rId46" Type="http://schemas.openxmlformats.org/officeDocument/2006/relationships/hyperlink" Target="https://www.senadis.gob.cl/sala_prensa/d/noticias/8169" TargetMode="External"/><Relationship Id="rId67" Type="http://schemas.openxmlformats.org/officeDocument/2006/relationships/hyperlink" Target="https://www.paho.org/es/noticias/6-12-2018-inclusion-para-gestion-riesgo-desastres-hospitales-ingrid-h" TargetMode="External"/><Relationship Id="rId116" Type="http://schemas.openxmlformats.org/officeDocument/2006/relationships/hyperlink" Target="https://www.pjud.cl/" TargetMode="External"/><Relationship Id="rId137" Type="http://schemas.openxmlformats.org/officeDocument/2006/relationships/hyperlink" Target="http://bcn.cl/2p863" TargetMode="External"/><Relationship Id="rId158" Type="http://schemas.openxmlformats.org/officeDocument/2006/relationships/hyperlink" Target="https://bcn.cl/34yyl" TargetMode="External"/><Relationship Id="rId272" Type="http://schemas.openxmlformats.org/officeDocument/2006/relationships/hyperlink" Target="https://www.senadis.gob.cl/descarga/i/5609/documento" TargetMode="External"/><Relationship Id="rId20" Type="http://schemas.openxmlformats.org/officeDocument/2006/relationships/hyperlink" Target="http://bcn.cl/2j5hn" TargetMode="External"/><Relationship Id="rId41" Type="http://schemas.openxmlformats.org/officeDocument/2006/relationships/hyperlink" Target="https://paisdi.senadis.cl/" TargetMode="External"/><Relationship Id="rId62" Type="http://schemas.openxmlformats.org/officeDocument/2006/relationships/hyperlink" Target="https://play.google.com/store/apps/details?id=com.exefire.primeros_respondedores_app" TargetMode="External"/><Relationship Id="rId83" Type="http://schemas.openxmlformats.org/officeDocument/2006/relationships/hyperlink" Target="https://www.youtube.com/watch?v=V5DHxEHdESw" TargetMode="External"/><Relationship Id="rId88" Type="http://schemas.openxmlformats.org/officeDocument/2006/relationships/hyperlink" Target="https://cdn.digital.gob.cl/filer_public/69/21/6921ca49-4c6e-40bb-8f25-204d7b5e8747/protocolo_recomendaciones_a_residencias__para_pcd_coronavirus__1.pdf" TargetMode="External"/><Relationship Id="rId111" Type="http://schemas.openxmlformats.org/officeDocument/2006/relationships/hyperlink" Target="https://www.camara.cl/legislacion/ProyectosDeLey/tramitacion.aspx?prmID=12972&amp;prmBOLETIN=12441-17" TargetMode="External"/><Relationship Id="rId132" Type="http://schemas.openxmlformats.org/officeDocument/2006/relationships/hyperlink" Target="https://www.senado.cl/appsenado/templates/tramitacion/index.php?boletin_ini=13437-07" TargetMode="External"/><Relationship Id="rId153" Type="http://schemas.openxmlformats.org/officeDocument/2006/relationships/hyperlink" Target="http://bcn.cl/2p863" TargetMode="External"/><Relationship Id="rId174" Type="http://schemas.openxmlformats.org/officeDocument/2006/relationships/hyperlink" Target="https://youtu.be/2S72YisobEE" TargetMode="External"/><Relationship Id="rId179" Type="http://schemas.openxmlformats.org/officeDocument/2006/relationships/hyperlink" Target="https://youtu.be/2RmM42xwxgM" TargetMode="External"/><Relationship Id="rId195" Type="http://schemas.openxmlformats.org/officeDocument/2006/relationships/hyperlink" Target="http://bcn.cl/2f7b6" TargetMode="External"/><Relationship Id="rId209" Type="http://schemas.openxmlformats.org/officeDocument/2006/relationships/hyperlink" Target="https://www.mintrab.gob.cl/wp-content/uploads/2021/06/INFORME-LEY-N-21.015-PDF.pdf" TargetMode="External"/><Relationship Id="rId190" Type="http://schemas.openxmlformats.org/officeDocument/2006/relationships/hyperlink" Target="https://www.sernameg.gob.cl/?page_id=26830" TargetMode="External"/><Relationship Id="rId204" Type="http://schemas.openxmlformats.org/officeDocument/2006/relationships/hyperlink" Target="https://www.minsal.cl/wp-content/uploads/2017/12/PDF-PLAN-NACIONAL-SALUD-MENTAL-2017-A-2025.-7-dic-2017.pdf" TargetMode="External"/><Relationship Id="rId220" Type="http://schemas.openxmlformats.org/officeDocument/2006/relationships/hyperlink" Target="https://www.senadis.gob.cl/sala_prensa/d/noticias/7630" TargetMode="External"/><Relationship Id="rId225" Type="http://schemas.openxmlformats.org/officeDocument/2006/relationships/hyperlink" Target="https://www.senadis.gob.cl/sala_prensa/d/noticias/8617" TargetMode="External"/><Relationship Id="rId241" Type="http://schemas.openxmlformats.org/officeDocument/2006/relationships/hyperlink" Target="https://www.instagram.com/p/CO3wZXRh-tu/" TargetMode="External"/><Relationship Id="rId246" Type="http://schemas.openxmlformats.org/officeDocument/2006/relationships/hyperlink" Target="https://www.instagram.com/p/CWeIMZssvb-/" TargetMode="External"/><Relationship Id="rId267" Type="http://schemas.openxmlformats.org/officeDocument/2006/relationships/hyperlink" Target="https://youtu.be/NB5hrPulyzk" TargetMode="External"/><Relationship Id="rId15" Type="http://schemas.openxmlformats.org/officeDocument/2006/relationships/hyperlink" Target="https://www.senadis.gob.cl/pag/507/1796/consulta_ciudadana_ano_2018_proceso_cerrado" TargetMode="External"/><Relationship Id="rId36" Type="http://schemas.openxmlformats.org/officeDocument/2006/relationships/hyperlink" Target="https://www.senadis.gob.cl/pag/390/1654/actas_de_sesiones_ano_2015_2019" TargetMode="External"/><Relationship Id="rId57" Type="http://schemas.openxmlformats.org/officeDocument/2006/relationships/hyperlink" Target="https://www.camara.cl/legislacion/ProyectosDeLey/tramitacion.aspx?prmID=11594&amp;prmBOLETIN=11080-31" TargetMode="External"/><Relationship Id="rId106" Type="http://schemas.openxmlformats.org/officeDocument/2006/relationships/hyperlink" Target="http://www.registrosocial.gob.cl/" TargetMode="External"/><Relationship Id="rId127" Type="http://schemas.openxmlformats.org/officeDocument/2006/relationships/hyperlink" Target="http://www.fiscaliadechile.cl/transparencia/documentos/reglamentos/reglamento_inclusion_de_personas_con_discapacidad_al_mundo_laboral.pdf" TargetMode="External"/><Relationship Id="rId262" Type="http://schemas.openxmlformats.org/officeDocument/2006/relationships/hyperlink" Target="https://www.senadis.gob.cl/" TargetMode="External"/><Relationship Id="rId10" Type="http://schemas.openxmlformats.org/officeDocument/2006/relationships/hyperlink" Target="http://bcn.cl/2f9hw" TargetMode="External"/><Relationship Id="rId31" Type="http://schemas.openxmlformats.org/officeDocument/2006/relationships/hyperlink" Target="https://masinclusion.org/" TargetMode="External"/><Relationship Id="rId52" Type="http://schemas.openxmlformats.org/officeDocument/2006/relationships/hyperlink" Target="https://bcn.cl/34jpb" TargetMode="External"/><Relationship Id="rId73" Type="http://schemas.openxmlformats.org/officeDocument/2006/relationships/hyperlink" Target="https://www.onemi.gov.cl/preparacion-inclusiva/" TargetMode="External"/><Relationship Id="rId78" Type="http://schemas.openxmlformats.org/officeDocument/2006/relationships/hyperlink" Target="http://bcn.cl/2o14m" TargetMode="External"/><Relationship Id="rId94" Type="http://schemas.openxmlformats.org/officeDocument/2006/relationships/hyperlink" Target="https://www.minsal.cl/wp-content/uploads/2021/03/GRUPOS-OBJETIVOS-3-marzo-2021.pdf" TargetMode="External"/><Relationship Id="rId99" Type="http://schemas.openxmlformats.org/officeDocument/2006/relationships/hyperlink" Target="https://degreyd.minsal.cl/salud-mental-y-apoyo-psicosocial-durante-covid19/" TargetMode="External"/><Relationship Id="rId101" Type="http://schemas.openxmlformats.org/officeDocument/2006/relationships/hyperlink" Target="https://saludresponde.minsal.cl/" TargetMode="External"/><Relationship Id="rId122" Type="http://schemas.openxmlformats.org/officeDocument/2006/relationships/hyperlink" Target="https://www.senadis.gob.cl/participacion/d/noticias/8811/senadis-expone-en-curso-de-instructores-en-derechos-humanos-aplicables-a-la-funcion-policial" TargetMode="External"/><Relationship Id="rId143" Type="http://schemas.openxmlformats.org/officeDocument/2006/relationships/hyperlink" Target="http://bcn.cl/33qa6" TargetMode="External"/><Relationship Id="rId148" Type="http://schemas.openxmlformats.org/officeDocument/2006/relationships/hyperlink" Target="https://bcn.cl/2yieq" TargetMode="External"/><Relationship Id="rId164" Type="http://schemas.openxmlformats.org/officeDocument/2006/relationships/hyperlink" Target="https://certificacion.chilevalora.cl/ChileValora-publica/perfilesEdit.html?paramRequest=941" TargetMode="External"/><Relationship Id="rId169" Type="http://schemas.openxmlformats.org/officeDocument/2006/relationships/hyperlink" Target="http://bcn.cl/2qwqa" TargetMode="External"/><Relationship Id="rId185" Type="http://schemas.openxmlformats.org/officeDocument/2006/relationships/hyperlink" Target="http://www.senado.cl/appsenado/templates/tramitacion/index.php?boletin_ini=9119-18" TargetMode="External"/><Relationship Id="rId4" Type="http://schemas.openxmlformats.org/officeDocument/2006/relationships/hyperlink" Target="https://compin.cerofilas.gob.cl/" TargetMode="External"/><Relationship Id="rId9" Type="http://schemas.openxmlformats.org/officeDocument/2006/relationships/hyperlink" Target="https://www.senadis.gob.cl/pag/637/1945/campana_mi_decision_mi_credencial" TargetMode="External"/><Relationship Id="rId180" Type="http://schemas.openxmlformats.org/officeDocument/2006/relationships/hyperlink" Target="https://youtu.be/65AvdOQFfaI" TargetMode="External"/><Relationship Id="rId210" Type="http://schemas.openxmlformats.org/officeDocument/2006/relationships/hyperlink" Target="http://www.senado.cl/appsenado/templates/tramitacion/index.php?boletin_ini=14445-13" TargetMode="External"/><Relationship Id="rId215" Type="http://schemas.openxmlformats.org/officeDocument/2006/relationships/hyperlink" Target="https://sence.gob.cl/personas/discapacidad" TargetMode="External"/><Relationship Id="rId236" Type="http://schemas.openxmlformats.org/officeDocument/2006/relationships/hyperlink" Target="http://www.paisdi.cl/" TargetMode="External"/><Relationship Id="rId257" Type="http://schemas.openxmlformats.org/officeDocument/2006/relationships/hyperlink" Target="http://bcn.cl/2u07b" TargetMode="External"/><Relationship Id="rId26" Type="http://schemas.openxmlformats.org/officeDocument/2006/relationships/hyperlink" Target="https://www.senadis.gob.cl/descarga/i/6034/documento" TargetMode="External"/><Relationship Id="rId231" Type="http://schemas.openxmlformats.org/officeDocument/2006/relationships/hyperlink" Target="https://www.subsidioalempleo.cl/IFELaboral/index.html" TargetMode="External"/><Relationship Id="rId252" Type="http://schemas.openxmlformats.org/officeDocument/2006/relationships/hyperlink" Target="https://sigi-s3.s3.amazonaws.com/sigi/files/20606_resumen_ejecutivo_ii_estudio_nacional_de_h_bitos_de_actividad_f_sica_y_deporte_en_poblaci_n_con_discapacidad_.pdf" TargetMode="External"/><Relationship Id="rId273" Type="http://schemas.openxmlformats.org/officeDocument/2006/relationships/hyperlink" Target="https://www.senadis.gob.cl/descarga/i/6045/documento" TargetMode="External"/><Relationship Id="rId47" Type="http://schemas.openxmlformats.org/officeDocument/2006/relationships/hyperlink" Target="https://www.senadis.gob.cl/sala_prensa/d/noticias/8133" TargetMode="External"/><Relationship Id="rId68" Type="http://schemas.openxmlformats.org/officeDocument/2006/relationships/hyperlink" Target="https://www.rln.cl/regional/56545-hrc-es-el-primer-recinto-de-salud-fuera-de-la-region-metropolitana-sumado-a-plan-de-inclusion-para-la-gestion-de-riesgo-de-desastres-en-hospitales" TargetMode="External"/><Relationship Id="rId89" Type="http://schemas.openxmlformats.org/officeDocument/2006/relationships/hyperlink" Target="https://www.nefro.cl/covid/img/noticias/RECOMENDACIONES_PARA_LOS_CEA_COVID-19.pdf" TargetMode="External"/><Relationship Id="rId112" Type="http://schemas.openxmlformats.org/officeDocument/2006/relationships/hyperlink" Target="http://www.senado.cl/appsenado/templates/tramitacion/index.php?boletin_ini=14783-07" TargetMode="External"/><Relationship Id="rId133" Type="http://schemas.openxmlformats.org/officeDocument/2006/relationships/hyperlink" Target="http://www.senado.cl/appsenado/templates/tramitacion/index.php?boletin_ini=12213-07" TargetMode="External"/><Relationship Id="rId154" Type="http://schemas.openxmlformats.org/officeDocument/2006/relationships/hyperlink" Target="http://bcn.cl/2k5t8" TargetMode="External"/><Relationship Id="rId175" Type="http://schemas.openxmlformats.org/officeDocument/2006/relationships/hyperlink" Target="https://youtu.be/TpbCKzw4k60" TargetMode="External"/><Relationship Id="rId196" Type="http://schemas.openxmlformats.org/officeDocument/2006/relationships/hyperlink" Target="https://www.innovacion.mineduc.cl/iniciativas/tecnologias-de-acceso-universal-para-la-educacion-2022" TargetMode="External"/><Relationship Id="rId200" Type="http://schemas.openxmlformats.org/officeDocument/2006/relationships/hyperlink" Target="https://www.senadis.gob.cl/descarga/i/6045/documento" TargetMode="External"/><Relationship Id="rId16" Type="http://schemas.openxmlformats.org/officeDocument/2006/relationships/hyperlink" Target="https://www.mintrab.gob.cl/wp-content/uploads/2021/06/INFORME-LEY-N-21.015-PDF.pdf" TargetMode="External"/><Relationship Id="rId221" Type="http://schemas.openxmlformats.org/officeDocument/2006/relationships/hyperlink" Target="https://www.senadis.gob.cl/sala_prensa/d/noticias/7629" TargetMode="External"/><Relationship Id="rId242" Type="http://schemas.openxmlformats.org/officeDocument/2006/relationships/hyperlink" Target="https://www.senadis.gob.cl/sala_prensa/d/noticias/8535" TargetMode="External"/><Relationship Id="rId263" Type="http://schemas.openxmlformats.org/officeDocument/2006/relationships/hyperlink" Target="https://www.senadis.gob.cl/pag/355/1197/ii_estudio_nacional_de_discapacidad" TargetMode="External"/><Relationship Id="rId37" Type="http://schemas.openxmlformats.org/officeDocument/2006/relationships/hyperlink" Target="https://www.senadis.gob.cl/pag/629/1971/actas_de_sesiones_ano_2021_2024" TargetMode="External"/><Relationship Id="rId58" Type="http://schemas.openxmlformats.org/officeDocument/2006/relationships/hyperlink" Target="https://www.camara.cl/legislacion/ProyectosDeLey/tramitacion.aspx?prmID=14531&amp;prmBOLETIN=13965-35" TargetMode="External"/><Relationship Id="rId79" Type="http://schemas.openxmlformats.org/officeDocument/2006/relationships/hyperlink" Target="http://bcn.cl/2qtdx" TargetMode="External"/><Relationship Id="rId102" Type="http://schemas.openxmlformats.org/officeDocument/2006/relationships/hyperlink" Target="https://saludresponde.minsal.cl/atencion-de-salud-en-lengua-de-senas-chilena/" TargetMode="External"/><Relationship Id="rId123" Type="http://schemas.openxmlformats.org/officeDocument/2006/relationships/hyperlink" Target="https://www.ucentral.cl/noticias/fac-derecho-y-humanidades/proyecto-vcm-discapacidad-en-la-carcel-reconociendo-derechos-para-la" TargetMode="External"/><Relationship Id="rId144" Type="http://schemas.openxmlformats.org/officeDocument/2006/relationships/hyperlink" Target="https://ordenesgenerales.investigaciones.cl/Archivo/Descarga/?file=7A3C8B3639FE6D2F62020269C421582E4F10B2F9" TargetMode="External"/><Relationship Id="rId90" Type="http://schemas.openxmlformats.org/officeDocument/2006/relationships/hyperlink" Target="https://www.minsal.cl/wp-content/uploads/2020/07/ConsideracionesPersonasconDiscapacidad130720.pdf" TargetMode="External"/><Relationship Id="rId165" Type="http://schemas.openxmlformats.org/officeDocument/2006/relationships/hyperlink" Target="https://biblioteca.digital.gob.cl/bitstream/handle/123456789/3569/GUIA%20DE%20SOLUCIONES%20ACCESIBLES%20PARA%20ESPACIOS%20PUBLICOS%20Y%20VIVIENDAS%20PARA%20PERSONAS%20CON%20DISCAPACIDAD.pdf?sequence=1&amp;isAllowed=y" TargetMode="External"/><Relationship Id="rId186" Type="http://schemas.openxmlformats.org/officeDocument/2006/relationships/hyperlink" Target="https://www.senadis.gob.cl/sala_prensa/d/noticias/8572/programa-mujer-sexualidad-y-maternidad-de-sernameg-abre-inscripciones-a-sus-talleres" TargetMode="External"/><Relationship Id="rId211" Type="http://schemas.openxmlformats.org/officeDocument/2006/relationships/hyperlink" Target="https://pactodeproductividad.cl/" TargetMode="External"/><Relationship Id="rId232" Type="http://schemas.openxmlformats.org/officeDocument/2006/relationships/hyperlink" Target="http://www.senado.cl/appsenado/templates/tramitacion/index.php?boletin_ini=12521-07" TargetMode="External"/><Relationship Id="rId253" Type="http://schemas.openxmlformats.org/officeDocument/2006/relationships/hyperlink" Target="http://bcn.cl/30el9" TargetMode="External"/><Relationship Id="rId274" Type="http://schemas.openxmlformats.org/officeDocument/2006/relationships/hyperlink" Target="https://www.senadis.gob.cl/pag/579/1868/diagnostico_del_plan_nacional_de_calificacion_y_certificacion" TargetMode="External"/><Relationship Id="rId27" Type="http://schemas.openxmlformats.org/officeDocument/2006/relationships/hyperlink" Target="http://www.senado.cl/appsenado/templates/tramitacion/index.php?boletin_ini=11077-07" TargetMode="External"/><Relationship Id="rId48" Type="http://schemas.openxmlformats.org/officeDocument/2006/relationships/hyperlink" Target="https://www.senadis.gob.cl/sala_prensa/d/noticias/8146" TargetMode="External"/><Relationship Id="rId69" Type="http://schemas.openxmlformats.org/officeDocument/2006/relationships/hyperlink" Target="https://twitter.com/degreyd_minsal" TargetMode="External"/><Relationship Id="rId113" Type="http://schemas.openxmlformats.org/officeDocument/2006/relationships/hyperlink" Target="http://bcn.cl/2f7cj" TargetMode="External"/><Relationship Id="rId134" Type="http://schemas.openxmlformats.org/officeDocument/2006/relationships/hyperlink" Target="http://bcn.cl/2p863" TargetMode="External"/><Relationship Id="rId80" Type="http://schemas.openxmlformats.org/officeDocument/2006/relationships/hyperlink" Target="https://youtu.be/PcuIVlHznY0" TargetMode="External"/><Relationship Id="rId155" Type="http://schemas.openxmlformats.org/officeDocument/2006/relationships/hyperlink" Target="https://www.senadis.gob.cl/descarga/i/5219" TargetMode="External"/><Relationship Id="rId176" Type="http://schemas.openxmlformats.org/officeDocument/2006/relationships/hyperlink" Target="https://youtu.be/xsk8VS5EsR4" TargetMode="External"/><Relationship Id="rId197" Type="http://schemas.openxmlformats.org/officeDocument/2006/relationships/hyperlink" Target="https://especial.mineduc.cl/en-junio-se-realizo-el-i-seminario-internacional-tic-y-retos-multiples/" TargetMode="External"/><Relationship Id="rId201" Type="http://schemas.openxmlformats.org/officeDocument/2006/relationships/hyperlink" Target="https://www.senadis.gob.cl/sala_prensa/d/noticias/8663" TargetMode="External"/><Relationship Id="rId222" Type="http://schemas.openxmlformats.org/officeDocument/2006/relationships/hyperlink" Target="https://www.senadis.gob.cl/sala_prensa/d/noticias/7641" TargetMode="External"/><Relationship Id="rId243" Type="http://schemas.openxmlformats.org/officeDocument/2006/relationships/hyperlink" Target="https://www.senadis.gob.cl/sala_prensa/d/noticias/8560" TargetMode="External"/><Relationship Id="rId264" Type="http://schemas.openxmlformats.org/officeDocument/2006/relationships/hyperlink" Target="https://www.senadis.gob.cl/pag/306/1570/publicaciones" TargetMode="External"/><Relationship Id="rId17" Type="http://schemas.openxmlformats.org/officeDocument/2006/relationships/hyperlink" Target="https://masinclusion.org/" TargetMode="External"/><Relationship Id="rId38" Type="http://schemas.openxmlformats.org/officeDocument/2006/relationships/hyperlink" Target="https://www.senadis.gob.cl/pag/194/1427/descripcion" TargetMode="External"/><Relationship Id="rId59" Type="http://schemas.openxmlformats.org/officeDocument/2006/relationships/hyperlink" Target="http://www.senado.cl/appsenado/templates/tramitacion/index.php?boletin_ini=14218-35" TargetMode="External"/><Relationship Id="rId103" Type="http://schemas.openxmlformats.org/officeDocument/2006/relationships/hyperlink" Target="https://bcn.cl/2f9qy" TargetMode="External"/><Relationship Id="rId124" Type="http://schemas.openxmlformats.org/officeDocument/2006/relationships/hyperlink" Target="https://academiajudicial.cl/" TargetMode="External"/><Relationship Id="rId70" Type="http://schemas.openxmlformats.org/officeDocument/2006/relationships/hyperlink" Target="https://www.senadis.gob.cl/descarga/i/4670/documento" TargetMode="External"/><Relationship Id="rId91" Type="http://schemas.openxmlformats.org/officeDocument/2006/relationships/hyperlink" Target="https://diprece.minsal.cl/wp-content/uploads/2020/10/ESTRATEGIA-DE-RESIDENCIAS-SANITARIAS_RECOMENDACIONES-PARA-EL-INGRESO-SEGUIMIENTO-Y-EGRESO-DE-PERSONAS-CON-DISCAPACIDAD.pdf" TargetMode="External"/><Relationship Id="rId145" Type="http://schemas.openxmlformats.org/officeDocument/2006/relationships/hyperlink" Target="http://bcn.cl/2nfgq" TargetMode="External"/><Relationship Id="rId166" Type="http://schemas.openxmlformats.org/officeDocument/2006/relationships/hyperlink" Target="http://bcn.cl/2p863" TargetMode="External"/><Relationship Id="rId187" Type="http://schemas.openxmlformats.org/officeDocument/2006/relationships/hyperlink" Target="https://www.senadis.gob.cl/sala_prensa/d/noticias/8663" TargetMode="External"/><Relationship Id="rId1" Type="http://schemas.openxmlformats.org/officeDocument/2006/relationships/hyperlink" Target="https://senadis.gob.cl/sala_prensa/d/noticias/8850/senadis-desarrolla-encuentros-sobre-reporte-del-estado-de-chile-ante-el-comite-sobre-lo-derechos-de-las-personas-con-discapacidad-con-cosoc-regionales" TargetMode="External"/><Relationship Id="rId212" Type="http://schemas.openxmlformats.org/officeDocument/2006/relationships/hyperlink" Target="https://sofofa.cl/centros-sofofa/centro-discapacidad/cil/" TargetMode="External"/><Relationship Id="rId233" Type="http://schemas.openxmlformats.org/officeDocument/2006/relationships/hyperlink" Target="http://bcn.cl/2f6ur" TargetMode="External"/><Relationship Id="rId254" Type="http://schemas.openxmlformats.org/officeDocument/2006/relationships/hyperlink" Target="http://bcn.cl/30el9" TargetMode="External"/><Relationship Id="rId28" Type="http://schemas.openxmlformats.org/officeDocument/2006/relationships/hyperlink" Target="http://bcn.cl/2yieq" TargetMode="External"/><Relationship Id="rId49" Type="http://schemas.openxmlformats.org/officeDocument/2006/relationships/hyperlink" Target="https://www.senadis.gob.cl/descarga/i/4722/documento" TargetMode="External"/><Relationship Id="rId114" Type="http://schemas.openxmlformats.org/officeDocument/2006/relationships/hyperlink" Target="http://bcn.cl/2p863" TargetMode="External"/><Relationship Id="rId275" Type="http://schemas.openxmlformats.org/officeDocument/2006/relationships/hyperlink" Target="https://www.senadis.gob.cl/documentos/listado/146/accesibilidad" TargetMode="External"/><Relationship Id="rId60" Type="http://schemas.openxmlformats.org/officeDocument/2006/relationships/hyperlink" Target="https://www.leychile.cl/Navegar?idNorma=1078308" TargetMode="External"/><Relationship Id="rId81" Type="http://schemas.openxmlformats.org/officeDocument/2006/relationships/hyperlink" Target="https://www.senadis.gob.cl/descarga/i/6177" TargetMode="External"/><Relationship Id="rId135" Type="http://schemas.openxmlformats.org/officeDocument/2006/relationships/hyperlink" Target="https://bcn.cl/2fbiv" TargetMode="External"/><Relationship Id="rId156" Type="http://schemas.openxmlformats.org/officeDocument/2006/relationships/hyperlink" Target="https://www.senadis.gob.cl/sala_prensa/d/noticias/7364" TargetMode="External"/><Relationship Id="rId177" Type="http://schemas.openxmlformats.org/officeDocument/2006/relationships/hyperlink" Target="https://youtu.be/dB426_YoxhE" TargetMode="External"/><Relationship Id="rId198" Type="http://schemas.openxmlformats.org/officeDocument/2006/relationships/hyperlink" Target="https://academia.senadis.c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431416c1cd71914d5c148bfcb5a5cc7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6d21642df1ee072cd2887c16ecbe82b1"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5CCBD8-3097-4DAC-BF21-244DA23B0043}">
  <ds:schemaRefs>
    <ds:schemaRef ds:uri="http://schemas.microsoft.com/sharepoint/v3/contenttype/forms"/>
  </ds:schemaRefs>
</ds:datastoreItem>
</file>

<file path=customXml/itemProps2.xml><?xml version="1.0" encoding="utf-8"?>
<ds:datastoreItem xmlns:ds="http://schemas.openxmlformats.org/officeDocument/2006/customXml" ds:itemID="{9A34155A-2CDD-42BA-B909-24AC8538F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C77DA1-5771-4194-8A12-CC4922BBFE52}">
  <ds:schemaRefs>
    <ds:schemaRef ds:uri="http://schemas.openxmlformats.org/officeDocument/2006/bibliography"/>
  </ds:schemaRefs>
</ds:datastoreItem>
</file>

<file path=customXml/itemProps4.xml><?xml version="1.0" encoding="utf-8"?>
<ds:datastoreItem xmlns:ds="http://schemas.openxmlformats.org/officeDocument/2006/customXml" ds:itemID="{B1F4FCF6-98AE-45F7-9308-D2B93C0D2B62}">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44</Pages>
  <Words>18661</Words>
  <Characters>100962</Characters>
  <Application>Microsoft Office Word</Application>
  <DocSecurity>0</DocSecurity>
  <Lines>2019</Lines>
  <Paragraphs>980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CRPD/C/CHL/2-4</vt:lpstr>
      <vt:lpstr>CRPD/C/CHL/2-4</vt:lpstr>
      <vt:lpstr>CAT/C/XXX/Y</vt:lpstr>
    </vt:vector>
  </TitlesOfParts>
  <Company>DCM</Company>
  <LinksUpToDate>false</LinksUpToDate>
  <CharactersWithSpaces>118643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CRPD/C/CHL/2-4</dc:title>
  <dc:subject/>
  <dc:creator>Juan Luis Barea Saavedra</dc:creator>
  <cp:keywords/>
  <cp:lastModifiedBy>Juan Korol</cp:lastModifiedBy>
  <cp:revision>2</cp:revision>
  <cp:lastPrinted>2026-01-29T10:29:00Z</cp:lastPrinted>
  <dcterms:created xsi:type="dcterms:W3CDTF">2026-01-29T10:31:00Z</dcterms:created>
  <dcterms:modified xsi:type="dcterms:W3CDTF">2026-01-29T10:31:00Z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0x010100F6C8A26EFEF88B48B35F38778DBC3EF6</vt:lpwstr>
  </property>
  <property fmtid="{D5CDD505-2E9C-101B-9397-08002B2CF9AE}" pid="8" name="count">
    <vt:lpwstr>de Chile</vt:lpwstr>
  </property>
  <property fmtid="{D5CDD505-2E9C-101B-9397-08002B2CF9AE}" pid="9" name="countw">
    <vt:lpwstr>Chile</vt:lpwstr>
  </property>
  <property fmtid="{D5CDD505-2E9C-101B-9397-08002B2CF9AE}" pid="10" name="countwd">
    <vt:lpwstr>Chile</vt:lpwstr>
  </property>
  <property fmtid="{D5CDD505-2E9C-101B-9397-08002B2CF9AE}" pid="11" name="date">
    <vt:lpwstr>10 de enero de 2023</vt:lpwstr>
  </property>
  <property fmtid="{D5CDD505-2E9C-101B-9397-08002B2CF9AE}" pid="12" name="Date-Generated">
    <vt:filetime>2023-01-10T14:56:25Z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273800</vt:r8>
  </property>
  <property fmtid="{D5CDD505-2E9C-101B-9397-08002B2CF9AE}" pid="23" name="Org">
    <vt:lpwstr>OHCHR</vt:lpwstr>
  </property>
  <property fmtid="{D5CDD505-2E9C-101B-9397-08002B2CF9AE}" pid="24" name="prep">
    <vt:lpwstr>a los informes periódicos segundo a cuarto combinados de Chile</vt:lpwstr>
  </property>
  <property fmtid="{D5CDD505-2E9C-101B-9397-08002B2CF9AE}" pid="25" name="preps">
    <vt:lpwstr>informes periódicos segundo a cuarto combinados de Chile</vt:lpwstr>
  </property>
  <property fmtid="{D5CDD505-2E9C-101B-9397-08002B2CF9AE}" pid="26" name="prepw">
    <vt:lpwstr>a los informes periódicos segundo a cuarto combinados</vt:lpwstr>
  </property>
  <property fmtid="{D5CDD505-2E9C-101B-9397-08002B2CF9AE}" pid="27" name="prepwc">
    <vt:lpwstr>Informes periódicos segundo a cuarto combinados </vt:lpwstr>
  </property>
  <property fmtid="{D5CDD505-2E9C-101B-9397-08002B2CF9AE}" pid="28" name="prepws">
    <vt:lpwstr>informes periódicos segundo a cuarto combinados</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C/CHL/2-4</vt:lpwstr>
  </property>
  <property fmtid="{D5CDD505-2E9C-101B-9397-08002B2CF9AE}" pid="33" name="symh">
    <vt:lpwstr>CRPD/C/CHL/2-4</vt:lpwstr>
  </property>
  <property fmtid="{D5CDD505-2E9C-101B-9397-08002B2CF9AE}" pid="34" name="Title">
    <vt:lpwstr>CRPD/C/CHL/2-4</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MediaServiceImageTags">
    <vt:lpwstr/>
  </property>
</Properties>
</file>