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E006F" w:rsidP="006E006F">
            <w:pPr>
              <w:jc w:val="right"/>
            </w:pPr>
            <w:r w:rsidRPr="006E006F">
              <w:rPr>
                <w:sz w:val="40"/>
              </w:rPr>
              <w:t>CRC</w:t>
            </w:r>
            <w:r>
              <w:t>/C/GC/14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6E006F" w:rsidRDefault="006E006F" w:rsidP="00DD299D">
            <w:pPr>
              <w:spacing w:before="240"/>
            </w:pPr>
            <w:r>
              <w:t>Distr. general</w:t>
            </w:r>
          </w:p>
          <w:p w:rsidR="006E006F" w:rsidRDefault="006E006F" w:rsidP="006E006F">
            <w:pPr>
              <w:spacing w:line="240" w:lineRule="exact"/>
            </w:pPr>
            <w:r>
              <w:t>29 de mayo de 2013</w:t>
            </w:r>
          </w:p>
          <w:p w:rsidR="006E006F" w:rsidRDefault="006E006F" w:rsidP="006E006F">
            <w:pPr>
              <w:spacing w:line="240" w:lineRule="exact"/>
            </w:pPr>
            <w:r>
              <w:t>Español</w:t>
            </w:r>
          </w:p>
          <w:p w:rsidR="002D5AAC" w:rsidRDefault="006E006F" w:rsidP="006E006F">
            <w:pPr>
              <w:spacing w:line="240" w:lineRule="exact"/>
            </w:pPr>
            <w:r>
              <w:t>Original: inglés</w:t>
            </w:r>
          </w:p>
        </w:tc>
      </w:tr>
    </w:tbl>
    <w:p w:rsidR="006E006F" w:rsidRPr="00CE04C0" w:rsidRDefault="006E006F" w:rsidP="006E006F">
      <w:pPr>
        <w:spacing w:before="120"/>
        <w:rPr>
          <w:b/>
          <w:sz w:val="24"/>
          <w:szCs w:val="24"/>
        </w:rPr>
      </w:pPr>
      <w:r w:rsidRPr="00CE04C0">
        <w:rPr>
          <w:b/>
          <w:sz w:val="24"/>
          <w:szCs w:val="24"/>
        </w:rPr>
        <w:t>Comité de los Derechos del Niño</w:t>
      </w:r>
    </w:p>
    <w:p w:rsidR="006E006F" w:rsidRPr="00CE04C0" w:rsidRDefault="006E006F" w:rsidP="006E006F">
      <w:pPr>
        <w:pStyle w:val="HMG"/>
      </w:pPr>
      <w:bookmarkStart w:id="0" w:name="_Toc285723364"/>
      <w:bookmarkStart w:id="1" w:name="_Toc285724519"/>
      <w:bookmarkStart w:id="2" w:name="_Toc285724579"/>
      <w:bookmarkStart w:id="3" w:name="_Toc285724726"/>
      <w:bookmarkStart w:id="4" w:name="_Toc285724983"/>
      <w:r w:rsidRPr="00CE04C0">
        <w:tab/>
      </w:r>
      <w:r w:rsidRPr="00CE04C0">
        <w:tab/>
        <w:t>Observación general Nº 14 (2013)</w:t>
      </w:r>
      <w:bookmarkEnd w:id="0"/>
      <w:bookmarkEnd w:id="1"/>
      <w:bookmarkEnd w:id="2"/>
      <w:bookmarkEnd w:id="3"/>
      <w:bookmarkEnd w:id="4"/>
      <w:r w:rsidRPr="00CE04C0">
        <w:t xml:space="preserve"> sobre </w:t>
      </w:r>
      <w:r>
        <w:t>el</w:t>
      </w:r>
      <w:r>
        <w:br/>
      </w:r>
      <w:r w:rsidRPr="00CE04C0">
        <w:t>derecho del niño a que su interés superior</w:t>
      </w:r>
      <w:r>
        <w:br/>
      </w:r>
      <w:r w:rsidRPr="00CE04C0">
        <w:t>sea un</w:t>
      </w:r>
      <w:r w:rsidR="00592844">
        <w:t>a consideración primordial</w:t>
      </w:r>
      <w:r>
        <w:br/>
      </w:r>
      <w:r w:rsidRPr="00CE04C0">
        <w:t>(art</w:t>
      </w:r>
      <w:r>
        <w:t>ículo</w:t>
      </w:r>
      <w:r w:rsidRPr="00CE04C0">
        <w:t xml:space="preserve"> 3, párr</w:t>
      </w:r>
      <w:r>
        <w:t>afo</w:t>
      </w:r>
      <w:r w:rsidRPr="00CE04C0">
        <w:t xml:space="preserve"> 1)</w:t>
      </w:r>
      <w:r w:rsidRPr="002B7D11">
        <w:rPr>
          <w:rStyle w:val="FootnoteReference"/>
          <w:b w:val="0"/>
          <w:sz w:val="20"/>
          <w:vertAlign w:val="baseline"/>
        </w:rPr>
        <w:footnoteReference w:customMarkFollows="1" w:id="1"/>
        <w:t>*</w:t>
      </w:r>
    </w:p>
    <w:p w:rsidR="0046284B" w:rsidRDefault="006E006F" w:rsidP="0046284B">
      <w:pPr>
        <w:spacing w:after="120"/>
        <w:rPr>
          <w:sz w:val="28"/>
        </w:rPr>
      </w:pPr>
      <w:r w:rsidRPr="00CE04C0">
        <w:br w:type="page"/>
      </w:r>
      <w:r w:rsidR="0046284B">
        <w:rPr>
          <w:sz w:val="28"/>
        </w:rPr>
        <w:t>Índice</w:t>
      </w:r>
    </w:p>
    <w:p w:rsidR="0046284B" w:rsidRDefault="0046284B" w:rsidP="0046284B">
      <w:pPr>
        <w:tabs>
          <w:tab w:val="right" w:pos="8929"/>
          <w:tab w:val="right" w:pos="9638"/>
        </w:tabs>
        <w:spacing w:after="120"/>
        <w:ind w:left="283"/>
        <w:rPr>
          <w:sz w:val="18"/>
        </w:rPr>
      </w:pPr>
      <w:r>
        <w:rPr>
          <w:i/>
          <w:sz w:val="18"/>
        </w:rPr>
        <w:tab/>
        <w:t>Párrafos</w:t>
      </w:r>
      <w:r>
        <w:rPr>
          <w:i/>
          <w:sz w:val="18"/>
        </w:rPr>
        <w:tab/>
        <w:t>Página</w:t>
      </w:r>
    </w:p>
    <w:p w:rsidR="0046284B" w:rsidRPr="0046284B" w:rsidRDefault="0046284B" w:rsidP="0046284B">
      <w:pPr>
        <w:tabs>
          <w:tab w:val="right" w:pos="850"/>
          <w:tab w:val="left" w:pos="1134"/>
          <w:tab w:val="left" w:pos="1559"/>
          <w:tab w:val="left" w:pos="1984"/>
          <w:tab w:val="left" w:leader="dot" w:pos="7654"/>
          <w:tab w:val="right" w:pos="8929"/>
          <w:tab w:val="right" w:pos="9638"/>
        </w:tabs>
        <w:spacing w:after="120"/>
      </w:pPr>
      <w:r w:rsidRPr="001C534E">
        <w:tab/>
      </w:r>
      <w:hyperlink w:anchor="_Toc311556338" w:history="1">
        <w:r w:rsidRPr="0046284B">
          <w:t>I.</w:t>
        </w:r>
        <w:r w:rsidRPr="0046284B">
          <w:tab/>
          <w:t>Introducción</w:t>
        </w:r>
        <w:r w:rsidRPr="0046284B">
          <w:tab/>
        </w:r>
        <w:r w:rsidRPr="0046284B">
          <w:tab/>
          <w:t>1–9</w:t>
        </w:r>
        <w:r w:rsidRPr="0046284B">
          <w:tab/>
        </w:r>
        <w:r w:rsidRPr="0046284B">
          <w:rPr>
            <w:webHidden/>
          </w:rPr>
          <w:t>3</w:t>
        </w:r>
      </w:hyperlink>
    </w:p>
    <w:p w:rsidR="0046284B" w:rsidRPr="001C534E" w:rsidRDefault="0046284B" w:rsidP="0046284B">
      <w:pPr>
        <w:tabs>
          <w:tab w:val="right" w:pos="850"/>
          <w:tab w:val="left" w:pos="1134"/>
          <w:tab w:val="left" w:pos="1559"/>
          <w:tab w:val="left" w:pos="1984"/>
          <w:tab w:val="left" w:leader="dot" w:pos="7654"/>
          <w:tab w:val="right" w:pos="8929"/>
          <w:tab w:val="right" w:pos="9638"/>
        </w:tabs>
        <w:spacing w:after="120"/>
      </w:pPr>
      <w:r w:rsidRPr="0046284B">
        <w:tab/>
      </w:r>
      <w:r w:rsidRPr="0046284B">
        <w:tab/>
      </w:r>
      <w:r w:rsidRPr="001C534E">
        <w:t>A.</w:t>
      </w:r>
      <w:r w:rsidRPr="001C534E">
        <w:tab/>
      </w:r>
      <w:r w:rsidRPr="00CE04C0">
        <w:t>El interés superior del niño: un derecho, un principio y una norma de</w:t>
      </w:r>
      <w:r>
        <w:br/>
      </w:r>
      <w:r>
        <w:tab/>
      </w:r>
      <w:r>
        <w:tab/>
      </w:r>
      <w:r>
        <w:tab/>
      </w:r>
      <w:r w:rsidRPr="00CE04C0">
        <w:t>procedimiento</w:t>
      </w:r>
      <w:r w:rsidRPr="001C534E">
        <w:tab/>
      </w:r>
      <w:r w:rsidRPr="001C534E">
        <w:tab/>
        <w:t>1–7</w:t>
      </w:r>
      <w:r w:rsidRPr="001C534E">
        <w:tab/>
      </w:r>
      <w:r w:rsidR="00C55346">
        <w:t>3</w:t>
      </w:r>
    </w:p>
    <w:p w:rsidR="0046284B" w:rsidRPr="0046284B" w:rsidRDefault="0046284B" w:rsidP="0046284B">
      <w:pPr>
        <w:tabs>
          <w:tab w:val="right" w:pos="850"/>
          <w:tab w:val="left" w:pos="1134"/>
          <w:tab w:val="left" w:pos="1559"/>
          <w:tab w:val="left" w:pos="1984"/>
          <w:tab w:val="left" w:leader="dot" w:pos="7654"/>
          <w:tab w:val="right" w:pos="8929"/>
          <w:tab w:val="right" w:pos="9638"/>
        </w:tabs>
        <w:spacing w:after="120"/>
      </w:pPr>
      <w:r w:rsidRPr="001C534E">
        <w:tab/>
      </w:r>
      <w:r w:rsidRPr="001C534E">
        <w:tab/>
      </w:r>
      <w:r w:rsidRPr="0046284B">
        <w:t>B.</w:t>
      </w:r>
      <w:r w:rsidRPr="0046284B">
        <w:tab/>
      </w:r>
      <w:r w:rsidRPr="00CE04C0">
        <w:t>Estructura</w:t>
      </w:r>
      <w:r w:rsidRPr="0046284B">
        <w:tab/>
      </w:r>
      <w:r w:rsidRPr="0046284B">
        <w:tab/>
        <w:t>8–9</w:t>
      </w:r>
      <w:r w:rsidRPr="0046284B">
        <w:tab/>
      </w:r>
      <w:r w:rsidR="00C55346">
        <w:t>4</w:t>
      </w:r>
    </w:p>
    <w:p w:rsidR="0046284B" w:rsidRPr="001C534E" w:rsidRDefault="0046284B" w:rsidP="0046284B">
      <w:pPr>
        <w:tabs>
          <w:tab w:val="right" w:pos="850"/>
          <w:tab w:val="left" w:pos="1134"/>
          <w:tab w:val="left" w:pos="1559"/>
          <w:tab w:val="left" w:leader="dot" w:pos="7654"/>
          <w:tab w:val="right" w:pos="8929"/>
          <w:tab w:val="right" w:pos="9638"/>
        </w:tabs>
        <w:spacing w:after="120"/>
      </w:pPr>
      <w:r w:rsidRPr="0046284B">
        <w:tab/>
        <w:t>II.</w:t>
      </w:r>
      <w:r w:rsidRPr="0046284B">
        <w:tab/>
      </w:r>
      <w:r w:rsidRPr="00CE04C0">
        <w:t>Objetivos</w:t>
      </w:r>
      <w:r>
        <w:tab/>
      </w:r>
      <w:r w:rsidRPr="0046284B">
        <w:tab/>
      </w:r>
      <w:r w:rsidRPr="001C534E">
        <w:t>10–12</w:t>
      </w:r>
      <w:r w:rsidRPr="001C534E">
        <w:tab/>
      </w:r>
      <w:r w:rsidR="00C55346">
        <w:t>4</w:t>
      </w:r>
    </w:p>
    <w:p w:rsidR="0046284B" w:rsidRPr="001C534E" w:rsidRDefault="0046284B" w:rsidP="0046284B">
      <w:pPr>
        <w:tabs>
          <w:tab w:val="right" w:pos="850"/>
          <w:tab w:val="left" w:pos="1134"/>
          <w:tab w:val="left" w:pos="1559"/>
          <w:tab w:val="left" w:pos="1984"/>
          <w:tab w:val="left" w:leader="dot" w:pos="7654"/>
          <w:tab w:val="right" w:pos="8929"/>
          <w:tab w:val="right" w:pos="9638"/>
        </w:tabs>
        <w:spacing w:after="120"/>
      </w:pPr>
      <w:r w:rsidRPr="001C534E">
        <w:tab/>
        <w:t>III.</w:t>
      </w:r>
      <w:r w:rsidRPr="001C534E">
        <w:tab/>
      </w:r>
      <w:r w:rsidRPr="00CE04C0">
        <w:t>Naturaleza y alcance de las obligaciones de los</w:t>
      </w:r>
      <w:r>
        <w:t xml:space="preserve"> </w:t>
      </w:r>
      <w:r w:rsidRPr="00CE04C0">
        <w:t>Estados partes</w:t>
      </w:r>
      <w:r w:rsidRPr="001C534E">
        <w:tab/>
      </w:r>
      <w:r w:rsidRPr="001C534E">
        <w:tab/>
        <w:t>13–16</w:t>
      </w:r>
      <w:r w:rsidRPr="001C534E">
        <w:tab/>
      </w:r>
      <w:r w:rsidR="00C55346">
        <w:t>5</w:t>
      </w:r>
    </w:p>
    <w:p w:rsidR="0046284B" w:rsidRPr="001C534E" w:rsidRDefault="0046284B" w:rsidP="0046284B">
      <w:pPr>
        <w:tabs>
          <w:tab w:val="right" w:pos="850"/>
          <w:tab w:val="left" w:pos="1134"/>
          <w:tab w:val="left" w:pos="1559"/>
          <w:tab w:val="left" w:pos="1984"/>
          <w:tab w:val="left" w:leader="dot" w:pos="7654"/>
          <w:tab w:val="right" w:pos="8929"/>
          <w:tab w:val="right" w:pos="9638"/>
        </w:tabs>
        <w:spacing w:after="120"/>
      </w:pPr>
      <w:r w:rsidRPr="001C534E">
        <w:tab/>
        <w:t>IV.</w:t>
      </w:r>
      <w:r w:rsidRPr="001C534E">
        <w:tab/>
      </w:r>
      <w:r w:rsidRPr="00CE04C0">
        <w:t>Análisis jurídico y relación con los principios generales de la Convención</w:t>
      </w:r>
      <w:r w:rsidRPr="001C534E">
        <w:tab/>
      </w:r>
      <w:r w:rsidRPr="001C534E">
        <w:tab/>
        <w:t>17–45</w:t>
      </w:r>
      <w:r w:rsidRPr="001C534E">
        <w:tab/>
      </w:r>
      <w:r w:rsidR="00C55346">
        <w:t>7</w:t>
      </w:r>
    </w:p>
    <w:p w:rsidR="0046284B" w:rsidRPr="001C534E" w:rsidRDefault="0046284B" w:rsidP="0046284B">
      <w:pPr>
        <w:tabs>
          <w:tab w:val="right" w:pos="850"/>
          <w:tab w:val="left" w:pos="1134"/>
          <w:tab w:val="left" w:pos="1559"/>
          <w:tab w:val="left" w:pos="1984"/>
          <w:tab w:val="left" w:leader="dot" w:pos="7654"/>
          <w:tab w:val="right" w:pos="8929"/>
          <w:tab w:val="right" w:pos="9638"/>
        </w:tabs>
        <w:spacing w:after="120"/>
      </w:pPr>
      <w:r w:rsidRPr="001C534E">
        <w:tab/>
      </w:r>
      <w:r w:rsidRPr="001C534E">
        <w:tab/>
        <w:t>A.</w:t>
      </w:r>
      <w:r w:rsidRPr="001C534E">
        <w:tab/>
      </w:r>
      <w:r w:rsidRPr="00CE04C0">
        <w:t>Análisis jurídico del artículo 3, párrafo 1</w:t>
      </w:r>
      <w:r w:rsidRPr="001C534E">
        <w:tab/>
      </w:r>
      <w:r w:rsidRPr="001C534E">
        <w:tab/>
        <w:t>17–40</w:t>
      </w:r>
      <w:r w:rsidRPr="001C534E">
        <w:tab/>
      </w:r>
      <w:r w:rsidR="00C55346">
        <w:t>7</w:t>
      </w:r>
    </w:p>
    <w:p w:rsidR="0046284B" w:rsidRPr="001C534E" w:rsidRDefault="0046284B" w:rsidP="0046284B">
      <w:pPr>
        <w:tabs>
          <w:tab w:val="right" w:pos="850"/>
          <w:tab w:val="left" w:pos="1134"/>
          <w:tab w:val="left" w:pos="1559"/>
          <w:tab w:val="left" w:pos="1984"/>
          <w:tab w:val="left" w:leader="dot" w:pos="7654"/>
          <w:tab w:val="right" w:pos="8929"/>
          <w:tab w:val="right" w:pos="9638"/>
        </w:tabs>
        <w:spacing w:after="120"/>
      </w:pPr>
      <w:r w:rsidRPr="001C534E">
        <w:tab/>
      </w:r>
      <w:r w:rsidRPr="001C534E">
        <w:tab/>
      </w:r>
      <w:r w:rsidRPr="001C534E">
        <w:tab/>
        <w:t>1.</w:t>
      </w:r>
      <w:r w:rsidRPr="001C534E">
        <w:tab/>
      </w:r>
      <w:r w:rsidRPr="00CE04C0">
        <w:t>"En todas las medidas concernientes a los niños"</w:t>
      </w:r>
      <w:r w:rsidRPr="001C534E">
        <w:tab/>
      </w:r>
      <w:r w:rsidRPr="001C534E">
        <w:tab/>
        <w:t>17–24</w:t>
      </w:r>
      <w:r w:rsidRPr="001C534E">
        <w:tab/>
      </w:r>
      <w:r w:rsidR="00C55346">
        <w:t>7</w:t>
      </w:r>
    </w:p>
    <w:p w:rsidR="0046284B" w:rsidRPr="001C534E" w:rsidRDefault="0046284B" w:rsidP="0046284B">
      <w:pPr>
        <w:tabs>
          <w:tab w:val="right" w:pos="850"/>
          <w:tab w:val="left" w:pos="1134"/>
          <w:tab w:val="left" w:pos="1559"/>
          <w:tab w:val="left" w:pos="1984"/>
          <w:tab w:val="left" w:leader="dot" w:pos="7654"/>
          <w:tab w:val="right" w:pos="8929"/>
          <w:tab w:val="right" w:pos="9638"/>
        </w:tabs>
        <w:spacing w:after="120"/>
      </w:pPr>
      <w:r w:rsidRPr="001C534E">
        <w:tab/>
      </w:r>
      <w:r w:rsidRPr="001C534E">
        <w:tab/>
      </w:r>
      <w:r w:rsidRPr="001C534E">
        <w:tab/>
        <w:t>2.</w:t>
      </w:r>
      <w:r w:rsidRPr="001C534E">
        <w:tab/>
      </w:r>
      <w:r w:rsidRPr="00CE04C0">
        <w:t>"Las instituciones públicas o privadas de bienestar social, los</w:t>
      </w:r>
      <w:r>
        <w:t xml:space="preserve"> </w:t>
      </w:r>
      <w:r>
        <w:br/>
      </w:r>
      <w:r>
        <w:tab/>
      </w:r>
      <w:r>
        <w:tab/>
      </w:r>
      <w:r>
        <w:tab/>
      </w:r>
      <w:r>
        <w:tab/>
      </w:r>
      <w:r w:rsidRPr="00E93345">
        <w:rPr>
          <w:spacing w:val="-1"/>
        </w:rPr>
        <w:t>tribunales, las autoridades administrativas o los órganos legislativos"</w:t>
      </w:r>
      <w:r w:rsidRPr="001C534E">
        <w:tab/>
      </w:r>
      <w:r w:rsidRPr="001C534E">
        <w:tab/>
        <w:t>25–31</w:t>
      </w:r>
      <w:r w:rsidRPr="001C534E">
        <w:tab/>
      </w:r>
      <w:r w:rsidR="00C55346">
        <w:t>8</w:t>
      </w:r>
    </w:p>
    <w:p w:rsidR="0046284B" w:rsidRPr="00E93345" w:rsidRDefault="0046284B" w:rsidP="0046284B">
      <w:pPr>
        <w:tabs>
          <w:tab w:val="right" w:pos="850"/>
          <w:tab w:val="left" w:pos="1134"/>
          <w:tab w:val="left" w:pos="1559"/>
          <w:tab w:val="left" w:pos="1984"/>
          <w:tab w:val="left" w:leader="dot" w:pos="7654"/>
          <w:tab w:val="right" w:pos="8929"/>
          <w:tab w:val="right" w:pos="9638"/>
        </w:tabs>
        <w:spacing w:after="120"/>
      </w:pPr>
      <w:r w:rsidRPr="001C534E">
        <w:tab/>
      </w:r>
      <w:r w:rsidRPr="001C534E">
        <w:tab/>
      </w:r>
      <w:r w:rsidRPr="001C534E">
        <w:tab/>
      </w:r>
      <w:r w:rsidRPr="00E93345">
        <w:t>3.</w:t>
      </w:r>
      <w:r w:rsidRPr="00E93345">
        <w:tab/>
      </w:r>
      <w:r w:rsidRPr="00664DAE">
        <w:t>"El interés superior del niño"</w:t>
      </w:r>
      <w:r w:rsidRPr="00E93345">
        <w:tab/>
      </w:r>
      <w:r w:rsidRPr="00E93345">
        <w:tab/>
        <w:t>32–35</w:t>
      </w:r>
      <w:r w:rsidRPr="00E93345">
        <w:tab/>
      </w:r>
      <w:r w:rsidR="00C55346">
        <w:t>9</w:t>
      </w:r>
    </w:p>
    <w:p w:rsidR="0046284B" w:rsidRPr="00E93345" w:rsidRDefault="0046284B" w:rsidP="0046284B">
      <w:pPr>
        <w:tabs>
          <w:tab w:val="right" w:pos="850"/>
          <w:tab w:val="left" w:pos="1134"/>
          <w:tab w:val="left" w:pos="1559"/>
          <w:tab w:val="left" w:pos="1984"/>
          <w:tab w:val="left" w:leader="dot" w:pos="7654"/>
          <w:tab w:val="right" w:pos="8929"/>
          <w:tab w:val="right" w:pos="9638"/>
        </w:tabs>
        <w:spacing w:after="120"/>
      </w:pPr>
      <w:r w:rsidRPr="00E93345">
        <w:tab/>
      </w:r>
      <w:r w:rsidRPr="00E93345">
        <w:tab/>
      </w:r>
      <w:r w:rsidRPr="00E93345">
        <w:tab/>
        <w:t>4.</w:t>
      </w:r>
      <w:r w:rsidRPr="00E93345">
        <w:tab/>
      </w:r>
      <w:r w:rsidRPr="00664DAE">
        <w:t>"Una consideración primordial a que se atenderá"</w:t>
      </w:r>
      <w:r w:rsidRPr="00E93345">
        <w:tab/>
      </w:r>
      <w:r w:rsidRPr="00E93345">
        <w:tab/>
        <w:t>36–40</w:t>
      </w:r>
      <w:r w:rsidRPr="00E93345">
        <w:tab/>
      </w:r>
      <w:r w:rsidR="00C55346">
        <w:t>10</w:t>
      </w:r>
    </w:p>
    <w:p w:rsidR="0046284B" w:rsidRPr="00E93345" w:rsidRDefault="0046284B" w:rsidP="0046284B">
      <w:pPr>
        <w:tabs>
          <w:tab w:val="right" w:pos="850"/>
          <w:tab w:val="left" w:pos="1134"/>
          <w:tab w:val="left" w:pos="1559"/>
          <w:tab w:val="left" w:pos="1984"/>
          <w:tab w:val="left" w:leader="dot" w:pos="7654"/>
          <w:tab w:val="right" w:pos="8929"/>
          <w:tab w:val="right" w:pos="9638"/>
        </w:tabs>
        <w:spacing w:after="120"/>
      </w:pPr>
      <w:r w:rsidRPr="00E93345">
        <w:tab/>
      </w:r>
      <w:r w:rsidRPr="00E93345">
        <w:tab/>
      </w:r>
      <w:hyperlink w:anchor="_Toc311556341" w:history="1">
        <w:r w:rsidRPr="00E93345">
          <w:t>B.</w:t>
        </w:r>
        <w:r w:rsidRPr="00E93345">
          <w:tab/>
        </w:r>
        <w:r w:rsidRPr="00664DAE">
          <w:t>El interés superior del niño y su relación</w:t>
        </w:r>
        <w:r>
          <w:t xml:space="preserve"> con otros principios generales </w:t>
        </w:r>
        <w:r w:rsidRPr="00664DAE">
          <w:t>de</w:t>
        </w:r>
        <w:r>
          <w:br/>
        </w:r>
        <w:r>
          <w:tab/>
        </w:r>
        <w:r>
          <w:tab/>
        </w:r>
        <w:r>
          <w:tab/>
        </w:r>
        <w:r w:rsidRPr="00664DAE">
          <w:t>la Convención</w:t>
        </w:r>
        <w:r w:rsidRPr="00E93345">
          <w:tab/>
        </w:r>
        <w:r w:rsidRPr="00E93345">
          <w:tab/>
          <w:t>41–45</w:t>
        </w:r>
        <w:r w:rsidRPr="00E93345">
          <w:tab/>
        </w:r>
      </w:hyperlink>
      <w:r w:rsidR="00C55346">
        <w:t>11</w:t>
      </w:r>
    </w:p>
    <w:p w:rsidR="0046284B" w:rsidRPr="00E93345" w:rsidRDefault="0046284B" w:rsidP="0046284B">
      <w:pPr>
        <w:tabs>
          <w:tab w:val="right" w:pos="850"/>
          <w:tab w:val="left" w:pos="1134"/>
          <w:tab w:val="left" w:pos="1559"/>
          <w:tab w:val="left" w:pos="1984"/>
          <w:tab w:val="left" w:leader="dot" w:pos="7654"/>
          <w:tab w:val="right" w:pos="8929"/>
          <w:tab w:val="right" w:pos="9638"/>
        </w:tabs>
        <w:spacing w:after="120"/>
      </w:pPr>
      <w:r w:rsidRPr="00E93345">
        <w:tab/>
      </w:r>
      <w:r w:rsidRPr="00E93345">
        <w:tab/>
      </w:r>
      <w:r w:rsidRPr="00E93345">
        <w:tab/>
      </w:r>
      <w:hyperlink w:anchor="_Toc311556342" w:history="1">
        <w:r w:rsidRPr="00E93345">
          <w:t>1.</w:t>
        </w:r>
        <w:r w:rsidRPr="00E93345">
          <w:tab/>
        </w:r>
        <w:r w:rsidRPr="00664DAE">
          <w:t>El interés superior del niño y el</w:t>
        </w:r>
        <w:r>
          <w:t xml:space="preserve"> derecho a la no discriminación </w:t>
        </w:r>
        <w:r>
          <w:br/>
        </w:r>
        <w:r>
          <w:tab/>
        </w:r>
        <w:r>
          <w:tab/>
        </w:r>
        <w:r>
          <w:tab/>
        </w:r>
        <w:r>
          <w:tab/>
          <w:t>(</w:t>
        </w:r>
        <w:r w:rsidRPr="00664DAE">
          <w:t>art</w:t>
        </w:r>
        <w:r>
          <w:t>ículo</w:t>
        </w:r>
        <w:r w:rsidRPr="00664DAE">
          <w:t xml:space="preserve"> 2)</w:t>
        </w:r>
        <w:r w:rsidRPr="00E93345">
          <w:tab/>
        </w:r>
        <w:r w:rsidRPr="00E93345">
          <w:tab/>
          <w:t>41</w:t>
        </w:r>
        <w:r w:rsidRPr="00E93345">
          <w:tab/>
        </w:r>
      </w:hyperlink>
      <w:r w:rsidR="00C55346">
        <w:t>11</w:t>
      </w:r>
    </w:p>
    <w:p w:rsidR="0046284B" w:rsidRPr="001C534E" w:rsidRDefault="0046284B" w:rsidP="0046284B">
      <w:pPr>
        <w:tabs>
          <w:tab w:val="right" w:pos="850"/>
          <w:tab w:val="left" w:pos="1134"/>
          <w:tab w:val="left" w:pos="1559"/>
          <w:tab w:val="left" w:pos="1984"/>
          <w:tab w:val="left" w:leader="dot" w:pos="7654"/>
          <w:tab w:val="right" w:pos="8929"/>
          <w:tab w:val="right" w:pos="9638"/>
        </w:tabs>
        <w:spacing w:after="120"/>
      </w:pPr>
      <w:r w:rsidRPr="00E93345">
        <w:tab/>
      </w:r>
      <w:r w:rsidRPr="00E93345">
        <w:tab/>
      </w:r>
      <w:r w:rsidRPr="00E93345">
        <w:tab/>
      </w:r>
      <w:hyperlink w:anchor="_Toc311556343" w:history="1">
        <w:r w:rsidRPr="001C534E">
          <w:t>2.</w:t>
        </w:r>
        <w:r w:rsidRPr="001C534E">
          <w:tab/>
        </w:r>
        <w:r w:rsidRPr="00664DAE">
          <w:t>El interés superior del niño y el derecho a la vida, la sup</w:t>
        </w:r>
        <w:r>
          <w:t>ervivencia y</w:t>
        </w:r>
        <w:r>
          <w:br/>
        </w:r>
        <w:r>
          <w:tab/>
        </w:r>
        <w:r>
          <w:tab/>
        </w:r>
        <w:r>
          <w:tab/>
        </w:r>
        <w:r>
          <w:tab/>
          <w:t>el desarrollo (artículo</w:t>
        </w:r>
        <w:r w:rsidRPr="00664DAE">
          <w:t xml:space="preserve"> 6)</w:t>
        </w:r>
        <w:r w:rsidRPr="001C534E">
          <w:tab/>
        </w:r>
        <w:r>
          <w:tab/>
        </w:r>
        <w:r w:rsidRPr="001C534E">
          <w:t>42</w:t>
        </w:r>
        <w:r w:rsidRPr="001C534E">
          <w:tab/>
        </w:r>
      </w:hyperlink>
      <w:r w:rsidR="00C55346">
        <w:t>11</w:t>
      </w:r>
    </w:p>
    <w:p w:rsidR="0046284B" w:rsidRPr="00E93345" w:rsidRDefault="0046284B" w:rsidP="0046284B">
      <w:pPr>
        <w:tabs>
          <w:tab w:val="right" w:pos="850"/>
          <w:tab w:val="left" w:pos="1134"/>
          <w:tab w:val="left" w:pos="1559"/>
          <w:tab w:val="left" w:pos="1984"/>
          <w:tab w:val="left" w:leader="dot" w:pos="7654"/>
          <w:tab w:val="right" w:pos="8929"/>
          <w:tab w:val="right" w:pos="9638"/>
        </w:tabs>
        <w:spacing w:after="120"/>
      </w:pPr>
      <w:r w:rsidRPr="001C534E">
        <w:tab/>
      </w:r>
      <w:r w:rsidRPr="001C534E">
        <w:tab/>
      </w:r>
      <w:r w:rsidRPr="001C534E">
        <w:tab/>
      </w:r>
      <w:hyperlink w:anchor="_Toc311556344" w:history="1">
        <w:r w:rsidRPr="00E93345">
          <w:t>3.</w:t>
        </w:r>
        <w:r w:rsidRPr="00E93345">
          <w:tab/>
        </w:r>
        <w:r w:rsidRPr="00E93345">
          <w:rPr>
            <w:spacing w:val="-1"/>
          </w:rPr>
          <w:t>El interés superior del niño y el derecho a ser escuchado (artículo 12)</w:t>
        </w:r>
        <w:r w:rsidRPr="00E93345">
          <w:tab/>
        </w:r>
        <w:r w:rsidRPr="00E93345">
          <w:tab/>
          <w:t>43–45</w:t>
        </w:r>
        <w:r w:rsidRPr="00E93345">
          <w:tab/>
        </w:r>
      </w:hyperlink>
      <w:r w:rsidR="00C55346">
        <w:t>11</w:t>
      </w:r>
    </w:p>
    <w:p w:rsidR="0046284B" w:rsidRPr="00E93345" w:rsidRDefault="0046284B" w:rsidP="0046284B">
      <w:pPr>
        <w:tabs>
          <w:tab w:val="right" w:pos="850"/>
          <w:tab w:val="left" w:pos="1134"/>
          <w:tab w:val="left" w:pos="1559"/>
          <w:tab w:val="left" w:pos="1984"/>
          <w:tab w:val="left" w:leader="dot" w:pos="7654"/>
          <w:tab w:val="right" w:pos="8929"/>
          <w:tab w:val="right" w:pos="9638"/>
        </w:tabs>
        <w:spacing w:after="120"/>
      </w:pPr>
      <w:r w:rsidRPr="00E93345">
        <w:tab/>
        <w:t>V.</w:t>
      </w:r>
      <w:r w:rsidRPr="00E93345">
        <w:tab/>
      </w:r>
      <w:r w:rsidRPr="00664DAE">
        <w:t xml:space="preserve">Aplicación: </w:t>
      </w:r>
      <w:r>
        <w:t xml:space="preserve">la </w:t>
      </w:r>
      <w:r w:rsidRPr="00664DAE">
        <w:t>evaluación y determinación del interés superior del niño</w:t>
      </w:r>
      <w:r w:rsidRPr="00E93345">
        <w:tab/>
      </w:r>
      <w:r w:rsidRPr="00E93345">
        <w:tab/>
        <w:t>46–</w:t>
      </w:r>
      <w:r w:rsidR="00C55346">
        <w:t>99</w:t>
      </w:r>
      <w:r w:rsidRPr="00E93345">
        <w:tab/>
      </w:r>
      <w:r w:rsidR="00C55346">
        <w:t>12</w:t>
      </w:r>
    </w:p>
    <w:p w:rsidR="0046284B" w:rsidRPr="00E93345" w:rsidRDefault="0046284B" w:rsidP="0046284B">
      <w:pPr>
        <w:tabs>
          <w:tab w:val="right" w:pos="850"/>
          <w:tab w:val="left" w:pos="1134"/>
          <w:tab w:val="left" w:pos="1559"/>
          <w:tab w:val="left" w:pos="1984"/>
          <w:tab w:val="left" w:leader="dot" w:pos="7654"/>
          <w:tab w:val="right" w:pos="8929"/>
          <w:tab w:val="right" w:pos="9638"/>
        </w:tabs>
        <w:spacing w:after="120"/>
      </w:pPr>
      <w:r w:rsidRPr="00E93345">
        <w:tab/>
      </w:r>
      <w:r w:rsidRPr="00E93345">
        <w:tab/>
        <w:t>A.</w:t>
      </w:r>
      <w:r w:rsidRPr="00E93345">
        <w:tab/>
      </w:r>
      <w:r w:rsidRPr="00664DAE">
        <w:t>Evaluación y determinación del interés superior</w:t>
      </w:r>
      <w:r w:rsidRPr="00E93345">
        <w:tab/>
      </w:r>
      <w:r w:rsidRPr="00E93345">
        <w:tab/>
        <w:t>48–84</w:t>
      </w:r>
      <w:r w:rsidRPr="00E93345">
        <w:tab/>
      </w:r>
      <w:r w:rsidR="00C55346">
        <w:t>12</w:t>
      </w:r>
    </w:p>
    <w:p w:rsidR="0046284B" w:rsidRPr="00E93345" w:rsidRDefault="0046284B" w:rsidP="0046284B">
      <w:pPr>
        <w:tabs>
          <w:tab w:val="right" w:pos="850"/>
          <w:tab w:val="left" w:pos="1134"/>
          <w:tab w:val="left" w:pos="1559"/>
          <w:tab w:val="left" w:pos="1984"/>
          <w:tab w:val="left" w:leader="dot" w:pos="7654"/>
          <w:tab w:val="right" w:pos="8929"/>
          <w:tab w:val="right" w:pos="9638"/>
        </w:tabs>
        <w:spacing w:after="120"/>
      </w:pPr>
      <w:r w:rsidRPr="00E93345">
        <w:tab/>
      </w:r>
      <w:r w:rsidRPr="00E93345">
        <w:tab/>
      </w:r>
      <w:r w:rsidRPr="00E93345">
        <w:tab/>
        <w:t>1.</w:t>
      </w:r>
      <w:r w:rsidRPr="00E93345">
        <w:tab/>
      </w:r>
      <w:r w:rsidRPr="00664DAE">
        <w:t>Elementos que deben tenerse en cuenta al evaluar el interés superior</w:t>
      </w:r>
      <w:r>
        <w:br/>
      </w:r>
      <w:r>
        <w:tab/>
      </w:r>
      <w:r>
        <w:tab/>
      </w:r>
      <w:r>
        <w:tab/>
      </w:r>
      <w:r>
        <w:tab/>
      </w:r>
      <w:r w:rsidRPr="00664DAE">
        <w:t>del niño</w:t>
      </w:r>
      <w:r w:rsidRPr="00E93345">
        <w:tab/>
      </w:r>
      <w:r w:rsidRPr="00E93345">
        <w:tab/>
        <w:t>52–79</w:t>
      </w:r>
      <w:r w:rsidRPr="00E93345">
        <w:tab/>
      </w:r>
      <w:r w:rsidR="00C55346">
        <w:t>13</w:t>
      </w:r>
    </w:p>
    <w:p w:rsidR="0046284B" w:rsidRPr="00E93345" w:rsidRDefault="0046284B" w:rsidP="0046284B">
      <w:pPr>
        <w:tabs>
          <w:tab w:val="right" w:pos="850"/>
          <w:tab w:val="left" w:pos="1134"/>
          <w:tab w:val="left" w:pos="1559"/>
          <w:tab w:val="left" w:pos="1984"/>
          <w:tab w:val="left" w:leader="dot" w:pos="7654"/>
          <w:tab w:val="right" w:pos="8929"/>
          <w:tab w:val="right" w:pos="9638"/>
        </w:tabs>
        <w:spacing w:after="120"/>
      </w:pPr>
      <w:r w:rsidRPr="00E93345">
        <w:tab/>
      </w:r>
      <w:r w:rsidRPr="00E93345">
        <w:tab/>
      </w:r>
      <w:r w:rsidRPr="00E93345">
        <w:tab/>
        <w:t>2.</w:t>
      </w:r>
      <w:r w:rsidRPr="00E93345">
        <w:tab/>
      </w:r>
      <w:r>
        <w:t>Búsqueda de un e</w:t>
      </w:r>
      <w:r w:rsidRPr="00313323">
        <w:t>quilibrio entre los element</w:t>
      </w:r>
      <w:r>
        <w:t>os de la evaluación del</w:t>
      </w:r>
      <w:r>
        <w:br/>
      </w:r>
      <w:r>
        <w:tab/>
      </w:r>
      <w:r>
        <w:tab/>
      </w:r>
      <w:r>
        <w:tab/>
      </w:r>
      <w:r>
        <w:tab/>
        <w:t xml:space="preserve">interés </w:t>
      </w:r>
      <w:r w:rsidRPr="00313323">
        <w:t>superior</w:t>
      </w:r>
      <w:r w:rsidRPr="00E93345">
        <w:tab/>
      </w:r>
      <w:r w:rsidRPr="00E93345">
        <w:tab/>
        <w:t>80–84</w:t>
      </w:r>
      <w:r w:rsidRPr="00E93345">
        <w:tab/>
      </w:r>
      <w:r w:rsidR="00C55346">
        <w:t>18</w:t>
      </w:r>
    </w:p>
    <w:p w:rsidR="0046284B" w:rsidRPr="00E93345" w:rsidRDefault="0046284B" w:rsidP="0046284B">
      <w:pPr>
        <w:tabs>
          <w:tab w:val="right" w:pos="850"/>
          <w:tab w:val="left" w:pos="1134"/>
          <w:tab w:val="left" w:pos="1559"/>
          <w:tab w:val="left" w:pos="1984"/>
          <w:tab w:val="left" w:leader="dot" w:pos="7654"/>
          <w:tab w:val="right" w:pos="8929"/>
          <w:tab w:val="right" w:pos="9638"/>
        </w:tabs>
        <w:spacing w:after="120"/>
      </w:pPr>
      <w:r w:rsidRPr="00E93345">
        <w:tab/>
      </w:r>
      <w:r w:rsidRPr="00E93345">
        <w:tab/>
        <w:t>B.</w:t>
      </w:r>
      <w:r w:rsidRPr="00E93345">
        <w:tab/>
      </w:r>
      <w:r w:rsidRPr="00313323">
        <w:t xml:space="preserve">Garantías procesales para velar por la </w:t>
      </w:r>
      <w:r>
        <w:t>observancia del interés superior</w:t>
      </w:r>
      <w:r>
        <w:br/>
      </w:r>
      <w:r>
        <w:tab/>
      </w:r>
      <w:r>
        <w:tab/>
      </w:r>
      <w:r>
        <w:tab/>
      </w:r>
      <w:r w:rsidRPr="00313323">
        <w:t>del niño</w:t>
      </w:r>
      <w:r w:rsidRPr="00E93345">
        <w:tab/>
      </w:r>
      <w:r w:rsidRPr="00E93345">
        <w:tab/>
        <w:t>85–99</w:t>
      </w:r>
      <w:r w:rsidRPr="00E93345">
        <w:tab/>
      </w:r>
      <w:r w:rsidR="00C55346">
        <w:t>18</w:t>
      </w:r>
    </w:p>
    <w:p w:rsidR="0046284B" w:rsidRPr="00FA56D8" w:rsidRDefault="0046284B" w:rsidP="0046284B">
      <w:pPr>
        <w:tabs>
          <w:tab w:val="right" w:pos="850"/>
          <w:tab w:val="left" w:pos="1134"/>
          <w:tab w:val="left" w:pos="1559"/>
          <w:tab w:val="left" w:leader="dot" w:pos="7654"/>
          <w:tab w:val="right" w:pos="8929"/>
          <w:tab w:val="right" w:pos="9638"/>
        </w:tabs>
        <w:spacing w:after="120"/>
      </w:pPr>
      <w:r w:rsidRPr="00E93345">
        <w:tab/>
      </w:r>
      <w:r w:rsidRPr="00FA56D8">
        <w:t>VI.</w:t>
      </w:r>
      <w:r w:rsidRPr="00FA56D8">
        <w:tab/>
      </w:r>
      <w:r w:rsidRPr="00313323">
        <w:t>Difusión</w:t>
      </w:r>
      <w:r w:rsidRPr="00FA56D8">
        <w:tab/>
      </w:r>
      <w:r w:rsidRPr="00FA56D8">
        <w:tab/>
      </w:r>
      <w:r>
        <w:t>100–101</w:t>
      </w:r>
      <w:r>
        <w:tab/>
      </w:r>
      <w:r w:rsidR="00C55346">
        <w:t>21</w:t>
      </w:r>
    </w:p>
    <w:p w:rsidR="006E006F" w:rsidRPr="00C55346" w:rsidRDefault="006E006F" w:rsidP="00E15CCD">
      <w:pPr>
        <w:pStyle w:val="SingleTxtG"/>
        <w:spacing w:line="220" w:lineRule="atLeast"/>
        <w:rPr>
          <w:i/>
        </w:rPr>
      </w:pPr>
      <w:r w:rsidRPr="00CE04C0">
        <w:br w:type="page"/>
      </w:r>
      <w:r>
        <w:tab/>
      </w:r>
      <w:r w:rsidRPr="00C55346">
        <w:rPr>
          <w:i/>
        </w:rPr>
        <w:t>"</w:t>
      </w:r>
      <w:bookmarkStart w:id="5" w:name="hit1"/>
      <w:bookmarkEnd w:id="5"/>
      <w:r w:rsidRPr="00C55346">
        <w:rPr>
          <w:i/>
        </w:rPr>
        <w:t xml:space="preserve">En </w:t>
      </w:r>
      <w:bookmarkStart w:id="6" w:name="hit2"/>
      <w:bookmarkEnd w:id="6"/>
      <w:r w:rsidRPr="00C55346">
        <w:rPr>
          <w:i/>
        </w:rPr>
        <w:t xml:space="preserve">todas </w:t>
      </w:r>
      <w:bookmarkStart w:id="7" w:name="hit3"/>
      <w:bookmarkEnd w:id="7"/>
      <w:r w:rsidRPr="00C55346">
        <w:rPr>
          <w:i/>
        </w:rPr>
        <w:t xml:space="preserve">las </w:t>
      </w:r>
      <w:bookmarkStart w:id="8" w:name="hit4"/>
      <w:bookmarkEnd w:id="8"/>
      <w:r w:rsidRPr="00C55346">
        <w:rPr>
          <w:i/>
        </w:rPr>
        <w:t xml:space="preserve">medidas </w:t>
      </w:r>
      <w:bookmarkStart w:id="9" w:name="hit_last"/>
      <w:bookmarkEnd w:id="9"/>
      <w:r w:rsidRPr="00C55346">
        <w:rPr>
          <w:i/>
        </w:rPr>
        <w:t>concernientes a los niños que tomen las instituciones públicas o privadas de bienestar social, los tribunales, las autoridades administrativas o los órganos legislativos, una consideración primordial a que se atenderá será el interés superior del niño."</w:t>
      </w:r>
    </w:p>
    <w:p w:rsidR="006E006F" w:rsidRPr="00CE04C0" w:rsidRDefault="006E006F" w:rsidP="006E006F">
      <w:pPr>
        <w:pStyle w:val="SingleTxtG"/>
        <w:jc w:val="right"/>
      </w:pPr>
      <w:r w:rsidRPr="00CE04C0">
        <w:t>Convención sobre los Derechos del Niño (art. 3, párr.</w:t>
      </w:r>
      <w:r>
        <w:t xml:space="preserve"> </w:t>
      </w:r>
      <w:r w:rsidRPr="00CE04C0">
        <w:t>1)</w:t>
      </w:r>
    </w:p>
    <w:p w:rsidR="006E006F" w:rsidRPr="00CE04C0" w:rsidRDefault="006E006F" w:rsidP="006E006F">
      <w:pPr>
        <w:pStyle w:val="HChG"/>
      </w:pPr>
      <w:r>
        <w:tab/>
      </w:r>
      <w:r w:rsidRPr="00CE04C0">
        <w:t>I.</w:t>
      </w:r>
      <w:r>
        <w:tab/>
      </w:r>
      <w:r w:rsidRPr="00CE04C0">
        <w:t>Introducción</w:t>
      </w:r>
    </w:p>
    <w:p w:rsidR="006E006F" w:rsidRPr="00CE04C0" w:rsidRDefault="006E006F" w:rsidP="00E15CCD">
      <w:pPr>
        <w:pStyle w:val="H1G"/>
        <w:spacing w:line="260" w:lineRule="exact"/>
      </w:pPr>
      <w:r>
        <w:tab/>
      </w:r>
      <w:r w:rsidRPr="00CE04C0">
        <w:t>A.</w:t>
      </w:r>
      <w:r>
        <w:tab/>
      </w:r>
      <w:r w:rsidRPr="00CE04C0">
        <w:t xml:space="preserve">El interés superior del niño: un derecho, un principio y </w:t>
      </w:r>
      <w:r>
        <w:br/>
      </w:r>
      <w:r w:rsidRPr="00CE04C0">
        <w:t xml:space="preserve">una norma de procedimiento </w:t>
      </w:r>
    </w:p>
    <w:p w:rsidR="006E006F" w:rsidRPr="00CE04C0" w:rsidRDefault="006E006F" w:rsidP="00E15CCD">
      <w:pPr>
        <w:pStyle w:val="SingleTxtG"/>
        <w:spacing w:line="220" w:lineRule="atLeast"/>
      </w:pPr>
      <w:r w:rsidRPr="00CE04C0">
        <w:t>1.</w:t>
      </w:r>
      <w:r>
        <w:tab/>
      </w:r>
      <w:r w:rsidRPr="00CE04C0">
        <w:t>El artículo 3, párrafo 1, de la Convención sobre los Derechos del Niño otorga al niño el derecho a que se considere y tenga en cuenta de manera primordial su interés superior en todas las medidas o decisiones que le afecten, tanto en la esfera pública como en la privada. Además, esa disposición establece uno de los valores fundamentales de la Convención. El Comité de los Derechos del Niño (el Comité) ha determinado que el artículo 3, párrafo 1, enuncia uno de los cuatro principios generales de la Convención en lo que respecta a la interpretación y aplicación de todos los derechos del niño</w:t>
      </w:r>
      <w:r w:rsidRPr="00AD1646">
        <w:rPr>
          <w:rStyle w:val="FootnoteReference"/>
        </w:rPr>
        <w:footnoteReference w:id="2"/>
      </w:r>
      <w:r w:rsidRPr="00CE04C0">
        <w:t>, y lo aplica como un concepto dinámico debe evaluarse adecuadamente en cada contexto.</w:t>
      </w:r>
    </w:p>
    <w:p w:rsidR="006E006F" w:rsidRPr="00CE04C0" w:rsidRDefault="006E006F" w:rsidP="00E15CCD">
      <w:pPr>
        <w:pStyle w:val="SingleTxtG"/>
        <w:spacing w:line="220" w:lineRule="atLeast"/>
      </w:pPr>
      <w:r w:rsidRPr="00CE04C0">
        <w:t>2.</w:t>
      </w:r>
      <w:r>
        <w:tab/>
      </w:r>
      <w:r w:rsidRPr="00CE04C0">
        <w:t>El "interés superior del niño" no es un concepto nuevo. En efecto, es anterior a la Convención y ya se consagraba en la Declaración de los De</w:t>
      </w:r>
      <w:r>
        <w:t>rechos del Niño, de 1959 (párr. </w:t>
      </w:r>
      <w:r w:rsidRPr="00CE04C0">
        <w:t xml:space="preserve">2) y la Convención sobre la eliminación de todas las formas de discriminación contra la mujer (arts. 5 b) y 16, párr. 1 d)), así como en instrumentos regionales y numerosas </w:t>
      </w:r>
      <w:r>
        <w:t xml:space="preserve">normas jurídicas </w:t>
      </w:r>
      <w:r w:rsidRPr="00CE04C0">
        <w:t>nacionales e internacionales.</w:t>
      </w:r>
    </w:p>
    <w:p w:rsidR="006E006F" w:rsidRPr="00CE04C0" w:rsidRDefault="006E006F" w:rsidP="00E15CCD">
      <w:pPr>
        <w:pStyle w:val="SingleTxtG"/>
        <w:spacing w:line="220" w:lineRule="atLeast"/>
      </w:pPr>
      <w:r>
        <w:t>3.</w:t>
      </w:r>
      <w:r>
        <w:tab/>
      </w:r>
      <w:r w:rsidRPr="00CE04C0">
        <w:t xml:space="preserve">La Convención también se refiere explícitamente al interés superior del niño en otras disposiciones, a saber: el artículo 9 </w:t>
      </w:r>
      <w:r>
        <w:t>(</w:t>
      </w:r>
      <w:r w:rsidRPr="00CE04C0">
        <w:t>separación de los padres</w:t>
      </w:r>
      <w:r>
        <w:t>)</w:t>
      </w:r>
      <w:r w:rsidRPr="00CE04C0">
        <w:t xml:space="preserve">; el artículo 10 </w:t>
      </w:r>
      <w:r>
        <w:t>(</w:t>
      </w:r>
      <w:r w:rsidRPr="00CE04C0">
        <w:t>reunión de la familia</w:t>
      </w:r>
      <w:r>
        <w:t>)</w:t>
      </w:r>
      <w:r w:rsidRPr="00CE04C0">
        <w:t>; el artículo 18</w:t>
      </w:r>
      <w:r>
        <w:t xml:space="preserve"> (</w:t>
      </w:r>
      <w:r w:rsidRPr="00CE04C0">
        <w:t>obligaciones de los padres</w:t>
      </w:r>
      <w:r>
        <w:t>)</w:t>
      </w:r>
      <w:r w:rsidRPr="00CE04C0">
        <w:t xml:space="preserve">; el artículo 20 </w:t>
      </w:r>
      <w:r>
        <w:t>(</w:t>
      </w:r>
      <w:r w:rsidRPr="00CE04C0">
        <w:t>privación de un medio familiar y otros tipos de cuidado</w:t>
      </w:r>
      <w:r>
        <w:t>)</w:t>
      </w:r>
      <w:r w:rsidRPr="00CE04C0">
        <w:t>; el artículo 21</w:t>
      </w:r>
      <w:r>
        <w:t xml:space="preserve"> (</w:t>
      </w:r>
      <w:r w:rsidRPr="00CE04C0">
        <w:t>adopción</w:t>
      </w:r>
      <w:r>
        <w:t>)</w:t>
      </w:r>
      <w:r w:rsidRPr="00CE04C0">
        <w:t xml:space="preserve">; el artículo 37 c) </w:t>
      </w:r>
      <w:r>
        <w:t>(</w:t>
      </w:r>
      <w:r w:rsidRPr="00CE04C0">
        <w:t>separación de los adultos durante la privación de libertad</w:t>
      </w:r>
      <w:r>
        <w:t>)</w:t>
      </w:r>
      <w:r w:rsidRPr="00CE04C0">
        <w:t>, y</w:t>
      </w:r>
      <w:r>
        <w:t xml:space="preserve"> el artículo 40, párrafo 2 b) iii), (</w:t>
      </w:r>
      <w:r w:rsidRPr="00CE04C0">
        <w:t xml:space="preserve">garantías procesales, incluida la presencia de los padres en las audiencias de las causas penales relativas a los </w:t>
      </w:r>
      <w:r>
        <w:t>niños</w:t>
      </w:r>
      <w:r w:rsidRPr="00CE04C0">
        <w:t xml:space="preserve"> en conflicto con la ley</w:t>
      </w:r>
      <w:r>
        <w:t>)</w:t>
      </w:r>
      <w:r w:rsidRPr="00CE04C0">
        <w:t>. También se hace referencia al interés superior del niño en el Protocolo facultativo de la Convención relativo a la venta de niños, la prostitución infantil y la utilización de niños en la pornografía (preámbulo y art</w:t>
      </w:r>
      <w:r w:rsidR="009955F1">
        <w:t>ículo</w:t>
      </w:r>
      <w:r w:rsidRPr="00CE04C0">
        <w:t xml:space="preserve"> 8) y el Protocolo facultativo de la Convención relativo a un procedimiento de comunicaciones (preámbulo y art</w:t>
      </w:r>
      <w:r w:rsidR="009955F1">
        <w:t>ículos</w:t>
      </w:r>
      <w:r w:rsidRPr="00CE04C0">
        <w:t xml:space="preserve"> 2 y 3).</w:t>
      </w:r>
    </w:p>
    <w:p w:rsidR="006E006F" w:rsidRPr="00CE04C0" w:rsidRDefault="006E006F" w:rsidP="00E15CCD">
      <w:pPr>
        <w:pStyle w:val="SingleTxtG"/>
        <w:spacing w:line="220" w:lineRule="atLeast"/>
      </w:pPr>
      <w:r w:rsidRPr="00CE04C0">
        <w:t>4.</w:t>
      </w:r>
      <w:r>
        <w:tab/>
      </w:r>
      <w:r w:rsidRPr="00CE04C0">
        <w:t xml:space="preserve">El objetivo del concepto de interés superior del niño es garantizar el disfrute pleno y efectivo de todos los derechos reconocidos por la Convención y el desarrollo </w:t>
      </w:r>
      <w:r>
        <w:t>holístico</w:t>
      </w:r>
      <w:r w:rsidRPr="00CE04C0">
        <w:t xml:space="preserve"> del niño</w:t>
      </w:r>
      <w:r w:rsidRPr="00AD1646">
        <w:rPr>
          <w:rStyle w:val="FootnoteReference"/>
        </w:rPr>
        <w:footnoteReference w:id="3"/>
      </w:r>
      <w:r w:rsidRPr="00CE04C0">
        <w:t>. El Comité ya ha señalado</w:t>
      </w:r>
      <w:r w:rsidRPr="00AD1646">
        <w:rPr>
          <w:rStyle w:val="FootnoteReference"/>
        </w:rPr>
        <w:footnoteReference w:id="4"/>
      </w:r>
      <w:r w:rsidRPr="00CE04C0">
        <w:t xml:space="preserve"> que "[l]</w:t>
      </w:r>
      <w:r w:rsidRPr="00CE04C0">
        <w:rPr>
          <w:lang w:val="es-ES_tradnl"/>
        </w:rPr>
        <w:t xml:space="preserve">o que a juicio de un adulto es el interés superior del niño no puede primar sobre la obligación de respetar todos los derechos del niño enunciados en la Convención". </w:t>
      </w:r>
      <w:r w:rsidRPr="00CE04C0">
        <w:t>Recuerda que en la Convención no hay una jerarquía de derechos; todos los derechos previstos responden al "interés superior del niño" y ningún derecho debería verse perjudicado por una interpretación negativa del interés superior del niño.</w:t>
      </w:r>
    </w:p>
    <w:p w:rsidR="006E006F" w:rsidRPr="00CE04C0" w:rsidRDefault="006E006F" w:rsidP="006E006F">
      <w:pPr>
        <w:pStyle w:val="SingleTxtG"/>
      </w:pPr>
      <w:r w:rsidRPr="00CE04C0">
        <w:t>5.</w:t>
      </w:r>
      <w:r>
        <w:tab/>
      </w:r>
      <w:r w:rsidRPr="00CE04C0">
        <w:t xml:space="preserve">La plena aplicación del concepto de interés superior del niño exige </w:t>
      </w:r>
      <w:r>
        <w:t>adoptar</w:t>
      </w:r>
      <w:r w:rsidRPr="00CE04C0">
        <w:t xml:space="preserve"> un enfoque basado en los derechos, </w:t>
      </w:r>
      <w:r>
        <w:t xml:space="preserve">en el que colaboren todos los intervinientes, </w:t>
      </w:r>
      <w:r w:rsidRPr="00CE04C0">
        <w:t>a fin de garantizar la integridad física, psicológica, moral y espiritual holísticas del niño y promover su dignidad humana.</w:t>
      </w:r>
    </w:p>
    <w:p w:rsidR="006E006F" w:rsidRPr="00CE04C0" w:rsidRDefault="006E006F" w:rsidP="006E006F">
      <w:pPr>
        <w:pStyle w:val="SingleTxtG"/>
      </w:pPr>
      <w:r w:rsidRPr="00CE04C0">
        <w:t>6.</w:t>
      </w:r>
      <w:r>
        <w:tab/>
      </w:r>
      <w:r w:rsidRPr="00CE04C0">
        <w:t>El Comité subraya que el interés superior del niño es un concepto triple:</w:t>
      </w:r>
    </w:p>
    <w:p w:rsidR="006E006F" w:rsidRPr="00CE04C0" w:rsidRDefault="006E006F" w:rsidP="006E006F">
      <w:pPr>
        <w:pStyle w:val="SingleTxtG"/>
      </w:pPr>
      <w:r>
        <w:tab/>
        <w:t>a)</w:t>
      </w:r>
      <w:r>
        <w:tab/>
      </w:r>
      <w:r w:rsidRPr="00CE04C0">
        <w:t>Un derecho sustantivo: el derecho del niño a que su interés superior sea una consideración primordial que se evalúe y tenga en cuenta al sopesar distintos intereses para tomar una decisión sobre</w:t>
      </w:r>
      <w:r>
        <w:t xml:space="preserve"> una cuestión debatida</w:t>
      </w:r>
      <w:r w:rsidRPr="00CE04C0">
        <w:t xml:space="preserve">, y la garantía de que ese derecho se </w:t>
      </w:r>
      <w:r>
        <w:t>pondrá en práctica</w:t>
      </w:r>
      <w:r w:rsidRPr="00CE04C0">
        <w:t xml:space="preserve"> siempre que se tenga que </w:t>
      </w:r>
      <w:r>
        <w:t xml:space="preserve">adoptar </w:t>
      </w:r>
      <w:r w:rsidRPr="00CE04C0">
        <w:t xml:space="preserve">una decisión que afecte a un niño, a un grupo de niños </w:t>
      </w:r>
      <w:r>
        <w:t xml:space="preserve">concreto o genérico </w:t>
      </w:r>
      <w:r w:rsidRPr="00CE04C0">
        <w:t xml:space="preserve">o a los niños en general. El artículo 3, párrafo 1, establece una obligación intrínseca para los Estados, es de aplicación directa </w:t>
      </w:r>
      <w:r>
        <w:t xml:space="preserve">(aplicabilidad inmediata) </w:t>
      </w:r>
      <w:r w:rsidRPr="00CE04C0">
        <w:t>y puede invocarse ante los tribunales.</w:t>
      </w:r>
    </w:p>
    <w:p w:rsidR="006E006F" w:rsidRPr="00CE04C0" w:rsidRDefault="006E006F" w:rsidP="006E006F">
      <w:pPr>
        <w:pStyle w:val="SingleTxtG"/>
      </w:pPr>
      <w:r>
        <w:tab/>
        <w:t>b)</w:t>
      </w:r>
      <w:r>
        <w:tab/>
      </w:r>
      <w:r w:rsidRPr="00CE04C0">
        <w:t>Un principio jurídico interpretativo fundamental: si una disposición jurídica admite más de una interpretación, se elegirá la interpretación que satisfaga de manera más efectiva el interés superior del niño. Los derechos consagrados en la Convención y sus Protocolos facultativos establecen el marco interpretativo.</w:t>
      </w:r>
    </w:p>
    <w:p w:rsidR="006E006F" w:rsidRPr="00CE04C0" w:rsidRDefault="006E006F" w:rsidP="006E006F">
      <w:pPr>
        <w:pStyle w:val="SingleTxtG"/>
      </w:pPr>
      <w:r>
        <w:tab/>
        <w:t>c)</w:t>
      </w:r>
      <w:r>
        <w:tab/>
        <w:t>Una n</w:t>
      </w:r>
      <w:r w:rsidRPr="00CE04C0">
        <w:t xml:space="preserve">orma de procedimiento: siempre que se tenga que tomar una decisión que afecte a un niño en concreto, a un grupo de niños </w:t>
      </w:r>
      <w:r>
        <w:t xml:space="preserve">concreto </w:t>
      </w:r>
      <w:r w:rsidRPr="00CE04C0">
        <w:t xml:space="preserve">o a los niños en general, el proceso de </w:t>
      </w:r>
      <w:r>
        <w:t>adopción</w:t>
      </w:r>
      <w:r w:rsidRPr="00CE04C0">
        <w:t xml:space="preserve"> de decisiones deberá incluir una</w:t>
      </w:r>
      <w:r>
        <w:t xml:space="preserve"> estimación</w:t>
      </w:r>
      <w:r w:rsidRPr="00CE04C0">
        <w:t xml:space="preserve"> de las posibles repercusiones (positivas o negativas) de la decisión en el niño o los niños interesados. La evaluación y determinación del interés superior del niño requieren garantías procesales. Además, la justificación de las decisiones debe dejar patente que se ha tenido en cuenta explícitamente ese derecho. En este sentido, los Estados partes deberán explicar cómo se ha </w:t>
      </w:r>
      <w:r>
        <w:t>respetado</w:t>
      </w:r>
      <w:r w:rsidRPr="00CE04C0">
        <w:t xml:space="preserve"> este derecho en la decisión, es decir, qué se ha considerado que atendía al interés superior del niño, en qué criterios se ha basado la decisión y cómo se han ponderado los intereses del niño frente a otras consideraciones, ya se trate de cuestiones </w:t>
      </w:r>
      <w:r>
        <w:t>normativas</w:t>
      </w:r>
      <w:r w:rsidRPr="00CE04C0">
        <w:t xml:space="preserve"> generales o de casos concretos.</w:t>
      </w:r>
    </w:p>
    <w:p w:rsidR="006E006F" w:rsidRPr="00CE04C0" w:rsidRDefault="006E006F" w:rsidP="006E006F">
      <w:pPr>
        <w:pStyle w:val="SingleTxtG"/>
      </w:pPr>
      <w:r w:rsidRPr="00CE04C0">
        <w:t>7.</w:t>
      </w:r>
      <w:r>
        <w:tab/>
      </w:r>
      <w:r w:rsidRPr="00CE04C0">
        <w:t xml:space="preserve">En la </w:t>
      </w:r>
      <w:r w:rsidR="006162AB">
        <w:t>presente observación general</w:t>
      </w:r>
      <w:r w:rsidRPr="00CE04C0">
        <w:t>, la expresión "el interés superior del niño" abarca las tres dimensiones arriba expuestas.</w:t>
      </w:r>
    </w:p>
    <w:p w:rsidR="006E006F" w:rsidRPr="00CE04C0" w:rsidRDefault="006E006F" w:rsidP="006E006F">
      <w:pPr>
        <w:pStyle w:val="H1G"/>
      </w:pPr>
      <w:r>
        <w:tab/>
      </w:r>
      <w:r w:rsidRPr="00CE04C0">
        <w:t>B.</w:t>
      </w:r>
      <w:r>
        <w:tab/>
      </w:r>
      <w:r w:rsidRPr="00CE04C0">
        <w:t>Estructura</w:t>
      </w:r>
    </w:p>
    <w:p w:rsidR="006E006F" w:rsidRPr="00CE04C0" w:rsidRDefault="006E006F" w:rsidP="006E006F">
      <w:pPr>
        <w:pStyle w:val="SingleTxtG"/>
      </w:pPr>
      <w:r>
        <w:t>8.</w:t>
      </w:r>
      <w:r>
        <w:tab/>
      </w:r>
      <w:r w:rsidR="009955F1">
        <w:t xml:space="preserve">El alcance de la </w:t>
      </w:r>
      <w:r w:rsidR="006162AB">
        <w:t>presente observación general</w:t>
      </w:r>
      <w:r w:rsidRPr="00CE04C0">
        <w:t xml:space="preserve"> se limita al artículo 3, párrafo 1, de la Convención y no abarca el artículo 3, párrafo 2, dedicado al bienestar de los niños, ni el artículo 3, párrafo 3, que se refiere a la obligación de los Estados partes de velar por que las instituciones, los servicios y los establecimientos para los niños cumplan las normas establecidas, y por que existan mecanismos para garantizar el respeto de las normas.</w:t>
      </w:r>
    </w:p>
    <w:p w:rsidR="006E006F" w:rsidRPr="00CE04C0" w:rsidRDefault="006E006F" w:rsidP="006E006F">
      <w:pPr>
        <w:pStyle w:val="SingleTxtG"/>
      </w:pPr>
      <w:r w:rsidRPr="00CE04C0">
        <w:t>9.</w:t>
      </w:r>
      <w:r>
        <w:tab/>
      </w:r>
      <w:r w:rsidRPr="00CE04C0">
        <w:t xml:space="preserve">El Comité </w:t>
      </w:r>
      <w:r>
        <w:t>indica</w:t>
      </w:r>
      <w:r w:rsidR="009955F1">
        <w:t xml:space="preserve"> los objetivos de la </w:t>
      </w:r>
      <w:r w:rsidR="006162AB">
        <w:t>presente observación general</w:t>
      </w:r>
      <w:r w:rsidRPr="00CE04C0">
        <w:t xml:space="preserve"> (cap</w:t>
      </w:r>
      <w:r>
        <w:t>.</w:t>
      </w:r>
      <w:r w:rsidRPr="00CE04C0">
        <w:t xml:space="preserve"> II)</w:t>
      </w:r>
      <w:r>
        <w:t xml:space="preserve"> </w:t>
      </w:r>
      <w:r w:rsidRPr="00CE04C0">
        <w:t>y expone la naturaleza y alcance de la obligación impuesta a los Estados partes (cap</w:t>
      </w:r>
      <w:r w:rsidR="009955F1">
        <w:t>.</w:t>
      </w:r>
      <w:r w:rsidRPr="00CE04C0">
        <w:t xml:space="preserve"> III). También ofrece un análisis jurídico del artículo 3, párrafo 1 (cap</w:t>
      </w:r>
      <w:r w:rsidR="009955F1">
        <w:t>.</w:t>
      </w:r>
      <w:r w:rsidRPr="00CE04C0">
        <w:t xml:space="preserve"> IV), en el que se explica su relación con otros principios generales de la Convención. El capítulo V está dedicado a la aplicación, en la práctica, del principio del interés superior del niño, mientras que el capítulo VI proporciona directrices sobre la difusión de</w:t>
      </w:r>
      <w:r w:rsidR="009955F1">
        <w:t xml:space="preserve"> la </w:t>
      </w:r>
      <w:r w:rsidR="00C55346">
        <w:t>o</w:t>
      </w:r>
      <w:r w:rsidRPr="00CE04C0">
        <w:t>bservación general.</w:t>
      </w:r>
    </w:p>
    <w:p w:rsidR="006E006F" w:rsidRPr="00CE04C0" w:rsidRDefault="006E006F" w:rsidP="006E006F">
      <w:pPr>
        <w:pStyle w:val="HChG"/>
      </w:pPr>
      <w:r>
        <w:tab/>
      </w:r>
      <w:r w:rsidRPr="00CE04C0">
        <w:t>II.</w:t>
      </w:r>
      <w:r>
        <w:tab/>
      </w:r>
      <w:r w:rsidRPr="00CE04C0">
        <w:t>Objetivos</w:t>
      </w:r>
    </w:p>
    <w:p w:rsidR="006E006F" w:rsidRPr="00CE04C0" w:rsidRDefault="006E006F" w:rsidP="006E006F">
      <w:pPr>
        <w:pStyle w:val="SingleTxtG"/>
      </w:pPr>
      <w:r>
        <w:t>10.</w:t>
      </w:r>
      <w:r>
        <w:tab/>
      </w:r>
      <w:r w:rsidR="009955F1">
        <w:t xml:space="preserve">La </w:t>
      </w:r>
      <w:r w:rsidR="006162AB">
        <w:t>presente observación general</w:t>
      </w:r>
      <w:r w:rsidRPr="00CE04C0">
        <w:t xml:space="preserve"> tiene por objeto garantizar </w:t>
      </w:r>
      <w:r>
        <w:t xml:space="preserve">que </w:t>
      </w:r>
      <w:r w:rsidRPr="00CE04C0">
        <w:t>los Estados partes en la Convención</w:t>
      </w:r>
      <w:r>
        <w:t xml:space="preserve"> den efectos al </w:t>
      </w:r>
      <w:r w:rsidRPr="00CE04C0">
        <w:t xml:space="preserve">interés superior del niño </w:t>
      </w:r>
      <w:r>
        <w:t>y lo respeten</w:t>
      </w:r>
      <w:r w:rsidRPr="00CE04C0">
        <w:t xml:space="preserve">. Define los requisitos para su debida consideración, en particular en las decisiones judiciales y administrativas, así como en otras medidas </w:t>
      </w:r>
      <w:r w:rsidR="009955F1">
        <w:t>que afecten a niños con carácter individual</w:t>
      </w:r>
      <w:r w:rsidRPr="00CE04C0">
        <w:t xml:space="preserve">, y en todas las etapas del proceso de </w:t>
      </w:r>
      <w:r w:rsidR="009955F1">
        <w:t>aprobación</w:t>
      </w:r>
      <w:r w:rsidRPr="00CE04C0">
        <w:t xml:space="preserve"> de leyes, políticas, estrategias, programas, planes, presupuestos, iniciativas legislativas y </w:t>
      </w:r>
      <w:r>
        <w:t xml:space="preserve">presupuestarias, y directrices </w:t>
      </w:r>
      <w:r w:rsidR="009955F1">
        <w:t>(</w:t>
      </w:r>
      <w:r w:rsidRPr="00CE04C0">
        <w:t>es decir, todas las medidas de aplicación</w:t>
      </w:r>
      <w:r w:rsidR="009955F1">
        <w:t>)</w:t>
      </w:r>
      <w:r w:rsidRPr="00CE04C0">
        <w:t xml:space="preserve"> relativas a los niños en general o a un determinado grupo. El Comité confía en que esta </w:t>
      </w:r>
      <w:r w:rsidR="00C55346">
        <w:t>o</w:t>
      </w:r>
      <w:r w:rsidRPr="00CE04C0">
        <w:t xml:space="preserve">bservación general guíe las decisiones de todos los </w:t>
      </w:r>
      <w:r w:rsidR="009955F1">
        <w:t xml:space="preserve">que se ocupan de </w:t>
      </w:r>
      <w:r w:rsidRPr="00CE04C0">
        <w:t>los niños, en especial los padres y los cuidadores.</w:t>
      </w:r>
    </w:p>
    <w:p w:rsidR="006E006F" w:rsidRPr="00CE04C0" w:rsidRDefault="006E006F" w:rsidP="006E006F">
      <w:pPr>
        <w:pStyle w:val="SingleTxtG"/>
      </w:pPr>
      <w:r>
        <w:t>11.</w:t>
      </w:r>
      <w:r>
        <w:tab/>
      </w:r>
      <w:r w:rsidRPr="00CE04C0">
        <w:t>El interés superior del niño es un concepto dinámico que abarca diversos temas en co</w:t>
      </w:r>
      <w:r w:rsidR="009955F1">
        <w:t xml:space="preserve">nstante evolución. La </w:t>
      </w:r>
      <w:r w:rsidR="006162AB">
        <w:t>presente observación general</w:t>
      </w:r>
      <w:r w:rsidRPr="00CE04C0">
        <w:t xml:space="preserve"> proporciona un marco para evaluar y determinar el interés superior del niño; no pretende establecer lo que es mejor para el niño en una situación y un momento concretos.</w:t>
      </w:r>
    </w:p>
    <w:p w:rsidR="006E006F" w:rsidRPr="00CE04C0" w:rsidRDefault="006E006F" w:rsidP="006E006F">
      <w:pPr>
        <w:pStyle w:val="SingleTxtG"/>
      </w:pPr>
      <w:r>
        <w:t>12.</w:t>
      </w:r>
      <w:r>
        <w:tab/>
      </w:r>
      <w:r w:rsidRPr="00CE04C0">
        <w:t xml:space="preserve">El objetivo principal de la </w:t>
      </w:r>
      <w:r w:rsidR="006162AB">
        <w:t>presente observación general</w:t>
      </w:r>
      <w:r w:rsidRPr="00CE04C0">
        <w:t xml:space="preserve"> es mejorar la comprensión y </w:t>
      </w:r>
      <w:r>
        <w:t>observancia</w:t>
      </w:r>
      <w:r w:rsidRPr="00CE04C0">
        <w:t xml:space="preserve"> del derecho del niño a que su interés superior sea </w:t>
      </w:r>
      <w:r>
        <w:t xml:space="preserve">evaluado y constituye </w:t>
      </w:r>
      <w:r w:rsidRPr="00CE04C0">
        <w:t>una consideración primordial o, en algunos casos, la consideraci</w:t>
      </w:r>
      <w:r>
        <w:t>ón primordial (véase el párrafo </w:t>
      </w:r>
      <w:r w:rsidRPr="00CE04C0">
        <w:t xml:space="preserve">38 </w:t>
      </w:r>
      <w:r w:rsidRPr="00CE04C0">
        <w:rPr>
          <w:i/>
        </w:rPr>
        <w:t>infra</w:t>
      </w:r>
      <w:r w:rsidRPr="00CE04C0">
        <w:t>). El propósito general es promover un verdadero cambio de actitud que favorezca el pleno respeto de los niños como titulares de derechos. En concreto, ello repercute en los siguientes aspectos:</w:t>
      </w:r>
    </w:p>
    <w:p w:rsidR="006E006F" w:rsidRPr="00CE04C0" w:rsidRDefault="006E006F" w:rsidP="006E006F">
      <w:pPr>
        <w:pStyle w:val="SingleTxtG"/>
      </w:pPr>
      <w:r>
        <w:tab/>
        <w:t>a)</w:t>
      </w:r>
      <w:r>
        <w:tab/>
      </w:r>
      <w:r w:rsidRPr="00CE04C0">
        <w:t>La elaboración de todas medidas de aplicación adoptadas por los gobiernos;</w:t>
      </w:r>
    </w:p>
    <w:p w:rsidR="006E006F" w:rsidRPr="00CE04C0" w:rsidRDefault="006E006F" w:rsidP="006E006F">
      <w:pPr>
        <w:pStyle w:val="SingleTxtG"/>
      </w:pPr>
      <w:r>
        <w:tab/>
        <w:t>b)</w:t>
      </w:r>
      <w:r>
        <w:tab/>
      </w:r>
      <w:r w:rsidRPr="00CE04C0">
        <w:t>Las decisiones individuales tomadas por autoridades judiciales o administrativas o por entidades públicas a través de sus agentes que afectan a uno o varios niños en concreto;</w:t>
      </w:r>
    </w:p>
    <w:p w:rsidR="006E006F" w:rsidRPr="00CE04C0" w:rsidRDefault="006E006F" w:rsidP="006E006F">
      <w:pPr>
        <w:pStyle w:val="SingleTxtG"/>
      </w:pPr>
      <w:r>
        <w:tab/>
        <w:t>c)</w:t>
      </w:r>
      <w:r>
        <w:tab/>
      </w:r>
      <w:r w:rsidRPr="00CE04C0">
        <w:t>Las decisiones adoptadas por entidades de la sociedad civil y el sector privado, incluidas las organizaciones con y sin fines de lucro, que prestan servicios relacionados con los niños o que les afectan;</w:t>
      </w:r>
    </w:p>
    <w:p w:rsidR="006E006F" w:rsidRPr="00CE04C0" w:rsidRDefault="006E006F" w:rsidP="006E006F">
      <w:pPr>
        <w:pStyle w:val="SingleTxtG"/>
      </w:pPr>
      <w:r>
        <w:tab/>
        <w:t>d)</w:t>
      </w:r>
      <w:r>
        <w:tab/>
      </w:r>
      <w:r w:rsidRPr="00CE04C0">
        <w:t>Las directrices relacionadas con medidas tomadas por personas que trabajan con los niños</w:t>
      </w:r>
      <w:r>
        <w:t xml:space="preserve"> </w:t>
      </w:r>
      <w:r w:rsidRPr="00CE04C0">
        <w:t>y para</w:t>
      </w:r>
      <w:r>
        <w:t xml:space="preserve"> ellos</w:t>
      </w:r>
      <w:r w:rsidRPr="00CE04C0">
        <w:t>, en particular los padres y los cuidadores.</w:t>
      </w:r>
    </w:p>
    <w:p w:rsidR="006E006F" w:rsidRPr="00CE04C0" w:rsidRDefault="006E006F" w:rsidP="006E006F">
      <w:pPr>
        <w:pStyle w:val="HChG"/>
      </w:pPr>
      <w:r>
        <w:tab/>
        <w:t>III.</w:t>
      </w:r>
      <w:r>
        <w:tab/>
      </w:r>
      <w:r w:rsidRPr="00CE04C0">
        <w:t>Naturaleza y alcance de las obligaciones de los</w:t>
      </w:r>
      <w:r w:rsidR="00E53D6A">
        <w:br/>
      </w:r>
      <w:r w:rsidRPr="00CE04C0">
        <w:t>Estados partes</w:t>
      </w:r>
    </w:p>
    <w:p w:rsidR="006E006F" w:rsidRPr="00CE04C0" w:rsidRDefault="006E006F" w:rsidP="00E15CCD">
      <w:pPr>
        <w:pStyle w:val="SingleTxtG"/>
        <w:spacing w:line="230" w:lineRule="atLeast"/>
      </w:pPr>
      <w:r>
        <w:t>13.</w:t>
      </w:r>
      <w:r>
        <w:tab/>
      </w:r>
      <w:r w:rsidRPr="00CE04C0">
        <w:t xml:space="preserve">Todos los Estados partes deben respetar y </w:t>
      </w:r>
      <w:r>
        <w:t>poner en práctica</w:t>
      </w:r>
      <w:r w:rsidRPr="00CE04C0">
        <w:t xml:space="preserve"> el derecho del niño a que su interés superior </w:t>
      </w:r>
      <w:r>
        <w:t>se evalúe y constituya una consideración primordial</w:t>
      </w:r>
      <w:r w:rsidRPr="00CE04C0">
        <w:t>, y tienen la obligación de adoptar todas las medidas necesarias,</w:t>
      </w:r>
      <w:r>
        <w:t xml:space="preserve"> expresas</w:t>
      </w:r>
      <w:r w:rsidRPr="00CE04C0">
        <w:t xml:space="preserve"> y concretas para </w:t>
      </w:r>
      <w:r>
        <w:t xml:space="preserve">hacer plenamente efectivas </w:t>
      </w:r>
      <w:r w:rsidRPr="00CE04C0">
        <w:t>este derecho.</w:t>
      </w:r>
    </w:p>
    <w:p w:rsidR="006E006F" w:rsidRPr="00CE04C0" w:rsidRDefault="006E006F" w:rsidP="00E15CCD">
      <w:pPr>
        <w:pStyle w:val="SingleTxtG"/>
        <w:spacing w:line="230" w:lineRule="atLeast"/>
      </w:pPr>
      <w:r>
        <w:t>14.</w:t>
      </w:r>
      <w:r>
        <w:tab/>
      </w:r>
      <w:r w:rsidRPr="00CE04C0">
        <w:t>El artículo 3, párrafo 1, establece un marco con tres tipos diferentes de obligaciones para los Estados partes, a saber:</w:t>
      </w:r>
    </w:p>
    <w:p w:rsidR="006E006F" w:rsidRPr="00CE04C0" w:rsidRDefault="006E006F" w:rsidP="00E15CCD">
      <w:pPr>
        <w:pStyle w:val="SingleTxtG"/>
        <w:spacing w:line="230" w:lineRule="atLeast"/>
      </w:pPr>
      <w:r>
        <w:tab/>
        <w:t>a)</w:t>
      </w:r>
      <w:r>
        <w:tab/>
      </w:r>
      <w:r w:rsidRPr="00CE04C0">
        <w:t>La obligación de garantizar que el interés superior del niño se integre de manera adecuada y se aplique sistemáticamente en todas las medidas de las instituciones públicas, en especial en todas las medidas de ejecución y los proce</w:t>
      </w:r>
      <w:r>
        <w:t>dimientos</w:t>
      </w:r>
      <w:r w:rsidRPr="00CE04C0">
        <w:t xml:space="preserve"> administrativos y judiciales que afectan directa o indirectamente a los niños;</w:t>
      </w:r>
    </w:p>
    <w:p w:rsidR="006E006F" w:rsidRPr="00CE04C0" w:rsidRDefault="006E006F" w:rsidP="00E15CCD">
      <w:pPr>
        <w:pStyle w:val="SingleTxtG"/>
        <w:spacing w:line="230" w:lineRule="atLeast"/>
      </w:pPr>
      <w:r>
        <w:tab/>
        <w:t>b)</w:t>
      </w:r>
      <w:r>
        <w:tab/>
      </w:r>
      <w:r w:rsidRPr="00CE04C0">
        <w:t xml:space="preserve">La obligación de velar por que todas las decisiones judiciales y administrativas, las políticas y la legislación relacionadas con los niños dejen patente que </w:t>
      </w:r>
      <w:r>
        <w:t>el</w:t>
      </w:r>
      <w:r w:rsidRPr="00CE04C0">
        <w:t xml:space="preserve"> interés superior </w:t>
      </w:r>
      <w:r>
        <w:t xml:space="preserve">de estos </w:t>
      </w:r>
      <w:r w:rsidRPr="00CE04C0">
        <w:t>ha sido una consideración primordial</w:t>
      </w:r>
      <w:r>
        <w:t>;</w:t>
      </w:r>
      <w:r w:rsidRPr="00CE04C0">
        <w:t xml:space="preserve"> ello </w:t>
      </w:r>
      <w:r>
        <w:t xml:space="preserve">incluye explicar cómo </w:t>
      </w:r>
      <w:r w:rsidRPr="00CE04C0">
        <w:t xml:space="preserve">se ha examinado y evaluado el interés superior del niño, y la importancia </w:t>
      </w:r>
      <w:r w:rsidR="006162AB">
        <w:t xml:space="preserve">que </w:t>
      </w:r>
      <w:r w:rsidRPr="00CE04C0">
        <w:t>se le ha atribuido en la decisión.</w:t>
      </w:r>
    </w:p>
    <w:p w:rsidR="006E006F" w:rsidRPr="00CE04C0" w:rsidRDefault="006E006F" w:rsidP="00E15CCD">
      <w:pPr>
        <w:pStyle w:val="SingleTxtG"/>
        <w:spacing w:line="230" w:lineRule="atLeast"/>
      </w:pPr>
      <w:r>
        <w:tab/>
        <w:t>c)</w:t>
      </w:r>
      <w:r>
        <w:tab/>
      </w:r>
      <w:r w:rsidRPr="00CE04C0">
        <w:t xml:space="preserve">La obligación de garantizar que el interés del niño </w:t>
      </w:r>
      <w:r>
        <w:t xml:space="preserve">se </w:t>
      </w:r>
      <w:r w:rsidRPr="00CE04C0">
        <w:t xml:space="preserve">ha </w:t>
      </w:r>
      <w:r>
        <w:t>evaluado y ha constituido</w:t>
      </w:r>
      <w:r w:rsidRPr="00CE04C0">
        <w:t xml:space="preserve"> una consideración primordial en las decisiones y medidas adoptadas por el sector privado, incluidos los proveedores de servicios, o cualquier otra entidad o institución privada</w:t>
      </w:r>
      <w:r>
        <w:t>s</w:t>
      </w:r>
      <w:r w:rsidRPr="00CE04C0">
        <w:t xml:space="preserve"> que tome</w:t>
      </w:r>
      <w:r>
        <w:t>n</w:t>
      </w:r>
      <w:r w:rsidRPr="00CE04C0">
        <w:t xml:space="preserve"> decisiones que conciernan o afecten a</w:t>
      </w:r>
      <w:r>
        <w:t xml:space="preserve"> un</w:t>
      </w:r>
      <w:r w:rsidRPr="00CE04C0">
        <w:t xml:space="preserve"> niño.</w:t>
      </w:r>
    </w:p>
    <w:p w:rsidR="006E006F" w:rsidRPr="00CE04C0" w:rsidRDefault="006E006F" w:rsidP="006E006F">
      <w:pPr>
        <w:pStyle w:val="SingleTxtG"/>
      </w:pPr>
      <w:r>
        <w:t>15.</w:t>
      </w:r>
      <w:r>
        <w:tab/>
      </w:r>
      <w:r w:rsidRPr="00CE04C0">
        <w:t xml:space="preserve">Para garantizar el cumplimiento de </w:t>
      </w:r>
      <w:r>
        <w:t>esas obligaciones</w:t>
      </w:r>
      <w:r w:rsidRPr="00CE04C0">
        <w:t xml:space="preserve">, los Estados partes deben adoptar una serie de medidas de aplicación de conformidad con los artículos 4, 42 y 44, párrafo 6, de la Convención, y velar por que el interés superior del niño sea una consideración primordial en todas </w:t>
      </w:r>
      <w:r>
        <w:t>sus actuaciones; entre esas medidas</w:t>
      </w:r>
      <w:r w:rsidRPr="00CE04C0">
        <w:t xml:space="preserve">, </w:t>
      </w:r>
      <w:r>
        <w:t>cabe citar</w:t>
      </w:r>
      <w:r w:rsidRPr="00CE04C0">
        <w:t>:</w:t>
      </w:r>
    </w:p>
    <w:p w:rsidR="006E006F" w:rsidRPr="00CE04C0" w:rsidRDefault="006E006F" w:rsidP="006E006F">
      <w:pPr>
        <w:pStyle w:val="SingleTxtG"/>
      </w:pPr>
      <w:r>
        <w:tab/>
        <w:t>a)</w:t>
      </w:r>
      <w:r>
        <w:tab/>
        <w:t>Examinar</w:t>
      </w:r>
      <w:r w:rsidRPr="00CE04C0">
        <w:t xml:space="preserve"> y, en su caso, modificar la legislación nacional y otras fuentes del derecho para incorporar el artículo 3, párrafo 1, y velar por que el requisito de que se tenga en cuenta el interés superior del niño se recoja y aplique en todas las leyes y reglamentos nacionales, la legislación provincial o territorial, las normas que rigen el funcionamiento de las instituciones públicas o privadas que prestan servicios relacionados con los niños o que repercuten en ellos, y los procedimientos judiciales y administrativos a todos los niveles, como un derecho sustantivo y una norma de procedimiento;</w:t>
      </w:r>
    </w:p>
    <w:p w:rsidR="006E006F" w:rsidRPr="00CE04C0" w:rsidRDefault="006E006F" w:rsidP="006E006F">
      <w:pPr>
        <w:pStyle w:val="SingleTxtG"/>
      </w:pPr>
      <w:r>
        <w:tab/>
        <w:t>b)</w:t>
      </w:r>
      <w:r>
        <w:tab/>
      </w:r>
      <w:r w:rsidRPr="00CE04C0">
        <w:t xml:space="preserve">Reafirmar el interés superior del niño en la coordinación y aplicación de políticas </w:t>
      </w:r>
      <w:r>
        <w:t>en los planos</w:t>
      </w:r>
      <w:r w:rsidRPr="00CE04C0">
        <w:t xml:space="preserve"> nacional, regional y local;</w:t>
      </w:r>
    </w:p>
    <w:p w:rsidR="006E006F" w:rsidRPr="00CE04C0" w:rsidRDefault="006E006F" w:rsidP="006E006F">
      <w:pPr>
        <w:pStyle w:val="SingleTxtG"/>
      </w:pPr>
      <w:r>
        <w:tab/>
        <w:t>c)</w:t>
      </w:r>
      <w:r>
        <w:tab/>
      </w:r>
      <w:r w:rsidRPr="00CE04C0">
        <w:t xml:space="preserve">Establecer mecanismos y procedimientos de </w:t>
      </w:r>
      <w:r>
        <w:t xml:space="preserve">denuncia, curso </w:t>
      </w:r>
      <w:r w:rsidRPr="00CE04C0">
        <w:t xml:space="preserve">o reparación con el fin de </w:t>
      </w:r>
      <w:r>
        <w:t xml:space="preserve">dar plenos efectos al </w:t>
      </w:r>
      <w:r w:rsidRPr="00CE04C0">
        <w:t>derecho del niño a que su interés superior se integre debidamente y se aplique de manera sistemática en todas las medidas de ejecución y proce</w:t>
      </w:r>
      <w:r>
        <w:t>dimientos</w:t>
      </w:r>
      <w:r w:rsidRPr="00CE04C0">
        <w:t xml:space="preserve"> administrativos y judiciales relacionados con él o que le afecten;</w:t>
      </w:r>
    </w:p>
    <w:p w:rsidR="006E006F" w:rsidRPr="00CE04C0" w:rsidRDefault="006E006F" w:rsidP="006E006F">
      <w:pPr>
        <w:pStyle w:val="SingleTxtG"/>
      </w:pPr>
      <w:r>
        <w:tab/>
        <w:t>d)</w:t>
      </w:r>
      <w:r>
        <w:tab/>
      </w:r>
      <w:r w:rsidRPr="00CE04C0">
        <w:t>Reafirmar el interés superior del niño en la asignación de los recursos nacionales para los programas y las medidas destinados a</w:t>
      </w:r>
      <w:r>
        <w:t xml:space="preserve"> dar efectos a </w:t>
      </w:r>
      <w:r w:rsidRPr="00CE04C0">
        <w:t>los derechos del niño, así como en las actividades que reciben asistencia internacional o ayuda para el desarrollo;</w:t>
      </w:r>
    </w:p>
    <w:p w:rsidR="006E006F" w:rsidRPr="00CE04C0" w:rsidRDefault="006E006F" w:rsidP="006E006F">
      <w:pPr>
        <w:pStyle w:val="SingleTxtG"/>
      </w:pPr>
      <w:r>
        <w:tab/>
        <w:t>e)</w:t>
      </w:r>
      <w:r>
        <w:tab/>
      </w:r>
      <w:r w:rsidRPr="00CE04C0">
        <w:t xml:space="preserve">Al establecer, supervisar y evaluar </w:t>
      </w:r>
      <w:r>
        <w:t xml:space="preserve">la reunión </w:t>
      </w:r>
      <w:r w:rsidRPr="00CE04C0">
        <w:t xml:space="preserve">de datos, velar por que el interés superior del niño se </w:t>
      </w:r>
      <w:r>
        <w:t>explicite claramente</w:t>
      </w:r>
      <w:r w:rsidRPr="00CE04C0">
        <w:t xml:space="preserve"> y, cuando sea necesario, apoyar </w:t>
      </w:r>
      <w:r>
        <w:t>los estudios</w:t>
      </w:r>
      <w:r w:rsidRPr="00CE04C0">
        <w:t xml:space="preserve"> sobre cuestiones relacionadas con los derechos del niño;</w:t>
      </w:r>
    </w:p>
    <w:p w:rsidR="006E006F" w:rsidRPr="00CE04C0" w:rsidRDefault="006E006F" w:rsidP="006E006F">
      <w:pPr>
        <w:pStyle w:val="SingleTxtG"/>
      </w:pPr>
      <w:r>
        <w:tab/>
        <w:t>f)</w:t>
      </w:r>
      <w:r>
        <w:tab/>
      </w:r>
      <w:r w:rsidRPr="00CE04C0">
        <w:t xml:space="preserve">Proporcionar información y </w:t>
      </w:r>
      <w:r>
        <w:t>capacitación</w:t>
      </w:r>
      <w:r w:rsidRPr="00CE04C0">
        <w:t xml:space="preserve"> sobre el artículo 3, párrafo 1, y su aplicación efectiva a todos los responsables de la toma de decisiones que afectan directa o indirectamente al niño, </w:t>
      </w:r>
      <w:r>
        <w:t>entre ellos</w:t>
      </w:r>
      <w:r w:rsidRPr="00CE04C0">
        <w:t xml:space="preserve"> los profesionales y otras personas que trabajan para los niños</w:t>
      </w:r>
      <w:r>
        <w:t xml:space="preserve"> y con ellos</w:t>
      </w:r>
      <w:r w:rsidRPr="00CE04C0">
        <w:t>;</w:t>
      </w:r>
    </w:p>
    <w:p w:rsidR="006E006F" w:rsidRPr="00CE04C0" w:rsidRDefault="006E006F" w:rsidP="006E006F">
      <w:pPr>
        <w:pStyle w:val="SingleTxtG"/>
      </w:pPr>
      <w:r>
        <w:tab/>
        <w:t>g)</w:t>
      </w:r>
      <w:r>
        <w:tab/>
      </w:r>
      <w:r w:rsidRPr="00CE04C0">
        <w:t>Proporcionar a los niños información adecuada</w:t>
      </w:r>
      <w:r>
        <w:t xml:space="preserve"> </w:t>
      </w:r>
      <w:r w:rsidRPr="00CE04C0">
        <w:t xml:space="preserve">utilizando un lenguaje que puedan entender, así como a sus familiares y cuidadores, para que comprendan el alcance del derecho protegido por el artículo 3, párrafo 1, crear las condiciones necesarias para que los niños expresen su punto de vista y velar por que </w:t>
      </w:r>
      <w:r>
        <w:t xml:space="preserve">a </w:t>
      </w:r>
      <w:r w:rsidRPr="00CE04C0">
        <w:t xml:space="preserve">sus opiniones se </w:t>
      </w:r>
      <w:r>
        <w:t>les dé la importancia debida</w:t>
      </w:r>
      <w:r w:rsidRPr="00CE04C0">
        <w:t>;</w:t>
      </w:r>
    </w:p>
    <w:p w:rsidR="006E006F" w:rsidRPr="00CE04C0" w:rsidRDefault="006E006F" w:rsidP="006E006F">
      <w:pPr>
        <w:pStyle w:val="SingleTxtG"/>
      </w:pPr>
      <w:r>
        <w:tab/>
        <w:t>h)</w:t>
      </w:r>
      <w:r>
        <w:tab/>
      </w:r>
      <w:r w:rsidRPr="00CE04C0">
        <w:t xml:space="preserve">Luchar contra todas las actitudes </w:t>
      </w:r>
      <w:r>
        <w:t xml:space="preserve">negativas </w:t>
      </w:r>
      <w:r w:rsidRPr="00CE04C0">
        <w:t xml:space="preserve">y prejuicios que impiden la plena </w:t>
      </w:r>
      <w:r>
        <w:t>efectividad</w:t>
      </w:r>
      <w:r w:rsidRPr="00CE04C0">
        <w:t xml:space="preserve"> del derecho del niño a que su interés superior se</w:t>
      </w:r>
      <w:r>
        <w:t xml:space="preserve"> evalúe y constituya </w:t>
      </w:r>
      <w:r w:rsidRPr="00CE04C0">
        <w:t xml:space="preserve">una consideración primordial, mediante programas de comunicación </w:t>
      </w:r>
      <w:r>
        <w:t xml:space="preserve">en los que colaboren </w:t>
      </w:r>
      <w:r w:rsidRPr="00CE04C0">
        <w:t xml:space="preserve">medios de </w:t>
      </w:r>
      <w:r>
        <w:t xml:space="preserve">difusión, </w:t>
      </w:r>
      <w:r w:rsidRPr="00CE04C0">
        <w:t xml:space="preserve">redes sociales </w:t>
      </w:r>
      <w:r>
        <w:t xml:space="preserve">y los propios </w:t>
      </w:r>
      <w:r w:rsidRPr="00CE04C0">
        <w:t>niños, a fin de que se reconozca a los niños como titulares de derechos.</w:t>
      </w:r>
    </w:p>
    <w:p w:rsidR="006E006F" w:rsidRPr="00CE04C0" w:rsidRDefault="006E006F" w:rsidP="006E006F">
      <w:pPr>
        <w:pStyle w:val="SingleTxtG"/>
      </w:pPr>
      <w:r>
        <w:t>16.</w:t>
      </w:r>
      <w:r>
        <w:tab/>
      </w:r>
      <w:r w:rsidRPr="00CE04C0">
        <w:t>Al dar pleno efecto al interés superior del niño, deben tenerse en cuenta los parámetros siguientes:</w:t>
      </w:r>
    </w:p>
    <w:p w:rsidR="006E006F" w:rsidRPr="00CE04C0" w:rsidRDefault="006E006F" w:rsidP="006E006F">
      <w:pPr>
        <w:pStyle w:val="SingleTxtG"/>
      </w:pPr>
      <w:r>
        <w:tab/>
        <w:t>a)</w:t>
      </w:r>
      <w:r>
        <w:tab/>
      </w:r>
      <w:r w:rsidRPr="00CE04C0">
        <w:t>El carácter universal, indivisible, interdependiente e interrelacionado de los derechos del niño;</w:t>
      </w:r>
    </w:p>
    <w:p w:rsidR="006E006F" w:rsidRPr="00CE04C0" w:rsidRDefault="006E006F" w:rsidP="006E006F">
      <w:pPr>
        <w:pStyle w:val="SingleTxtG"/>
      </w:pPr>
      <w:r>
        <w:tab/>
        <w:t>b)</w:t>
      </w:r>
      <w:r>
        <w:tab/>
      </w:r>
      <w:r w:rsidRPr="00CE04C0">
        <w:t>El reconocimiento de los niños como titulares de derechos;</w:t>
      </w:r>
    </w:p>
    <w:p w:rsidR="006E006F" w:rsidRPr="00CE04C0" w:rsidRDefault="006E006F" w:rsidP="006E006F">
      <w:pPr>
        <w:pStyle w:val="SingleTxtG"/>
      </w:pPr>
      <w:r>
        <w:tab/>
        <w:t>c)</w:t>
      </w:r>
      <w:r>
        <w:tab/>
      </w:r>
      <w:r w:rsidRPr="00CE04C0">
        <w:t xml:space="preserve">La naturaleza y el alcance </w:t>
      </w:r>
      <w:r>
        <w:t>globales</w:t>
      </w:r>
      <w:r w:rsidRPr="00CE04C0">
        <w:t xml:space="preserve"> de la Convención;</w:t>
      </w:r>
    </w:p>
    <w:p w:rsidR="006E006F" w:rsidRPr="00CE04C0" w:rsidRDefault="006E006F" w:rsidP="006E006F">
      <w:pPr>
        <w:pStyle w:val="SingleTxtG"/>
      </w:pPr>
      <w:r>
        <w:tab/>
        <w:t>d)</w:t>
      </w:r>
      <w:r>
        <w:tab/>
      </w:r>
      <w:r w:rsidRPr="00CE04C0">
        <w:t xml:space="preserve">La obligación de los Estados partes de respetar, proteger y </w:t>
      </w:r>
      <w:r>
        <w:t xml:space="preserve">llevar a efecto </w:t>
      </w:r>
      <w:r w:rsidRPr="00CE04C0">
        <w:t>todos los derechos de la Convención;</w:t>
      </w:r>
    </w:p>
    <w:p w:rsidR="006E006F" w:rsidRPr="00CE04C0" w:rsidRDefault="006E006F" w:rsidP="006E006F">
      <w:pPr>
        <w:pStyle w:val="SingleTxtG"/>
      </w:pPr>
      <w:r>
        <w:tab/>
        <w:t>e)</w:t>
      </w:r>
      <w:r>
        <w:tab/>
      </w:r>
      <w:r w:rsidRPr="00CE04C0">
        <w:t>Los efectos a corto, medio y largo plazo de las medidas relacionadas con el desarrollo del niño a lo largo del tiempo.</w:t>
      </w:r>
    </w:p>
    <w:p w:rsidR="006E006F" w:rsidRPr="00CE04C0" w:rsidRDefault="006E006F" w:rsidP="006E006F">
      <w:pPr>
        <w:pStyle w:val="HChG"/>
      </w:pPr>
      <w:r>
        <w:tab/>
        <w:t>IV.</w:t>
      </w:r>
      <w:r>
        <w:tab/>
      </w:r>
      <w:r w:rsidRPr="00CE04C0">
        <w:t xml:space="preserve">Análisis jurídico y relación con los principios generales </w:t>
      </w:r>
      <w:r>
        <w:br/>
      </w:r>
      <w:r w:rsidRPr="00CE04C0">
        <w:t>de la Convención</w:t>
      </w:r>
    </w:p>
    <w:p w:rsidR="006E006F" w:rsidRPr="00CE04C0" w:rsidRDefault="006E006F" w:rsidP="006E006F">
      <w:pPr>
        <w:pStyle w:val="H1G"/>
      </w:pPr>
      <w:r>
        <w:tab/>
        <w:t>A.</w:t>
      </w:r>
      <w:r>
        <w:tab/>
      </w:r>
      <w:r w:rsidRPr="00CE04C0">
        <w:t>Análisis jurídico del artículo 3, párrafo 1</w:t>
      </w:r>
    </w:p>
    <w:p w:rsidR="006E006F" w:rsidRPr="00CE04C0" w:rsidRDefault="006E006F" w:rsidP="006E006F">
      <w:pPr>
        <w:pStyle w:val="H23G"/>
      </w:pPr>
      <w:r>
        <w:tab/>
        <w:t>1.</w:t>
      </w:r>
      <w:r>
        <w:tab/>
      </w:r>
      <w:r w:rsidRPr="00CE04C0">
        <w:t>"En todas las medidas concernientes a los niños"</w:t>
      </w:r>
    </w:p>
    <w:p w:rsidR="006E006F" w:rsidRPr="00CE04C0" w:rsidRDefault="006E006F" w:rsidP="006E006F">
      <w:pPr>
        <w:pStyle w:val="H23G"/>
      </w:pPr>
      <w:r>
        <w:tab/>
        <w:t>a)</w:t>
      </w:r>
      <w:r>
        <w:tab/>
      </w:r>
      <w:r w:rsidRPr="00CE04C0">
        <w:t>"</w:t>
      </w:r>
      <w:r w:rsidR="006162AB">
        <w:t>E</w:t>
      </w:r>
      <w:r w:rsidRPr="00CE04C0">
        <w:t>n todas las medidas"</w:t>
      </w:r>
    </w:p>
    <w:p w:rsidR="006E006F" w:rsidRPr="00CE04C0" w:rsidRDefault="006E006F" w:rsidP="006E006F">
      <w:pPr>
        <w:pStyle w:val="SingleTxtG"/>
      </w:pPr>
      <w:r>
        <w:t>17.</w:t>
      </w:r>
      <w:r>
        <w:tab/>
      </w:r>
      <w:r w:rsidRPr="00CE04C0">
        <w:t>El objetivo del artículo 3, párrafo 1, es velar por que el derecho se observe en todas las decisiones y medidas relacionadas con el niño. Esto significa que, en cualquier medida que tenga que ver con uno o varios niños, su interés superior deberá ser una consideración primordial</w:t>
      </w:r>
      <w:r>
        <w:t xml:space="preserve"> a que se atenderá</w:t>
      </w:r>
      <w:r w:rsidRPr="00CE04C0">
        <w:t>. El término "medida" incluye no solo</w:t>
      </w:r>
      <w:r>
        <w:t xml:space="preserve"> </w:t>
      </w:r>
      <w:r w:rsidRPr="00CE04C0">
        <w:t>las decisiones, sino también todos los actos, conductas, propuestas, servicios, procedimientos y demás iniciativas.</w:t>
      </w:r>
    </w:p>
    <w:p w:rsidR="006E006F" w:rsidRPr="00CE04C0" w:rsidRDefault="006E006F" w:rsidP="006E006F">
      <w:pPr>
        <w:pStyle w:val="SingleTxtG"/>
      </w:pPr>
      <w:r>
        <w:t>18.</w:t>
      </w:r>
      <w:r>
        <w:tab/>
      </w:r>
      <w:r w:rsidRPr="00CE04C0">
        <w:t xml:space="preserve">La pasividad o inactividad y las omisiones también </w:t>
      </w:r>
      <w:r>
        <w:t xml:space="preserve">están incluidas en el concepto </w:t>
      </w:r>
      <w:r w:rsidRPr="00CE04C0">
        <w:t>"medidas", por ejemplo, cuando las autoridades de bienestar social no toman medidas para proteger a los niños del abandono o los malos tratos.</w:t>
      </w:r>
    </w:p>
    <w:p w:rsidR="006E006F" w:rsidRPr="00CE04C0" w:rsidRDefault="006E006F" w:rsidP="006E006F">
      <w:pPr>
        <w:pStyle w:val="H23G"/>
      </w:pPr>
      <w:r>
        <w:tab/>
        <w:t>b)</w:t>
      </w:r>
      <w:r>
        <w:tab/>
      </w:r>
      <w:r w:rsidRPr="00CE04C0">
        <w:t>"</w:t>
      </w:r>
      <w:r w:rsidR="006162AB">
        <w:t>C</w:t>
      </w:r>
      <w:r w:rsidRPr="00CE04C0">
        <w:t>oncernientes a"</w:t>
      </w:r>
    </w:p>
    <w:p w:rsidR="006E006F" w:rsidRPr="00CE04C0" w:rsidRDefault="006E006F" w:rsidP="006E006F">
      <w:pPr>
        <w:pStyle w:val="SingleTxtG"/>
      </w:pPr>
      <w:r>
        <w:t>19.</w:t>
      </w:r>
      <w:r>
        <w:tab/>
      </w:r>
      <w:r w:rsidRPr="00CE04C0">
        <w:t xml:space="preserve">La obligación jurídica se aplica a todas las decisiones y medidas que afectan directa o indirectamente a los niños. Por lo tanto, la expresión "concernientes a" se refiere, en primer lugar, a las medidas y decisiones relacionadas directamente con un niño, un grupo de niños o los niños en general y, en segundo lugar, a otras medidas que repercutan en un niño en particular, un grupo de niños o los niños en general, aunque </w:t>
      </w:r>
      <w:r>
        <w:t>la medida no vaya dirigida directamente a ellos</w:t>
      </w:r>
      <w:r w:rsidRPr="00CE04C0">
        <w:t>. Como se indica en la Observación general Nº 7 (2005) del Comité, ello incluye las medidas que afecten directamente a los niños (por ejemplo, en relación con los servicios de atención de la salud, sistemas de guarda o escuelas), así como aquellas que repercutan indirectamente en los niños pequeños y otros grupos de población (por ejemplo, en relación con el medio ambiente, la vivienda o el transporte) (párr. 13 b)). Así pues, la expresión "concernientes a" debe entenderse en un sentido muy amplio.</w:t>
      </w:r>
    </w:p>
    <w:p w:rsidR="006E006F" w:rsidRPr="00CE04C0" w:rsidRDefault="006E006F" w:rsidP="006E006F">
      <w:pPr>
        <w:pStyle w:val="SingleTxtG"/>
      </w:pPr>
      <w:r>
        <w:t>20.</w:t>
      </w:r>
      <w:r>
        <w:tab/>
      </w:r>
      <w:r w:rsidRPr="00CE04C0">
        <w:t xml:space="preserve">En efecto, todas las medidas adoptadas por un Estado afectan de una manera u otra a los niños. Ello no significa que cada medida que tome el Estado deba prever un proceso completo y </w:t>
      </w:r>
      <w:r>
        <w:t xml:space="preserve">oficial para </w:t>
      </w:r>
      <w:r w:rsidRPr="00CE04C0">
        <w:t>evalua</w:t>
      </w:r>
      <w:r>
        <w:t>r</w:t>
      </w:r>
      <w:r w:rsidRPr="00CE04C0">
        <w:t xml:space="preserve"> y determina</w:t>
      </w:r>
      <w:r>
        <w:t>r</w:t>
      </w:r>
      <w:r w:rsidRPr="00CE04C0">
        <w:t xml:space="preserve"> el interés superior del niño. Sin embargo, cuando una decisión va</w:t>
      </w:r>
      <w:r>
        <w:t>ya</w:t>
      </w:r>
      <w:r w:rsidRPr="00CE04C0">
        <w:t xml:space="preserve"> a tener repercusiones importantes en uno o varios niños, es preciso adoptar un mayor nivel de protección y procedimientos detallados para tener en cuenta su interés superior.</w:t>
      </w:r>
      <w:r>
        <w:t xml:space="preserve"> </w:t>
      </w:r>
      <w:r w:rsidRPr="00CE04C0">
        <w:t>Así pues, en relación con las medidas que no se refieren directamente a uno o varios niños, la expresión "concernientes a" tendría que aclararse en función de las circunstancias de cada caso para evaluar los efectos de la medida en el niño o los niños.</w:t>
      </w:r>
    </w:p>
    <w:p w:rsidR="006E006F" w:rsidRPr="00CE04C0" w:rsidRDefault="006E006F" w:rsidP="006E006F">
      <w:pPr>
        <w:pStyle w:val="H23G"/>
      </w:pPr>
      <w:r>
        <w:tab/>
        <w:t>c)</w:t>
      </w:r>
      <w:r>
        <w:tab/>
      </w:r>
      <w:r w:rsidR="006162AB">
        <w:t>"L</w:t>
      </w:r>
      <w:r w:rsidRPr="00CE04C0">
        <w:t>os niños"</w:t>
      </w:r>
    </w:p>
    <w:p w:rsidR="006E006F" w:rsidRPr="00CE04C0" w:rsidRDefault="006E006F" w:rsidP="006E006F">
      <w:pPr>
        <w:pStyle w:val="SingleTxtG"/>
      </w:pPr>
      <w:r>
        <w:t>21.</w:t>
      </w:r>
      <w:r>
        <w:tab/>
      </w:r>
      <w:r w:rsidRPr="00CE04C0">
        <w:t>El término "niños" se refiere a todas las personas menores de 18 años sujetas a la jurisdicción de un Estado parte, sin discriminación alguna, de conformidad con lo dispuesto en los artículos 1 y 2 de la Convención.</w:t>
      </w:r>
    </w:p>
    <w:p w:rsidR="006E006F" w:rsidRPr="00CE04C0" w:rsidRDefault="006E006F" w:rsidP="006E006F">
      <w:pPr>
        <w:pStyle w:val="SingleTxtG"/>
      </w:pPr>
      <w:r>
        <w:t>22.</w:t>
      </w:r>
      <w:r>
        <w:tab/>
      </w:r>
      <w:r w:rsidRPr="00CE04C0">
        <w:t xml:space="preserve">El artículo 3, párrafo 1, se aplica a los niños </w:t>
      </w:r>
      <w:r>
        <w:t>con carácter individual</w:t>
      </w:r>
      <w:r w:rsidRPr="00CE04C0">
        <w:t xml:space="preserve"> y obliga a los Estados partes a que el interés superior del niño se</w:t>
      </w:r>
      <w:r>
        <w:t xml:space="preserve"> evalúe y constituya</w:t>
      </w:r>
      <w:r w:rsidRPr="00CE04C0">
        <w:t xml:space="preserve"> una consideración primordial en las decisiones </w:t>
      </w:r>
      <w:r>
        <w:t>particulares</w:t>
      </w:r>
      <w:r w:rsidRPr="00CE04C0">
        <w:t>.</w:t>
      </w:r>
    </w:p>
    <w:p w:rsidR="006E006F" w:rsidRPr="00CE04C0" w:rsidRDefault="006E006F" w:rsidP="006E006F">
      <w:pPr>
        <w:pStyle w:val="SingleTxtG"/>
      </w:pPr>
      <w:r>
        <w:t>23.</w:t>
      </w:r>
      <w:r>
        <w:tab/>
      </w:r>
      <w:r w:rsidRPr="00CE04C0">
        <w:t>Sin embargo, el término "niños" implica que el derecho a que se atienda debidamente a su interés superior no solo se aplique a los niños con carácter individual, sino también general o como grupo. Por consiguiente, los Estados tienen la obligación de evaluar y tener en cuenta como consideración primordial el interés superior de los niños como grupo o en general en todas las medidas que les conciernan. Ello atañe en particular a todas las medidas de aplicación. El Comité</w:t>
      </w:r>
      <w:r w:rsidRPr="00AD1646">
        <w:rPr>
          <w:rStyle w:val="FootnoteReference"/>
        </w:rPr>
        <w:footnoteReference w:id="5"/>
      </w:r>
      <w:r w:rsidRPr="00CE04C0">
        <w:t xml:space="preserve"> señala que el interés superior del niño se concibe como un derecho colectivo y como un derecho individual, y que la aplicación de ese derecho a los niños indígenas como grupo exige que se examine la relación de ese derecho con los derechos culturales colectivos.</w:t>
      </w:r>
    </w:p>
    <w:p w:rsidR="006E006F" w:rsidRPr="00CE04C0" w:rsidRDefault="006E006F" w:rsidP="006E006F">
      <w:pPr>
        <w:pStyle w:val="SingleTxtG"/>
      </w:pPr>
      <w:r>
        <w:t>24.</w:t>
      </w:r>
      <w:r>
        <w:tab/>
        <w:t>Eso</w:t>
      </w:r>
      <w:r w:rsidRPr="00CE04C0">
        <w:t xml:space="preserve"> no quiere decir que, en una decisión relativa a un niño en particular, se deba entender que sus intereses son los mismos que los de los niños en general. Lo que</w:t>
      </w:r>
      <w:r>
        <w:t xml:space="preserve"> </w:t>
      </w:r>
      <w:r w:rsidRPr="00CE04C0">
        <w:t xml:space="preserve">el artículo 3, párrafo 1, </w:t>
      </w:r>
      <w:r>
        <w:t xml:space="preserve">quiere decir </w:t>
      </w:r>
      <w:r w:rsidRPr="00CE04C0">
        <w:t xml:space="preserve">es que el interés superior del niño debe ser evaluado individualmente. Los procedimientos para </w:t>
      </w:r>
      <w:r>
        <w:t>determinar</w:t>
      </w:r>
      <w:r w:rsidRPr="00CE04C0">
        <w:t xml:space="preserve"> el interés superior de</w:t>
      </w:r>
      <w:r>
        <w:t xml:space="preserve"> los</w:t>
      </w:r>
      <w:r w:rsidRPr="00CE04C0">
        <w:t xml:space="preserve"> niño</w:t>
      </w:r>
      <w:r>
        <w:t>s</w:t>
      </w:r>
      <w:r w:rsidRPr="00CE04C0">
        <w:t xml:space="preserve"> </w:t>
      </w:r>
      <w:r>
        <w:t>concretos</w:t>
      </w:r>
      <w:r w:rsidRPr="00CE04C0">
        <w:t xml:space="preserve"> y como grupo figuran en el capítulo V.</w:t>
      </w:r>
    </w:p>
    <w:p w:rsidR="006E006F" w:rsidRPr="00CE04C0" w:rsidRDefault="006E006F" w:rsidP="006E006F">
      <w:pPr>
        <w:pStyle w:val="H23G"/>
      </w:pPr>
      <w:r>
        <w:tab/>
        <w:t>2.</w:t>
      </w:r>
      <w:r>
        <w:tab/>
      </w:r>
      <w:r w:rsidRPr="00CE04C0">
        <w:t xml:space="preserve">"Las instituciones públicas o privadas de bienestar social, los tribunales, </w:t>
      </w:r>
      <w:r>
        <w:br/>
      </w:r>
      <w:r w:rsidRPr="00CE04C0">
        <w:t>las autoridades administrativas o los órganos legislativos"</w:t>
      </w:r>
    </w:p>
    <w:p w:rsidR="006E006F" w:rsidRPr="00CE04C0" w:rsidRDefault="006E006F" w:rsidP="006E006F">
      <w:pPr>
        <w:pStyle w:val="SingleTxtG"/>
      </w:pPr>
      <w:r>
        <w:t>25.</w:t>
      </w:r>
      <w:r>
        <w:tab/>
      </w:r>
      <w:r w:rsidRPr="00CE04C0">
        <w:t xml:space="preserve">La obligación de los Estados de tener debidamente en cuenta el interés superior del niño es un deber general que abarca a todas las instituciones públicas y privadas de bienestar social, los tribunales, las autoridades administrativas y los órganos legislativos </w:t>
      </w:r>
      <w:r>
        <w:t xml:space="preserve">que se ocupen de </w:t>
      </w:r>
      <w:r w:rsidRPr="00CE04C0">
        <w:t xml:space="preserve">los niños o </w:t>
      </w:r>
      <w:r>
        <w:t>les afecten</w:t>
      </w:r>
      <w:r w:rsidRPr="00CE04C0">
        <w:t>. Aunque no se menciona explícitamente a los padres en el artículo 3, párrafo 1, el interés superior del niño será "su preocupación fundamental" (art. 18, párr. 1).</w:t>
      </w:r>
    </w:p>
    <w:p w:rsidR="006E006F" w:rsidRPr="00CE04C0" w:rsidRDefault="006E006F" w:rsidP="006E006F">
      <w:pPr>
        <w:pStyle w:val="H23G"/>
      </w:pPr>
      <w:r>
        <w:tab/>
        <w:t>a)</w:t>
      </w:r>
      <w:r>
        <w:tab/>
      </w:r>
      <w:r w:rsidR="006162AB">
        <w:t>"I</w:t>
      </w:r>
      <w:r w:rsidRPr="00CE04C0">
        <w:t>nstituciones públicas o privadas de bienestar social"</w:t>
      </w:r>
    </w:p>
    <w:p w:rsidR="006E006F" w:rsidRPr="00CE04C0" w:rsidRDefault="006E006F" w:rsidP="006E006F">
      <w:pPr>
        <w:pStyle w:val="SingleTxtG"/>
      </w:pPr>
      <w:r>
        <w:t>26.</w:t>
      </w:r>
      <w:r>
        <w:tab/>
      </w:r>
      <w:r w:rsidRPr="00CE04C0">
        <w:t xml:space="preserve">Estos términos no deberían interpretarse de manera restrictiva </w:t>
      </w:r>
      <w:r>
        <w:t>ni</w:t>
      </w:r>
      <w:r w:rsidRPr="00CE04C0">
        <w:t xml:space="preserve"> limitarse a las instituciones sociales </w:t>
      </w:r>
      <w:r w:rsidRPr="00CE04C0">
        <w:rPr>
          <w:i/>
        </w:rPr>
        <w:t>stricto sensu</w:t>
      </w:r>
      <w:r w:rsidRPr="00CE04C0">
        <w:t xml:space="preserve">, sino entenderse como todas las instituciones cuya labor y decisiones repercuten en los niños y la </w:t>
      </w:r>
      <w:r>
        <w:t>efectividad</w:t>
      </w:r>
      <w:r w:rsidRPr="00CE04C0">
        <w:t xml:space="preserve"> de sus derechos. </w:t>
      </w:r>
      <w:r>
        <w:t>Esas</w:t>
      </w:r>
      <w:r w:rsidRPr="00CE04C0">
        <w:t xml:space="preserve"> instituciones no solo abarcan las relacionadas con los derechos económicos, sociales y culturales (como la asistencia, la salud, el medio ambiente, la educación, </w:t>
      </w:r>
      <w:r>
        <w:t>las actividades comerciales</w:t>
      </w:r>
      <w:r w:rsidRPr="00CE04C0">
        <w:t>, el ocio y el juego</w:t>
      </w:r>
      <w:r>
        <w:t>, por ejemplo</w:t>
      </w:r>
      <w:r w:rsidRPr="00CE04C0">
        <w:t xml:space="preserve">), sino también las que se </w:t>
      </w:r>
      <w:r>
        <w:t>ocupan</w:t>
      </w:r>
      <w:r w:rsidRPr="00CE04C0">
        <w:t xml:space="preserve"> de los derechos y libertades civiles (por ejemplo, el registro de nacimientos y la protección contra la violencia en todos los entornos). Las instituciones privadas de bienestar social </w:t>
      </w:r>
      <w:r>
        <w:t xml:space="preserve">incluyen a </w:t>
      </w:r>
      <w:r w:rsidRPr="00CE04C0">
        <w:t xml:space="preserve">las organizaciones del sector privado </w:t>
      </w:r>
      <w:r>
        <w:t>(c</w:t>
      </w:r>
      <w:r w:rsidRPr="00CE04C0">
        <w:t>on o sin ánimo de lucro</w:t>
      </w:r>
      <w:r>
        <w:t>)</w:t>
      </w:r>
      <w:r w:rsidRPr="00CE04C0">
        <w:t xml:space="preserve"> que intervienen en la prestación de servicios esenciales para que los niños disfruten de sus derechos y que actúan </w:t>
      </w:r>
      <w:r>
        <w:t xml:space="preserve">como alternativa a los servicios públicos, </w:t>
      </w:r>
      <w:r w:rsidRPr="00CE04C0">
        <w:t xml:space="preserve">en nombre de </w:t>
      </w:r>
      <w:r>
        <w:t>el</w:t>
      </w:r>
      <w:r w:rsidRPr="00CE04C0">
        <w:t>los, o junto con ellos.</w:t>
      </w:r>
    </w:p>
    <w:p w:rsidR="006E006F" w:rsidRPr="00CE04C0" w:rsidRDefault="006E006F" w:rsidP="006E006F">
      <w:pPr>
        <w:pStyle w:val="H23G"/>
      </w:pPr>
      <w:r>
        <w:tab/>
        <w:t>b)</w:t>
      </w:r>
      <w:r>
        <w:tab/>
      </w:r>
      <w:r w:rsidR="006162AB">
        <w:t>"L</w:t>
      </w:r>
      <w:r w:rsidRPr="00CE04C0">
        <w:t>os tribunales"</w:t>
      </w:r>
    </w:p>
    <w:p w:rsidR="006E006F" w:rsidRPr="00CE04C0" w:rsidRDefault="006E006F" w:rsidP="006E006F">
      <w:pPr>
        <w:pStyle w:val="SingleTxtG"/>
      </w:pPr>
      <w:r>
        <w:t>27.</w:t>
      </w:r>
      <w:r>
        <w:tab/>
      </w:r>
      <w:r w:rsidRPr="00CE04C0">
        <w:t>El Comité subraya que el término "tribunales" alude a tod</w:t>
      </w:r>
      <w:r>
        <w:t>o</w:t>
      </w:r>
      <w:r w:rsidRPr="00CE04C0">
        <w:t>s los</w:t>
      </w:r>
      <w:r>
        <w:t xml:space="preserve"> procedimientos</w:t>
      </w:r>
      <w:r w:rsidRPr="00CE04C0">
        <w:t xml:space="preserve"> judiciales, de cualquier instancia</w:t>
      </w:r>
      <w:r>
        <w:t>,</w:t>
      </w:r>
      <w:r w:rsidRPr="00CE04C0">
        <w:t xml:space="preserve"> ya estén integrados por jueces profesionales o </w:t>
      </w:r>
      <w:r>
        <w:t xml:space="preserve">personas que no lo sean, </w:t>
      </w:r>
      <w:r w:rsidRPr="00CE04C0">
        <w:t>y tod</w:t>
      </w:r>
      <w:r>
        <w:t>a</w:t>
      </w:r>
      <w:r w:rsidRPr="00CE04C0">
        <w:t>s l</w:t>
      </w:r>
      <w:r>
        <w:t>as actuaciones conexas relacionada</w:t>
      </w:r>
      <w:r w:rsidRPr="00CE04C0">
        <w:t>s con niños, sin restricción alguna. Ello incluye los procesos de conciliación, mediación y arbitraje.</w:t>
      </w:r>
    </w:p>
    <w:p w:rsidR="006E006F" w:rsidRPr="00CE04C0" w:rsidRDefault="006E006F" w:rsidP="006E006F">
      <w:pPr>
        <w:pStyle w:val="SingleTxtG"/>
      </w:pPr>
      <w:r>
        <w:t>28.</w:t>
      </w:r>
      <w:r>
        <w:tab/>
      </w:r>
      <w:r w:rsidRPr="00CE04C0">
        <w:t>En l</w:t>
      </w:r>
      <w:r>
        <w:t>a vía penal</w:t>
      </w:r>
      <w:r w:rsidRPr="00CE04C0">
        <w:t>, el principio del interés superior se aplica a los niños en conflicto</w:t>
      </w:r>
      <w:r>
        <w:t xml:space="preserve"> con la ley</w:t>
      </w:r>
      <w:r w:rsidRPr="00CE04C0">
        <w:t xml:space="preserve"> (es decir, autores presuntos, acusados o condenados) o en contacto</w:t>
      </w:r>
      <w:r>
        <w:t xml:space="preserve"> con ella</w:t>
      </w:r>
      <w:r w:rsidRPr="00CE04C0">
        <w:t xml:space="preserve"> (como víctimas o testigos), así como a los niños afectados por la situación de </w:t>
      </w:r>
      <w:r>
        <w:t>unos</w:t>
      </w:r>
      <w:r w:rsidRPr="00CE04C0">
        <w:t xml:space="preserve"> padres </w:t>
      </w:r>
      <w:r>
        <w:t xml:space="preserve">que estén </w:t>
      </w:r>
      <w:r w:rsidRPr="00CE04C0">
        <w:t>en conflicto con la ley. El Comité</w:t>
      </w:r>
      <w:r w:rsidRPr="00AD1646">
        <w:rPr>
          <w:rStyle w:val="FootnoteReference"/>
        </w:rPr>
        <w:footnoteReference w:id="6"/>
      </w:r>
      <w:r w:rsidRPr="00CE04C0">
        <w:t xml:space="preserve"> </w:t>
      </w:r>
      <w:r>
        <w:t>subraya</w:t>
      </w:r>
      <w:r w:rsidRPr="00CE04C0">
        <w:t xml:space="preserve"> que la protección del interés superior del niño significa que los tradicionales objetivos de la justicia penal, a saber, la represión o el castigo, deben ser sustituidos por los de rehabilitación y justicia restitutiva cuando se trate de menores delincuentes.</w:t>
      </w:r>
    </w:p>
    <w:p w:rsidR="006E006F" w:rsidRPr="00CE04C0" w:rsidRDefault="006E006F" w:rsidP="006E006F">
      <w:pPr>
        <w:pStyle w:val="SingleTxtG"/>
      </w:pPr>
      <w:r>
        <w:t>29.</w:t>
      </w:r>
      <w:r>
        <w:tab/>
      </w:r>
      <w:r w:rsidRPr="00CE04C0">
        <w:t xml:space="preserve">En </w:t>
      </w:r>
      <w:r>
        <w:t>la vía civil,</w:t>
      </w:r>
      <w:r w:rsidRPr="00CE04C0">
        <w:t xml:space="preserve"> el niño puede defender sus intereses directa</w:t>
      </w:r>
      <w:r>
        <w:t>mente</w:t>
      </w:r>
      <w:r w:rsidRPr="00CE04C0">
        <w:t xml:space="preserve"> o por medio de un representante, como en el caso de la paternidad, los malos tratos o el abandono de niños, la reuni</w:t>
      </w:r>
      <w:r>
        <w:t xml:space="preserve">ón de la </w:t>
      </w:r>
      <w:r w:rsidRPr="00CE04C0">
        <w:t>familia y la acogida. El niño puede verse afectado por el juicio, por ejemplo, en los proce</w:t>
      </w:r>
      <w:r>
        <w:t>dimientos</w:t>
      </w:r>
      <w:r w:rsidRPr="00CE04C0">
        <w:t xml:space="preserve"> de adopción o divorcio, las decisiones relativas a la custodia, la residencia, las visitas u otras cuestiones con repercusiones importantes en la vida y el desarrollo del niño, así como en los procesos por malos tratos o abandono de niños. Los tribunales deben velar por que el interés superior del niño se tenga en cuenta en todas las situaciones y decisiones, </w:t>
      </w:r>
      <w:r>
        <w:t>de</w:t>
      </w:r>
      <w:r w:rsidRPr="00CE04C0">
        <w:t xml:space="preserve"> procedimiento </w:t>
      </w:r>
      <w:r>
        <w:t>o sustantivas</w:t>
      </w:r>
      <w:r w:rsidRPr="00CE04C0">
        <w:t xml:space="preserve">, y </w:t>
      </w:r>
      <w:r>
        <w:t>han de demostrar que así lo han hecho efectivamente</w:t>
      </w:r>
      <w:r w:rsidRPr="00CE04C0">
        <w:t>.</w:t>
      </w:r>
    </w:p>
    <w:p w:rsidR="006E006F" w:rsidRPr="00CE04C0" w:rsidRDefault="006E006F" w:rsidP="006E006F">
      <w:pPr>
        <w:pStyle w:val="H23G"/>
      </w:pPr>
      <w:r>
        <w:tab/>
        <w:t>c)</w:t>
      </w:r>
      <w:r>
        <w:tab/>
      </w:r>
      <w:r w:rsidR="006162AB">
        <w:t>"L</w:t>
      </w:r>
      <w:r w:rsidRPr="00CE04C0">
        <w:t>as autoridades administrativas"</w:t>
      </w:r>
    </w:p>
    <w:p w:rsidR="006162AB" w:rsidRPr="00664DAE" w:rsidRDefault="006162AB" w:rsidP="006162AB">
      <w:pPr>
        <w:pStyle w:val="SingleTxtG"/>
      </w:pPr>
      <w:r w:rsidRPr="00664DAE">
        <w:t>30</w:t>
      </w:r>
      <w:r>
        <w:t>.</w:t>
      </w:r>
      <w:r>
        <w:tab/>
      </w:r>
      <w:r w:rsidRPr="00664DAE">
        <w:t xml:space="preserve">El Comité </w:t>
      </w:r>
      <w:r>
        <w:t>pone de relieve</w:t>
      </w:r>
      <w:r w:rsidRPr="00664DAE">
        <w:t xml:space="preserve"> que el alcance de las decisiones tomadas por las autoridades administrativas a todos los niveles es muy amplio y abarca, entre otras, las decisiones relativas a la educación, el cuidado, la salud, el medio ambiente, las condiciones de vida, la protección, el asilo, la inmigración y el acceso a la nacionalidad. Las decisiones </w:t>
      </w:r>
      <w:r>
        <w:t>particular</w:t>
      </w:r>
      <w:r w:rsidRPr="00664DAE">
        <w:t xml:space="preserve">es adoptadas por las autoridades administrativas en esas esferas deben </w:t>
      </w:r>
      <w:r>
        <w:t xml:space="preserve">ser </w:t>
      </w:r>
      <w:r w:rsidRPr="00664DAE">
        <w:t>evalua</w:t>
      </w:r>
      <w:r>
        <w:t>das</w:t>
      </w:r>
      <w:r w:rsidRPr="00664DAE">
        <w:t xml:space="preserve"> </w:t>
      </w:r>
      <w:r>
        <w:t>en función d</w:t>
      </w:r>
      <w:r w:rsidRPr="00664DAE">
        <w:t xml:space="preserve">el interés superior del niño y </w:t>
      </w:r>
      <w:r>
        <w:t>han de estar guiadas por él</w:t>
      </w:r>
      <w:r w:rsidRPr="00664DAE">
        <w:t>, al igual que todas las medidas de aplicación.</w:t>
      </w:r>
    </w:p>
    <w:p w:rsidR="006162AB" w:rsidRPr="00664DAE" w:rsidRDefault="006162AB" w:rsidP="006162AB">
      <w:pPr>
        <w:pStyle w:val="H23G"/>
      </w:pPr>
      <w:r>
        <w:tab/>
        <w:t>d)</w:t>
      </w:r>
      <w:r>
        <w:tab/>
        <w:t>"L</w:t>
      </w:r>
      <w:r w:rsidRPr="00664DAE">
        <w:t>os órganos legislativos"</w:t>
      </w:r>
    </w:p>
    <w:p w:rsidR="006162AB" w:rsidRPr="00664DAE" w:rsidRDefault="006162AB" w:rsidP="006162AB">
      <w:pPr>
        <w:pStyle w:val="SingleTxtG"/>
      </w:pPr>
      <w:r>
        <w:t>31.</w:t>
      </w:r>
      <w:r>
        <w:tab/>
      </w:r>
      <w:r w:rsidRPr="00664DAE">
        <w:t xml:space="preserve">El hecho de hacer extensiva la obligación de los Estados partes a sus "órganos legislativos" pone claramente de manifiesto que el artículo 3, párrafo 1, se refiere a los niños en general, no solo a los niños </w:t>
      </w:r>
      <w:r>
        <w:t>con carácter</w:t>
      </w:r>
      <w:r w:rsidRPr="00664DAE">
        <w:t xml:space="preserve"> individual. La a</w:t>
      </w:r>
      <w:r>
        <w:t>proba</w:t>
      </w:r>
      <w:r w:rsidRPr="00664DAE">
        <w:t>ción de cualquier ley, r</w:t>
      </w:r>
      <w:r>
        <w:t>eglamento o convenio (</w:t>
      </w:r>
      <w:r w:rsidRPr="00664DAE">
        <w:t>como los tratados de comercio bilaterales o multilaterales o los tratados de paz que afectan a los niños</w:t>
      </w:r>
      <w:r>
        <w:t>)</w:t>
      </w:r>
      <w:r w:rsidRPr="00664DAE">
        <w:t xml:space="preserve"> debería regirse por el interés superior del niño. El derecho del niño a que </w:t>
      </w:r>
      <w:r>
        <w:t>se evalúe su in</w:t>
      </w:r>
      <w:r w:rsidRPr="00664DAE">
        <w:t xml:space="preserve">terés superior </w:t>
      </w:r>
      <w:r>
        <w:t xml:space="preserve">y constituya </w:t>
      </w:r>
      <w:r w:rsidRPr="00664DAE">
        <w:t xml:space="preserve">una consideración primordial debe figurar de forma explícita en </w:t>
      </w:r>
      <w:r>
        <w:t xml:space="preserve">toda </w:t>
      </w:r>
      <w:r w:rsidRPr="00664DAE">
        <w:t xml:space="preserve">la legislación pertinente, no solo en las </w:t>
      </w:r>
      <w:r>
        <w:t>norma</w:t>
      </w:r>
      <w:r w:rsidRPr="00664DAE">
        <w:t xml:space="preserve">s que se refieren específicamente a los niños. Esta obligación también se aplica a la aprobación de los presupuestos, cuya preparación y elaboración </w:t>
      </w:r>
      <w:r>
        <w:t>exigen adoptar</w:t>
      </w:r>
      <w:r w:rsidRPr="00664DAE">
        <w:t xml:space="preserve"> una perspectiva que defienda el interés superior del niño a fin de respetar sus derechos.</w:t>
      </w:r>
    </w:p>
    <w:p w:rsidR="006162AB" w:rsidRPr="00664DAE" w:rsidRDefault="006162AB" w:rsidP="006162AB">
      <w:pPr>
        <w:pStyle w:val="H23G"/>
      </w:pPr>
      <w:r>
        <w:tab/>
        <w:t>3.</w:t>
      </w:r>
      <w:r>
        <w:tab/>
      </w:r>
      <w:r w:rsidRPr="00664DAE">
        <w:t>"El interés superior del niño"</w:t>
      </w:r>
    </w:p>
    <w:p w:rsidR="006162AB" w:rsidRPr="00664DAE" w:rsidRDefault="006162AB" w:rsidP="006162AB">
      <w:pPr>
        <w:pStyle w:val="SingleTxtG"/>
      </w:pPr>
      <w:r>
        <w:t>32.</w:t>
      </w:r>
      <w:r>
        <w:tab/>
      </w:r>
      <w:r w:rsidRPr="00664DAE">
        <w:t>El concepto de interés superior del niño es complejo, y su contenido debe determinarse caso por caso. El legislador, el juez o la autoridad administrativa, social o educativa podrá aclarar ese concepto y ponerlo en práctica de manera concreta mediante la interpretación y aplicación del artículo 3, párrafo 1, teniendo presentes las demás disposiciones de la Convención. Por consiguiente, el concepto de interés superior del niñ</w:t>
      </w:r>
      <w:r>
        <w:t>o es flexible y adaptable. Debe</w:t>
      </w:r>
      <w:r w:rsidRPr="00664DAE">
        <w:t xml:space="preserve"> ajustarse y definirse de forma individual, con arreglo a la situación concreta del niño o los niños afectados y teniendo en cuenta el contexto, la situación y las necesidades personales. En lo que respecta a las decisiones </w:t>
      </w:r>
      <w:r>
        <w:t>particul</w:t>
      </w:r>
      <w:r w:rsidRPr="00664DAE">
        <w:t>a</w:t>
      </w:r>
      <w:r>
        <w:t>r</w:t>
      </w:r>
      <w:r w:rsidRPr="00664DAE">
        <w:t xml:space="preserve">es, se debe evaluar y determinar el interés superior del niño en función de las circunstancias específicas de cada niño en </w:t>
      </w:r>
      <w:r>
        <w:t>concreto</w:t>
      </w:r>
      <w:r w:rsidRPr="00664DAE">
        <w:t xml:space="preserve">. En cuanto a las decisiones colectivas </w:t>
      </w:r>
      <w:r>
        <w:t>(</w:t>
      </w:r>
      <w:r w:rsidRPr="00664DAE">
        <w:t>como las que toma el legislador</w:t>
      </w:r>
      <w:r>
        <w:t>)</w:t>
      </w:r>
      <w:r w:rsidRPr="00664DAE">
        <w:t xml:space="preserve">, se debe evaluar y determinar el interés superior del niño en general atendiendo a las circunstancias del grupo </w:t>
      </w:r>
      <w:r>
        <w:t>concreto</w:t>
      </w:r>
      <w:r w:rsidRPr="00664DAE">
        <w:t xml:space="preserve"> </w:t>
      </w:r>
      <w:r>
        <w:t xml:space="preserve">o </w:t>
      </w:r>
      <w:r w:rsidRPr="00664DAE">
        <w:t xml:space="preserve">los niños en general. En ambos casos, la evaluación y la determinación deben llevarse a cabo respetando plenamente los derechos </w:t>
      </w:r>
      <w:r>
        <w:t>que figuran</w:t>
      </w:r>
      <w:r w:rsidRPr="00664DAE">
        <w:t xml:space="preserve"> en la Convención y sus Protocolos facultativos.</w:t>
      </w:r>
    </w:p>
    <w:p w:rsidR="006162AB" w:rsidRPr="00664DAE" w:rsidRDefault="006162AB" w:rsidP="006162AB">
      <w:pPr>
        <w:pStyle w:val="SingleTxtG"/>
      </w:pPr>
      <w:r>
        <w:t>33.</w:t>
      </w:r>
      <w:r>
        <w:tab/>
      </w:r>
      <w:r w:rsidRPr="00664DAE">
        <w:t xml:space="preserve">El interés superior del niño se aplicará a todos los asuntos relacionados con el niño o los niños y se tendrá en cuenta para resolver cualquier posible conflicto entre los derechos consagrados en la Convención o en otros tratados de derechos humanos. Debe prestarse atención a la búsqueda de posibles soluciones que atiendan al interés superior del niño. Ello implica que los Estados tienen la obligación de </w:t>
      </w:r>
      <w:r>
        <w:t>aclarar, cuando se adopten medidas de aplicación, cuál es</w:t>
      </w:r>
      <w:r w:rsidRPr="00664DAE">
        <w:t xml:space="preserve"> el interés superior de todos los niños, incluidos los </w:t>
      </w:r>
      <w:r>
        <w:t xml:space="preserve">que se encuentren </w:t>
      </w:r>
      <w:r w:rsidRPr="00664DAE">
        <w:t>en situación de vulnerabilidad.</w:t>
      </w:r>
    </w:p>
    <w:p w:rsidR="006162AB" w:rsidRPr="00664DAE" w:rsidRDefault="006162AB" w:rsidP="006162AB">
      <w:pPr>
        <w:pStyle w:val="SingleTxtG"/>
      </w:pPr>
      <w:r>
        <w:t>34.</w:t>
      </w:r>
      <w:r>
        <w:tab/>
      </w:r>
      <w:r w:rsidRPr="00664DAE">
        <w:t xml:space="preserve">La flexibilidad del concepto de interés superior del niño permite su adaptación a la situación de cada niño y la evolución de los conocimientos en materia de desarrollo infantil. Sin embargo, también puede </w:t>
      </w:r>
      <w:r>
        <w:t>dejar margen para</w:t>
      </w:r>
      <w:r w:rsidRPr="00664DAE">
        <w:t xml:space="preserve"> la manipulación: el concepto de interés superior del niño ha sido utilizado abusivamente por gobiernos y otras autoridades estatales para justificar políticas racistas, por ejemplo; por los padres para defender sus propios intereses </w:t>
      </w:r>
      <w:r>
        <w:t>en las disputas por la custodia;</w:t>
      </w:r>
      <w:r w:rsidRPr="00664DAE">
        <w:t xml:space="preserve"> y por profesionales </w:t>
      </w:r>
      <w:r>
        <w:t xml:space="preserve">a los que no se podía pedir que se tomaran la molestia </w:t>
      </w:r>
      <w:r w:rsidRPr="00664DAE">
        <w:t>y desdeñaban la evaluación del interés superior del niño por irrelevante o carente de importancia.</w:t>
      </w:r>
    </w:p>
    <w:p w:rsidR="006162AB" w:rsidRPr="00664DAE" w:rsidRDefault="006162AB" w:rsidP="006162AB">
      <w:pPr>
        <w:pStyle w:val="SingleTxtG"/>
      </w:pPr>
      <w:r>
        <w:t>35.</w:t>
      </w:r>
      <w:r>
        <w:tab/>
      </w:r>
      <w:r w:rsidRPr="00664DAE">
        <w:t>Con respecto a las medidas de aplicación, para que el interés superior del niño sea una consideración primordial a la que se atienda al promulgar disposiciones legislativas y formular políticas en todos los niveles de los poderes públicos, así como al aplicar esas disposiciones legislativas y esas políticas en todos los niveles, se requiere un proceso continuo de valoración de los efectos sobre los derechos del niño, a fin de prever las consecuencias de cualquier proyecto de ley o propuesta de política o asignación presupuestaria en los niños y el disfrute de sus derechos, y de evaluación de los efectos sobre los derechos del niño, con miras a juzgar las consecuencias reales de la aplicación</w:t>
      </w:r>
      <w:r>
        <w:rPr>
          <w:rStyle w:val="FootnoteReference"/>
        </w:rPr>
        <w:footnoteReference w:id="7"/>
      </w:r>
      <w:r w:rsidRPr="00664DAE">
        <w:t>.</w:t>
      </w:r>
    </w:p>
    <w:p w:rsidR="006162AB" w:rsidRPr="00664DAE" w:rsidRDefault="006162AB" w:rsidP="006162AB">
      <w:pPr>
        <w:pStyle w:val="H23G"/>
      </w:pPr>
      <w:r>
        <w:tab/>
        <w:t>4.</w:t>
      </w:r>
      <w:r>
        <w:tab/>
      </w:r>
      <w:r w:rsidRPr="00664DAE">
        <w:t>"Una consideración primordial a que se atenderá"</w:t>
      </w:r>
    </w:p>
    <w:p w:rsidR="006162AB" w:rsidRPr="00664DAE" w:rsidRDefault="006162AB" w:rsidP="00E15CCD">
      <w:pPr>
        <w:pStyle w:val="SingleTxtG"/>
        <w:spacing w:line="230" w:lineRule="atLeast"/>
      </w:pPr>
      <w:r>
        <w:t>36.</w:t>
      </w:r>
      <w:r>
        <w:tab/>
      </w:r>
      <w:r w:rsidRPr="00664DAE">
        <w:t xml:space="preserve">El interés superior del niño debe ser una consideración primordial en la adopción de todas las medidas de aplicación. La expresión "a que se atenderá" impone una </w:t>
      </w:r>
      <w:r>
        <w:t xml:space="preserve">sólida </w:t>
      </w:r>
      <w:r w:rsidRPr="00664DAE">
        <w:t xml:space="preserve">obligación jurídica a los Estados </w:t>
      </w:r>
      <w:r>
        <w:t>y signifi</w:t>
      </w:r>
      <w:r w:rsidRPr="00664DAE">
        <w:t xml:space="preserve">ca que no </w:t>
      </w:r>
      <w:r>
        <w:t xml:space="preserve">pueden decidir a su discreción </w:t>
      </w:r>
      <w:r w:rsidRPr="00664DAE">
        <w:t xml:space="preserve">si el interés superior del niño es una consideración primordial que ha de valorarse y a la que debe atribuirse la importancia </w:t>
      </w:r>
      <w:r>
        <w:t>adecuada</w:t>
      </w:r>
      <w:r w:rsidRPr="00664DAE">
        <w:t xml:space="preserve"> en cualquier medida que se tome.</w:t>
      </w:r>
    </w:p>
    <w:p w:rsidR="006162AB" w:rsidRPr="00664DAE" w:rsidRDefault="006162AB" w:rsidP="00E15CCD">
      <w:pPr>
        <w:pStyle w:val="SingleTxtG"/>
        <w:spacing w:line="230" w:lineRule="atLeast"/>
      </w:pPr>
      <w:r>
        <w:t>37.</w:t>
      </w:r>
      <w:r>
        <w:tab/>
      </w:r>
      <w:r w:rsidRPr="00664DAE">
        <w:t xml:space="preserve">La expresión "consideración primordial" significa que el interés superior del niño no puede estar al mismo nivel que </w:t>
      </w:r>
      <w:r>
        <w:t xml:space="preserve">todas </w:t>
      </w:r>
      <w:r w:rsidRPr="00664DAE">
        <w:t>las demás consideraciones. La firmeza de esta posición se justifica por la situación espec</w:t>
      </w:r>
      <w:r>
        <w:t>ial de los niños</w:t>
      </w:r>
      <w:r w:rsidRPr="00664DAE">
        <w:t xml:space="preserve"> </w:t>
      </w:r>
      <w:r>
        <w:t>(</w:t>
      </w:r>
      <w:r w:rsidRPr="00664DAE">
        <w:t xml:space="preserve">dependencia, madurez, </w:t>
      </w:r>
      <w:r>
        <w:t>condi</w:t>
      </w:r>
      <w:r w:rsidRPr="00664DAE">
        <w:t xml:space="preserve">ción jurídica y, a menudo, </w:t>
      </w:r>
      <w:r>
        <w:t>carencia</w:t>
      </w:r>
      <w:r w:rsidRPr="00664DAE">
        <w:t xml:space="preserve"> de voz</w:t>
      </w:r>
      <w:r>
        <w:t>)</w:t>
      </w:r>
      <w:r w:rsidRPr="00664DAE">
        <w:t xml:space="preserve">. Los niños tienen menos posibilidades que los adultos de defender </w:t>
      </w:r>
      <w:r>
        <w:t xml:space="preserve">con fuerza </w:t>
      </w:r>
      <w:r w:rsidRPr="00664DAE">
        <w:t xml:space="preserve">sus propios intereses, y las personas </w:t>
      </w:r>
      <w:r>
        <w:t>que intervienen en las</w:t>
      </w:r>
      <w:r w:rsidRPr="00664DAE">
        <w:t xml:space="preserve"> decisiones que les afectan deben </w:t>
      </w:r>
      <w:r>
        <w:t>tener en cuenta explícitamente sus</w:t>
      </w:r>
      <w:r w:rsidRPr="00664DAE">
        <w:t xml:space="preserve"> intereses. Si los intereses del niño no se ponen de relieve, </w:t>
      </w:r>
      <w:r>
        <w:t>se suelen descuidar</w:t>
      </w:r>
      <w:r w:rsidRPr="00664DAE">
        <w:t>.</w:t>
      </w:r>
    </w:p>
    <w:p w:rsidR="006162AB" w:rsidRPr="00664DAE" w:rsidRDefault="006162AB" w:rsidP="00E15CCD">
      <w:pPr>
        <w:pStyle w:val="SingleTxtG"/>
        <w:spacing w:line="230" w:lineRule="atLeast"/>
      </w:pPr>
      <w:r>
        <w:t>38.</w:t>
      </w:r>
      <w:r>
        <w:tab/>
      </w:r>
      <w:r w:rsidRPr="00664DAE">
        <w:t>Con respecto a la adopción (art. 21), el derecho del interés superior se refuerza</w:t>
      </w:r>
      <w:r>
        <w:t xml:space="preserve"> aún más</w:t>
      </w:r>
      <w:r w:rsidRPr="00664DAE">
        <w:t xml:space="preserve">; no es simplemente "una consideración </w:t>
      </w:r>
      <w:r w:rsidRPr="00714242">
        <w:rPr>
          <w:b/>
        </w:rPr>
        <w:t>primordial</w:t>
      </w:r>
      <w:r w:rsidRPr="00664DAE">
        <w:t xml:space="preserve">", sino "la consideración </w:t>
      </w:r>
      <w:r w:rsidRPr="00714242">
        <w:rPr>
          <w:b/>
        </w:rPr>
        <w:t>primordial</w:t>
      </w:r>
      <w:r w:rsidRPr="00664DAE">
        <w:t xml:space="preserve">". En efecto, el interés superior del niño debe ser el factor determinante al tomar una decisión </w:t>
      </w:r>
      <w:r>
        <w:t>relacionada con la</w:t>
      </w:r>
      <w:r w:rsidRPr="00664DAE">
        <w:t xml:space="preserve"> adopción, </w:t>
      </w:r>
      <w:r>
        <w:t>pero también relacionadas con otras cuestiones</w:t>
      </w:r>
      <w:r w:rsidRPr="00664DAE">
        <w:t>.</w:t>
      </w:r>
    </w:p>
    <w:p w:rsidR="006162AB" w:rsidRPr="00664DAE" w:rsidRDefault="006162AB" w:rsidP="00E15CCD">
      <w:pPr>
        <w:pStyle w:val="SingleTxtG"/>
        <w:spacing w:line="230" w:lineRule="atLeast"/>
      </w:pPr>
      <w:r w:rsidRPr="00664DAE">
        <w:t>39.</w:t>
      </w:r>
      <w:r>
        <w:tab/>
      </w:r>
      <w:r w:rsidRPr="00664DAE">
        <w:t xml:space="preserve">Sin embargo, puesto que el artículo 3, párrafo 1, </w:t>
      </w:r>
      <w:r>
        <w:t>abarca</w:t>
      </w:r>
      <w:r w:rsidRPr="00664DAE">
        <w:t xml:space="preserve"> una amplia variedad de situaciones, el Comité reconoce la necesidad de cierto grado de flexibilidad en su aplicación</w:t>
      </w:r>
      <w:r>
        <w:t xml:space="preserve">. El interés superior del niño, </w:t>
      </w:r>
      <w:r w:rsidRPr="00664DAE">
        <w:t>una vez evaluado y determinado</w:t>
      </w:r>
      <w:r>
        <w:t>,</w:t>
      </w:r>
      <w:r w:rsidRPr="00664DAE">
        <w:t xml:space="preserve"> puede entrar en conflicto con otros intereses o dere</w:t>
      </w:r>
      <w:r>
        <w:t>chos (</w:t>
      </w:r>
      <w:r w:rsidRPr="00664DAE">
        <w:t xml:space="preserve">por ejemplo, los de otros niños, el público o los padres). Los posibles conflictos entre el interés superior de un niño, desde un punto de vista individual, y los de un grupo de niños </w:t>
      </w:r>
      <w:r>
        <w:t>o los de</w:t>
      </w:r>
      <w:r w:rsidRPr="00664DAE">
        <w:t xml:space="preserve"> los niños en general tienen que resolverse caso por caso, </w:t>
      </w:r>
      <w:r>
        <w:t>sopesando cuidadosamente</w:t>
      </w:r>
      <w:r w:rsidRPr="00664DAE">
        <w:t xml:space="preserve"> los intereses de todas las partes y encontrando un compromiso adecuado. Lo mismo debe hacerse si entran en conflicto con el interés superior del niño</w:t>
      </w:r>
      <w:r>
        <w:t xml:space="preserve"> </w:t>
      </w:r>
      <w:r w:rsidRPr="00664DAE">
        <w:t>los derechos de otras personas. Si no es posible</w:t>
      </w:r>
      <w:r>
        <w:t xml:space="preserve"> armonizarlos</w:t>
      </w:r>
      <w:r w:rsidRPr="00664DAE">
        <w:t xml:space="preserve">, las autoridades y los responsables de la toma de decisiones </w:t>
      </w:r>
      <w:r>
        <w:t>habrán de</w:t>
      </w:r>
      <w:r w:rsidRPr="00664DAE">
        <w:t xml:space="preserve"> analizar y sopesar los derechos de todos los interesados, teniendo en cuenta que el derecho del niño a que su interés superior sea una consideración primordial significa que los intereses del niño tienen máxima prioridad y no son una de tantas consideraciones. Por tanto, se debe conceder más importancia a lo que sea mejor para el niño.</w:t>
      </w:r>
    </w:p>
    <w:p w:rsidR="006162AB" w:rsidRPr="00664DAE" w:rsidRDefault="006162AB" w:rsidP="006162AB">
      <w:pPr>
        <w:pStyle w:val="SingleTxtG"/>
      </w:pPr>
      <w:r>
        <w:t>40.</w:t>
      </w:r>
      <w:r>
        <w:tab/>
      </w:r>
      <w:r w:rsidRPr="00664DAE">
        <w:t xml:space="preserve">La consideración del interés superior del niño como algo "primordial" requiere tomar conciencia de la importancia que deben tener sus intereses en todas las medidas y tener la voluntad de dar prioridad a esos intereses </w:t>
      </w:r>
      <w:r>
        <w:t xml:space="preserve">en </w:t>
      </w:r>
      <w:r w:rsidRPr="00664DAE">
        <w:t xml:space="preserve">todas las circunstancias, pero sobre todo cuando las medidas </w:t>
      </w:r>
      <w:r>
        <w:t>tenga</w:t>
      </w:r>
      <w:r w:rsidRPr="00664DAE">
        <w:t>n efectos indiscutibles en los niños de que se trate.</w:t>
      </w:r>
    </w:p>
    <w:p w:rsidR="006162AB" w:rsidRPr="00664DAE" w:rsidRDefault="006162AB" w:rsidP="006162AB">
      <w:pPr>
        <w:pStyle w:val="H1G"/>
      </w:pPr>
      <w:r>
        <w:tab/>
        <w:t>B.</w:t>
      </w:r>
      <w:r>
        <w:tab/>
      </w:r>
      <w:r w:rsidRPr="00664DAE">
        <w:t>El interés superior del niño y su relación</w:t>
      </w:r>
      <w:r>
        <w:t xml:space="preserve"> con otros principios generales </w:t>
      </w:r>
      <w:r w:rsidRPr="00664DAE">
        <w:t>de la Convención</w:t>
      </w:r>
    </w:p>
    <w:p w:rsidR="006162AB" w:rsidRPr="00664DAE" w:rsidRDefault="006162AB" w:rsidP="006162AB">
      <w:pPr>
        <w:pStyle w:val="H23G"/>
      </w:pPr>
      <w:r>
        <w:tab/>
      </w:r>
      <w:r w:rsidRPr="00664DAE">
        <w:t>1.</w:t>
      </w:r>
      <w:r>
        <w:tab/>
      </w:r>
      <w:r w:rsidRPr="00664DAE">
        <w:t>El interés superior del niño y el</w:t>
      </w:r>
      <w:r>
        <w:t xml:space="preserve"> derecho a la no discriminación </w:t>
      </w:r>
      <w:r w:rsidRPr="00664DAE">
        <w:t>(art</w:t>
      </w:r>
      <w:r>
        <w:t>ículo</w:t>
      </w:r>
      <w:r w:rsidRPr="00664DAE">
        <w:t xml:space="preserve"> 2)</w:t>
      </w:r>
    </w:p>
    <w:p w:rsidR="006162AB" w:rsidRPr="00664DAE" w:rsidRDefault="006162AB" w:rsidP="006162AB">
      <w:pPr>
        <w:pStyle w:val="SingleTxtG"/>
      </w:pPr>
      <w:r>
        <w:t>41.</w:t>
      </w:r>
      <w:r>
        <w:tab/>
      </w:r>
      <w:r w:rsidRPr="00664DAE">
        <w:t xml:space="preserve">El derecho a la no discriminación no es una obligación pasiva que prohíba todas las formas de discriminación en el disfrute de los derechos consagrados en la Convención, sino que también exige a los Estados </w:t>
      </w:r>
      <w:r>
        <w:t>que se adelanten a tomar</w:t>
      </w:r>
      <w:r w:rsidRPr="00664DAE">
        <w:t xml:space="preserve"> medidas apropiadas para garantizar a todos los niños la igualdad efectiva de oportunidades en el disfrute de los derechos enunciados en la Convención. Ello puede requerir la adopción de medidas </w:t>
      </w:r>
      <w:r>
        <w:t>posi</w:t>
      </w:r>
      <w:r w:rsidRPr="00664DAE">
        <w:t>tivas encaminadas a corregir una situación de desigualdad real.</w:t>
      </w:r>
    </w:p>
    <w:p w:rsidR="006162AB" w:rsidRPr="00664DAE" w:rsidRDefault="006162AB" w:rsidP="006162AB">
      <w:pPr>
        <w:pStyle w:val="H23G"/>
      </w:pPr>
      <w:r>
        <w:tab/>
      </w:r>
      <w:r w:rsidRPr="00664DAE">
        <w:t>2.</w:t>
      </w:r>
      <w:r>
        <w:tab/>
      </w:r>
      <w:r w:rsidRPr="00664DAE">
        <w:t>El interés superior del niño y el derecho a la vida, la sup</w:t>
      </w:r>
      <w:r>
        <w:t>ervivencia y el desarrollo (artículo</w:t>
      </w:r>
      <w:r w:rsidRPr="00664DAE">
        <w:t xml:space="preserve"> 6)</w:t>
      </w:r>
    </w:p>
    <w:p w:rsidR="006162AB" w:rsidRPr="00664DAE" w:rsidRDefault="006162AB" w:rsidP="006162AB">
      <w:pPr>
        <w:pStyle w:val="SingleTxtG"/>
      </w:pPr>
      <w:r>
        <w:t>42.</w:t>
      </w:r>
      <w:r>
        <w:tab/>
      </w:r>
      <w:r w:rsidRPr="00664DAE">
        <w:t>Los Estados deben crear un entorno que respete la dignidad humana y asegure el desarrollo holístico de todos los niños. Al evaluar y determinar el interés superior del niño, el Estado debe garantizar el pleno respeto de su derecho intrínseco a la vida, la supervivencia y el desarrollo.</w:t>
      </w:r>
    </w:p>
    <w:p w:rsidR="006162AB" w:rsidRPr="00664DAE" w:rsidRDefault="006162AB" w:rsidP="006162AB">
      <w:pPr>
        <w:pStyle w:val="H23G"/>
      </w:pPr>
      <w:r>
        <w:tab/>
        <w:t>3.</w:t>
      </w:r>
      <w:r>
        <w:tab/>
      </w:r>
      <w:r w:rsidRPr="00664DAE">
        <w:t>El interés superior del niño y el derecho a ser escuchado (art</w:t>
      </w:r>
      <w:r>
        <w:t>ículo</w:t>
      </w:r>
      <w:r w:rsidRPr="00664DAE">
        <w:t xml:space="preserve"> 12)</w:t>
      </w:r>
    </w:p>
    <w:p w:rsidR="006162AB" w:rsidRPr="00664DAE" w:rsidRDefault="006162AB" w:rsidP="006162AB">
      <w:pPr>
        <w:pStyle w:val="SingleTxtG"/>
      </w:pPr>
      <w:r w:rsidRPr="00664DAE">
        <w:t>43.</w:t>
      </w:r>
      <w:r>
        <w:tab/>
      </w:r>
      <w:r w:rsidRPr="00664DAE">
        <w:t>La evaluación del interés superior del niño debe abarcar el respeto del derecho del niño a expresar</w:t>
      </w:r>
      <w:r w:rsidR="00714242">
        <w:t xml:space="preserve"> libremente su opinión y a que e</w:t>
      </w:r>
      <w:r w:rsidRPr="00664DAE">
        <w:t xml:space="preserve">sta se tenga debidamente en cuenta en todos los asuntos que le afectan. Así se establece con claridad en la Observación general Nº 12 del Comité, que también pone de relieve los vínculos indisolubles entre </w:t>
      </w:r>
      <w:r>
        <w:t>e</w:t>
      </w:r>
      <w:r w:rsidRPr="00664DAE">
        <w:t>l</w:t>
      </w:r>
      <w:r>
        <w:t xml:space="preserve"> artículo</w:t>
      </w:r>
      <w:r w:rsidRPr="00664DAE">
        <w:t xml:space="preserve"> 3, párrafo 1, y </w:t>
      </w:r>
      <w:r>
        <w:t xml:space="preserve">el artículo </w:t>
      </w:r>
      <w:r w:rsidRPr="00664DAE">
        <w:t xml:space="preserve">12. Ambos artículos tienen funciones complementarias: el primero tiene como objetivo </w:t>
      </w:r>
      <w:r>
        <w:t>hacer realidad</w:t>
      </w:r>
      <w:r w:rsidRPr="00664DAE">
        <w:t xml:space="preserve"> el interés superior del niño, y el segundo establece la metodología para escuchar las opiniones del niño o los niños y su inclusión en todos los asuntos que le</w:t>
      </w:r>
      <w:r>
        <w:t>s</w:t>
      </w:r>
      <w:r w:rsidRPr="00664DAE">
        <w:t xml:space="preserve"> afectan, incluida la evaluación de su interés s</w:t>
      </w:r>
      <w:r>
        <w:t>uperior. El artículo 3, párrafo </w:t>
      </w:r>
      <w:r w:rsidRPr="00664DAE">
        <w:t>1, no se puede aplicar correctamente si no se cumplen los requisitos del artículo 12. Del mismo modo, el artículo 3, párrafo 1, refuerza la funcionalidad del artículo 12 al facilitar el papel esencial de los niños en todas las decisiones que afecten a su vida</w:t>
      </w:r>
      <w:r w:rsidRPr="0042619E">
        <w:rPr>
          <w:sz w:val="18"/>
          <w:szCs w:val="18"/>
          <w:vertAlign w:val="superscript"/>
        </w:rPr>
        <w:footnoteReference w:id="8"/>
      </w:r>
      <w:r w:rsidRPr="00664DAE">
        <w:t>.</w:t>
      </w:r>
    </w:p>
    <w:p w:rsidR="006162AB" w:rsidRPr="00664DAE" w:rsidRDefault="006162AB" w:rsidP="006162AB">
      <w:pPr>
        <w:pStyle w:val="SingleTxtG"/>
      </w:pPr>
      <w:r>
        <w:t>44.</w:t>
      </w:r>
      <w:r>
        <w:tab/>
      </w:r>
      <w:r w:rsidRPr="00664DAE">
        <w:t>Cuando estén en juego el interés superior del niño y su derecho a ser escuchado, debe tenerse en cuenta la evolución de las facultades del niño (art. 5). El Comité ya ha determinado que cuantas más cosas sepa, haya experimentado y comprenda el niño, más deben los padres, tutores u otras personas legalmente responsables del niño transformar la dirección y orientación en recordatorios y consejos y, más adelante, en un intercambio en pie de igualdad</w:t>
      </w:r>
      <w:r w:rsidRPr="0042619E">
        <w:rPr>
          <w:sz w:val="18"/>
          <w:szCs w:val="18"/>
          <w:vertAlign w:val="superscript"/>
        </w:rPr>
        <w:footnoteReference w:id="9"/>
      </w:r>
      <w:r w:rsidRPr="00664DAE">
        <w:t>. Del mismo modo, a medida que el niño madura, sus opiniones deberán tener cada vez más peso en la evaluación de su interés superior. Los bebés y los niños muy pequeños tienen los mismos derechos que los demás niños a que se atienda a su interés superior, aunque no puedan expresar sus opiniones ni representarse a sí mismos de la misma</w:t>
      </w:r>
      <w:r>
        <w:t xml:space="preserve"> manera que los niños mayores. P</w:t>
      </w:r>
      <w:r w:rsidRPr="00664DAE">
        <w:t>ara evaluar su interés superior</w:t>
      </w:r>
      <w:r>
        <w:t>, l</w:t>
      </w:r>
      <w:r w:rsidRPr="00664DAE">
        <w:t>os Estados deben garantizar mecanismos adecuados</w:t>
      </w:r>
      <w:r>
        <w:t>,</w:t>
      </w:r>
      <w:r w:rsidRPr="00664DAE">
        <w:t xml:space="preserve"> incluida la repr</w:t>
      </w:r>
      <w:r>
        <w:t>esentación, cuando corresponda,</w:t>
      </w:r>
      <w:r w:rsidRPr="00664DAE">
        <w:t xml:space="preserve"> lo mismo ocurre con los niños que no pueden o no quieren expresar su opinión.</w:t>
      </w:r>
    </w:p>
    <w:p w:rsidR="006162AB" w:rsidRPr="00664DAE" w:rsidRDefault="006162AB" w:rsidP="006162AB">
      <w:pPr>
        <w:pStyle w:val="SingleTxtG"/>
      </w:pPr>
      <w:r>
        <w:t>45.</w:t>
      </w:r>
      <w:r>
        <w:tab/>
      </w:r>
      <w:r w:rsidRPr="00664DAE">
        <w:t xml:space="preserve">El Comité recuerda que el artículo 12, párrafo 2, de la Convención establece el derecho del niño a ser escuchado, ya sea directamente o por medio de un representante, en todo procedimiento judicial o administrativo que le afecte (véase también </w:t>
      </w:r>
      <w:r>
        <w:t>la sección B d</w:t>
      </w:r>
      <w:r w:rsidRPr="00664DAE">
        <w:t>el capítulo V).</w:t>
      </w:r>
    </w:p>
    <w:p w:rsidR="006162AB" w:rsidRPr="00664DAE" w:rsidRDefault="006162AB" w:rsidP="006162AB">
      <w:pPr>
        <w:pStyle w:val="HChG"/>
      </w:pPr>
      <w:r>
        <w:tab/>
        <w:t>V.</w:t>
      </w:r>
      <w:r>
        <w:tab/>
      </w:r>
      <w:r w:rsidRPr="00664DAE">
        <w:t xml:space="preserve">Aplicación: </w:t>
      </w:r>
      <w:r>
        <w:t xml:space="preserve">la </w:t>
      </w:r>
      <w:r w:rsidRPr="00664DAE">
        <w:t>evaluación y determinación del interés superior del niño</w:t>
      </w:r>
    </w:p>
    <w:p w:rsidR="006162AB" w:rsidRPr="00664DAE" w:rsidRDefault="006162AB" w:rsidP="006162AB">
      <w:pPr>
        <w:pStyle w:val="SingleTxtG"/>
      </w:pPr>
      <w:r>
        <w:t>46.</w:t>
      </w:r>
      <w:r>
        <w:tab/>
      </w:r>
      <w:r w:rsidRPr="00664DAE">
        <w:t xml:space="preserve">Como ya se ha señalado, el "interés superior del niño" es un derecho, un principio y una norma de procedimiento basados en una evaluación de todos los elementos del interés de uno o varios niños en una situación concreta. Al evaluar y determinar el interés superior del niño para tomar una decisión sobre una medida </w:t>
      </w:r>
      <w:r>
        <w:t>concret</w:t>
      </w:r>
      <w:r w:rsidRPr="00664DAE">
        <w:t>a, se deberían seguir los pasos que figuran a continuación:</w:t>
      </w:r>
    </w:p>
    <w:p w:rsidR="006162AB" w:rsidRPr="00664DAE" w:rsidRDefault="006162AB" w:rsidP="006162AB">
      <w:pPr>
        <w:pStyle w:val="SingleTxtG"/>
      </w:pPr>
      <w:r>
        <w:tab/>
        <w:t>a)</w:t>
      </w:r>
      <w:r>
        <w:tab/>
      </w:r>
      <w:r w:rsidRPr="00664DAE">
        <w:t xml:space="preserve">En primer lugar, determinar cuáles son los elementos pertinentes, en el contexto </w:t>
      </w:r>
      <w:r>
        <w:t>de los hechos concretos</w:t>
      </w:r>
      <w:r w:rsidRPr="00664DAE">
        <w:t xml:space="preserve"> del caso, para evalua</w:t>
      </w:r>
      <w:r>
        <w:t>r</w:t>
      </w:r>
      <w:r w:rsidRPr="00664DAE">
        <w:t xml:space="preserve"> el interés superior del niño, dotarlos de un contenido concreto y ponderar su importancia en relación con los demás;</w:t>
      </w:r>
    </w:p>
    <w:p w:rsidR="006162AB" w:rsidRPr="00664DAE" w:rsidRDefault="006162AB" w:rsidP="006162AB">
      <w:pPr>
        <w:pStyle w:val="SingleTxtG"/>
      </w:pPr>
      <w:r>
        <w:tab/>
        <w:t>b)</w:t>
      </w:r>
      <w:r>
        <w:tab/>
      </w:r>
      <w:r w:rsidRPr="00664DAE">
        <w:t>En segundo lugar, para ello, seguir un procedimiento que vele por las garantías jurídicas y la aplicación adecuada del derecho.</w:t>
      </w:r>
    </w:p>
    <w:p w:rsidR="006162AB" w:rsidRPr="00664DAE" w:rsidRDefault="006162AB" w:rsidP="006162AB">
      <w:pPr>
        <w:pStyle w:val="SingleTxtG"/>
      </w:pPr>
      <w:r>
        <w:t>47.</w:t>
      </w:r>
      <w:r>
        <w:tab/>
      </w:r>
      <w:r w:rsidRPr="00664DAE">
        <w:t xml:space="preserve">La evaluación y </w:t>
      </w:r>
      <w:r>
        <w:t xml:space="preserve">la </w:t>
      </w:r>
      <w:r w:rsidRPr="00664DAE">
        <w:t xml:space="preserve">determinación del interés superior del niño son dos pasos que deben seguirse </w:t>
      </w:r>
      <w:r>
        <w:t>cuando haya que</w:t>
      </w:r>
      <w:r w:rsidRPr="00664DAE">
        <w:t xml:space="preserve"> tomar una decisión. La "evaluación del interés superior" consiste en valorar y sopesar todos los elementos necesarios para tomar una decisión en una determinada situación para un niño o un grupo de niños en concreto. Incumbe al responsable de la to</w:t>
      </w:r>
      <w:r>
        <w:t>ma de decisiones y su personal (</w:t>
      </w:r>
      <w:r w:rsidRPr="00664DAE">
        <w:t>a ser posibl</w:t>
      </w:r>
      <w:r>
        <w:t>e, un equipo multidisciplinario)</w:t>
      </w:r>
      <w:r w:rsidRPr="00664DAE">
        <w:t xml:space="preserve"> y requiere la participación del niño. </w:t>
      </w:r>
      <w:r>
        <w:t>Por</w:t>
      </w:r>
      <w:r w:rsidRPr="00664DAE">
        <w:t xml:space="preserve"> "determinación del interés superior" </w:t>
      </w:r>
      <w:r>
        <w:t>se entiende</w:t>
      </w:r>
      <w:r w:rsidRPr="00664DAE">
        <w:t xml:space="preserve"> el proceso </w:t>
      </w:r>
      <w:r>
        <w:t xml:space="preserve">estructurado y con garantías </w:t>
      </w:r>
      <w:r w:rsidRPr="00664DAE">
        <w:t xml:space="preserve">estrictas concebido para determinar el interés superior del niño </w:t>
      </w:r>
      <w:r>
        <w:t>tomando como</w:t>
      </w:r>
      <w:r w:rsidRPr="00664DAE">
        <w:t xml:space="preserve"> base la evaluación del interés superior.</w:t>
      </w:r>
    </w:p>
    <w:p w:rsidR="006162AB" w:rsidRPr="00664DAE" w:rsidRDefault="006162AB" w:rsidP="006162AB">
      <w:pPr>
        <w:pStyle w:val="H1G"/>
      </w:pPr>
      <w:r>
        <w:tab/>
      </w:r>
      <w:r w:rsidRPr="00664DAE">
        <w:t>A.</w:t>
      </w:r>
      <w:r>
        <w:tab/>
      </w:r>
      <w:r w:rsidRPr="00664DAE">
        <w:t>Evaluación y determinación del interés superior</w:t>
      </w:r>
    </w:p>
    <w:p w:rsidR="006162AB" w:rsidRPr="00664DAE" w:rsidRDefault="006162AB" w:rsidP="006162AB">
      <w:pPr>
        <w:pStyle w:val="SingleTxtG"/>
      </w:pPr>
      <w:r>
        <w:t>48.</w:t>
      </w:r>
      <w:r>
        <w:tab/>
      </w:r>
      <w:r w:rsidRPr="00664DAE">
        <w:t xml:space="preserve">La evaluación del interés superior del niño es una actividad </w:t>
      </w:r>
      <w:r>
        <w:t>singular</w:t>
      </w:r>
      <w:r w:rsidRPr="00664DAE">
        <w:t xml:space="preserve"> que debe realizarse </w:t>
      </w:r>
      <w:r>
        <w:t>en cada</w:t>
      </w:r>
      <w:r w:rsidRPr="00664DAE">
        <w:t xml:space="preserve"> caso, teniendo en cuenta las circunstancias concretas de cada niño o grupo de niños o los niños en general. Esas circunstancias </w:t>
      </w:r>
      <w:r>
        <w:t>se refieren a</w:t>
      </w:r>
      <w:r w:rsidRPr="00664DAE">
        <w:t xml:space="preserve"> las características específicas del niño o los niños de que se trate, como la edad, el sexo, el grado de madurez, la experiencia, la pertenencia a un grupo minoritario, la existencia de una discapacidad física, sensorial o intelectual y el contexto social y cultural del niño o los niños, por ejemplo, la presencia o ausencia de los padres, el hecho de que el niño viva o no con ellos, la calidad de la relación entre el niño y su familia o sus cuidadores, el entorno en relación con la seguridad y la existencia de </w:t>
      </w:r>
      <w:r>
        <w:t xml:space="preserve">medios </w:t>
      </w:r>
      <w:r w:rsidRPr="00664DAE">
        <w:t>alternativ</w:t>
      </w:r>
      <w:r>
        <w:t>o</w:t>
      </w:r>
      <w:r w:rsidRPr="00664DAE">
        <w:t>s de calidad a disposición de la familia, la familia ampliada o los cuidadores.</w:t>
      </w:r>
    </w:p>
    <w:p w:rsidR="006162AB" w:rsidRPr="00664DAE" w:rsidRDefault="006162AB" w:rsidP="006162AB">
      <w:pPr>
        <w:pStyle w:val="SingleTxtG"/>
      </w:pPr>
      <w:r>
        <w:t>49.</w:t>
      </w:r>
      <w:r>
        <w:tab/>
      </w:r>
      <w:r w:rsidRPr="00664DAE">
        <w:t>La determinación del interés superior del niño debe comenzar con una evaluación de las circunstancias específicas que hacen que el niño sea único. Ello conlleva la utilización de algunos elementos y no</w:t>
      </w:r>
      <w:r>
        <w:t xml:space="preserve"> de otros</w:t>
      </w:r>
      <w:r w:rsidRPr="00664DAE">
        <w:t xml:space="preserve">, e influye </w:t>
      </w:r>
      <w:r>
        <w:t xml:space="preserve">también </w:t>
      </w:r>
      <w:r w:rsidRPr="00664DAE">
        <w:t>en la manera en que se ponderarán entre sí. Para los niños en general, la evaluación del interés superior abarca los mismos elementos.</w:t>
      </w:r>
    </w:p>
    <w:p w:rsidR="006162AB" w:rsidRPr="00664DAE" w:rsidRDefault="006162AB" w:rsidP="006162AB">
      <w:pPr>
        <w:pStyle w:val="SingleTxtG"/>
      </w:pPr>
      <w:r>
        <w:t>50.</w:t>
      </w:r>
      <w:r>
        <w:tab/>
      </w:r>
      <w:r w:rsidRPr="00664DAE">
        <w:t xml:space="preserve">El Comité considera </w:t>
      </w:r>
      <w:r>
        <w:t>provechoso</w:t>
      </w:r>
      <w:r w:rsidRPr="00664DAE">
        <w:t xml:space="preserve"> elaborar una lista de elementos </w:t>
      </w:r>
      <w:r w:rsidRPr="00421E34">
        <w:t xml:space="preserve">no exhaustiva ni jerárquica </w:t>
      </w:r>
      <w:r w:rsidRPr="00664DAE">
        <w:t xml:space="preserve">que podrían formar parte de la evaluación del interés superior del niño </w:t>
      </w:r>
      <w:r>
        <w:t>que lleve a cabo</w:t>
      </w:r>
      <w:r w:rsidRPr="00664DAE">
        <w:t xml:space="preserve"> cualquier responsable de la toma de decisiones que tenga ante sí ese cometido. El carácter no exhaustivo de los elementos de la lista </w:t>
      </w:r>
      <w:r>
        <w:t>significa que es posible no limitarse a ellos y tomar en consideración</w:t>
      </w:r>
      <w:r w:rsidRPr="00664DAE">
        <w:t xml:space="preserve"> otros factores pertinentes en las circunstancias específicas de cada niño o grupo de niños concreto. Todos los elementos de la lista deben ser </w:t>
      </w:r>
      <w:r>
        <w:t>tenidos en cuenta</w:t>
      </w:r>
      <w:r w:rsidRPr="00664DAE">
        <w:t xml:space="preserve"> y p</w:t>
      </w:r>
      <w:r>
        <w:t>on</w:t>
      </w:r>
      <w:r w:rsidRPr="00664DAE">
        <w:t>derados con arreglo a cada situación. La lista debe ofrecer orientaciones concretas y al mismo tiempo</w:t>
      </w:r>
      <w:r>
        <w:t>, ser flexible</w:t>
      </w:r>
      <w:r w:rsidRPr="00664DAE">
        <w:t>.</w:t>
      </w:r>
    </w:p>
    <w:p w:rsidR="006162AB" w:rsidRPr="00664DAE" w:rsidRDefault="006162AB" w:rsidP="006162AB">
      <w:pPr>
        <w:pStyle w:val="SingleTxtG"/>
      </w:pPr>
      <w:r>
        <w:t>51.</w:t>
      </w:r>
      <w:r>
        <w:tab/>
      </w:r>
      <w:r w:rsidRPr="00664DAE">
        <w:t xml:space="preserve">La elaboración de esa lista de elementos </w:t>
      </w:r>
      <w:r>
        <w:t>proporciona</w:t>
      </w:r>
      <w:r w:rsidRPr="00664DAE">
        <w:t xml:space="preserve">ría </w:t>
      </w:r>
      <w:r>
        <w:t xml:space="preserve">orientación </w:t>
      </w:r>
      <w:r w:rsidRPr="00664DAE">
        <w:t xml:space="preserve">a los Estados o los responsables de la toma de decisiones </w:t>
      </w:r>
      <w:r>
        <w:t>cuando tuviesen que regular</w:t>
      </w:r>
      <w:r w:rsidRPr="00664DAE">
        <w:t xml:space="preserve"> esferas específicas que afectan a los niños, como </w:t>
      </w:r>
      <w:r>
        <w:t>la legislación</w:t>
      </w:r>
      <w:r w:rsidRPr="00664DAE">
        <w:t xml:space="preserve"> en materia de familia, adopción y justicia juvenil, y, en caso necesario, se podrían añadir otros elementos que se consider</w:t>
      </w:r>
      <w:r>
        <w:t>as</w:t>
      </w:r>
      <w:r w:rsidRPr="00664DAE">
        <w:t xml:space="preserve">en apropiados de acuerdo con su </w:t>
      </w:r>
      <w:r>
        <w:t xml:space="preserve">propia </w:t>
      </w:r>
      <w:r w:rsidRPr="00664DAE">
        <w:t xml:space="preserve">tradición jurídica. El Comité desea señalar que, al añadir elementos a la lista, el fin último del interés superior del niño debería ser garantizar su disfrute pleno y efectivo de los derechos reconocidos en la Convención y su desarrollo </w:t>
      </w:r>
      <w:r>
        <w:t>holístico</w:t>
      </w:r>
      <w:r w:rsidRPr="00664DAE">
        <w:t>. Por consiguiente, los elementos contrarios a los derechos consagrados en la Convención o que tendrían un efecto opuesto a esos derechos no pueden considerarse válidos al evaluar lo que es mejor para uno o varios niños.</w:t>
      </w:r>
    </w:p>
    <w:p w:rsidR="006162AB" w:rsidRPr="00664DAE" w:rsidRDefault="006162AB" w:rsidP="006162AB">
      <w:pPr>
        <w:pStyle w:val="H23G"/>
      </w:pPr>
      <w:r>
        <w:tab/>
        <w:t>1.</w:t>
      </w:r>
      <w:r>
        <w:tab/>
      </w:r>
      <w:r w:rsidRPr="00664DAE">
        <w:t>Elementos que deben tenerse en cuenta al evaluar el interés superior del niño</w:t>
      </w:r>
    </w:p>
    <w:p w:rsidR="006162AB" w:rsidRPr="00664DAE" w:rsidRDefault="006162AB" w:rsidP="006162AB">
      <w:pPr>
        <w:pStyle w:val="SingleTxtG"/>
      </w:pPr>
      <w:r>
        <w:t>52.</w:t>
      </w:r>
      <w:r>
        <w:tab/>
      </w:r>
      <w:r w:rsidRPr="00664DAE">
        <w:t>Sobre la base de esas consideraciones preliminares, el Comité estima que los elementos que deben tenerse en cuenta al evaluar y determinar el interés superior del niño, en la medida en que sean pertinentes para la situación de q</w:t>
      </w:r>
      <w:r w:rsidR="00714242">
        <w:t>ue se trate, son los siguientes.</w:t>
      </w:r>
    </w:p>
    <w:p w:rsidR="006162AB" w:rsidRPr="00664DAE" w:rsidRDefault="006162AB" w:rsidP="006162AB">
      <w:pPr>
        <w:pStyle w:val="H23G"/>
      </w:pPr>
      <w:r>
        <w:tab/>
        <w:t>a)</w:t>
      </w:r>
      <w:r>
        <w:tab/>
      </w:r>
      <w:r w:rsidRPr="00664DAE">
        <w:t>La opinión del niño</w:t>
      </w:r>
    </w:p>
    <w:p w:rsidR="006162AB" w:rsidRPr="00664DAE" w:rsidRDefault="006162AB" w:rsidP="006162AB">
      <w:pPr>
        <w:pStyle w:val="SingleTxtG"/>
      </w:pPr>
      <w:r>
        <w:t>53.</w:t>
      </w:r>
      <w:r>
        <w:tab/>
      </w:r>
      <w:r w:rsidRPr="00664DAE">
        <w:t>El artículo 12 de la Convención establece el derecho del niño a expresar su opinión en todas las decisiones que le afectan. Si la decisión no tiene en cuenta el punto de vista del niño o no concede a su opinión la importancia que merece de acuerdo con su edad y madurez, no respeta la posibilidad de que el niño o los niños participen en la determinación de su interés superior.</w:t>
      </w:r>
    </w:p>
    <w:p w:rsidR="006162AB" w:rsidRPr="00664DAE" w:rsidRDefault="006162AB" w:rsidP="006162AB">
      <w:pPr>
        <w:pStyle w:val="SingleTxtG"/>
      </w:pPr>
      <w:r>
        <w:t>54.</w:t>
      </w:r>
      <w:r>
        <w:tab/>
      </w:r>
      <w:r w:rsidRPr="00664DAE">
        <w:t xml:space="preserve">El hecho de que el niño sea muy pequeño o se encuentre en una situación vulnerable (por ejemplo, los niños con discapacidad, los pertenecientes a grupos minoritarios y los migrantes) no le </w:t>
      </w:r>
      <w:r>
        <w:t>priva</w:t>
      </w:r>
      <w:r w:rsidRPr="00664DAE">
        <w:t xml:space="preserve"> del derecho a expresar su opinión, ni reduce la importancia que debe concederse a sus opiniones al determinar el interés superior. La adopción de medidas concretas para garantizar el ejercicio en pie de igualdad de los derechos de los niños en ese tipo de situaciones debe someterse a una evaluación individual que </w:t>
      </w:r>
      <w:r>
        <w:t>dé una función</w:t>
      </w:r>
      <w:r w:rsidRPr="00664DAE">
        <w:t xml:space="preserve"> </w:t>
      </w:r>
      <w:r>
        <w:t xml:space="preserve">a </w:t>
      </w:r>
      <w:r w:rsidRPr="00664DAE">
        <w:t>los propios niños en el proceso de toma de decisiones</w:t>
      </w:r>
      <w:r>
        <w:t xml:space="preserve"> y permitan introducir</w:t>
      </w:r>
      <w:r w:rsidRPr="00664DAE">
        <w:t xml:space="preserve"> ajustes razonables</w:t>
      </w:r>
      <w:r w:rsidRPr="0042619E">
        <w:rPr>
          <w:sz w:val="18"/>
          <w:szCs w:val="18"/>
          <w:vertAlign w:val="superscript"/>
        </w:rPr>
        <w:footnoteReference w:id="10"/>
      </w:r>
      <w:r w:rsidRPr="00664DAE">
        <w:t xml:space="preserve"> y presta</w:t>
      </w:r>
      <w:r>
        <w:t>r</w:t>
      </w:r>
      <w:r w:rsidRPr="00664DAE">
        <w:t xml:space="preserve"> de apoyo, en caso necesario, para garantizar su plena participación en la evaluación de su interés superior.</w:t>
      </w:r>
    </w:p>
    <w:p w:rsidR="006162AB" w:rsidRPr="00664DAE" w:rsidRDefault="006162AB" w:rsidP="006162AB">
      <w:pPr>
        <w:pStyle w:val="H23G"/>
      </w:pPr>
      <w:r>
        <w:tab/>
        <w:t>b)</w:t>
      </w:r>
      <w:r>
        <w:tab/>
      </w:r>
      <w:r w:rsidRPr="00664DAE">
        <w:t>La identidad del niño</w:t>
      </w:r>
    </w:p>
    <w:p w:rsidR="006162AB" w:rsidRPr="00664DAE" w:rsidRDefault="006162AB" w:rsidP="006162AB">
      <w:pPr>
        <w:pStyle w:val="SingleTxtG"/>
      </w:pPr>
      <w:r>
        <w:t>55.</w:t>
      </w:r>
      <w:r>
        <w:tab/>
      </w:r>
      <w:r w:rsidRPr="00664DAE">
        <w:t>Los niños no son un grupo homogéneo, por lo que debe tenerse en cuenta la diversidad al evaluar su interés superior. La identidad del ni</w:t>
      </w:r>
      <w:r w:rsidR="00714242">
        <w:t xml:space="preserve">ño abarca características </w:t>
      </w:r>
      <w:r w:rsidRPr="00664DAE">
        <w:t>como el sexo, la orientación sexual, el origen nacional, la religión y las creencias, la identidad cultural y la personalidad. Aunque los niños y los jóvenes comparten las necesidades universales básicas, la expresión de esas necesidades depende de una amplia gama de aspectos personales, físicos, sociales y culturales, incluida la evolución de sus facultades. El derecho del niño a preservar su identidad está garantizado por la Convención (a</w:t>
      </w:r>
      <w:r>
        <w:t>rt. 8) y debe ser respetado y teni</w:t>
      </w:r>
      <w:r w:rsidRPr="00664DAE">
        <w:t>do en cuenta al evaluar el interés superior del niño.</w:t>
      </w:r>
    </w:p>
    <w:p w:rsidR="006162AB" w:rsidRPr="00664DAE" w:rsidRDefault="006162AB" w:rsidP="006162AB">
      <w:pPr>
        <w:pStyle w:val="SingleTxtG"/>
      </w:pPr>
      <w:r>
        <w:t>56.</w:t>
      </w:r>
      <w:r>
        <w:tab/>
      </w:r>
      <w:r w:rsidRPr="00664DAE">
        <w:t>En cuanto a la identidad religiosa y cultural, por ejemplo, al considerar la colocación en hogares de guarda o de acogida, se prestará particular atención a la conveniencia de que haya continuidad en la educación del niño y a su origen étnico, religioso, cultural</w:t>
      </w:r>
      <w:r>
        <w:t xml:space="preserve"> y lingüístico (art. 20, párr.</w:t>
      </w:r>
      <w:r w:rsidRPr="00664DAE">
        <w:t xml:space="preserve"> 3), y el responsable de la toma de decisiones debe tener en cuenta ese contexto específico al evaluar y determinar el interés superior del niño. Lo mismo se aplica en los casos de adopción, separación </w:t>
      </w:r>
      <w:r>
        <w:t xml:space="preserve">con respecto a sus padres </w:t>
      </w:r>
      <w:r w:rsidRPr="00664DAE">
        <w:t xml:space="preserve">o divorcio de los padres. La </w:t>
      </w:r>
      <w:r>
        <w:t xml:space="preserve">debida </w:t>
      </w:r>
      <w:r w:rsidRPr="00664DAE">
        <w:t xml:space="preserve">consideración del interés superior del niño </w:t>
      </w:r>
      <w:r>
        <w:t>entraña</w:t>
      </w:r>
      <w:r w:rsidRPr="00664DAE">
        <w:t xml:space="preserve"> que los niños tengan acceso a la cultura (y el idioma, si es posible) de su país y su familia de origen, y la oportunidad de acceder a información sobre su familia biológica, de conformidad con la </w:t>
      </w:r>
      <w:r>
        <w:t>normativa</w:t>
      </w:r>
      <w:r w:rsidRPr="00664DAE">
        <w:t xml:space="preserve"> </w:t>
      </w:r>
      <w:r>
        <w:t xml:space="preserve">jurídica </w:t>
      </w:r>
      <w:r w:rsidRPr="00664DAE">
        <w:t>y profesional del país de que se trate (véase el art</w:t>
      </w:r>
      <w:r>
        <w:t>ículo</w:t>
      </w:r>
      <w:r w:rsidRPr="00664DAE">
        <w:t xml:space="preserve"> 9, párr</w:t>
      </w:r>
      <w:r w:rsidR="00E15CCD">
        <w:t>afo</w:t>
      </w:r>
      <w:r w:rsidRPr="00664DAE">
        <w:t xml:space="preserve"> 4).</w:t>
      </w:r>
    </w:p>
    <w:p w:rsidR="006162AB" w:rsidRPr="00664DAE" w:rsidRDefault="006162AB" w:rsidP="006162AB">
      <w:pPr>
        <w:pStyle w:val="SingleTxtG"/>
      </w:pPr>
      <w:r>
        <w:t>57.</w:t>
      </w:r>
      <w:r>
        <w:tab/>
      </w:r>
      <w:r w:rsidRPr="00664DAE">
        <w:t>Aunque debe tenerse en cuenta la preservación de los valores y las tradiciones religiosos y culturales como parte de la identida</w:t>
      </w:r>
      <w:r>
        <w:t>d del niño, las prácticas que sean incompatibles o esté</w:t>
      </w:r>
      <w:r w:rsidRPr="00664DAE">
        <w:t>n reñidas con los derechos establecidos en la Convención no responden al interés superior del niño. La ident</w:t>
      </w:r>
      <w:r>
        <w:t>idad cultural no puede excusar ni</w:t>
      </w:r>
      <w:r w:rsidRPr="00664DAE">
        <w:t xml:space="preserve"> justificar que los responsables de la toma de decisiones y las autoridades perpetúen tradiciones y valores culturales que niegan al niño o los niños los derechos que les garantiza la Convención.</w:t>
      </w:r>
    </w:p>
    <w:p w:rsidR="006162AB" w:rsidRPr="00664DAE" w:rsidRDefault="006162AB" w:rsidP="006162AB">
      <w:pPr>
        <w:pStyle w:val="H23G"/>
      </w:pPr>
      <w:r>
        <w:tab/>
        <w:t>c)</w:t>
      </w:r>
      <w:r>
        <w:tab/>
      </w:r>
      <w:r w:rsidRPr="00664DAE">
        <w:t xml:space="preserve">La preservación del entorno familiar y </w:t>
      </w:r>
      <w:r>
        <w:t xml:space="preserve">mantenimiento </w:t>
      </w:r>
      <w:r w:rsidRPr="00664DAE">
        <w:t>de las relaciones</w:t>
      </w:r>
    </w:p>
    <w:p w:rsidR="006162AB" w:rsidRPr="00664DAE" w:rsidRDefault="006162AB" w:rsidP="006162AB">
      <w:pPr>
        <w:pStyle w:val="SingleTxtG"/>
      </w:pPr>
      <w:r>
        <w:t>58.</w:t>
      </w:r>
      <w:r>
        <w:tab/>
      </w:r>
      <w:r w:rsidRPr="00664DAE">
        <w:t>El Comité recuerda que es indispensable llevar a cabo una evaluación y determinación del interés superior del niño en el contexto de una posible separación del niño y sus padres (arts. 9, 18 y 20). También subraya que los elementos antes mencionados son derechos concretos y no solo elementos para determinar el interés superior del niño.</w:t>
      </w:r>
    </w:p>
    <w:p w:rsidR="006162AB" w:rsidRPr="00664DAE" w:rsidRDefault="006162AB" w:rsidP="006162AB">
      <w:pPr>
        <w:pStyle w:val="SingleTxtG"/>
      </w:pPr>
      <w:r w:rsidRPr="00664DAE">
        <w:t>59.</w:t>
      </w:r>
      <w:r>
        <w:tab/>
      </w:r>
      <w:r w:rsidRPr="00664DAE">
        <w:t>La familia es la unidad fundamental de la sociedad y el medio natural para el crecimiento y el bienestar de sus miembros, en particular de los niños (preámbulo de la Convención). El derecho del niño a la vida familiar está pr</w:t>
      </w:r>
      <w:r>
        <w:t>otegido por la Convención (art. </w:t>
      </w:r>
      <w:r w:rsidRPr="00664DAE">
        <w:t>16). El término "familia" debe interpretarse en un sentido amplio que incluya a los padres biológicos, adoptivos o de acogida o, en su caso, a los miembros de la familia ampliada o la comunidad, según establezca la costumbre local (art. 5).</w:t>
      </w:r>
    </w:p>
    <w:p w:rsidR="006162AB" w:rsidRPr="00664DAE" w:rsidRDefault="006162AB" w:rsidP="006162AB">
      <w:pPr>
        <w:pStyle w:val="SingleTxtG"/>
      </w:pPr>
      <w:r w:rsidRPr="00664DAE">
        <w:t>60.</w:t>
      </w:r>
      <w:r>
        <w:tab/>
        <w:t>P</w:t>
      </w:r>
      <w:r w:rsidRPr="00664DAE">
        <w:t>reveni</w:t>
      </w:r>
      <w:r>
        <w:t>r</w:t>
      </w:r>
      <w:r w:rsidRPr="00664DAE">
        <w:t xml:space="preserve"> la separación familiar y preserva</w:t>
      </w:r>
      <w:r>
        <w:t>r</w:t>
      </w:r>
      <w:r w:rsidRPr="00664DAE">
        <w:t xml:space="preserve"> la unidad familiar son elementos importantes del </w:t>
      </w:r>
      <w:r>
        <w:t>régimen</w:t>
      </w:r>
      <w:r w:rsidRPr="00664DAE">
        <w:t xml:space="preserve"> de protección del niño, y se basan en el derecho recogido en el artículo 9, párrafo 1, que exige "que el niño no sea separado de sus padres contra la voluntad de </w:t>
      </w:r>
      <w:r w:rsidR="00714242">
        <w:t>e</w:t>
      </w:r>
      <w:r w:rsidRPr="00664DAE">
        <w:t>stos, excepto cuando [...] tal separación es necesaria en el interés superior del niño". Asimismo, el niño que esté separado de uno o de ambos padres tiene derecho "a mantener relaciones personales y contacto directo con ambos padres de modo regular, salvo si ello es contrario al interés superior del niño" (art. 9, párr. 3). Ello también se aplica a cualquier persona que tenga el derecho de custodia, los tutores legales o habituales, los padres adoptivos y las personas con las que el niño t</w:t>
      </w:r>
      <w:r>
        <w:t>enga</w:t>
      </w:r>
      <w:r w:rsidRPr="00664DAE">
        <w:t xml:space="preserve"> una relación personal estrecha.</w:t>
      </w:r>
    </w:p>
    <w:p w:rsidR="006162AB" w:rsidRPr="00664DAE" w:rsidRDefault="006162AB" w:rsidP="006162AB">
      <w:pPr>
        <w:pStyle w:val="SingleTxtG"/>
      </w:pPr>
      <w:r>
        <w:t>61.</w:t>
      </w:r>
      <w:r>
        <w:tab/>
      </w:r>
      <w:r w:rsidRPr="00664DAE">
        <w:t xml:space="preserve">Dada la gravedad de los efectos en el niño de que lo separen de sus padres, dicha medida solo debería aplicarse como último recurso, por ejemplo, cuando el niño esté en peligro de sufrir un daño inminente o cuando sea necesario por otro motivo; la separación no debería llevarse a cabo si </w:t>
      </w:r>
      <w:r>
        <w:t>se puede</w:t>
      </w:r>
      <w:r w:rsidRPr="00664DAE">
        <w:t xml:space="preserve"> proteger al niño</w:t>
      </w:r>
      <w:r>
        <w:t xml:space="preserve"> de un modo que se inmiscuya menos en la familia</w:t>
      </w:r>
      <w:r w:rsidRPr="00664DAE">
        <w:t xml:space="preserve">. Antes de recurrir a la separación, el Estado debe proporcionar apoyo a los padres para que cumplan con sus responsabilidades parentales y restablecer o </w:t>
      </w:r>
      <w:r>
        <w:t>aument</w:t>
      </w:r>
      <w:r w:rsidRPr="00664DAE">
        <w:t>ar la capacidad de la familia para cuidar del niño, a menos que la separación sea nec</w:t>
      </w:r>
      <w:r>
        <w:t>esaria para proteger al niño. Lo</w:t>
      </w:r>
      <w:r w:rsidRPr="00664DAE">
        <w:t xml:space="preserve">s </w:t>
      </w:r>
      <w:r>
        <w:t>motivos económico</w:t>
      </w:r>
      <w:r w:rsidRPr="00664DAE">
        <w:t>s no pueden ser una justificación para separar al niño de sus padres.</w:t>
      </w:r>
    </w:p>
    <w:p w:rsidR="006162AB" w:rsidRPr="00664DAE" w:rsidRDefault="006162AB" w:rsidP="006162AB">
      <w:pPr>
        <w:pStyle w:val="SingleTxtG"/>
      </w:pPr>
      <w:r>
        <w:t>62.</w:t>
      </w:r>
      <w:r>
        <w:tab/>
      </w:r>
      <w:r w:rsidRPr="00664DAE">
        <w:t>El propósito de las Directrices sobre las modalidades alternativas de cuidado de los niños</w:t>
      </w:r>
      <w:r w:rsidRPr="0042619E">
        <w:rPr>
          <w:sz w:val="18"/>
          <w:szCs w:val="18"/>
          <w:vertAlign w:val="superscript"/>
        </w:rPr>
        <w:footnoteReference w:id="11"/>
      </w:r>
      <w:r w:rsidRPr="00664DAE">
        <w:t xml:space="preserve"> es velar por que los niños no estén en acogimiento alternativo de manera innecesaria y por que, cuando en efecto sea necesario, el acogimiento alternativo se haga en condiciones adecuadas que respondan a los derechos y el interés superior del niño. En particular, "[l]a pobreza económica y material, o las condiciones imputables directa y exclusivamente a esa pobreza, no deberían constituir nunca la única justificación para separar un niño del cuidado de sus padres [...] sino que deberían considerarse como un indicio de la necesidad de proporcionar a la familia el apoyo apropiado"</w:t>
      </w:r>
      <w:r>
        <w:t xml:space="preserve"> </w:t>
      </w:r>
      <w:r w:rsidRPr="00664DAE">
        <w:t>(párr. 15).</w:t>
      </w:r>
    </w:p>
    <w:p w:rsidR="006162AB" w:rsidRPr="00664DAE" w:rsidRDefault="006162AB" w:rsidP="006162AB">
      <w:pPr>
        <w:pStyle w:val="SingleTxtG"/>
      </w:pPr>
      <w:r>
        <w:t>63.</w:t>
      </w:r>
      <w:r>
        <w:tab/>
      </w:r>
      <w:r w:rsidRPr="00664DAE">
        <w:t>Del mismo modo, los niños no se separarán de sus padres en razón de una discapacidad del menor o de sus padres</w:t>
      </w:r>
      <w:r w:rsidRPr="0042619E">
        <w:rPr>
          <w:sz w:val="18"/>
          <w:szCs w:val="18"/>
          <w:vertAlign w:val="superscript"/>
        </w:rPr>
        <w:footnoteReference w:id="12"/>
      </w:r>
      <w:r w:rsidRPr="00664DAE">
        <w:t xml:space="preserve">. La separación </w:t>
      </w:r>
      <w:r>
        <w:t>ha de barajarse solo</w:t>
      </w:r>
      <w:r w:rsidRPr="00664DAE">
        <w:t xml:space="preserve"> en los casos en que la asistencia que la familia requiere para preservar la unidad familiar no es suficientemente eficaz para evitar el riesgo de descuido o abandono del niño o un riesgo para la seguridad del niño.</w:t>
      </w:r>
    </w:p>
    <w:p w:rsidR="006162AB" w:rsidRPr="00664DAE" w:rsidRDefault="006162AB" w:rsidP="006162AB">
      <w:pPr>
        <w:pStyle w:val="SingleTxtG"/>
      </w:pPr>
      <w:r>
        <w:t>64.</w:t>
      </w:r>
      <w:r>
        <w:tab/>
      </w:r>
      <w:r w:rsidRPr="00664DAE">
        <w:t xml:space="preserve">En caso de separación, el Estado debe garantizar que la situación del niño y su familia haya sido evaluada, cuando sea posible, por un equipo multidisciplinario de profesionales </w:t>
      </w:r>
      <w:r>
        <w:t>perfectamente capacitado</w:t>
      </w:r>
      <w:r w:rsidRPr="00664DAE">
        <w:t xml:space="preserve">s, con </w:t>
      </w:r>
      <w:r>
        <w:t>l</w:t>
      </w:r>
      <w:r w:rsidRPr="00664DAE">
        <w:t xml:space="preserve">a </w:t>
      </w:r>
      <w:r>
        <w:t>colabora</w:t>
      </w:r>
      <w:r w:rsidRPr="00664DAE">
        <w:t xml:space="preserve">ción judicial apropiada, de conformidad con el artículo 9 de la Convención, a fin de asegurarse de que </w:t>
      </w:r>
      <w:r>
        <w:t>es la única opción que puede</w:t>
      </w:r>
      <w:r w:rsidRPr="00664DAE">
        <w:t xml:space="preserve"> satisfacer el interés superior del niño.</w:t>
      </w:r>
    </w:p>
    <w:p w:rsidR="006162AB" w:rsidRPr="00664DAE" w:rsidRDefault="006162AB" w:rsidP="006162AB">
      <w:pPr>
        <w:pStyle w:val="SingleTxtG"/>
      </w:pPr>
      <w:r>
        <w:t>65.</w:t>
      </w:r>
      <w:r>
        <w:tab/>
      </w:r>
      <w:r w:rsidRPr="00664DAE">
        <w:t xml:space="preserve">Cuando la separación sea necesaria, los responsables de la toma de decisiones velarán por que el niño mantenga los lazos y la relación con sus padres y su familia (hermanos, familiares y personas con las que el niño haya tenido una relación personal estrecha), a menos que ello contravenga el interés superior del niño. Cuando se </w:t>
      </w:r>
      <w:r>
        <w:t>separa a un niño de su familia,</w:t>
      </w:r>
      <w:r w:rsidRPr="00664DAE">
        <w:t xml:space="preserve"> en las decisiones que se adopten acerca de la periodicidad y la duración de las visitas y otras formas de contacto</w:t>
      </w:r>
      <w:r>
        <w:t xml:space="preserve"> </w:t>
      </w:r>
      <w:r w:rsidRPr="00664DAE">
        <w:t>deben tenerse en cuenta</w:t>
      </w:r>
      <w:r>
        <w:t xml:space="preserve"> </w:t>
      </w:r>
      <w:r w:rsidRPr="00664DAE">
        <w:t>la calidad de las relaciones y la necesidad de conservarlas.</w:t>
      </w:r>
    </w:p>
    <w:p w:rsidR="006162AB" w:rsidRPr="00F7217C" w:rsidRDefault="006162AB" w:rsidP="006162AB">
      <w:pPr>
        <w:pStyle w:val="SingleTxtG"/>
      </w:pPr>
      <w:r w:rsidRPr="00F7217C">
        <w:t>66.</w:t>
      </w:r>
      <w:r>
        <w:tab/>
      </w:r>
      <w:r w:rsidRPr="00F7217C">
        <w:t>Cuando la relación del niño con sus padres se vea interrumpida por la migración (de los padres sin el niño o del niño sin los padres), la preservación de la unidad familiar debería tenerse en cuenta al determinar el interés superior del niño en las decisiones relativas a la reu</w:t>
      </w:r>
      <w:r>
        <w:t>n</w:t>
      </w:r>
      <w:r w:rsidRPr="00F7217C">
        <w:t xml:space="preserve">ión </w:t>
      </w:r>
      <w:r>
        <w:t>de la familia</w:t>
      </w:r>
      <w:r w:rsidRPr="00F7217C">
        <w:t>.</w:t>
      </w:r>
    </w:p>
    <w:p w:rsidR="00381C24" w:rsidRDefault="006162AB" w:rsidP="006162AB">
      <w:pPr>
        <w:pStyle w:val="SingleTxtG"/>
      </w:pPr>
      <w:r w:rsidRPr="00F7217C">
        <w:t>67.</w:t>
      </w:r>
      <w:r>
        <w:tab/>
      </w:r>
      <w:r w:rsidRPr="00F7217C">
        <w:t xml:space="preserve">El Comité considera que las responsabilidades parentales compartidas suelen ir en beneficio del interés superior del niño. Sin embargo, en las decisiones relativas a la responsabilidad parental, el único criterio debe </w:t>
      </w:r>
      <w:r>
        <w:t>ser</w:t>
      </w:r>
      <w:r w:rsidRPr="00F7217C">
        <w:t xml:space="preserve"> el interés superior del niño en particular. Es contrario al interés superior que la ley conceda automáticamente la responsabilidad parental a uno de los progenitores o a ambos. Al evaluar el interés superior del niño, el juez debe tener en cuenta el derecho del niño a </w:t>
      </w:r>
      <w:r>
        <w:t>con</w:t>
      </w:r>
      <w:r w:rsidRPr="00F7217C">
        <w:t>servar la relación con ambos progenitores, junto con los demás elementos pertinentes para el caso.</w:t>
      </w:r>
    </w:p>
    <w:p w:rsidR="00714242" w:rsidRPr="00313323" w:rsidRDefault="00714242" w:rsidP="00714242">
      <w:pPr>
        <w:pStyle w:val="SingleTxtG"/>
      </w:pPr>
      <w:r>
        <w:t>68.</w:t>
      </w:r>
      <w:r>
        <w:tab/>
      </w:r>
      <w:r w:rsidRPr="00313323">
        <w:t>El Comité alienta la ratificación y aplicación de los convenios de la Conferencia de La Haya de Derecho Internacional Privado</w:t>
      </w:r>
      <w:r>
        <w:rPr>
          <w:rStyle w:val="FootnoteReference"/>
        </w:rPr>
        <w:footnoteReference w:id="13"/>
      </w:r>
      <w:r w:rsidRPr="00313323">
        <w:t xml:space="preserve">, que facilitan la aplicación del interés superior del niño y </w:t>
      </w:r>
      <w:r>
        <w:t>prevén</w:t>
      </w:r>
      <w:r w:rsidRPr="00313323">
        <w:t xml:space="preserve"> garantías para su aplicación en el caso de que los padres vivan en países diferentes.</w:t>
      </w:r>
    </w:p>
    <w:p w:rsidR="00714242" w:rsidRPr="00313323" w:rsidRDefault="00714242" w:rsidP="00714242">
      <w:pPr>
        <w:pStyle w:val="SingleTxtG"/>
      </w:pPr>
      <w:r>
        <w:t>69.</w:t>
      </w:r>
      <w:r>
        <w:tab/>
        <w:t>Cuando</w:t>
      </w:r>
      <w:r w:rsidRPr="00313323">
        <w:t xml:space="preserve"> los padres u otros tutores hayan cometido un delito, se deben </w:t>
      </w:r>
      <w:r>
        <w:t>ofrecer</w:t>
      </w:r>
      <w:r w:rsidRPr="00313323">
        <w:t xml:space="preserve"> y aplicar caso por caso alternativas a la privación de libertad, teniendo plenamente en cuenta los posibles efectos </w:t>
      </w:r>
      <w:r>
        <w:t>que puedan tener</w:t>
      </w:r>
      <w:r w:rsidRPr="00313323">
        <w:t xml:space="preserve"> las distintas condenas en el interés superior del niño o los niños afectados</w:t>
      </w:r>
      <w:r>
        <w:rPr>
          <w:rStyle w:val="FootnoteReference"/>
        </w:rPr>
        <w:footnoteReference w:id="14"/>
      </w:r>
      <w:r w:rsidRPr="00313323">
        <w:t>.</w:t>
      </w:r>
    </w:p>
    <w:p w:rsidR="00714242" w:rsidRPr="00313323" w:rsidRDefault="00714242" w:rsidP="00714242">
      <w:pPr>
        <w:pStyle w:val="SingleTxtG"/>
      </w:pPr>
      <w:r>
        <w:t>70.</w:t>
      </w:r>
      <w:r>
        <w:tab/>
      </w:r>
      <w:r w:rsidRPr="00313323">
        <w:t xml:space="preserve">La </w:t>
      </w:r>
      <w:r>
        <w:t>conservación</w:t>
      </w:r>
      <w:r w:rsidRPr="00313323">
        <w:t xml:space="preserve"> del entorno familiar engloba la preservación de las relaciones del niño en un sentido amplio. </w:t>
      </w:r>
      <w:r>
        <w:t>Esas</w:t>
      </w:r>
      <w:r w:rsidRPr="00313323">
        <w:t xml:space="preserve"> relaciones abarcan a la familia ampliada, como los abuelos, los tíos y tías, los amigos, la escuela y el entorno en general, y son particularmente </w:t>
      </w:r>
      <w:r>
        <w:t>importantes cuando</w:t>
      </w:r>
      <w:r w:rsidRPr="00313323">
        <w:t xml:space="preserve"> los padres están separados y viven en lugares diferentes.</w:t>
      </w:r>
    </w:p>
    <w:p w:rsidR="00714242" w:rsidRPr="00313323" w:rsidRDefault="00714242" w:rsidP="00714242">
      <w:pPr>
        <w:pStyle w:val="H23G"/>
      </w:pPr>
      <w:r>
        <w:tab/>
        <w:t>d)</w:t>
      </w:r>
      <w:r>
        <w:tab/>
      </w:r>
      <w:r w:rsidRPr="00313323">
        <w:t>Cuidado, protección y seguridad del niño</w:t>
      </w:r>
    </w:p>
    <w:p w:rsidR="00714242" w:rsidRPr="00313323" w:rsidRDefault="00714242" w:rsidP="00714242">
      <w:pPr>
        <w:pStyle w:val="SingleTxtG"/>
      </w:pPr>
      <w:r>
        <w:t>71.</w:t>
      </w:r>
      <w:r>
        <w:tab/>
      </w:r>
      <w:r w:rsidRPr="00313323">
        <w:t>Al evaluar y determinar el interés superior de un niño o de los niños en general, debe tenerse en cuenta la obligación del Estado de asegurar al niño la protección y el cuidado que sean ne</w:t>
      </w:r>
      <w:r>
        <w:t>cesarios para su bienestar (art.</w:t>
      </w:r>
      <w:r w:rsidRPr="00313323">
        <w:t xml:space="preserve"> 3, párr. 2). Los términos "protección" y "cuidado" también deben interpretarse en un sentido amplio, ya que su objetivo no se expresa </w:t>
      </w:r>
      <w:r>
        <w:t>con una fórmula limitada o negativa</w:t>
      </w:r>
      <w:r w:rsidRPr="00313323">
        <w:t xml:space="preserve"> (por ejemplo, "para proteger al niño de daños"), sino en relación con el ideal </w:t>
      </w:r>
      <w:r>
        <w:t>amplio</w:t>
      </w:r>
      <w:r w:rsidRPr="00313323">
        <w:t xml:space="preserve"> de garantizar el "bienestar" y el desarrollo del niño. El bienestar del niño, en un sentido amplio, abarca sus necesidades materiales, físicas, educativas y emocionales básicas, así como su necesidad de afecto y seguridad.</w:t>
      </w:r>
    </w:p>
    <w:p w:rsidR="00714242" w:rsidRPr="00313323" w:rsidRDefault="00714242" w:rsidP="00714242">
      <w:pPr>
        <w:pStyle w:val="SingleTxtG"/>
      </w:pPr>
      <w:r>
        <w:t>72.</w:t>
      </w:r>
      <w:r>
        <w:tab/>
      </w:r>
      <w:r w:rsidRPr="00313323">
        <w:t>El cuidado emocional es un</w:t>
      </w:r>
      <w:r>
        <w:t>a necesidad básica de los niños;</w:t>
      </w:r>
      <w:r w:rsidRPr="00313323">
        <w:t xml:space="preserve"> si los padres o tutores no </w:t>
      </w:r>
      <w:r>
        <w:t>satisfacen</w:t>
      </w:r>
      <w:r w:rsidRPr="00313323">
        <w:t xml:space="preserve"> las necesidades emocionales del niño, se deben tomar medidas para que el niño cree lazos afectivos seguros. Los niños necesitan establecer un vínculo con los cuidadores a una edad muy temprana, y ese vínculo, si es adecuado, debe mantenerse a lo largo de los años para ofrecer al niño un entorno estable.</w:t>
      </w:r>
    </w:p>
    <w:p w:rsidR="00714242" w:rsidRPr="00313323" w:rsidRDefault="00714242" w:rsidP="00714242">
      <w:pPr>
        <w:pStyle w:val="SingleTxtG"/>
      </w:pPr>
      <w:r>
        <w:t>73.</w:t>
      </w:r>
      <w:r>
        <w:tab/>
      </w:r>
      <w:r w:rsidRPr="00313323">
        <w:t>La evaluación del interés superior del niño también debe tener en cuenta su seguridad, es decir, el derecho del niño a la protección contra toda forma de perjuicio o abuso físico o mental (art. 19), el acoso sexual, la presión ejercida por compañeros, la intimidación y los tratos degradantes</w:t>
      </w:r>
      <w:r>
        <w:rPr>
          <w:rStyle w:val="FootnoteReference"/>
        </w:rPr>
        <w:footnoteReference w:id="15"/>
      </w:r>
      <w:r w:rsidRPr="00313323">
        <w:t>, así como contra la explotación sexual y económica y otras formas de explotación, los estupefacientes, la explotación laboral, los conflictos armados, etc. (arts. 32 a 39).</w:t>
      </w:r>
    </w:p>
    <w:p w:rsidR="00714242" w:rsidRPr="00313323" w:rsidRDefault="00714242" w:rsidP="00714242">
      <w:pPr>
        <w:pStyle w:val="SingleTxtG"/>
      </w:pPr>
      <w:r>
        <w:t>74.</w:t>
      </w:r>
      <w:r>
        <w:tab/>
        <w:t>Aplicar el</w:t>
      </w:r>
      <w:r w:rsidRPr="00313323">
        <w:t xml:space="preserve"> enfoque del interés superior del niño en el proceso de toma de decisiones </w:t>
      </w:r>
      <w:r>
        <w:t>entraña</w:t>
      </w:r>
      <w:r w:rsidRPr="00313323">
        <w:t xml:space="preserve"> evaluar </w:t>
      </w:r>
      <w:r>
        <w:t>la seguridad y la integridad del niño</w:t>
      </w:r>
      <w:r w:rsidRPr="00313323">
        <w:t xml:space="preserve"> en ese preciso momento; sin embargo, el principio de precaución exige valorar también la posibilidad de riesgos y daños futuros y otras consecuencias de la decisión en la seguridad del niño.</w:t>
      </w:r>
    </w:p>
    <w:p w:rsidR="00714242" w:rsidRPr="00313323" w:rsidRDefault="00714242" w:rsidP="00714242">
      <w:pPr>
        <w:pStyle w:val="H23G"/>
      </w:pPr>
      <w:r>
        <w:tab/>
      </w:r>
      <w:r w:rsidRPr="00313323">
        <w:t>e</w:t>
      </w:r>
      <w:r>
        <w:t>)</w:t>
      </w:r>
      <w:r>
        <w:tab/>
      </w:r>
      <w:r w:rsidRPr="00313323">
        <w:t>Situación de vulnerabilidad</w:t>
      </w:r>
    </w:p>
    <w:p w:rsidR="00714242" w:rsidRPr="00313323" w:rsidRDefault="00714242" w:rsidP="00714242">
      <w:pPr>
        <w:pStyle w:val="SingleTxtG"/>
      </w:pPr>
      <w:r>
        <w:t>75.</w:t>
      </w:r>
      <w:r>
        <w:tab/>
      </w:r>
      <w:r w:rsidRPr="00313323">
        <w:t>Un elemento importante que debe tenerse en cuenta son las situaciones de vulnerabilidad del niño, como tener alguna discapacidad, pertenecer a un grupo minoritario, ser refugiado o solicitante de asilo, ser víctima de malos tratos, vivir en la calle, etc. El objetivo de la determinación del interés superior de un niño o de los niños en situación de vulnerabilidad no debe referirse solo al pleno disfrute de todos los derechos consagrados en la Convención, sino también en otras normas de derechos humanos relacionadas con esas situaciones específicas, como los contemplados en la Convención sobre los derechos de las personas con discapacidad y la Convención sobre el Estatuto de los Refugiados, entre otros instrumentos.</w:t>
      </w:r>
    </w:p>
    <w:p w:rsidR="00714242" w:rsidRPr="00313323" w:rsidRDefault="00714242" w:rsidP="00714242">
      <w:pPr>
        <w:pStyle w:val="SingleTxtG"/>
      </w:pPr>
      <w:r>
        <w:t>76.</w:t>
      </w:r>
      <w:r>
        <w:tab/>
      </w:r>
      <w:r w:rsidRPr="00313323">
        <w:t xml:space="preserve">El interés superior de un niño en una situación </w:t>
      </w:r>
      <w:r>
        <w:t>concreta</w:t>
      </w:r>
      <w:r w:rsidRPr="00313323">
        <w:t xml:space="preserve"> de vulnerabilidad no será el mismo que el de todos los niños en la misma situación</w:t>
      </w:r>
      <w:r>
        <w:t xml:space="preserve"> de vulnerabilidad</w:t>
      </w:r>
      <w:r w:rsidRPr="00313323">
        <w:t>. Las autoridades y los respo</w:t>
      </w:r>
      <w:r>
        <w:t>n</w:t>
      </w:r>
      <w:r w:rsidRPr="00313323">
        <w:t>sables de la toma de decisiones deben tener en cuenta los diferentes tipo</w:t>
      </w:r>
      <w:r>
        <w:t>s y grados de vulnerabilidad de cada</w:t>
      </w:r>
      <w:r w:rsidRPr="00313323">
        <w:t xml:space="preserve"> niño, ya que cada niño es </w:t>
      </w:r>
      <w:r>
        <w:t>único</w:t>
      </w:r>
      <w:r w:rsidRPr="00313323">
        <w:t xml:space="preserve"> y cada situación debe evaluarse de acuerdo con </w:t>
      </w:r>
      <w:r>
        <w:t>su condición única</w:t>
      </w:r>
      <w:r w:rsidRPr="00313323">
        <w:t xml:space="preserve">. </w:t>
      </w:r>
      <w:r>
        <w:t>Debe</w:t>
      </w:r>
      <w:r w:rsidRPr="00313323">
        <w:t xml:space="preserve"> realizar</w:t>
      </w:r>
      <w:r>
        <w:t>se</w:t>
      </w:r>
      <w:r w:rsidRPr="00313323">
        <w:t xml:space="preserve"> una evaluación individualizada del historial de cada niño desde su nacimiento, con revisiones periódicas a cargo </w:t>
      </w:r>
      <w:r>
        <w:t>de un equipo multidisciplinario y los</w:t>
      </w:r>
      <w:r w:rsidRPr="00313323">
        <w:t xml:space="preserve"> ajustes razonables</w:t>
      </w:r>
      <w:r>
        <w:t xml:space="preserve"> que se recomienden</w:t>
      </w:r>
      <w:r w:rsidRPr="00313323">
        <w:t xml:space="preserve"> durante todo el proceso de desarrollo del niño.</w:t>
      </w:r>
    </w:p>
    <w:p w:rsidR="00714242" w:rsidRPr="00313323" w:rsidRDefault="00714242" w:rsidP="00714242">
      <w:pPr>
        <w:pStyle w:val="H23G"/>
      </w:pPr>
      <w:r>
        <w:tab/>
      </w:r>
      <w:r w:rsidRPr="00313323">
        <w:t>f</w:t>
      </w:r>
      <w:r>
        <w:t>)</w:t>
      </w:r>
      <w:r>
        <w:tab/>
      </w:r>
      <w:r w:rsidRPr="00313323">
        <w:t>El derecho del niño a la salud</w:t>
      </w:r>
    </w:p>
    <w:p w:rsidR="00714242" w:rsidRPr="00313323" w:rsidRDefault="00714242" w:rsidP="00714242">
      <w:pPr>
        <w:pStyle w:val="SingleTxtG"/>
      </w:pPr>
      <w:r>
        <w:t>77.</w:t>
      </w:r>
      <w:r>
        <w:tab/>
      </w:r>
      <w:r w:rsidRPr="00313323">
        <w:t>El derecho del niño a la salud (art. 24) y su estado de salud son fundamentales para evaluar el interés superior del niño. Sin embargo, si hay más de una posibilidad para tratar una enfermedad o si el resultado de un tratamiento es incierto, se deben sopesar las ventajas de todos los tratamientos posibles frente a todos los posibles riesgos y efectos secundarios, y también debe tenerse en cuenta</w:t>
      </w:r>
      <w:r>
        <w:t xml:space="preserve"> debidamente</w:t>
      </w:r>
      <w:r w:rsidRPr="00313323">
        <w:t xml:space="preserve"> la opinión del niño en función de su edad y madurez. En este sentido, se debe proporcionar al niño información adecuada y apropiada para que entienda la situación y todos los aspectos pertinentes en relación con sus intereses, y permitirle, cuando sea posible, dar su consentimiento </w:t>
      </w:r>
      <w:r>
        <w:t>fundamentado</w:t>
      </w:r>
      <w:r>
        <w:rPr>
          <w:rStyle w:val="FootnoteReference"/>
        </w:rPr>
        <w:footnoteReference w:id="16"/>
      </w:r>
      <w:r w:rsidRPr="00313323">
        <w:t>.</w:t>
      </w:r>
    </w:p>
    <w:p w:rsidR="00714242" w:rsidRPr="00313323" w:rsidRDefault="00714242" w:rsidP="00714242">
      <w:pPr>
        <w:pStyle w:val="SingleTxtG"/>
      </w:pPr>
      <w:r>
        <w:t>78.</w:t>
      </w:r>
      <w:r>
        <w:tab/>
      </w:r>
      <w:r w:rsidRPr="00313323">
        <w:t>Por ejemplo, en relación con la salud de los adolescentes, el Comité</w:t>
      </w:r>
      <w:r>
        <w:rPr>
          <w:rStyle w:val="FootnoteReference"/>
        </w:rPr>
        <w:footnoteReference w:id="17"/>
      </w:r>
      <w:r w:rsidRPr="00313323">
        <w:t xml:space="preserve"> ha señalado que los Estados partes tienen la obligación de asegurar que todos los adolescentes, tanto dentro como fuera de la escuela, tengan acceso a información adecuada que sea esencial para su salud y desarrollo a fin de que puedan </w:t>
      </w:r>
      <w:r>
        <w:t>elegir comportamientos de salud adecuados</w:t>
      </w:r>
      <w:r w:rsidRPr="00313323">
        <w:t>. Ello debe abarcar información sobre el uso y abuso del tabaco, el alcohol y otras sustancias, las dietas, la salud sexual y reproductiva, los peligros de un embarazo precoz y la prevención del VIH/SIDA y las enfermedades de transmisión sexual. Los adolescentes con trastornos psicosociales tienen derecho a ser tratados y atendidos en la comunidad en la que viven, en la medida posible. Cuando se requiera hospitalización o internamiento en un centro, deberá evaluarse el interés superior del niño antes de tomar una decisión y su opinión habrá de respetarse; las mismas consideraciones son válidas para los niños más pequeños. La salud del niño y las posibilidades de tratamiento también pueden formar parte de una evaluación y determinación de su interés superior con respecto a otros tipos de decisiones importantes (por ejemplo, la concesión de un permiso de residencia por razones humanitarias).</w:t>
      </w:r>
    </w:p>
    <w:p w:rsidR="00714242" w:rsidRPr="00313323" w:rsidRDefault="00714242" w:rsidP="00714242">
      <w:pPr>
        <w:pStyle w:val="H23G"/>
      </w:pPr>
      <w:r>
        <w:tab/>
      </w:r>
      <w:r w:rsidRPr="00313323">
        <w:t>g</w:t>
      </w:r>
      <w:r>
        <w:t>)</w:t>
      </w:r>
      <w:r>
        <w:tab/>
      </w:r>
      <w:r w:rsidRPr="00313323">
        <w:t>El derecho del niño a la educación</w:t>
      </w:r>
    </w:p>
    <w:p w:rsidR="00714242" w:rsidRPr="00313323" w:rsidRDefault="00714242" w:rsidP="00714242">
      <w:pPr>
        <w:pStyle w:val="SingleTxtG"/>
      </w:pPr>
      <w:r>
        <w:t>79.</w:t>
      </w:r>
      <w:r>
        <w:tab/>
      </w:r>
      <w:r w:rsidRPr="00313323">
        <w:t xml:space="preserve">El acceso a una educación gratuita de calidad, incluida la educación en la primera infancia, la educación no académica </w:t>
      </w:r>
      <w:r>
        <w:t>o extraacadémica</w:t>
      </w:r>
      <w:r w:rsidRPr="00313323">
        <w:t xml:space="preserve"> y las actividades conexas, redunda en el interés superior del niño. Todas las decisiones sobre las medidas e iniciativas relacionadas con un niño en particular o un grupo de niños deben respetar su interés superior con respecto a la educación. A fin de promover la educación o una educación de mejor calidad</w:t>
      </w:r>
      <w:r>
        <w:t>,</w:t>
      </w:r>
      <w:r w:rsidRPr="00313323">
        <w:t xml:space="preserve"> para más niños, los Estados partes deben tener </w:t>
      </w:r>
      <w:r>
        <w:t>docentes</w:t>
      </w:r>
      <w:r w:rsidRPr="00313323">
        <w:t xml:space="preserve"> y otros profesionales de diferentes entornos relacionados con la educación que estén </w:t>
      </w:r>
      <w:r>
        <w:t>perfectamente capacitados</w:t>
      </w:r>
      <w:r w:rsidRPr="00313323">
        <w:t xml:space="preserve">, así como un entorno propicio para los niños y métodos de enseñanza y de aprendizaje apropiados, teniendo en cuenta que la educación no es solo una inversión de cara al futuro, sino también una oportunidad de esparcimiento, promoción del respeto y la participación y </w:t>
      </w:r>
      <w:r>
        <w:t>el cumplimiento</w:t>
      </w:r>
      <w:r w:rsidRPr="00313323">
        <w:t xml:space="preserve"> de las ambiciones. </w:t>
      </w:r>
      <w:r>
        <w:t>Satisfacer esa</w:t>
      </w:r>
      <w:r w:rsidRPr="00313323">
        <w:t xml:space="preserve"> necesidad y fomentar las responsabilidades del niño para superar las limitaciones que pueda acarrearle cualquier situación de vulnerabilidad, </w:t>
      </w:r>
      <w:r>
        <w:t>responderá</w:t>
      </w:r>
      <w:r w:rsidRPr="00313323">
        <w:t xml:space="preserve"> su interés superior.</w:t>
      </w:r>
    </w:p>
    <w:p w:rsidR="00714242" w:rsidRPr="00313323" w:rsidRDefault="00714242" w:rsidP="00714242">
      <w:pPr>
        <w:pStyle w:val="H23G"/>
      </w:pPr>
      <w:r>
        <w:tab/>
        <w:t>2.</w:t>
      </w:r>
      <w:r>
        <w:tab/>
        <w:t>Búsqueda de un e</w:t>
      </w:r>
      <w:r w:rsidRPr="00313323">
        <w:t>quilibrio entre los element</w:t>
      </w:r>
      <w:r>
        <w:t>os de la evaluación del interés</w:t>
      </w:r>
      <w:r>
        <w:br/>
      </w:r>
      <w:r w:rsidRPr="00313323">
        <w:t>superior</w:t>
      </w:r>
    </w:p>
    <w:p w:rsidR="00714242" w:rsidRPr="00313323" w:rsidRDefault="00714242" w:rsidP="00714242">
      <w:pPr>
        <w:pStyle w:val="SingleTxtG"/>
      </w:pPr>
      <w:r>
        <w:t>80.</w:t>
      </w:r>
      <w:r>
        <w:tab/>
      </w:r>
      <w:r w:rsidRPr="00313323">
        <w:t xml:space="preserve">Cabe destacar que la evaluación básica del interés superior es una valoración general de todos los elementos </w:t>
      </w:r>
      <w:r>
        <w:t>que guarden relación con</w:t>
      </w:r>
      <w:r w:rsidRPr="00313323">
        <w:t xml:space="preserve"> del interés superior del niño, en la que la importancia de cada elemento se pondera en función de los otros. No todos los elementos serán pertinentes en todos los casos, y los diversos elementos pueden utilizarse de diferentes maneras en los distintos casos. El contenido de cada elemento variará necesariamente de un niño a otro y de un caso a otro, dependiendo del tipo de decisión y las circunstancias concretas, al igual que la importancia de cada elemento en la evaluación general.</w:t>
      </w:r>
    </w:p>
    <w:p w:rsidR="00714242" w:rsidRPr="00313323" w:rsidRDefault="00714242" w:rsidP="00714242">
      <w:pPr>
        <w:pStyle w:val="SingleTxtG"/>
      </w:pPr>
      <w:r>
        <w:t>81.</w:t>
      </w:r>
      <w:r>
        <w:tab/>
      </w:r>
      <w:r w:rsidRPr="00313323">
        <w:t xml:space="preserve">Los elementos de la evaluación del interés superior pueden entrar en conflicto cuando se </w:t>
      </w:r>
      <w:r>
        <w:t>estudia</w:t>
      </w:r>
      <w:r w:rsidRPr="00313323">
        <w:t xml:space="preserve"> un caso concreto y sus circunstancias. Por ejemplo, la preservación del entorno familiar puede chocar con la necesidad de proteger al niño contra el riesgo de violencia o malos tratos por parte de los padres. En </w:t>
      </w:r>
      <w:r>
        <w:t>esas</w:t>
      </w:r>
      <w:r w:rsidRPr="00313323">
        <w:t xml:space="preserve"> situaciones, se tendrán que ponderar los elementos entre sí para determinar la solución que atienda mejor al interés superior del niño o los niños.</w:t>
      </w:r>
    </w:p>
    <w:p w:rsidR="00714242" w:rsidRPr="00313323" w:rsidRDefault="00714242" w:rsidP="00714242">
      <w:pPr>
        <w:pStyle w:val="SingleTxtG"/>
      </w:pPr>
      <w:r>
        <w:t>82.</w:t>
      </w:r>
      <w:r>
        <w:tab/>
      </w:r>
      <w:r w:rsidRPr="00313323">
        <w:t xml:space="preserve">Al ponderar los diferentes elementos, hay que tener en cuenta que el propósito de la evaluación y la determinación del interés superior del niño es garantizar el disfrute pleno y efectivo de los derechos reconocidos </w:t>
      </w:r>
      <w:r>
        <w:t>en</w:t>
      </w:r>
      <w:r w:rsidRPr="00313323">
        <w:t xml:space="preserve"> la Convención y sus Protocolos facultativos, y el desarrollo </w:t>
      </w:r>
      <w:r>
        <w:t>holístico</w:t>
      </w:r>
      <w:r w:rsidRPr="00313323">
        <w:t xml:space="preserve"> del niño.</w:t>
      </w:r>
    </w:p>
    <w:p w:rsidR="00714242" w:rsidRPr="00313323" w:rsidRDefault="00714242" w:rsidP="00714242">
      <w:pPr>
        <w:pStyle w:val="SingleTxtG"/>
      </w:pPr>
      <w:r>
        <w:t>83.</w:t>
      </w:r>
      <w:r>
        <w:tab/>
      </w:r>
      <w:r w:rsidRPr="00313323">
        <w:t>Puede haber situaciones en</w:t>
      </w:r>
      <w:r>
        <w:t xml:space="preserve"> las</w:t>
      </w:r>
      <w:r w:rsidRPr="00313323">
        <w:t xml:space="preserve"> que factores de "protección" que afectan al niño (</w:t>
      </w:r>
      <w:r>
        <w:t xml:space="preserve">que pueden implicar, </w:t>
      </w:r>
      <w:r w:rsidRPr="00313323">
        <w:t xml:space="preserve">por ejemplo, limitaciones o restricciones de derechos) </w:t>
      </w:r>
      <w:r>
        <w:t>hayan de valorarse</w:t>
      </w:r>
      <w:r w:rsidRPr="00313323">
        <w:t xml:space="preserve"> en relación con medidas de "</w:t>
      </w:r>
      <w:r>
        <w:t>empoderamiento</w:t>
      </w:r>
      <w:r w:rsidRPr="00313323">
        <w:t>" (</w:t>
      </w:r>
      <w:r>
        <w:t>que implican el</w:t>
      </w:r>
      <w:r w:rsidRPr="00313323">
        <w:t xml:space="preserve"> ejercicio pleno de los derechos sin restricciones). En </w:t>
      </w:r>
      <w:r>
        <w:t>esas</w:t>
      </w:r>
      <w:r w:rsidRPr="00313323">
        <w:t xml:space="preserve"> situaciones, la edad y madurez del niño deben guiar la ponderación de los elementos. </w:t>
      </w:r>
      <w:r>
        <w:t>Debe tenerse en cuenta e</w:t>
      </w:r>
      <w:r w:rsidRPr="00313323">
        <w:t>l desarrollo físico, emocional, cognitivo y social del niño para evaluar su nivel de madurez.</w:t>
      </w:r>
    </w:p>
    <w:p w:rsidR="00714242" w:rsidRPr="00313323" w:rsidRDefault="00714242" w:rsidP="00714242">
      <w:pPr>
        <w:pStyle w:val="SingleTxtG"/>
      </w:pPr>
      <w:r>
        <w:t>84.</w:t>
      </w:r>
      <w:r>
        <w:tab/>
      </w:r>
      <w:r w:rsidRPr="00313323">
        <w:t xml:space="preserve">Al evaluar el interés superior del niño, hay que tener presente que sus capacidades evolucionan. Por lo tanto, los responsables de la toma de decisiones deben contemplar medidas que puedan revisarse o ajustarse en consecuencia, en lugar de </w:t>
      </w:r>
      <w:r>
        <w:t>adoptar</w:t>
      </w:r>
      <w:r w:rsidRPr="00313323">
        <w:t xml:space="preserve"> decisiones definitivas e irreversibles. Para ello, no solo deben evaluar las necesidades físicas, emocionales, educativas y de otra índole en el momento concreto de la decisión, sino que también deben tener en cuenta las posibles </w:t>
      </w:r>
      <w:r>
        <w:t>hipótesis</w:t>
      </w:r>
      <w:r w:rsidRPr="00313323">
        <w:t xml:space="preserve"> de desarrollo del niño, y analizarlas a corto y largo plazo. En este contexto, las decisiones deberían evaluar la continuidad y la estabilidad de la situación presente y futura del niño.</w:t>
      </w:r>
    </w:p>
    <w:p w:rsidR="00714242" w:rsidRPr="00313323" w:rsidRDefault="00714242" w:rsidP="00714242">
      <w:pPr>
        <w:pStyle w:val="H1G"/>
      </w:pPr>
      <w:r>
        <w:tab/>
        <w:t>B.</w:t>
      </w:r>
      <w:r>
        <w:tab/>
      </w:r>
      <w:r w:rsidRPr="00313323">
        <w:t xml:space="preserve">Garantías procesales para velar por la </w:t>
      </w:r>
      <w:r>
        <w:t>observancia del interés superior </w:t>
      </w:r>
      <w:r w:rsidRPr="00313323">
        <w:t>del niño</w:t>
      </w:r>
    </w:p>
    <w:p w:rsidR="00714242" w:rsidRPr="00313323" w:rsidRDefault="00714242" w:rsidP="00714242">
      <w:pPr>
        <w:pStyle w:val="SingleTxtG"/>
      </w:pPr>
      <w:r>
        <w:t>85.</w:t>
      </w:r>
      <w:r>
        <w:tab/>
      </w:r>
      <w:r w:rsidRPr="00313323">
        <w:t xml:space="preserve">Para garantizar la </w:t>
      </w:r>
      <w:r>
        <w:t>observancia</w:t>
      </w:r>
      <w:r w:rsidRPr="00313323">
        <w:t xml:space="preserve"> efectiva del derecho del niño a que su interés superior sea una consideración primordial a que se atienda, se deben establecer y aplicar algunas salvaguardias procesales que </w:t>
      </w:r>
      <w:r>
        <w:t>estén adaptadas a sus necesidades</w:t>
      </w:r>
      <w:r w:rsidRPr="00313323">
        <w:t xml:space="preserve">. El concepto de interés superior del niño es en sí </w:t>
      </w:r>
      <w:r>
        <w:t xml:space="preserve">mismo </w:t>
      </w:r>
      <w:r w:rsidRPr="00313323">
        <w:t>una norma de procedimiento (véase</w:t>
      </w:r>
      <w:r>
        <w:t xml:space="preserve"> más arriba el párrafo </w:t>
      </w:r>
      <w:r w:rsidRPr="00313323">
        <w:t>6</w:t>
      </w:r>
      <w:r>
        <w:t> </w:t>
      </w:r>
      <w:r w:rsidRPr="00313323">
        <w:t>b)).</w:t>
      </w:r>
    </w:p>
    <w:p w:rsidR="00714242" w:rsidRPr="00313323" w:rsidRDefault="00714242" w:rsidP="00714242">
      <w:pPr>
        <w:pStyle w:val="SingleTxtG"/>
      </w:pPr>
      <w:r>
        <w:t>86.</w:t>
      </w:r>
      <w:r>
        <w:tab/>
      </w:r>
      <w:r w:rsidRPr="00313323">
        <w:t xml:space="preserve">Mientras que las autoridades públicas y las organizaciones que toman decisiones que afectan a los niños deben llevar a cabo su cometido respetando la obligación de evaluar y determinar el interés superior del niño, no se espera que las personas que </w:t>
      </w:r>
      <w:r>
        <w:t>adoptan</w:t>
      </w:r>
      <w:r w:rsidRPr="00313323">
        <w:t xml:space="preserve"> a diario decisiones concernientes a los niños (por ejemplo, los padres, los tutores y los maestros) sigan estrictamente este procedimiento de dos fases, aunque las decisiones que se toman en la vida cotidiana también deben respetar y reflejar el interés superior del niño.</w:t>
      </w:r>
    </w:p>
    <w:p w:rsidR="00714242" w:rsidRPr="00313323" w:rsidRDefault="00714242" w:rsidP="00714242">
      <w:pPr>
        <w:pStyle w:val="SingleTxtG"/>
      </w:pPr>
      <w:r>
        <w:t>87.</w:t>
      </w:r>
      <w:r>
        <w:tab/>
      </w:r>
      <w:r w:rsidRPr="00313323">
        <w:t xml:space="preserve">Los Estados deben establecer procesos </w:t>
      </w:r>
      <w:r>
        <w:t>oficiales</w:t>
      </w:r>
      <w:r w:rsidRPr="00313323">
        <w:t>, con garantías</w:t>
      </w:r>
      <w:r>
        <w:t xml:space="preserve"> procesales estrictas, concebido</w:t>
      </w:r>
      <w:r w:rsidRPr="00313323">
        <w:t>s para evaluar y determinar el interés superior del niño en las decisiones que le afectan, incluidos mecanismos de evaluación de los resultados. Los Estados deben establecer procesos transparentes y objetivos para todas las decisiones de los legisladores, los jueces o las autoridades administrativas, en especial en las esferas que afectan directamente al niño o los niños.</w:t>
      </w:r>
    </w:p>
    <w:p w:rsidR="00714242" w:rsidRPr="00313323" w:rsidRDefault="00714242" w:rsidP="00714242">
      <w:pPr>
        <w:pStyle w:val="SingleTxtG"/>
      </w:pPr>
      <w:r>
        <w:t>88.</w:t>
      </w:r>
      <w:r>
        <w:tab/>
      </w:r>
      <w:r w:rsidRPr="00313323">
        <w:t xml:space="preserve">El Comité invita a los Estados y a todas las personas </w:t>
      </w:r>
      <w:r>
        <w:t>que se hallen en situación</w:t>
      </w:r>
      <w:r w:rsidRPr="00313323">
        <w:t xml:space="preserve"> de evaluar y determinar el interés superior del niño a que presten atención especial a las salva</w:t>
      </w:r>
      <w:r>
        <w:t>guardias y garantías siguientes.</w:t>
      </w:r>
    </w:p>
    <w:p w:rsidR="00714242" w:rsidRPr="00ED08B1" w:rsidRDefault="00714242" w:rsidP="00714242">
      <w:pPr>
        <w:pStyle w:val="H23G"/>
      </w:pPr>
      <w:r>
        <w:tab/>
      </w:r>
      <w:r w:rsidRPr="00ED08B1">
        <w:t>a)</w:t>
      </w:r>
      <w:r w:rsidRPr="00ED08B1">
        <w:tab/>
        <w:t>El derecho del niño a expresar su propia opinión</w:t>
      </w:r>
    </w:p>
    <w:p w:rsidR="00714242" w:rsidRPr="00313323" w:rsidRDefault="00714242" w:rsidP="00714242">
      <w:pPr>
        <w:pStyle w:val="SingleTxtG"/>
      </w:pPr>
      <w:r>
        <w:t>89.</w:t>
      </w:r>
      <w:r>
        <w:tab/>
      </w:r>
      <w:r w:rsidRPr="00313323">
        <w:t xml:space="preserve">Un elemento fundamental del proceso es la comunicación con los niños para lograr que participen de manera provechosa en él y determinar su interés superior. En el marco de esa comunicación, entre otras cosas, se debería informar a los niños sobre el proceso y los posibles servicios y soluciones </w:t>
      </w:r>
      <w:r>
        <w:t>duraderas</w:t>
      </w:r>
      <w:r w:rsidRPr="00313323">
        <w:t xml:space="preserve">, reunir información </w:t>
      </w:r>
      <w:r>
        <w:t>proporcionada por</w:t>
      </w:r>
      <w:r w:rsidRPr="00313323">
        <w:t xml:space="preserve"> los niños y pedirles opinión.</w:t>
      </w:r>
    </w:p>
    <w:p w:rsidR="00714242" w:rsidRPr="00313323" w:rsidRDefault="00714242" w:rsidP="00714242">
      <w:pPr>
        <w:pStyle w:val="SingleTxtG"/>
      </w:pPr>
      <w:r>
        <w:t>90.</w:t>
      </w:r>
      <w:r>
        <w:tab/>
      </w:r>
      <w:r w:rsidRPr="00313323">
        <w:t xml:space="preserve">Cuando el niño desea expresar su parecer y este derecho se ejerce mediante un representante, la obligación de este último es comunicar con precisión las opiniones del niño. Cuando la opinión del niño entra en conflicto con la de su representante, se debe establecer un procedimiento para que el niño pueda acudir a una autoridad a fin de determinar otra fórmula de representación (por ejemplo, un </w:t>
      </w:r>
      <w:r>
        <w:t>curador</w:t>
      </w:r>
      <w:r w:rsidRPr="00313323">
        <w:t xml:space="preserve"> </w:t>
      </w:r>
      <w:r w:rsidRPr="00313323">
        <w:rPr>
          <w:i/>
        </w:rPr>
        <w:t>ad litem</w:t>
      </w:r>
      <w:r w:rsidRPr="00313323">
        <w:t>), si es necesario.</w:t>
      </w:r>
    </w:p>
    <w:p w:rsidR="00714242" w:rsidRPr="00313323" w:rsidRDefault="00714242" w:rsidP="00714242">
      <w:pPr>
        <w:pStyle w:val="SingleTxtG"/>
      </w:pPr>
      <w:r>
        <w:t>91.</w:t>
      </w:r>
      <w:r>
        <w:tab/>
      </w:r>
      <w:r w:rsidRPr="00313323">
        <w:t>El procedimiento para la evaluación y la determinación del interés superior de los niños como grupo es, en cierta medida, diferente a la de un</w:t>
      </w:r>
      <w:r>
        <w:t xml:space="preserve"> niño en particular. Cuando estén</w:t>
      </w:r>
      <w:r w:rsidRPr="00313323">
        <w:t xml:space="preserve"> en juego los intereses de un gran número de niños, las instituciones </w:t>
      </w:r>
      <w:r>
        <w:t>públicas</w:t>
      </w:r>
      <w:r w:rsidRPr="00313323">
        <w:t xml:space="preserve"> deben encontrar maneras de conocer la opinión de una muestra representativa de niños y tener debidamente en cuenta su punto de vista al planificar medidas o</w:t>
      </w:r>
      <w:r>
        <w:t xml:space="preserve"> adoptar</w:t>
      </w:r>
      <w:r w:rsidRPr="00313323">
        <w:t xml:space="preserve"> decisiones legislativas que afecten directa o indirectamente al grupo de que se trate, con el fin de garantizar que se abarquen todas las categorías de niños. Hay </w:t>
      </w:r>
      <w:r>
        <w:t>muchos ejemplos de cómo hacerlo;</w:t>
      </w:r>
      <w:r w:rsidRPr="00313323">
        <w:t xml:space="preserve"> </w:t>
      </w:r>
      <w:r>
        <w:t>entre otras,</w:t>
      </w:r>
      <w:r w:rsidRPr="00313323">
        <w:t xml:space="preserve"> las audiencias para niños, los parlamentos </w:t>
      </w:r>
      <w:r>
        <w:t>de los</w:t>
      </w:r>
      <w:r w:rsidRPr="00313323">
        <w:t xml:space="preserve"> niños, las organizaciones dirigidas por niños, </w:t>
      </w:r>
      <w:r>
        <w:t>las asociaciones de la infancia</w:t>
      </w:r>
      <w:r w:rsidRPr="00313323">
        <w:t xml:space="preserve"> u otros órganos representativos, los debates en la escuela y los sitios web de redes sociales.</w:t>
      </w:r>
    </w:p>
    <w:p w:rsidR="00714242" w:rsidRPr="0054106F" w:rsidRDefault="00714242" w:rsidP="00714242">
      <w:pPr>
        <w:pStyle w:val="H23G"/>
      </w:pPr>
      <w:r>
        <w:tab/>
        <w:t>b)</w:t>
      </w:r>
      <w:r>
        <w:tab/>
      </w:r>
      <w:r w:rsidRPr="00313323">
        <w:t>La determinación de los hechos</w:t>
      </w:r>
    </w:p>
    <w:p w:rsidR="00714242" w:rsidRPr="00313323" w:rsidRDefault="00714242" w:rsidP="00714242">
      <w:pPr>
        <w:pStyle w:val="SingleTxtG"/>
      </w:pPr>
      <w:r>
        <w:t>92.</w:t>
      </w:r>
      <w:r>
        <w:tab/>
      </w:r>
      <w:r w:rsidRPr="00313323">
        <w:t xml:space="preserve">Los </w:t>
      </w:r>
      <w:r>
        <w:t>hechos</w:t>
      </w:r>
      <w:r w:rsidRPr="00313323">
        <w:t xml:space="preserve"> y la información pertinentes para un determinado caso deben obtenerse mediante profesionales</w:t>
      </w:r>
      <w:r>
        <w:t xml:space="preserve"> perfectamente</w:t>
      </w:r>
      <w:r w:rsidRPr="00313323">
        <w:t xml:space="preserve"> capacitados que reúnan todos los elementos necesarios para la evaluación del interés superior del niño. Entre otras cosas, se pueden mantener entrevistas con personas cercanas al niño, con personas que estén en contacto con el niño a diario y con testigos de </w:t>
      </w:r>
      <w:r>
        <w:t>determinados</w:t>
      </w:r>
      <w:r w:rsidRPr="00313323">
        <w:t xml:space="preserve"> incidentes. La información y los datos </w:t>
      </w:r>
      <w:r>
        <w:t>reunidos</w:t>
      </w:r>
      <w:r w:rsidRPr="00313323">
        <w:t xml:space="preserve"> deben verificarse y analizarse antes de </w:t>
      </w:r>
      <w:r>
        <w:t>utilizarlos</w:t>
      </w:r>
      <w:r w:rsidRPr="00313323">
        <w:t xml:space="preserve"> en la evaluación del interés superior del niño o los niños.</w:t>
      </w:r>
    </w:p>
    <w:p w:rsidR="00714242" w:rsidRPr="0054106F" w:rsidRDefault="00714242" w:rsidP="00714242">
      <w:pPr>
        <w:pStyle w:val="H23G"/>
      </w:pPr>
      <w:r>
        <w:tab/>
        <w:t>c)</w:t>
      </w:r>
      <w:r>
        <w:tab/>
      </w:r>
      <w:r w:rsidRPr="00313323">
        <w:t>La percepción del tiempo</w:t>
      </w:r>
    </w:p>
    <w:p w:rsidR="00714242" w:rsidRPr="00313323" w:rsidRDefault="00714242" w:rsidP="00714242">
      <w:pPr>
        <w:pStyle w:val="SingleTxtG"/>
      </w:pPr>
      <w:r>
        <w:t>93.</w:t>
      </w:r>
      <w:r>
        <w:tab/>
      </w:r>
      <w:r w:rsidRPr="00313323">
        <w:t>Los niños y los adultos no tienen la misma percepción del paso del tiempo. Los procesos de toma de decisiones que se demoran o toman mucho tiempo tienen efectos particularmente adversos en la evolución de los niños. Por tanto, conviene dar prioridad a los procedimientos o procesos que están relacionados con los niños o les afectan y ultimarlos en el menor tiempo po</w:t>
      </w:r>
      <w:r>
        <w:t>sible. El momento en que se tome</w:t>
      </w:r>
      <w:r w:rsidRPr="00313323">
        <w:t xml:space="preserve"> la decisión debe corresponder, en la medida de lo posible, con la percepción del niño de cómo puede beneficiarle, </w:t>
      </w:r>
      <w:r>
        <w:t>y las decisiones tomadas debe</w:t>
      </w:r>
      <w:r w:rsidRPr="00313323">
        <w:t xml:space="preserve">n </w:t>
      </w:r>
      <w:r>
        <w:t>examinarse</w:t>
      </w:r>
      <w:r w:rsidRPr="00313323">
        <w:t xml:space="preserve"> a intervalos razonables, a medida que el niño se desarrolla y </w:t>
      </w:r>
      <w:r>
        <w:t>evoluciona su</w:t>
      </w:r>
      <w:r w:rsidRPr="00313323">
        <w:t xml:space="preserve"> cap</w:t>
      </w:r>
      <w:r>
        <w:t>acidad para expresar su opinión</w:t>
      </w:r>
      <w:r w:rsidRPr="00313323">
        <w:t xml:space="preserve">. Todas las decisiones sobre el cuidado, el tratamiento, el internamiento y otras medidas relacionadas con el niño deben </w:t>
      </w:r>
      <w:r>
        <w:t>examinarse</w:t>
      </w:r>
      <w:r w:rsidRPr="00313323">
        <w:t xml:space="preserve"> periódicamente en función de su percepción del tiempo, la evolución de sus facultades y su desarrollo (art. 25).</w:t>
      </w:r>
    </w:p>
    <w:p w:rsidR="00714242" w:rsidRPr="0054106F" w:rsidRDefault="00714242" w:rsidP="00714242">
      <w:pPr>
        <w:pStyle w:val="H23G"/>
      </w:pPr>
      <w:r>
        <w:tab/>
        <w:t>d)</w:t>
      </w:r>
      <w:r>
        <w:tab/>
      </w:r>
      <w:r w:rsidRPr="00313323">
        <w:t>Los profesionales cualificados</w:t>
      </w:r>
    </w:p>
    <w:p w:rsidR="00714242" w:rsidRPr="00313323" w:rsidRDefault="00714242" w:rsidP="00714242">
      <w:pPr>
        <w:pStyle w:val="SingleTxtG"/>
      </w:pPr>
      <w:r>
        <w:t>94.</w:t>
      </w:r>
      <w:r>
        <w:tab/>
      </w:r>
      <w:r w:rsidRPr="00313323">
        <w:t xml:space="preserve">Los niños constituyen un grupo heterogéneo, </w:t>
      </w:r>
      <w:r>
        <w:t>y</w:t>
      </w:r>
      <w:r w:rsidRPr="00313323">
        <w:t xml:space="preserve"> cada cual tiene sus propias características y necesidades que solo pueden ser evaluadas adecuadamente por profesionales </w:t>
      </w:r>
      <w:r>
        <w:t>especializados en cuestiones relacionadas</w:t>
      </w:r>
      <w:r w:rsidRPr="00313323">
        <w:t xml:space="preserve"> con</w:t>
      </w:r>
      <w:r>
        <w:t xml:space="preserve"> el</w:t>
      </w:r>
      <w:r w:rsidRPr="00313323">
        <w:t xml:space="preserve"> desarrollo del niño y el adolescente. Por </w:t>
      </w:r>
      <w:r>
        <w:t>ese motivo</w:t>
      </w:r>
      <w:r w:rsidRPr="00313323">
        <w:t xml:space="preserve">, el proceso de evaluación </w:t>
      </w:r>
      <w:r>
        <w:t>oficial</w:t>
      </w:r>
      <w:r w:rsidRPr="00313323">
        <w:t xml:space="preserve"> debe llevarse a cabo en un ambiente agradable y seguro por profesionales </w:t>
      </w:r>
      <w:r>
        <w:t>capacitados</w:t>
      </w:r>
      <w:r w:rsidRPr="00313323">
        <w:t xml:space="preserve">, entre otras cosas, en psicología infantil, desarrollo del niño y otras esferas pertinentes </w:t>
      </w:r>
      <w:r>
        <w:t>del</w:t>
      </w:r>
      <w:r w:rsidRPr="00313323">
        <w:t xml:space="preserve"> desarrollo humano</w:t>
      </w:r>
      <w:r>
        <w:t xml:space="preserve"> y social</w:t>
      </w:r>
      <w:r w:rsidRPr="00313323">
        <w:t xml:space="preserve">, que hayan trabajado con niños y que </w:t>
      </w:r>
      <w:r>
        <w:t>examinen</w:t>
      </w:r>
      <w:r w:rsidRPr="00313323">
        <w:t xml:space="preserve"> la información </w:t>
      </w:r>
      <w:r>
        <w:t>recibida</w:t>
      </w:r>
      <w:r w:rsidRPr="00313323">
        <w:t xml:space="preserve"> de manera objetiva. En la medida de lo posible, en la evaluación del interés superior del niño debería participar un equipo multidisciplinario de profesionales.</w:t>
      </w:r>
    </w:p>
    <w:p w:rsidR="00714242" w:rsidRPr="00313323" w:rsidRDefault="00714242" w:rsidP="00714242">
      <w:pPr>
        <w:pStyle w:val="SingleTxtG"/>
      </w:pPr>
      <w:r>
        <w:t>95.</w:t>
      </w:r>
      <w:r>
        <w:tab/>
      </w:r>
      <w:r w:rsidRPr="00313323">
        <w:t>La evaluación de las consecuencias de las distintas soluciones debe basarse en los conocimientos generales (es decir, en las esferas del derecho, la sociología, la educación, el trabajo social, la psicología, la salud, etc.) de las posibles consecuencias de cada posible solución para el niño, dadas sus características individuales y las experiencias anteriores.</w:t>
      </w:r>
    </w:p>
    <w:p w:rsidR="00714242" w:rsidRPr="0054106F" w:rsidRDefault="00714242" w:rsidP="00714242">
      <w:pPr>
        <w:pStyle w:val="H23G"/>
      </w:pPr>
      <w:r>
        <w:tab/>
        <w:t>e)</w:t>
      </w:r>
      <w:r>
        <w:tab/>
      </w:r>
      <w:r w:rsidRPr="00313323">
        <w:t>La representación letrada</w:t>
      </w:r>
    </w:p>
    <w:p w:rsidR="00714242" w:rsidRPr="00313323" w:rsidRDefault="00714242" w:rsidP="00714242">
      <w:pPr>
        <w:pStyle w:val="SingleTxtG"/>
      </w:pPr>
      <w:r>
        <w:t>96.</w:t>
      </w:r>
      <w:r>
        <w:tab/>
      </w:r>
      <w:r w:rsidRPr="00313323">
        <w:t xml:space="preserve">El niño necesitará representación letrada adecuada cuando </w:t>
      </w:r>
      <w:r>
        <w:t>los tribunales y órganos equivalentes hayan de evaluar y determinar oficialmente su interés superior</w:t>
      </w:r>
      <w:r w:rsidRPr="00313323">
        <w:t xml:space="preserve">. En particular, </w:t>
      </w:r>
      <w:r>
        <w:t>cuando se someta</w:t>
      </w:r>
      <w:r w:rsidRPr="00313323">
        <w:t xml:space="preserve"> a un niño a un procedimiento judici</w:t>
      </w:r>
      <w:r>
        <w:t>al o administrativo que conlleve</w:t>
      </w:r>
      <w:r w:rsidRPr="00313323">
        <w:t xml:space="preserve"> la determinación de su interés superior, el niño debe disponer de representación letrada, además de un </w:t>
      </w:r>
      <w:r>
        <w:t>curador</w:t>
      </w:r>
      <w:r w:rsidRPr="00313323">
        <w:t xml:space="preserve"> o representante </w:t>
      </w:r>
      <w:r>
        <w:t>de</w:t>
      </w:r>
      <w:r w:rsidRPr="00313323">
        <w:t xml:space="preserve"> su opinión, cuando pueda haber un conflicto entre las partes en la decisión.</w:t>
      </w:r>
    </w:p>
    <w:p w:rsidR="00714242" w:rsidRPr="0054106F" w:rsidRDefault="00714242" w:rsidP="00714242">
      <w:pPr>
        <w:pStyle w:val="H23G"/>
      </w:pPr>
      <w:r>
        <w:tab/>
        <w:t>f)</w:t>
      </w:r>
      <w:r>
        <w:tab/>
        <w:t>La argumentación jurídica</w:t>
      </w:r>
    </w:p>
    <w:p w:rsidR="00714242" w:rsidRPr="00313323" w:rsidRDefault="00714242" w:rsidP="00714242">
      <w:pPr>
        <w:pStyle w:val="SingleTxtG"/>
      </w:pPr>
      <w:r>
        <w:t>97.</w:t>
      </w:r>
      <w:r>
        <w:tab/>
      </w:r>
      <w:r w:rsidRPr="00313323">
        <w:t>A fin de demostrar que se</w:t>
      </w:r>
      <w:r>
        <w:t xml:space="preserve"> ha</w:t>
      </w:r>
      <w:r w:rsidRPr="00313323">
        <w:t xml:space="preserve"> respeta</w:t>
      </w:r>
      <w:r>
        <w:t>do</w:t>
      </w:r>
      <w:r w:rsidRPr="00313323">
        <w:t xml:space="preserve"> el derecho del niño a que su interés superior </w:t>
      </w:r>
      <w:r>
        <w:t>se</w:t>
      </w:r>
      <w:r w:rsidRPr="00313323">
        <w:t xml:space="preserve"> evalúe y </w:t>
      </w:r>
      <w:r>
        <w:t>constituya una consideración primordial</w:t>
      </w:r>
      <w:r w:rsidRPr="00313323">
        <w:t xml:space="preserve">, cualquier decisión sobre el niño o los niños debe estar motivada, justificada y explicada. </w:t>
      </w:r>
      <w:r>
        <w:t>En l</w:t>
      </w:r>
      <w:r w:rsidRPr="00313323">
        <w:t>a motivación</w:t>
      </w:r>
      <w:r>
        <w:t xml:space="preserve"> se debe</w:t>
      </w:r>
      <w:r w:rsidRPr="00313323">
        <w:t xml:space="preserve"> señalar explícitamente todas las circunstancias </w:t>
      </w:r>
      <w:r>
        <w:t>de hecho</w:t>
      </w:r>
      <w:r w:rsidRPr="00313323">
        <w:t xml:space="preserve"> referentes al niño, los elementos que se han considerado pertinentes para la evaluación de su interés superior, el contenido de los elementos en ese caso en concreto y la manera en que se han ponderado para determinar el interés superior del niño. Si la decisión difiere de la opinión del niño, se deberá exponer con claridad la razón por la que se ha tomado. Si, excepcionalmente, la solución elegida no atiende al inte</w:t>
      </w:r>
      <w:r>
        <w:t>rés superior del niño, se debe</w:t>
      </w:r>
      <w:r w:rsidRPr="00313323">
        <w:t xml:space="preserve">n indicar los motivos a los que obedece para demostrar que el interés superior del niño fue una consideración primordial, a pesar del resultado. No </w:t>
      </w:r>
      <w:r>
        <w:t>basta con afirmar</w:t>
      </w:r>
      <w:r w:rsidRPr="00313323">
        <w:t xml:space="preserve"> en términos generales, que hubo otras consideraciones que prevalecieron frente al interés superior del niño; se deben detallar de forma explícita todas las consideraciones relacionadas con el caso en cuestión y se deben explicar los motivos por los que tuvieron más peso en ese caso en particular. </w:t>
      </w:r>
      <w:r>
        <w:t>En l</w:t>
      </w:r>
      <w:r w:rsidRPr="00313323">
        <w:t xml:space="preserve">a fundamentación también </w:t>
      </w:r>
      <w:r>
        <w:t xml:space="preserve">se </w:t>
      </w:r>
      <w:r w:rsidRPr="00313323">
        <w:t xml:space="preserve">debe explicar, de forma </w:t>
      </w:r>
      <w:r>
        <w:t>verosímil</w:t>
      </w:r>
      <w:r w:rsidRPr="00313323">
        <w:t xml:space="preserve">, el motivo por el que el interés superior del niño no era suficientemente importante como para imponerse a otras consideraciones. Es preciso tener en cuenta las circunstancias en que el interés superior del niño debe ser la consideración primordial (véase </w:t>
      </w:r>
      <w:r>
        <w:t>más arriba el párrafo 38</w:t>
      </w:r>
      <w:r w:rsidRPr="00313323">
        <w:t>).</w:t>
      </w:r>
    </w:p>
    <w:p w:rsidR="00714242" w:rsidRPr="0054106F" w:rsidRDefault="00714242" w:rsidP="00714242">
      <w:pPr>
        <w:pStyle w:val="H23G"/>
      </w:pPr>
      <w:r>
        <w:tab/>
        <w:t>g)</w:t>
      </w:r>
      <w:r>
        <w:tab/>
      </w:r>
      <w:r w:rsidRPr="00313323">
        <w:t>Los mecanismos para examinar o revisar las decisiones</w:t>
      </w:r>
    </w:p>
    <w:p w:rsidR="00714242" w:rsidRPr="00313323" w:rsidRDefault="00714242" w:rsidP="00714242">
      <w:pPr>
        <w:pStyle w:val="SingleTxtG"/>
      </w:pPr>
      <w:r>
        <w:t>98.</w:t>
      </w:r>
      <w:r>
        <w:tab/>
        <w:t>Los Estados deben</w:t>
      </w:r>
      <w:r w:rsidRPr="00313323">
        <w:t xml:space="preserve"> establecer mecanismos en el marco de sus </w:t>
      </w:r>
      <w:r>
        <w:t>ordenamientos</w:t>
      </w:r>
      <w:r w:rsidRPr="00313323">
        <w:t xml:space="preserve"> jurídicos para </w:t>
      </w:r>
      <w:r>
        <w:t>recurrir</w:t>
      </w:r>
      <w:r w:rsidRPr="00313323">
        <w:t xml:space="preserve"> o revisar las decisiones concernientes a los niños cuando alguna parezca no ajustarse al procedimiento oportuno de evaluación y determinación del interés superior del niño o los niños. Debería existir siempre la posibilidad de solicitar una revisión o </w:t>
      </w:r>
      <w:r>
        <w:t>recurrir</w:t>
      </w:r>
      <w:r w:rsidRPr="00313323">
        <w:t xml:space="preserve"> una decisión </w:t>
      </w:r>
      <w:r>
        <w:t>en el plano</w:t>
      </w:r>
      <w:r w:rsidRPr="00313323">
        <w:t xml:space="preserve"> </w:t>
      </w:r>
      <w:r>
        <w:t>nacional. Los mecanismos debe</w:t>
      </w:r>
      <w:r w:rsidRPr="00313323">
        <w:t>n darse a conocer al niño</w:t>
      </w:r>
      <w:r>
        <w:t>,</w:t>
      </w:r>
      <w:r w:rsidRPr="00313323">
        <w:t xml:space="preserve"> </w:t>
      </w:r>
      <w:r>
        <w:t>que ha de tener acceso directo a ellos</w:t>
      </w:r>
      <w:r w:rsidRPr="00313323">
        <w:t xml:space="preserve"> o por medio de su representante jurídico, si se considera que se han incumplido las garantías procesales, los hechos </w:t>
      </w:r>
      <w:r>
        <w:t>no son exactos</w:t>
      </w:r>
      <w:r w:rsidRPr="00313323">
        <w:t xml:space="preserve">, no se ha llevado a cabo adecuadamente la evaluación del interés superior del niño o se ha concedido demasiada importancia a consideraciones </w:t>
      </w:r>
      <w:r>
        <w:t>contrapuestas</w:t>
      </w:r>
      <w:r w:rsidRPr="00313323">
        <w:t xml:space="preserve">. El órgano revisor </w:t>
      </w:r>
      <w:r>
        <w:t>ha de</w:t>
      </w:r>
      <w:r w:rsidRPr="00313323">
        <w:t xml:space="preserve"> examinar tod</w:t>
      </w:r>
      <w:r>
        <w:t>os es</w:t>
      </w:r>
      <w:r w:rsidRPr="00313323">
        <w:t>os aspectos.</w:t>
      </w:r>
    </w:p>
    <w:p w:rsidR="00714242" w:rsidRPr="00313323" w:rsidRDefault="00714242" w:rsidP="00714242">
      <w:pPr>
        <w:pStyle w:val="H23G"/>
      </w:pPr>
      <w:r>
        <w:tab/>
        <w:t>h)</w:t>
      </w:r>
      <w:r>
        <w:tab/>
      </w:r>
      <w:r w:rsidRPr="00313323">
        <w:t>La evaluación del impacto en los derechos del niño</w:t>
      </w:r>
    </w:p>
    <w:p w:rsidR="00714242" w:rsidRPr="00313323" w:rsidRDefault="00714242" w:rsidP="00714242">
      <w:pPr>
        <w:pStyle w:val="SingleTxtG"/>
      </w:pPr>
      <w:r>
        <w:t>99.</w:t>
      </w:r>
      <w:r>
        <w:tab/>
      </w:r>
      <w:r w:rsidRPr="00313323">
        <w:t xml:space="preserve">Como se ha señalado </w:t>
      </w:r>
      <w:r>
        <w:t>más arriba</w:t>
      </w:r>
      <w:r w:rsidRPr="00313323">
        <w:t>, la adopción de todas las medid</w:t>
      </w:r>
      <w:r>
        <w:t>as de aplicación también debe</w:t>
      </w:r>
      <w:r w:rsidRPr="00313323">
        <w:t xml:space="preserve"> seguir un procedimiento que garantice que el interés superior del</w:t>
      </w:r>
      <w:r>
        <w:t xml:space="preserve"> niño sea una consideración pri</w:t>
      </w:r>
      <w:r w:rsidRPr="00313323">
        <w:t xml:space="preserve">mordial. La evaluación del impacto en los derechos del niño puede prever las repercusiones de cualquier </w:t>
      </w:r>
      <w:r>
        <w:t>proyecto</w:t>
      </w:r>
      <w:r w:rsidRPr="00313323">
        <w:t xml:space="preserve"> de política, </w:t>
      </w:r>
      <w:r>
        <w:t>legislación, reglamentación, presupuesto u otra</w:t>
      </w:r>
      <w:r w:rsidRPr="00313323">
        <w:t xml:space="preserve"> decisión administrativa que afecte a los niños y al disfrute de sus derechos, y debería complementar </w:t>
      </w:r>
      <w:r>
        <w:t>el seguimiento y la</w:t>
      </w:r>
      <w:r w:rsidRPr="00313323">
        <w:t xml:space="preserve"> evaluación permanentes del impacto de las medidas en los derechos del niño</w:t>
      </w:r>
      <w:r>
        <w:rPr>
          <w:rStyle w:val="FootnoteReference"/>
        </w:rPr>
        <w:footnoteReference w:id="18"/>
      </w:r>
      <w:r w:rsidRPr="00313323">
        <w:t xml:space="preserve">. La evaluación del impacto debe incorporarse a todos los niveles y lo antes posible en los procesos gubernamentales de formulación de políticas y otras medidas generales para garantizar </w:t>
      </w:r>
      <w:r>
        <w:t>la buena gobernanza en</w:t>
      </w:r>
      <w:r w:rsidRPr="00313323">
        <w:t xml:space="preserve"> los derechos del niño. Se pueden aplicar diferentes metodologías y prácticas al llevar a cabo la evaluación del impacto. Como mínimo, se deben utilizar la Convención y sus Protocolos facultativos como marco, en particular para garantizar que las evaluaciones se basen en los principios generales y tengan especialmente en cuenta los efectos diferenciados </w:t>
      </w:r>
      <w:r>
        <w:t>que tendrán en los niños</w:t>
      </w:r>
      <w:r w:rsidRPr="00313323">
        <w:t xml:space="preserve"> la medida o </w:t>
      </w:r>
      <w:r>
        <w:t>medidas que se examinen</w:t>
      </w:r>
      <w:r w:rsidRPr="00313323">
        <w:t xml:space="preserve">. La propia evaluación del impacto podría basarse en las aportaciones de los niños, la sociedad civil y los expertos en la materia, así como de los </w:t>
      </w:r>
      <w:r>
        <w:t>organismos públicos correspondientes</w:t>
      </w:r>
      <w:r w:rsidRPr="00313323">
        <w:t xml:space="preserve">, las investigaciones académicas y las experiencias documentadas en el </w:t>
      </w:r>
      <w:r>
        <w:t>propio país o en otros</w:t>
      </w:r>
      <w:r w:rsidRPr="00313323">
        <w:t>. El análisis debería culminar en la formulación de recomendaciones de modificaciones, alternativas y mejoras y ponerse a disposición del público</w:t>
      </w:r>
      <w:r>
        <w:rPr>
          <w:rStyle w:val="FootnoteReference"/>
        </w:rPr>
        <w:footnoteReference w:id="19"/>
      </w:r>
      <w:r w:rsidRPr="00313323">
        <w:t>.</w:t>
      </w:r>
    </w:p>
    <w:p w:rsidR="00714242" w:rsidRPr="00313323" w:rsidRDefault="00714242" w:rsidP="00714242">
      <w:pPr>
        <w:pStyle w:val="HChG"/>
      </w:pPr>
      <w:r>
        <w:tab/>
        <w:t>VI.</w:t>
      </w:r>
      <w:r>
        <w:tab/>
      </w:r>
      <w:r w:rsidRPr="00313323">
        <w:t>Difusión</w:t>
      </w:r>
    </w:p>
    <w:p w:rsidR="00714242" w:rsidRPr="00313323" w:rsidRDefault="00714242" w:rsidP="00714242">
      <w:pPr>
        <w:pStyle w:val="SingleTxtG"/>
      </w:pPr>
      <w:r w:rsidRPr="00313323">
        <w:t>100</w:t>
      </w:r>
      <w:r>
        <w:t>.</w:t>
      </w:r>
      <w:r>
        <w:tab/>
      </w:r>
      <w:r w:rsidRPr="00313323">
        <w:t>El Comité recomienda a los Estados que di</w:t>
      </w:r>
      <w:r>
        <w:t xml:space="preserve">fundan ampliamente la presente </w:t>
      </w:r>
      <w:r w:rsidR="00C55346">
        <w:t>o</w:t>
      </w:r>
      <w:r w:rsidRPr="00313323">
        <w:t xml:space="preserve">bservación general entre los parlamentos, </w:t>
      </w:r>
      <w:r>
        <w:t>las administraciones públicas</w:t>
      </w:r>
      <w:r w:rsidRPr="00313323">
        <w:t xml:space="preserve"> y el poder judicial, </w:t>
      </w:r>
      <w:r>
        <w:t>en los planos</w:t>
      </w:r>
      <w:r w:rsidRPr="00313323">
        <w:t xml:space="preserve"> n</w:t>
      </w:r>
      <w:r>
        <w:t>acional y local. También debe</w:t>
      </w:r>
      <w:r w:rsidRPr="00313323">
        <w:t xml:space="preserve"> darse a conocer a los niños</w:t>
      </w:r>
      <w:r w:rsidR="00C55346">
        <w:t>,</w:t>
      </w:r>
      <w:r>
        <w:t xml:space="preserve"> </w:t>
      </w:r>
      <w:r w:rsidRPr="00313323">
        <w:t>incluidos aquell</w:t>
      </w:r>
      <w:r>
        <w:t>os que se encuentran en situacio</w:t>
      </w:r>
      <w:r w:rsidRPr="00313323">
        <w:t>n</w:t>
      </w:r>
      <w:r>
        <w:t>es de exclusión</w:t>
      </w:r>
      <w:r w:rsidRPr="00313323">
        <w:t xml:space="preserve">, todos los profesionales que trabajan para los niños y con </w:t>
      </w:r>
      <w:r>
        <w:t xml:space="preserve">ellos </w:t>
      </w:r>
      <w:r w:rsidRPr="00313323">
        <w:t xml:space="preserve">(como jueces, abogados, </w:t>
      </w:r>
      <w:r>
        <w:t>docentes</w:t>
      </w:r>
      <w:r w:rsidRPr="00313323">
        <w:t>, tutores</w:t>
      </w:r>
      <w:r>
        <w:t xml:space="preserve"> o curadores</w:t>
      </w:r>
      <w:r w:rsidRPr="00313323">
        <w:t xml:space="preserve">, trabajadores sociales, personal de las instituciones de bienestar públicas o privadas, </w:t>
      </w:r>
      <w:r>
        <w:t>y personal sanitario</w:t>
      </w:r>
      <w:r w:rsidRPr="00313323">
        <w:t>) y la sociedad c</w:t>
      </w:r>
      <w:r>
        <w:t>ivil en general. Para ello, l</w:t>
      </w:r>
      <w:r w:rsidR="00C55346">
        <w:t>a o</w:t>
      </w:r>
      <w:r w:rsidRPr="00313323">
        <w:t xml:space="preserve">bservación general debe traducirse a los idiomas pertinentes, se deben preparar versiones adaptadas a los niños </w:t>
      </w:r>
      <w:r>
        <w:t xml:space="preserve">o apropiadas para ellos </w:t>
      </w:r>
      <w:r w:rsidRPr="00313323">
        <w:t>y se han de celebrar conferencias, seminarios, talleres y otros eventos para intercambiar las mejores prácticas en cuanto a s</w:t>
      </w:r>
      <w:r>
        <w:t>u aplicación. También se debe</w:t>
      </w:r>
      <w:r w:rsidRPr="00313323">
        <w:t xml:space="preserve"> incorporar en la </w:t>
      </w:r>
      <w:r>
        <w:t>capacitación oficial</w:t>
      </w:r>
      <w:r w:rsidRPr="00313323">
        <w:t xml:space="preserve"> previa al empleo y en el empleo de todos los profesionales y el personal técnico </w:t>
      </w:r>
      <w:r>
        <w:t>concernidos</w:t>
      </w:r>
      <w:r w:rsidRPr="00313323">
        <w:t>.</w:t>
      </w:r>
    </w:p>
    <w:p w:rsidR="00714242" w:rsidRDefault="00714242" w:rsidP="00714242">
      <w:pPr>
        <w:pStyle w:val="SingleTxtG"/>
      </w:pPr>
      <w:r>
        <w:t>101.</w:t>
      </w:r>
      <w:r>
        <w:tab/>
        <w:t>E</w:t>
      </w:r>
      <w:r w:rsidRPr="00313323">
        <w:t>n los informes periódicos que presentan al Comité</w:t>
      </w:r>
      <w:r>
        <w:t>,</w:t>
      </w:r>
      <w:r w:rsidRPr="00313323">
        <w:t xml:space="preserve"> </w:t>
      </w:r>
      <w:r>
        <w:t xml:space="preserve">los Estados deben incluir información </w:t>
      </w:r>
      <w:r w:rsidRPr="00313323">
        <w:t xml:space="preserve">sobre los </w:t>
      </w:r>
      <w:r>
        <w:t>problemas</w:t>
      </w:r>
      <w:r w:rsidRPr="00313323">
        <w:t xml:space="preserve"> a los que se enfrentan y las medidas que han adoptado para </w:t>
      </w:r>
      <w:r>
        <w:t>dar efectos al</w:t>
      </w:r>
      <w:r w:rsidRPr="00313323">
        <w:t xml:space="preserve"> el interés superior del niño</w:t>
      </w:r>
      <w:r>
        <w:t xml:space="preserve"> y respetarlo</w:t>
      </w:r>
      <w:r w:rsidRPr="00313323">
        <w:t xml:space="preserve"> en todas las decisiones judiciales y administrativas y otras medidas relacionadas con el niño como individuo, así como en todas las etapas del proceso de adopción de medidas de aplicación relativas a los niños en general o como grupo específico.</w:t>
      </w:r>
    </w:p>
    <w:p w:rsidR="00714242" w:rsidRPr="005D5CC6" w:rsidRDefault="00714242" w:rsidP="00714242">
      <w:pPr>
        <w:pStyle w:val="SingleTxtG"/>
        <w:spacing w:before="240"/>
        <w:jc w:val="center"/>
        <w:rPr>
          <w:u w:val="single"/>
        </w:rPr>
      </w:pPr>
      <w:r>
        <w:rPr>
          <w:u w:val="single"/>
        </w:rPr>
        <w:tab/>
      </w:r>
      <w:r>
        <w:rPr>
          <w:u w:val="single"/>
        </w:rPr>
        <w:tab/>
      </w:r>
      <w:r>
        <w:rPr>
          <w:u w:val="single"/>
        </w:rPr>
        <w:tab/>
      </w:r>
    </w:p>
    <w:p w:rsidR="00714242" w:rsidRPr="001075E9" w:rsidRDefault="00714242" w:rsidP="006162AB">
      <w:pPr>
        <w:pStyle w:val="SingleTxtG"/>
      </w:pPr>
    </w:p>
    <w:sectPr w:rsidR="00714242" w:rsidRPr="001075E9" w:rsidSect="006E006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5345" w:rsidRDefault="00885345">
      <w:r>
        <w:separator/>
      </w:r>
    </w:p>
  </w:endnote>
  <w:endnote w:type="continuationSeparator" w:id="0">
    <w:p w:rsidR="00885345" w:rsidRDefault="0088534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06F" w:rsidRPr="006E006F" w:rsidRDefault="006E006F" w:rsidP="006E006F">
    <w:pPr>
      <w:pStyle w:val="Footer"/>
      <w:tabs>
        <w:tab w:val="right" w:pos="9638"/>
      </w:tabs>
    </w:pPr>
    <w:r w:rsidRPr="006E006F">
      <w:rPr>
        <w:b/>
        <w:sz w:val="18"/>
      </w:rPr>
      <w:fldChar w:fldCharType="begin"/>
    </w:r>
    <w:r w:rsidRPr="006E006F">
      <w:rPr>
        <w:b/>
        <w:sz w:val="18"/>
      </w:rPr>
      <w:instrText xml:space="preserve"> PAGE  \* MERGEFORMAT </w:instrText>
    </w:r>
    <w:r w:rsidRPr="006E006F">
      <w:rPr>
        <w:b/>
        <w:sz w:val="18"/>
      </w:rPr>
      <w:fldChar w:fldCharType="separate"/>
    </w:r>
    <w:r w:rsidR="00592844">
      <w:rPr>
        <w:b/>
        <w:noProof/>
        <w:sz w:val="18"/>
      </w:rPr>
      <w:t>22</w:t>
    </w:r>
    <w:r w:rsidRPr="006E006F">
      <w:rPr>
        <w:b/>
        <w:sz w:val="18"/>
      </w:rPr>
      <w:fldChar w:fldCharType="end"/>
    </w:r>
    <w:r>
      <w:rPr>
        <w:b/>
        <w:sz w:val="18"/>
      </w:rPr>
      <w:tab/>
    </w:r>
    <w:r>
      <w:t>GE.13-44192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06F" w:rsidRPr="006E006F" w:rsidRDefault="006E006F" w:rsidP="006E006F">
    <w:pPr>
      <w:pStyle w:val="Footer"/>
      <w:tabs>
        <w:tab w:val="right" w:pos="9638"/>
      </w:tabs>
      <w:rPr>
        <w:b/>
        <w:sz w:val="18"/>
      </w:rPr>
    </w:pPr>
    <w:r>
      <w:t>GE.13-44192</w:t>
    </w:r>
    <w:r>
      <w:tab/>
    </w:r>
    <w:r w:rsidRPr="006E006F">
      <w:rPr>
        <w:b/>
        <w:sz w:val="18"/>
      </w:rPr>
      <w:fldChar w:fldCharType="begin"/>
    </w:r>
    <w:r w:rsidRPr="006E006F">
      <w:rPr>
        <w:b/>
        <w:sz w:val="18"/>
      </w:rPr>
      <w:instrText xml:space="preserve"> PAGE  \* MERGEFORMAT </w:instrText>
    </w:r>
    <w:r w:rsidRPr="006E006F">
      <w:rPr>
        <w:b/>
        <w:sz w:val="18"/>
      </w:rPr>
      <w:fldChar w:fldCharType="separate"/>
    </w:r>
    <w:r w:rsidR="00592844">
      <w:rPr>
        <w:b/>
        <w:noProof/>
        <w:sz w:val="18"/>
      </w:rPr>
      <w:t>21</w:t>
    </w:r>
    <w:r w:rsidRPr="006E006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8BA" w:rsidRPr="006E006F" w:rsidRDefault="006E006F" w:rsidP="008675EF">
    <w:pPr>
      <w:pStyle w:val="Footer"/>
      <w:rPr>
        <w:sz w:val="20"/>
      </w:rPr>
    </w:pPr>
    <w:r>
      <w:rPr>
        <w:sz w:val="20"/>
      </w:rPr>
      <w:t>GE.</w:t>
    </w:r>
    <w:r w:rsidR="002F48B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13-44192  (S)    010713    020713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5345" w:rsidRPr="001075E9" w:rsidRDefault="00885345" w:rsidP="001075E9">
      <w:pPr>
        <w:tabs>
          <w:tab w:val="right" w:pos="2155"/>
        </w:tabs>
        <w:spacing w:after="80" w:line="240" w:lineRule="auto"/>
        <w:ind w:left="680"/>
        <w:rPr>
          <w:u w:val="single"/>
        </w:rPr>
      </w:pPr>
      <w:r>
        <w:rPr>
          <w:u w:val="single"/>
        </w:rPr>
        <w:tab/>
      </w:r>
    </w:p>
  </w:footnote>
  <w:footnote w:type="continuationSeparator" w:id="0">
    <w:p w:rsidR="00885345" w:rsidRDefault="00885345">
      <w:r>
        <w:continuationSeparator/>
      </w:r>
    </w:p>
  </w:footnote>
  <w:footnote w:id="1">
    <w:p w:rsidR="006E006F" w:rsidRPr="00CE04C0" w:rsidRDefault="006E006F" w:rsidP="006E006F">
      <w:pPr>
        <w:pStyle w:val="FootnoteText"/>
        <w:rPr>
          <w:sz w:val="20"/>
        </w:rPr>
      </w:pPr>
      <w:r>
        <w:tab/>
      </w:r>
      <w:r w:rsidRPr="00CE04C0">
        <w:rPr>
          <w:rStyle w:val="FootnoteReference"/>
          <w:sz w:val="20"/>
          <w:vertAlign w:val="baseline"/>
        </w:rPr>
        <w:t>*</w:t>
      </w:r>
      <w:r w:rsidRPr="00CE04C0">
        <w:tab/>
      </w:r>
      <w:r w:rsidRPr="002B7D11">
        <w:t>Aprobada por el Comité en su 62º período de sesiones (14 de enero a 1 de febrero de 2013).</w:t>
      </w:r>
    </w:p>
  </w:footnote>
  <w:footnote w:id="2">
    <w:p w:rsidR="006E006F" w:rsidRDefault="006E006F" w:rsidP="006E006F">
      <w:pPr>
        <w:pStyle w:val="FootnoteText"/>
        <w:widowControl w:val="0"/>
        <w:tabs>
          <w:tab w:val="clear" w:pos="1021"/>
          <w:tab w:val="right" w:pos="1020"/>
        </w:tabs>
        <w:suppressAutoHyphens/>
      </w:pPr>
      <w:r>
        <w:tab/>
      </w:r>
      <w:r w:rsidRPr="00EB7DBA">
        <w:rPr>
          <w:rStyle w:val="FootnoteReference"/>
        </w:rPr>
        <w:footnoteRef/>
      </w:r>
      <w:r>
        <w:tab/>
      </w:r>
      <w:r w:rsidRPr="00AD1646">
        <w:rPr>
          <w:bCs/>
        </w:rPr>
        <w:t>Observación</w:t>
      </w:r>
      <w:r w:rsidRPr="00AD1646">
        <w:t xml:space="preserve"> </w:t>
      </w:r>
      <w:r w:rsidRPr="00AD1646">
        <w:rPr>
          <w:bCs/>
        </w:rPr>
        <w:t>general</w:t>
      </w:r>
      <w:r w:rsidRPr="00AD1646">
        <w:t xml:space="preserve"> Nº 5 (2003) sobre las medidas generales de aplicación de la Convención sobre los Derechos del Niño, párr. 12</w:t>
      </w:r>
      <w:r w:rsidR="009955F1">
        <w:t>;</w:t>
      </w:r>
      <w:r w:rsidRPr="00AD1646">
        <w:t xml:space="preserve"> y </w:t>
      </w:r>
      <w:r w:rsidRPr="00AD1646">
        <w:rPr>
          <w:bCs/>
        </w:rPr>
        <w:t>Observación</w:t>
      </w:r>
      <w:r w:rsidRPr="00AD1646">
        <w:t xml:space="preserve"> </w:t>
      </w:r>
      <w:r w:rsidRPr="00AD1646">
        <w:rPr>
          <w:bCs/>
        </w:rPr>
        <w:t>general</w:t>
      </w:r>
      <w:r w:rsidRPr="00AD1646">
        <w:t xml:space="preserve"> Nº 12 (2009) sobre el derecho del niño a ser escuchado, párr. 2.</w:t>
      </w:r>
    </w:p>
  </w:footnote>
  <w:footnote w:id="3">
    <w:p w:rsidR="006E006F" w:rsidRPr="002A551B" w:rsidRDefault="006E006F" w:rsidP="006E006F">
      <w:pPr>
        <w:pStyle w:val="FootnoteText"/>
      </w:pPr>
      <w:r>
        <w:tab/>
      </w:r>
      <w:r w:rsidRPr="00EB7DBA">
        <w:rPr>
          <w:rStyle w:val="FootnoteReference"/>
        </w:rPr>
        <w:footnoteRef/>
      </w:r>
      <w:r>
        <w:tab/>
      </w:r>
      <w:r w:rsidRPr="002A551B">
        <w:t>El Comité espera que los Estados interpreten el término "desarrollo" como "concepto holístico que abarca el desarrollo físico, mental, espiritual, moral, psicológico y social del niño" (Observación general Nº 5, párr. 12).</w:t>
      </w:r>
    </w:p>
  </w:footnote>
  <w:footnote w:id="4">
    <w:p w:rsidR="006E006F" w:rsidRPr="002A551B" w:rsidRDefault="006E006F" w:rsidP="006E006F">
      <w:pPr>
        <w:pStyle w:val="FootnoteText"/>
      </w:pPr>
      <w:r>
        <w:tab/>
      </w:r>
      <w:r w:rsidRPr="00EB7DBA">
        <w:rPr>
          <w:rStyle w:val="FootnoteReference"/>
        </w:rPr>
        <w:footnoteRef/>
      </w:r>
      <w:r>
        <w:tab/>
      </w:r>
      <w:r w:rsidRPr="002A551B">
        <w:t xml:space="preserve">Observación general Nº 13 (2011) sobre </w:t>
      </w:r>
      <w:bookmarkStart w:id="10" w:name="_Toc285723365"/>
      <w:bookmarkStart w:id="11" w:name="_Toc285724520"/>
      <w:bookmarkStart w:id="12" w:name="_Toc285724580"/>
      <w:bookmarkStart w:id="13" w:name="_Toc285724727"/>
      <w:bookmarkStart w:id="14" w:name="_Toc285724984"/>
      <w:r w:rsidRPr="002A551B">
        <w:t>el derecho del niño a no ser objeto de ninguna forma de violencia</w:t>
      </w:r>
      <w:bookmarkEnd w:id="10"/>
      <w:bookmarkEnd w:id="11"/>
      <w:bookmarkEnd w:id="12"/>
      <w:bookmarkEnd w:id="13"/>
      <w:bookmarkEnd w:id="14"/>
      <w:r w:rsidRPr="002A551B">
        <w:t>, párr.</w:t>
      </w:r>
      <w:r>
        <w:t xml:space="preserve"> </w:t>
      </w:r>
      <w:r w:rsidRPr="002A551B">
        <w:t>61.</w:t>
      </w:r>
    </w:p>
  </w:footnote>
  <w:footnote w:id="5">
    <w:p w:rsidR="006E006F" w:rsidRPr="002A551B" w:rsidRDefault="006E006F" w:rsidP="006E006F">
      <w:pPr>
        <w:pStyle w:val="FootnoteText"/>
      </w:pPr>
      <w:r>
        <w:tab/>
      </w:r>
      <w:r w:rsidRPr="00EB7DBA">
        <w:rPr>
          <w:rStyle w:val="FootnoteReference"/>
        </w:rPr>
        <w:footnoteRef/>
      </w:r>
      <w:r>
        <w:tab/>
      </w:r>
      <w:r w:rsidRPr="002A551B">
        <w:t>Observación general Nº 11 (2009) sobre los niños indígenas y sus derechos en virtud de la Convención, párr. 30.</w:t>
      </w:r>
    </w:p>
  </w:footnote>
  <w:footnote w:id="6">
    <w:p w:rsidR="006E006F" w:rsidRPr="002A551B" w:rsidRDefault="006E006F" w:rsidP="006E006F">
      <w:pPr>
        <w:pStyle w:val="FootnoteText"/>
      </w:pPr>
      <w:r>
        <w:tab/>
      </w:r>
      <w:r w:rsidRPr="00EB7DBA">
        <w:rPr>
          <w:rStyle w:val="FootnoteReference"/>
        </w:rPr>
        <w:footnoteRef/>
      </w:r>
      <w:r>
        <w:tab/>
      </w:r>
      <w:r w:rsidRPr="002A551B">
        <w:t>Observación general Nº 10 (2007) sobre los derechos del niño en la justicia de menores, párr. 10.</w:t>
      </w:r>
    </w:p>
  </w:footnote>
  <w:footnote w:id="7">
    <w:p w:rsidR="006162AB" w:rsidRDefault="006162AB" w:rsidP="006162AB">
      <w:pPr>
        <w:pStyle w:val="FootnoteText"/>
      </w:pPr>
      <w:r>
        <w:tab/>
      </w:r>
      <w:r>
        <w:rPr>
          <w:rStyle w:val="FootnoteReference"/>
        </w:rPr>
        <w:footnoteRef/>
      </w:r>
      <w:r>
        <w:tab/>
      </w:r>
      <w:r w:rsidRPr="0042619E">
        <w:t>Observación general Nº 5 (2003) sobre medidas generales de aplicación de la Convención sobre los Derechos del Niño, párr. 45</w:t>
      </w:r>
    </w:p>
  </w:footnote>
  <w:footnote w:id="8">
    <w:p w:rsidR="006162AB" w:rsidRPr="00322158" w:rsidRDefault="006162AB" w:rsidP="006162AB">
      <w:pPr>
        <w:pStyle w:val="FootnoteText"/>
      </w:pPr>
      <w:r>
        <w:tab/>
      </w:r>
      <w:r w:rsidRPr="0042619E">
        <w:rPr>
          <w:rStyle w:val="FootnoteReference"/>
        </w:rPr>
        <w:footnoteRef/>
      </w:r>
      <w:r>
        <w:tab/>
      </w:r>
      <w:r w:rsidRPr="0042619E">
        <w:t>Observación general Nº 12, párrs. 70 a 74.</w:t>
      </w:r>
    </w:p>
  </w:footnote>
  <w:footnote w:id="9">
    <w:p w:rsidR="006162AB" w:rsidRPr="00322158" w:rsidRDefault="006162AB" w:rsidP="006162AB">
      <w:pPr>
        <w:pStyle w:val="FootnoteText"/>
      </w:pPr>
      <w:r>
        <w:tab/>
      </w:r>
      <w:r w:rsidRPr="0042619E">
        <w:rPr>
          <w:rStyle w:val="FootnoteReference"/>
        </w:rPr>
        <w:footnoteRef/>
      </w:r>
      <w:r>
        <w:tab/>
      </w:r>
      <w:r>
        <w:rPr>
          <w:i/>
        </w:rPr>
        <w:t>Ibi</w:t>
      </w:r>
      <w:r w:rsidRPr="00D564CE">
        <w:rPr>
          <w:i/>
        </w:rPr>
        <w:t>d</w:t>
      </w:r>
      <w:r>
        <w:t>.</w:t>
      </w:r>
      <w:r w:rsidRPr="0042619E">
        <w:t>, párr. 84.</w:t>
      </w:r>
    </w:p>
  </w:footnote>
  <w:footnote w:id="10">
    <w:p w:rsidR="006162AB" w:rsidRPr="00322158" w:rsidRDefault="006162AB" w:rsidP="006162AB">
      <w:pPr>
        <w:pStyle w:val="FootnoteText"/>
      </w:pPr>
      <w:r>
        <w:tab/>
      </w:r>
      <w:r w:rsidRPr="0042619E">
        <w:rPr>
          <w:rStyle w:val="FootnoteReference"/>
        </w:rPr>
        <w:footnoteRef/>
      </w:r>
      <w:r>
        <w:tab/>
      </w:r>
      <w:r w:rsidRPr="0042619E">
        <w:rPr>
          <w:rStyle w:val="FootnoteTextChar"/>
        </w:rPr>
        <w:t xml:space="preserve">Véase la Convención sobre los derechos de las personas con discapacidad, art. 2: </w:t>
      </w:r>
      <w:r>
        <w:rPr>
          <w:rStyle w:val="FootnoteTextChar"/>
        </w:rPr>
        <w:t>"</w:t>
      </w:r>
      <w:r w:rsidRPr="0042619E">
        <w:rPr>
          <w:rStyle w:val="FootnoteTextChar"/>
        </w:rPr>
        <w:t xml:space="preserve">Por </w:t>
      </w:r>
      <w:r>
        <w:rPr>
          <w:rStyle w:val="FootnoteTextChar"/>
        </w:rPr>
        <w:t>'</w:t>
      </w:r>
      <w:r w:rsidRPr="0042619E">
        <w:rPr>
          <w:rStyle w:val="FootnoteTextChar"/>
        </w:rPr>
        <w:t>ajustes razonables</w:t>
      </w:r>
      <w:r>
        <w:rPr>
          <w:rStyle w:val="FootnoteTextChar"/>
        </w:rPr>
        <w:t>'</w:t>
      </w:r>
      <w:r w:rsidRPr="0042619E">
        <w:rPr>
          <w:rStyle w:val="FootnoteTextChar"/>
        </w:rPr>
        <w:t xml:space="preserve"> se entenderán las modificaciones y adaptaciones necesarias y adecuadas que no impongan una carga desproporcionada o indebida, cuando se requieran en un caso particular, para garantizar [...] el goce o ejercicio, en igualdad de condiciones con las demás</w:t>
      </w:r>
      <w:r>
        <w:rPr>
          <w:rStyle w:val="FootnoteTextChar"/>
        </w:rPr>
        <w:t xml:space="preserve"> personas</w:t>
      </w:r>
      <w:r w:rsidRPr="0042619E">
        <w:rPr>
          <w:rStyle w:val="FootnoteTextChar"/>
        </w:rPr>
        <w:t>, de todos los derechos humanos y libertades fundamentales</w:t>
      </w:r>
      <w:r>
        <w:rPr>
          <w:rStyle w:val="FootnoteTextChar"/>
        </w:rPr>
        <w:t>"</w:t>
      </w:r>
      <w:r w:rsidRPr="0042619E">
        <w:rPr>
          <w:rStyle w:val="FootnoteTextChar"/>
        </w:rPr>
        <w:t>.</w:t>
      </w:r>
    </w:p>
  </w:footnote>
  <w:footnote w:id="11">
    <w:p w:rsidR="006162AB" w:rsidRPr="00322158" w:rsidRDefault="006162AB" w:rsidP="006162AB">
      <w:pPr>
        <w:pStyle w:val="FootnoteText"/>
      </w:pPr>
      <w:r>
        <w:tab/>
      </w:r>
      <w:r w:rsidRPr="0042619E">
        <w:rPr>
          <w:rStyle w:val="FootnoteReference"/>
        </w:rPr>
        <w:footnoteRef/>
      </w:r>
      <w:r>
        <w:tab/>
      </w:r>
      <w:r w:rsidRPr="00322158">
        <w:t>Resolución 64/142 de la Asamblea General, anexo.</w:t>
      </w:r>
    </w:p>
  </w:footnote>
  <w:footnote w:id="12">
    <w:p w:rsidR="006162AB" w:rsidRPr="00322158" w:rsidRDefault="006162AB" w:rsidP="006162AB">
      <w:pPr>
        <w:pStyle w:val="FootnoteText"/>
      </w:pPr>
      <w:r>
        <w:tab/>
      </w:r>
      <w:r w:rsidRPr="0042619E">
        <w:rPr>
          <w:rStyle w:val="FootnoteReference"/>
        </w:rPr>
        <w:footnoteRef/>
      </w:r>
      <w:r>
        <w:rPr>
          <w:rStyle w:val="FootnoteReference"/>
        </w:rPr>
        <w:tab/>
      </w:r>
      <w:r w:rsidRPr="009A374A">
        <w:t>Convención sobre los derechos de las personas con discapacidad, art. 23, párr. 4.</w:t>
      </w:r>
    </w:p>
  </w:footnote>
  <w:footnote w:id="13">
    <w:p w:rsidR="00714242" w:rsidRDefault="00714242" w:rsidP="00714242">
      <w:pPr>
        <w:pStyle w:val="FootnoteText"/>
        <w:widowControl w:val="0"/>
        <w:tabs>
          <w:tab w:val="clear" w:pos="1021"/>
          <w:tab w:val="right" w:pos="1020"/>
        </w:tabs>
        <w:suppressAutoHyphens/>
      </w:pPr>
      <w:r>
        <w:tab/>
      </w:r>
      <w:r>
        <w:rPr>
          <w:rStyle w:val="FootnoteReference"/>
        </w:rPr>
        <w:footnoteRef/>
      </w:r>
      <w:r>
        <w:tab/>
      </w:r>
      <w:r w:rsidRPr="001F5C1A">
        <w:t>Entre esos instrumentos, cabe citar el Convenio Nº 28 sobre los aspectos civiles de la sustracción internacional de menores,</w:t>
      </w:r>
      <w:r>
        <w:t xml:space="preserve"> de</w:t>
      </w:r>
      <w:r w:rsidRPr="001F5C1A">
        <w:t xml:space="preserve"> 1980; el Convenio Nº 33 relativo a la Protección del Niño y a la Cooperación en materia de Adopción Internacional, </w:t>
      </w:r>
      <w:r>
        <w:t xml:space="preserve">de </w:t>
      </w:r>
      <w:r w:rsidRPr="001F5C1A">
        <w:t xml:space="preserve">1993; el Convenio Nº 23 sobre el Reconocimiento y Ejecución de Decisiones en Materia de Obligaciones Alimenticias, </w:t>
      </w:r>
      <w:r>
        <w:t>de 1973;</w:t>
      </w:r>
      <w:r w:rsidRPr="001F5C1A">
        <w:t xml:space="preserve"> y el Convenio Nº 24 sobre Ley aplicable a las obligaciones alimenticias respecto a menores, </w:t>
      </w:r>
      <w:r>
        <w:t xml:space="preserve">de </w:t>
      </w:r>
      <w:r w:rsidRPr="001F5C1A">
        <w:t>1973.</w:t>
      </w:r>
    </w:p>
  </w:footnote>
  <w:footnote w:id="14">
    <w:p w:rsidR="00714242" w:rsidRDefault="00714242" w:rsidP="00714242">
      <w:pPr>
        <w:pStyle w:val="FootnoteText"/>
        <w:widowControl w:val="0"/>
        <w:tabs>
          <w:tab w:val="clear" w:pos="1021"/>
          <w:tab w:val="right" w:pos="1020"/>
        </w:tabs>
        <w:suppressAutoHyphens/>
      </w:pPr>
      <w:r>
        <w:tab/>
      </w:r>
      <w:r>
        <w:rPr>
          <w:rStyle w:val="FootnoteReference"/>
        </w:rPr>
        <w:footnoteRef/>
      </w:r>
      <w:r>
        <w:tab/>
      </w:r>
      <w:r w:rsidRPr="001F5C1A">
        <w:t>Véanse las recomendaciones del día de debate general sobre los hijos de padres encarcelados (2011).</w:t>
      </w:r>
    </w:p>
  </w:footnote>
  <w:footnote w:id="15">
    <w:p w:rsidR="00714242" w:rsidRDefault="00714242" w:rsidP="00714242">
      <w:pPr>
        <w:pStyle w:val="FootnoteText"/>
        <w:widowControl w:val="0"/>
        <w:tabs>
          <w:tab w:val="clear" w:pos="1021"/>
          <w:tab w:val="right" w:pos="1020"/>
        </w:tabs>
        <w:suppressAutoHyphens/>
      </w:pPr>
      <w:r>
        <w:tab/>
      </w:r>
      <w:r>
        <w:rPr>
          <w:rStyle w:val="FootnoteReference"/>
        </w:rPr>
        <w:footnoteRef/>
      </w:r>
      <w:r>
        <w:tab/>
      </w:r>
      <w:r w:rsidRPr="001F5C1A">
        <w:t>Observación general Nº 13 (2011) sobre el derecho del niño a no ser objeto de ninguna forma de violencia.</w:t>
      </w:r>
    </w:p>
  </w:footnote>
  <w:footnote w:id="16">
    <w:p w:rsidR="00714242" w:rsidRDefault="00714242" w:rsidP="00714242">
      <w:pPr>
        <w:pStyle w:val="FootnoteText"/>
        <w:widowControl w:val="0"/>
        <w:tabs>
          <w:tab w:val="clear" w:pos="1021"/>
          <w:tab w:val="right" w:pos="1020"/>
        </w:tabs>
        <w:suppressAutoHyphens/>
      </w:pPr>
      <w:r>
        <w:tab/>
      </w:r>
      <w:r>
        <w:rPr>
          <w:rStyle w:val="FootnoteReference"/>
        </w:rPr>
        <w:footnoteRef/>
      </w:r>
      <w:r>
        <w:tab/>
      </w:r>
      <w:r w:rsidRPr="001F5C1A">
        <w:t>Observación general Nº 15 (2013) sobre el derecho del niño al disfrute del más alto nivel posible de salud (</w:t>
      </w:r>
      <w:r>
        <w:t>art.</w:t>
      </w:r>
      <w:r w:rsidRPr="001F5C1A">
        <w:t xml:space="preserve"> 24), párr. 31.</w:t>
      </w:r>
    </w:p>
  </w:footnote>
  <w:footnote w:id="17">
    <w:p w:rsidR="00714242" w:rsidRDefault="00714242" w:rsidP="00714242">
      <w:pPr>
        <w:pStyle w:val="FootnoteText"/>
        <w:widowControl w:val="0"/>
        <w:tabs>
          <w:tab w:val="clear" w:pos="1021"/>
          <w:tab w:val="right" w:pos="1020"/>
        </w:tabs>
        <w:suppressAutoHyphens/>
      </w:pPr>
      <w:r>
        <w:tab/>
      </w:r>
      <w:r>
        <w:rPr>
          <w:rStyle w:val="FootnoteReference"/>
        </w:rPr>
        <w:footnoteRef/>
      </w:r>
      <w:r>
        <w:tab/>
      </w:r>
      <w:r w:rsidRPr="001F5C1A">
        <w:t>Observación general Nº 4 (2003) sobre la salud y el desarrollo de los adolescentes en el contexto de la Convención sobre los Derechos del Niño.</w:t>
      </w:r>
    </w:p>
  </w:footnote>
  <w:footnote w:id="18">
    <w:p w:rsidR="00714242" w:rsidRDefault="00714242" w:rsidP="00714242">
      <w:pPr>
        <w:pStyle w:val="FootnoteText"/>
        <w:widowControl w:val="0"/>
        <w:tabs>
          <w:tab w:val="clear" w:pos="1021"/>
          <w:tab w:val="right" w:pos="1020"/>
        </w:tabs>
        <w:suppressAutoHyphens/>
      </w:pPr>
      <w:r>
        <w:tab/>
      </w:r>
      <w:r>
        <w:rPr>
          <w:rStyle w:val="FootnoteReference"/>
        </w:rPr>
        <w:footnoteRef/>
      </w:r>
      <w:r>
        <w:tab/>
      </w:r>
      <w:r w:rsidRPr="001F5C1A">
        <w:t>Observación general Nº 16 (2013) sobre las obligaciones del Estado en relación con el impacto del sector empresarial en los derechos del niño, párrs. 78 a 81.</w:t>
      </w:r>
    </w:p>
  </w:footnote>
  <w:footnote w:id="19">
    <w:p w:rsidR="00714242" w:rsidRDefault="00714242" w:rsidP="00714242">
      <w:pPr>
        <w:pStyle w:val="FootnoteText"/>
        <w:widowControl w:val="0"/>
        <w:tabs>
          <w:tab w:val="clear" w:pos="1021"/>
          <w:tab w:val="right" w:pos="1020"/>
        </w:tabs>
        <w:suppressAutoHyphens/>
      </w:pPr>
      <w:r>
        <w:tab/>
      </w:r>
      <w:r>
        <w:rPr>
          <w:rStyle w:val="FootnoteReference"/>
        </w:rPr>
        <w:footnoteRef/>
      </w:r>
      <w:r>
        <w:tab/>
      </w:r>
      <w:r w:rsidRPr="001F5C1A">
        <w:t xml:space="preserve">Los Estados pueden obtener orientaciones en el Informe del Relator Especial sobre el derecho a la alimentación </w:t>
      </w:r>
      <w:r>
        <w:t>acerca de los</w:t>
      </w:r>
      <w:r w:rsidRPr="001F5C1A">
        <w:t xml:space="preserve"> Principios rectores relativos a las evaluaciones de los efectos de los acuerdos de comercio e inversión en los derechos humanos (A/HRC/19/59/Add.5).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06F" w:rsidRPr="006E006F" w:rsidRDefault="006E006F">
    <w:pPr>
      <w:pStyle w:val="Header"/>
    </w:pPr>
    <w:r>
      <w:t>CRC/C/GC/14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06F" w:rsidRPr="006E006F" w:rsidRDefault="006E006F" w:rsidP="006E006F">
    <w:pPr>
      <w:pStyle w:val="Header"/>
      <w:jc w:val="right"/>
    </w:pPr>
    <w:r>
      <w:t>CRC/C/GC/14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F48BA"/>
    <w:rsid w:val="00002131"/>
    <w:rsid w:val="00033EE1"/>
    <w:rsid w:val="000B57E7"/>
    <w:rsid w:val="000D37F8"/>
    <w:rsid w:val="000F09DF"/>
    <w:rsid w:val="000F61B2"/>
    <w:rsid w:val="001075E9"/>
    <w:rsid w:val="001256EA"/>
    <w:rsid w:val="00161852"/>
    <w:rsid w:val="00175B1D"/>
    <w:rsid w:val="00180183"/>
    <w:rsid w:val="0018649F"/>
    <w:rsid w:val="00196389"/>
    <w:rsid w:val="001B5FFA"/>
    <w:rsid w:val="001C7A89"/>
    <w:rsid w:val="00220F72"/>
    <w:rsid w:val="00240004"/>
    <w:rsid w:val="002931F6"/>
    <w:rsid w:val="002A2EFC"/>
    <w:rsid w:val="002C0E18"/>
    <w:rsid w:val="002D5AAC"/>
    <w:rsid w:val="002F48BA"/>
    <w:rsid w:val="00301299"/>
    <w:rsid w:val="00322004"/>
    <w:rsid w:val="003402C2"/>
    <w:rsid w:val="00381C24"/>
    <w:rsid w:val="003958D0"/>
    <w:rsid w:val="003B00E5"/>
    <w:rsid w:val="00414A16"/>
    <w:rsid w:val="00427F10"/>
    <w:rsid w:val="004341E9"/>
    <w:rsid w:val="00454E07"/>
    <w:rsid w:val="0046284B"/>
    <w:rsid w:val="004D45DB"/>
    <w:rsid w:val="0050108D"/>
    <w:rsid w:val="00536DF4"/>
    <w:rsid w:val="00572E19"/>
    <w:rsid w:val="00592844"/>
    <w:rsid w:val="005C43E4"/>
    <w:rsid w:val="005D7179"/>
    <w:rsid w:val="005F0B42"/>
    <w:rsid w:val="005F2AD1"/>
    <w:rsid w:val="006162AB"/>
    <w:rsid w:val="006B3A76"/>
    <w:rsid w:val="006E006F"/>
    <w:rsid w:val="006F35EE"/>
    <w:rsid w:val="006F7B0F"/>
    <w:rsid w:val="007021FF"/>
    <w:rsid w:val="00714242"/>
    <w:rsid w:val="00757357"/>
    <w:rsid w:val="007A059A"/>
    <w:rsid w:val="007E16A7"/>
    <w:rsid w:val="007F4281"/>
    <w:rsid w:val="008136D8"/>
    <w:rsid w:val="00834B71"/>
    <w:rsid w:val="0086445C"/>
    <w:rsid w:val="00867322"/>
    <w:rsid w:val="008675EF"/>
    <w:rsid w:val="00885345"/>
    <w:rsid w:val="008A08D7"/>
    <w:rsid w:val="008C2B1A"/>
    <w:rsid w:val="008E1429"/>
    <w:rsid w:val="00906890"/>
    <w:rsid w:val="00951972"/>
    <w:rsid w:val="009955F1"/>
    <w:rsid w:val="009C646E"/>
    <w:rsid w:val="00A43957"/>
    <w:rsid w:val="00A917B3"/>
    <w:rsid w:val="00A97C80"/>
    <w:rsid w:val="00AB4B51"/>
    <w:rsid w:val="00B10CC7"/>
    <w:rsid w:val="00B62458"/>
    <w:rsid w:val="00B8687E"/>
    <w:rsid w:val="00BD33EE"/>
    <w:rsid w:val="00C55346"/>
    <w:rsid w:val="00C60F0C"/>
    <w:rsid w:val="00C67843"/>
    <w:rsid w:val="00C805C9"/>
    <w:rsid w:val="00CA1679"/>
    <w:rsid w:val="00D15EAE"/>
    <w:rsid w:val="00D318C7"/>
    <w:rsid w:val="00D33D63"/>
    <w:rsid w:val="00D83653"/>
    <w:rsid w:val="00D90138"/>
    <w:rsid w:val="00DD299D"/>
    <w:rsid w:val="00DF63E3"/>
    <w:rsid w:val="00E15CCD"/>
    <w:rsid w:val="00E23796"/>
    <w:rsid w:val="00E53D6A"/>
    <w:rsid w:val="00E73F76"/>
    <w:rsid w:val="00EF1360"/>
    <w:rsid w:val="00EF3220"/>
    <w:rsid w:val="00F23FB6"/>
    <w:rsid w:val="00F80811"/>
    <w:rsid w:val="00F94155"/>
    <w:rsid w:val="00FB2D3D"/>
    <w:rsid w:val="00FC12FC"/>
    <w:rsid w:val="00FD2EF7"/>
    <w:rsid w:val="00FF567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basedOn w:val="DefaultParagraphFont"/>
    <w:link w:val="FootnoteText"/>
    <w:rsid w:val="006162AB"/>
    <w:rPr>
      <w:sz w:val="18"/>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22</Pages>
  <Words>11403</Words>
  <Characters>58338</Characters>
  <Application>Microsoft Office Outlook</Application>
  <DocSecurity>4</DocSecurity>
  <Lines>904</Lines>
  <Paragraphs>203</Paragraphs>
  <ScaleCrop>false</ScaleCrop>
  <HeadingPairs>
    <vt:vector size="2" baseType="variant">
      <vt:variant>
        <vt:lpstr>Título</vt:lpstr>
      </vt:variant>
      <vt:variant>
        <vt:i4>1</vt:i4>
      </vt:variant>
    </vt:vector>
  </HeadingPairs>
  <TitlesOfParts>
    <vt:vector size="1" baseType="lpstr">
      <vt:lpstr>CRC/C/GC/14</vt:lpstr>
    </vt:vector>
  </TitlesOfParts>
  <Company/>
  <LinksUpToDate>false</LinksUpToDate>
  <CharactersWithSpaces>69683</CharactersWithSpaces>
  <SharedDoc>false</SharedDoc>
  <HLinks>
    <vt:vector size="30" baseType="variant">
      <vt:variant>
        <vt:i4>1114164</vt:i4>
      </vt:variant>
      <vt:variant>
        <vt:i4>12</vt:i4>
      </vt:variant>
      <vt:variant>
        <vt:i4>0</vt:i4>
      </vt:variant>
      <vt:variant>
        <vt:i4>5</vt:i4>
      </vt:variant>
      <vt:variant>
        <vt:lpwstr/>
      </vt:variant>
      <vt:variant>
        <vt:lpwstr>_Toc311556344</vt:lpwstr>
      </vt:variant>
      <vt:variant>
        <vt:i4>1114164</vt:i4>
      </vt:variant>
      <vt:variant>
        <vt:i4>9</vt:i4>
      </vt:variant>
      <vt:variant>
        <vt:i4>0</vt:i4>
      </vt:variant>
      <vt:variant>
        <vt:i4>5</vt:i4>
      </vt:variant>
      <vt:variant>
        <vt:lpwstr/>
      </vt:variant>
      <vt:variant>
        <vt:lpwstr>_Toc311556343</vt:lpwstr>
      </vt:variant>
      <vt:variant>
        <vt:i4>1114164</vt:i4>
      </vt:variant>
      <vt:variant>
        <vt:i4>6</vt:i4>
      </vt:variant>
      <vt:variant>
        <vt:i4>0</vt:i4>
      </vt:variant>
      <vt:variant>
        <vt:i4>5</vt:i4>
      </vt:variant>
      <vt:variant>
        <vt:lpwstr/>
      </vt:variant>
      <vt:variant>
        <vt:lpwstr>_Toc311556342</vt:lpwstr>
      </vt:variant>
      <vt:variant>
        <vt:i4>1114164</vt:i4>
      </vt:variant>
      <vt:variant>
        <vt:i4>3</vt:i4>
      </vt:variant>
      <vt:variant>
        <vt:i4>0</vt:i4>
      </vt:variant>
      <vt:variant>
        <vt:i4>5</vt:i4>
      </vt:variant>
      <vt:variant>
        <vt:lpwstr/>
      </vt:variant>
      <vt:variant>
        <vt:lpwstr>_Toc311556341</vt:lpwstr>
      </vt:variant>
      <vt:variant>
        <vt:i4>1441844</vt:i4>
      </vt:variant>
      <vt:variant>
        <vt:i4>0</vt:i4>
      </vt:variant>
      <vt:variant>
        <vt:i4>0</vt:i4>
      </vt:variant>
      <vt:variant>
        <vt:i4>5</vt:i4>
      </vt:variant>
      <vt:variant>
        <vt:lpwstr/>
      </vt:variant>
      <vt:variant>
        <vt:lpwstr>_Toc311556338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CRC/C/GC/14</dc:title>
  <dc:subject>Final</dc:subject>
  <dc:creator>Carlos Bragunde</dc:creator>
  <cp:keywords/>
  <dc:description/>
  <cp:lastModifiedBy>Carlos Bragunde</cp:lastModifiedBy>
  <cp:revision>2</cp:revision>
  <cp:lastPrinted>2013-07-02T14:25:00Z</cp:lastPrinted>
  <dcterms:created xsi:type="dcterms:W3CDTF">2013-07-02T14:57:00Z</dcterms:created>
  <dcterms:modified xsi:type="dcterms:W3CDTF">2013-07-02T14:57:00Z</dcterms:modified>
</cp:coreProperties>
</file>