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666" w:type="dxa"/>
        <w:tblLayout w:type="fixed"/>
        <w:tblCellMar>
          <w:left w:w="666" w:type="dxa"/>
          <w:right w:w="666" w:type="dxa"/>
        </w:tblCellMar>
        <w:tblLook w:val="0000" w:firstRow="0" w:lastRow="0" w:firstColumn="0" w:lastColumn="0" w:noHBand="0" w:noVBand="0"/>
      </w:tblPr>
      <w:tblGrid>
        <w:gridCol w:w="1530"/>
        <w:gridCol w:w="3204"/>
        <w:gridCol w:w="1330"/>
        <w:gridCol w:w="3404"/>
      </w:tblGrid>
      <w:tr w:rsidR="00000000">
        <w:tblPrEx>
          <w:tblCellMar>
            <w:top w:w="0" w:type="dxa"/>
            <w:bottom w:w="0" w:type="dxa"/>
          </w:tblCellMar>
        </w:tblPrEx>
        <w:tc>
          <w:tcPr>
            <w:tcW w:w="4734" w:type="dxa"/>
            <w:gridSpan w:val="2"/>
          </w:tcPr>
          <w:p w:rsidR="00000000" w:rsidRDefault="00000000">
            <w:pPr>
              <w:pStyle w:val="Heading2"/>
              <w:rPr>
                <w:rFonts w:ascii="Arial" w:hAnsi="Arial"/>
                <w:sz w:val="28"/>
              </w:rPr>
            </w:pPr>
            <w:r>
              <w:rPr>
                <w:rFonts w:ascii="Arial" w:hAnsi="Arial"/>
                <w:sz w:val="28"/>
              </w:rPr>
              <w:t>NATIONS</w:t>
            </w:r>
          </w:p>
          <w:p w:rsidR="00000000" w:rsidRDefault="00000000">
            <w:pPr>
              <w:pStyle w:val="Heading2"/>
              <w:spacing w:after="58"/>
              <w:rPr>
                <w:rFonts w:ascii="Courier New" w:hAnsi="Courier New"/>
                <w:sz w:val="20"/>
              </w:rPr>
            </w:pPr>
            <w:r>
              <w:rPr>
                <w:rFonts w:ascii="Arial" w:hAnsi="Arial"/>
                <w:sz w:val="28"/>
              </w:rPr>
              <w:t>UNIES</w:t>
            </w:r>
          </w:p>
        </w:tc>
        <w:tc>
          <w:tcPr>
            <w:tcW w:w="4734" w:type="dxa"/>
            <w:gridSpan w:val="2"/>
          </w:tcPr>
          <w:p w:rsidR="00000000" w:rsidRDefault="00000000">
            <w:pPr>
              <w:pStyle w:val="Heading1"/>
              <w:rPr>
                <w:rFonts w:ascii="Arial" w:hAnsi="Arial"/>
                <w:sz w:val="20"/>
              </w:rPr>
            </w:pPr>
            <w:r>
              <w:rPr>
                <w:rFonts w:ascii="Arial" w:hAnsi="Arial"/>
              </w:rPr>
              <w:t>CERD</w:t>
            </w:r>
          </w:p>
        </w:tc>
      </w:tr>
      <w:tr w:rsidR="00000000">
        <w:tblPrEx>
          <w:tblCellMar>
            <w:top w:w="0" w:type="dxa"/>
            <w:bottom w:w="0" w:type="dxa"/>
          </w:tblCellMar>
        </w:tblPrEx>
        <w:tc>
          <w:tcPr>
            <w:tcW w:w="4734" w:type="dxa"/>
            <w:gridSpan w:val="2"/>
          </w:tcPr>
          <w:p w:rsidR="00000000" w:rsidRDefault="00000000">
            <w:pPr>
              <w:tabs>
                <w:tab w:val="right" w:pos="3195"/>
              </w:tabs>
              <w:spacing w:after="58"/>
              <w:ind w:firstLine="3139"/>
              <w:rPr>
                <w:rFonts w:ascii="Courier New" w:hAnsi="Courier New"/>
                <w:sz w:val="20"/>
              </w:rPr>
            </w:pPr>
          </w:p>
        </w:tc>
        <w:tc>
          <w:tcPr>
            <w:tcW w:w="4734" w:type="dxa"/>
            <w:gridSpan w:val="2"/>
          </w:tcPr>
          <w:p w:rsidR="00000000" w:rsidRDefault="00000000">
            <w:pPr>
              <w:tabs>
                <w:tab w:val="right" w:pos="3195"/>
              </w:tabs>
              <w:spacing w:after="58"/>
              <w:ind w:firstLine="3139"/>
              <w:rPr>
                <w:rFonts w:ascii="Courier New" w:hAnsi="Courier New"/>
                <w:sz w:val="20"/>
              </w:rPr>
            </w:pPr>
          </w:p>
        </w:tc>
      </w:tr>
      <w:tr w:rsidR="00000000">
        <w:tblPrEx>
          <w:tblCellMar>
            <w:top w:w="0" w:type="dxa"/>
            <w:left w:w="120" w:type="dxa"/>
            <w:bottom w:w="0" w:type="dxa"/>
            <w:right w:w="120" w:type="dxa"/>
          </w:tblCellMar>
        </w:tblPrEx>
        <w:tc>
          <w:tcPr>
            <w:tcW w:w="1530" w:type="dxa"/>
          </w:tcPr>
          <w:p w:rsidR="00000000" w:rsidRDefault="00000000">
            <w:pPr>
              <w:pBdr>
                <w:top w:val="single" w:sz="6" w:space="0" w:color="FFFFFF"/>
                <w:left w:val="single" w:sz="6" w:space="0" w:color="FFFFFF"/>
                <w:bottom w:val="single" w:sz="6" w:space="0" w:color="FFFFFF"/>
                <w:right w:val="single" w:sz="6" w:space="0" w:color="FFFFFF"/>
              </w:pBdr>
            </w:pPr>
            <w:r>
              <w:rPr>
                <w:noProof/>
              </w:rPr>
              <w:pict>
                <v:rect id="_x0000_s1028" style="position:absolute;margin-left:0;margin-top:-7.1pt;width:467.7pt;height:.95pt;z-index:-2;mso-position-horizontal-relative:page;mso-position-vertical-relative:text" fillcolor="black" stroked="f" strokeweight="0">
                  <v:fill color2="black"/>
                  <w10:wrap anchorx="page"/>
                  <w10:anchorlock/>
                </v:rect>
              </w:pict>
            </w: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p w:rsidR="00000000" w:rsidRDefault="00000000">
            <w:pPr>
              <w:tabs>
                <w:tab w:val="right" w:pos="3195"/>
              </w:tabs>
              <w:spacing w:after="58"/>
              <w:ind w:hanging="1"/>
              <w:rPr>
                <w:rFonts w:ascii="Courier New" w:hAnsi="Courier New"/>
                <w:sz w:val="20"/>
              </w:rPr>
            </w:pPr>
            <w:r>
              <w:rPr>
                <w:noProof/>
              </w:rPr>
              <w:pict>
                <v:rect id="_x0000_s1029" style="position:absolute;margin-left:-.05pt;margin-top:115.85pt;width:467.7pt;height:4.25pt;z-index:-1;mso-position-horizontal-relative:page;mso-position-vertical-relative:page" fillcolor="black" stroked="f" strokeweight="0">
                  <v:fill color2="black"/>
                  <w10:wrap anchorx="page" anchory="page"/>
                  <w10:anchorlock/>
                </v:rect>
              </w:pict>
            </w:r>
          </w:p>
        </w:tc>
        <w:tc>
          <w:tcPr>
            <w:tcW w:w="4534" w:type="dxa"/>
            <w:gridSpan w:val="2"/>
          </w:tcPr>
          <w:p w:rsidR="00000000" w:rsidRDefault="00000000">
            <w:pPr>
              <w:tabs>
                <w:tab w:val="right" w:pos="3195"/>
              </w:tabs>
              <w:ind w:hanging="1"/>
              <w:rPr>
                <w:b/>
                <w:sz w:val="32"/>
              </w:rPr>
            </w:pPr>
            <w:r>
              <w:rPr>
                <w:b/>
                <w:sz w:val="32"/>
              </w:rPr>
              <w:t>Convention internationale</w:t>
            </w:r>
          </w:p>
          <w:p w:rsidR="00000000" w:rsidRDefault="00000000">
            <w:pPr>
              <w:tabs>
                <w:tab w:val="right" w:pos="3195"/>
              </w:tabs>
              <w:ind w:hanging="1"/>
              <w:rPr>
                <w:b/>
                <w:sz w:val="32"/>
              </w:rPr>
            </w:pPr>
            <w:r>
              <w:rPr>
                <w:b/>
                <w:sz w:val="32"/>
              </w:rPr>
              <w:t>sur l’élimination</w:t>
            </w:r>
          </w:p>
          <w:p w:rsidR="00000000" w:rsidRDefault="00000000">
            <w:pPr>
              <w:tabs>
                <w:tab w:val="right" w:pos="3195"/>
              </w:tabs>
              <w:ind w:hanging="1"/>
              <w:rPr>
                <w:b/>
                <w:sz w:val="32"/>
              </w:rPr>
            </w:pPr>
            <w:r>
              <w:rPr>
                <w:b/>
                <w:sz w:val="32"/>
              </w:rPr>
              <w:t xml:space="preserve">de toutes les formes </w:t>
            </w:r>
          </w:p>
          <w:p w:rsidR="00000000" w:rsidRDefault="00000000">
            <w:pPr>
              <w:tabs>
                <w:tab w:val="right" w:pos="3195"/>
              </w:tabs>
              <w:spacing w:after="58"/>
              <w:ind w:hanging="1"/>
              <w:rPr>
                <w:rFonts w:ascii="Courier New" w:hAnsi="Courier New"/>
                <w:sz w:val="20"/>
              </w:rPr>
            </w:pPr>
            <w:r>
              <w:rPr>
                <w:b/>
                <w:sz w:val="32"/>
              </w:rPr>
              <w:t>de discrimination raciale</w:t>
            </w:r>
          </w:p>
        </w:tc>
        <w:tc>
          <w:tcPr>
            <w:tcW w:w="3404" w:type="dxa"/>
          </w:tcPr>
          <w:p w:rsidR="00000000" w:rsidRDefault="00000000">
            <w:pPr>
              <w:tabs>
                <w:tab w:val="right" w:pos="3195"/>
              </w:tabs>
              <w:ind w:left="620"/>
            </w:pPr>
            <w:r>
              <w:t>Distr.</w:t>
            </w:r>
          </w:p>
          <w:p w:rsidR="00000000" w:rsidRDefault="00000000">
            <w:pPr>
              <w:tabs>
                <w:tab w:val="right" w:pos="3195"/>
              </w:tabs>
              <w:ind w:left="620"/>
            </w:pPr>
            <w:r>
              <w:t>GÉNÉRALE</w:t>
            </w:r>
          </w:p>
          <w:p w:rsidR="00000000" w:rsidRDefault="00000000">
            <w:pPr>
              <w:tabs>
                <w:tab w:val="right" w:pos="3195"/>
              </w:tabs>
              <w:ind w:left="620"/>
            </w:pPr>
          </w:p>
          <w:p w:rsidR="00000000" w:rsidRDefault="00000000">
            <w:pPr>
              <w:tabs>
                <w:tab w:val="right" w:pos="3195"/>
              </w:tabs>
              <w:ind w:left="620"/>
              <w:rPr>
                <w:lang w:val="de-CH"/>
              </w:rPr>
            </w:pPr>
            <w:r>
              <w:rPr>
                <w:lang w:val="de-CH"/>
              </w:rPr>
              <w:t>CERD/C/SR.1608</w:t>
            </w:r>
          </w:p>
          <w:p w:rsidR="00000000" w:rsidRDefault="00000000">
            <w:pPr>
              <w:tabs>
                <w:tab w:val="right" w:pos="3195"/>
              </w:tabs>
              <w:ind w:left="620"/>
            </w:pPr>
            <w:r>
              <w:rPr>
                <w:lang w:val="de-CH"/>
              </w:rPr>
              <w:t xml:space="preserve">31 octobre </w:t>
            </w:r>
            <w:r>
              <w:t>2003</w:t>
            </w:r>
          </w:p>
          <w:p w:rsidR="00000000" w:rsidRDefault="00000000">
            <w:pPr>
              <w:tabs>
                <w:tab w:val="right" w:pos="3195"/>
              </w:tabs>
              <w:ind w:left="620"/>
            </w:pPr>
          </w:p>
          <w:p w:rsidR="00000000" w:rsidRDefault="00000000">
            <w:pPr>
              <w:tabs>
                <w:tab w:val="right" w:pos="3195"/>
              </w:tabs>
              <w:ind w:left="620"/>
            </w:pPr>
            <w:r>
              <w:t>Original: FRANÇAIS</w:t>
            </w:r>
          </w:p>
          <w:p w:rsidR="00000000" w:rsidRDefault="00000000">
            <w:pPr>
              <w:tabs>
                <w:tab w:val="right" w:pos="3195"/>
              </w:tabs>
              <w:spacing w:after="58"/>
              <w:ind w:hanging="1"/>
            </w:pPr>
          </w:p>
        </w:tc>
      </w:tr>
    </w:tbl>
    <w:p w:rsidR="00000000" w:rsidRDefault="00000000">
      <w:pPr>
        <w:spacing w:after="40"/>
        <w:jc w:val="center"/>
      </w:pPr>
    </w:p>
    <w:p w:rsidR="00000000" w:rsidRDefault="00000000">
      <w:pPr>
        <w:spacing w:after="200"/>
        <w:jc w:val="center"/>
        <w:rPr>
          <w:sz w:val="22"/>
        </w:rPr>
      </w:pPr>
      <w:r>
        <w:rPr>
          <w:sz w:val="22"/>
        </w:rPr>
        <w:t>COMITÉ POUR L’ÉLIMINATION DE LA DISCRIMINATION RACIALE</w:t>
      </w:r>
    </w:p>
    <w:p w:rsidR="00000000" w:rsidRDefault="00000000">
      <w:pPr>
        <w:spacing w:after="200"/>
        <w:jc w:val="center"/>
        <w:rPr>
          <w:sz w:val="22"/>
        </w:rPr>
      </w:pPr>
      <w:proofErr w:type="spellStart"/>
      <w:r>
        <w:rPr>
          <w:sz w:val="22"/>
        </w:rPr>
        <w:t>Soixante</w:t>
      </w:r>
      <w:r>
        <w:rPr>
          <w:sz w:val="22"/>
        </w:rPr>
        <w:noBreakHyphen/>
        <w:t>troisième</w:t>
      </w:r>
      <w:proofErr w:type="spellEnd"/>
      <w:r>
        <w:rPr>
          <w:sz w:val="22"/>
        </w:rPr>
        <w:t xml:space="preserve"> session</w:t>
      </w:r>
    </w:p>
    <w:p w:rsidR="00000000" w:rsidRDefault="00000000">
      <w:pPr>
        <w:spacing w:after="200"/>
        <w:jc w:val="center"/>
        <w:rPr>
          <w:sz w:val="22"/>
        </w:rPr>
      </w:pPr>
      <w:r>
        <w:rPr>
          <w:sz w:val="22"/>
        </w:rPr>
        <w:t>COMPTE RENDU ANALYTIQUE DE LA 1608</w:t>
      </w:r>
      <w:r>
        <w:rPr>
          <w:sz w:val="22"/>
          <w:vertAlign w:val="superscript"/>
        </w:rPr>
        <w:t>e</w:t>
      </w:r>
      <w:r>
        <w:rPr>
          <w:sz w:val="22"/>
        </w:rPr>
        <w:t xml:space="preserve"> SÉANCE</w:t>
      </w:r>
    </w:p>
    <w:p w:rsidR="00000000" w:rsidRDefault="00000000">
      <w:pPr>
        <w:spacing w:after="200"/>
        <w:jc w:val="center"/>
        <w:rPr>
          <w:sz w:val="22"/>
        </w:rPr>
      </w:pPr>
      <w:r>
        <w:rPr>
          <w:sz w:val="22"/>
        </w:rPr>
        <w:t>tenue au Palais des Nations, à Genève,</w:t>
      </w:r>
      <w:r>
        <w:rPr>
          <w:sz w:val="22"/>
        </w:rPr>
        <w:br/>
        <w:t>le mercredi 20 août 2003, à 15 heures</w:t>
      </w:r>
    </w:p>
    <w:p w:rsidR="00000000" w:rsidRDefault="00000000">
      <w:pPr>
        <w:spacing w:after="200"/>
        <w:jc w:val="center"/>
        <w:rPr>
          <w:sz w:val="22"/>
        </w:rPr>
      </w:pPr>
      <w:r>
        <w:rPr>
          <w:sz w:val="22"/>
          <w:u w:val="single"/>
        </w:rPr>
        <w:t>Président</w:t>
      </w:r>
      <w:r>
        <w:rPr>
          <w:sz w:val="22"/>
        </w:rPr>
        <w:t xml:space="preserve">: M. DIACONU </w:t>
      </w:r>
    </w:p>
    <w:p w:rsidR="00000000" w:rsidRDefault="00000000">
      <w:pPr>
        <w:spacing w:after="200"/>
        <w:jc w:val="center"/>
        <w:rPr>
          <w:sz w:val="22"/>
        </w:rPr>
      </w:pPr>
      <w:r>
        <w:rPr>
          <w:sz w:val="22"/>
        </w:rPr>
        <w:t>SOMMAIRE</w:t>
      </w:r>
    </w:p>
    <w:p w:rsidR="00000000" w:rsidRDefault="00000000">
      <w:pPr>
        <w:spacing w:after="200"/>
        <w:rPr>
          <w:caps/>
          <w:sz w:val="22"/>
        </w:rPr>
      </w:pPr>
      <w:r>
        <w:rPr>
          <w:caps/>
          <w:sz w:val="22"/>
        </w:rPr>
        <w:t>Examen des copies de pÉtitions, copies de rapports et autres renseignements relatifs aux tErritoires sous tutelle, aux territoires non autonomes et À tous les autres territoires auxquels s’applique la rÉsolution 1514 (XV) de l’AssemblÉe gÉnÉrale, conformÉment À l’article 15 de la Convention</w:t>
      </w:r>
    </w:p>
    <w:p w:rsidR="00000000" w:rsidRDefault="00000000">
      <w:pPr>
        <w:spacing w:after="200"/>
        <w:rPr>
          <w:sz w:val="22"/>
        </w:rPr>
      </w:pPr>
      <w:r>
        <w:rPr>
          <w:sz w:val="22"/>
        </w:rPr>
        <w:t>EXAMEN DES RAPPORTS, OBSERVATIONS ET RENSEIGNEMENTS PRÉSENTÉS PAR LES ÉTATS PARTIES CONFORMÉMENT À L’ARTICLE 9 DE LA CONVENTION (</w:t>
      </w:r>
      <w:r>
        <w:rPr>
          <w:i/>
          <w:iCs/>
          <w:sz w:val="22"/>
        </w:rPr>
        <w:t>suite</w:t>
      </w:r>
      <w:r>
        <w:rPr>
          <w:sz w:val="22"/>
        </w:rPr>
        <w:t>)</w:t>
      </w:r>
    </w:p>
    <w:p w:rsidR="00000000" w:rsidRDefault="00000000">
      <w:pPr>
        <w:spacing w:after="200"/>
        <w:ind w:left="567"/>
        <w:rPr>
          <w:sz w:val="22"/>
        </w:rPr>
      </w:pPr>
      <w:r>
        <w:rPr>
          <w:sz w:val="22"/>
        </w:rPr>
        <w:t>Projet de conclusions du Comité concernant le rapport initial et les deuxièmes à quatrième rapports périodiques de l’Albanie (</w:t>
      </w:r>
      <w:r>
        <w:rPr>
          <w:i/>
          <w:iCs/>
          <w:sz w:val="22"/>
        </w:rPr>
        <w:t>suite</w:t>
      </w:r>
      <w:r>
        <w:rPr>
          <w:sz w:val="22"/>
        </w:rPr>
        <w:t>)</w:t>
      </w:r>
    </w:p>
    <w:p w:rsidR="00000000" w:rsidRDefault="00000000">
      <w:pPr>
        <w:pStyle w:val="BodyTextIndent2"/>
        <w:spacing w:after="200"/>
        <w:ind w:left="0" w:firstLine="0"/>
        <w:rPr>
          <w:sz w:val="22"/>
        </w:rPr>
      </w:pPr>
      <w:r>
        <w:rPr>
          <w:sz w:val="22"/>
        </w:rPr>
        <w:t>PRÉVENTION DE LA DISCRIMINATION RACIALE, Y COMPRIS MESURES D’ALERTE RAPIDE ET PROCÉDURE D’ACTION URGENTE (</w:t>
      </w:r>
      <w:r>
        <w:rPr>
          <w:i/>
          <w:iCs/>
          <w:sz w:val="22"/>
        </w:rPr>
        <w:t>suite</w:t>
      </w:r>
      <w:r>
        <w:rPr>
          <w:sz w:val="22"/>
        </w:rPr>
        <w:t>)</w:t>
      </w:r>
    </w:p>
    <w:p w:rsidR="00000000" w:rsidRDefault="00000000">
      <w:pPr>
        <w:pStyle w:val="BodyTextIndent2"/>
        <w:spacing w:after="200"/>
        <w:ind w:left="0" w:firstLine="0"/>
      </w:pPr>
      <w:r>
        <w:rPr>
          <w:sz w:val="22"/>
        </w:rPr>
        <w:tab/>
        <w:t>Projet de décision du Comité concernant la situation en République démocratique populaire lao</w:t>
      </w:r>
    </w:p>
    <w:p w:rsidR="00000000" w:rsidRDefault="00000000">
      <w:pPr>
        <w:spacing w:after="240"/>
        <w:jc w:val="center"/>
        <w:rPr>
          <w:i/>
          <w:iCs/>
        </w:rPr>
      </w:pPr>
      <w:r>
        <w:rPr>
          <w:i/>
          <w:iCs/>
        </w:rPr>
        <w:br w:type="page"/>
        <w:t>La séance est ouverte à 15 h 10.</w:t>
      </w:r>
    </w:p>
    <w:p w:rsidR="00000000" w:rsidRDefault="00000000">
      <w:pPr>
        <w:spacing w:after="240"/>
      </w:pPr>
      <w:r>
        <w:rPr>
          <w:caps/>
        </w:rPr>
        <w:t>Examen des copies de pÉtitions, copies de rapports et autres renseignements relatifs aux tErritoires sous tutelle, aux territoires non autonomes et À tous les autres territoires auxquels s’applique la rÉsolution 1514 (XV) de l’AssemblÉe gÉnÉrale, conformÉment À l’article 15 de la Convention</w:t>
      </w:r>
      <w:r>
        <w:t xml:space="preserve"> (point 7 de l’ordre du jour)</w:t>
      </w:r>
    </w:p>
    <w:p w:rsidR="00000000" w:rsidRDefault="00000000">
      <w:pPr>
        <w:numPr>
          <w:ilvl w:val="1"/>
          <w:numId w:val="4"/>
        </w:numPr>
        <w:tabs>
          <w:tab w:val="clear" w:pos="2010"/>
          <w:tab w:val="left" w:pos="567"/>
          <w:tab w:val="num" w:pos="1680"/>
        </w:tabs>
        <w:spacing w:after="240"/>
        <w:ind w:left="0"/>
      </w:pPr>
      <w:r>
        <w:rPr>
          <w:u w:val="single"/>
        </w:rPr>
        <w:t>M. PILLAI</w:t>
      </w:r>
      <w:r>
        <w:t xml:space="preserve"> (Rapporteur) dit qu’il a étudié les rapports du Comité spécial chargé d’étudier la situation en ce qui concerne l’application de la Déclaration sur l’octroi de l’indépendance aux pays et aux peuples coloniaux pour 2002 et 2003 (A/57/23 et A/58/23), ainsi que les documents de travail relatifs aux différents territoires, établis par le Secrétariat à l’intention du Comité spécial et du Conseil de tutelle. Il dit en outre que le Comité n’a reçu des organes de l’ONU qui s’occupent de questions ayant un rapport direct avec les principes et objectifs de la Convention aucune copie de pétitions émanant des habitants de territoires sous tutelle ou non autonomes. Peu de faits nouveaux sont donc à signaler. </w:t>
      </w:r>
    </w:p>
    <w:p w:rsidR="00000000" w:rsidRDefault="00000000">
      <w:pPr>
        <w:numPr>
          <w:ilvl w:val="1"/>
          <w:numId w:val="4"/>
        </w:numPr>
        <w:tabs>
          <w:tab w:val="clear" w:pos="2010"/>
          <w:tab w:val="left" w:pos="567"/>
          <w:tab w:val="num" w:pos="1680"/>
        </w:tabs>
        <w:spacing w:after="240"/>
        <w:ind w:left="0"/>
      </w:pPr>
      <w:r>
        <w:t xml:space="preserve">Le rapporteur informe toutefois les membres du Comité que des dispositions relatives à la protection des droits de l’homme et à l’interdiction de la discrimination raciale vont être incorporées dans les constitutions des îles </w:t>
      </w:r>
      <w:proofErr w:type="spellStart"/>
      <w:r>
        <w:t>Caïmanes</w:t>
      </w:r>
      <w:proofErr w:type="spellEnd"/>
      <w:r>
        <w:t xml:space="preserve">, des îles Vierges britanniques et de </w:t>
      </w:r>
      <w:proofErr w:type="spellStart"/>
      <w:r>
        <w:t>Sainte</w:t>
      </w:r>
      <w:r>
        <w:noBreakHyphen/>
        <w:t>Hélène</w:t>
      </w:r>
      <w:proofErr w:type="spellEnd"/>
      <w:r>
        <w:t xml:space="preserve">, territoires qui se trouvent sous l’administration du </w:t>
      </w:r>
      <w:proofErr w:type="spellStart"/>
      <w:r>
        <w:t>Royaume</w:t>
      </w:r>
      <w:r>
        <w:noBreakHyphen/>
        <w:t>Uni</w:t>
      </w:r>
      <w:proofErr w:type="spellEnd"/>
      <w:r>
        <w:t xml:space="preserve"> de </w:t>
      </w:r>
      <w:proofErr w:type="spellStart"/>
      <w:r>
        <w:t>Grande</w:t>
      </w:r>
      <w:r>
        <w:noBreakHyphen/>
        <w:t>Bretagne</w:t>
      </w:r>
      <w:proofErr w:type="spellEnd"/>
      <w:r>
        <w:t xml:space="preserve"> et d’Irlande du Nord. Il indique par ailleurs que certains documents de travail fournissent des informations utiles au Comité concernant la composition ethnique des territoires non autonomes et font état de cas de discrimination raciale aux Bermudes et aux îles Vierges américaines. Enfin, M. Pillai note que, dans son rapport pour 2003, le Comité spécial chargé d’étudier la situation en ce qui concerne l’application de la Déclaration sur l’octroi de l’indépendance aux pays et aux peuples coloniaux a souligné que l’immigration à Guam a fait des Chamorros autochtones une minorité sur leur terre d’origine et a prié la Puissance administrante, à savoir les États</w:t>
      </w:r>
      <w:r>
        <w:noBreakHyphen/>
        <w:t>Unis d’Amérique, de continuer à reconnaître et respecter les droits politiques et l’identité culturelle et ethnique du peuple chamorro, et de prendre toutes les mesures nécessaires pour tenir compte des préoccupations du gouvernement du territoire concernant la question de l’immigration.</w:t>
      </w:r>
    </w:p>
    <w:p w:rsidR="00000000" w:rsidRDefault="00000000">
      <w:pPr>
        <w:numPr>
          <w:ilvl w:val="1"/>
          <w:numId w:val="4"/>
        </w:numPr>
        <w:tabs>
          <w:tab w:val="clear" w:pos="2010"/>
          <w:tab w:val="left" w:pos="567"/>
          <w:tab w:val="num" w:pos="1680"/>
        </w:tabs>
        <w:spacing w:after="240"/>
        <w:ind w:left="0"/>
      </w:pPr>
      <w:r>
        <w:rPr>
          <w:u w:val="single"/>
        </w:rPr>
        <w:t>M. ABOUL</w:t>
      </w:r>
      <w:r>
        <w:rPr>
          <w:u w:val="single"/>
        </w:rPr>
        <w:noBreakHyphen/>
        <w:t>NASR</w:t>
      </w:r>
      <w:r>
        <w:t xml:space="preserve"> souhaiterait savoir si des organisations non gouvernementales ont fourni à M. Pillai des informations au sujet des habitants des territoires non autonomes ou sous tutelle. Il souhaiterait en outre obtenir du Haut</w:t>
      </w:r>
      <w:r>
        <w:noBreakHyphen/>
        <w:t>Commissariat aux droits de l’homme la liste complète des territoires visés à l’article 15 de la Convention.</w:t>
      </w:r>
    </w:p>
    <w:p w:rsidR="00000000" w:rsidRDefault="00000000">
      <w:pPr>
        <w:numPr>
          <w:ilvl w:val="1"/>
          <w:numId w:val="4"/>
        </w:numPr>
        <w:tabs>
          <w:tab w:val="clear" w:pos="2010"/>
          <w:tab w:val="left" w:pos="567"/>
          <w:tab w:val="num" w:pos="1680"/>
        </w:tabs>
        <w:spacing w:after="240"/>
        <w:ind w:left="0"/>
      </w:pPr>
      <w:r>
        <w:rPr>
          <w:u w:val="single"/>
        </w:rPr>
        <w:t>M. PILLAI</w:t>
      </w:r>
      <w:r>
        <w:t xml:space="preserve"> indique qu’il s’est entretenu avec un certain nombre d’organisations non gouvernementales, mais que le Comité pourrait certainement exploiter davantage cette source précieuse d’informations.</w:t>
      </w:r>
    </w:p>
    <w:p w:rsidR="00000000" w:rsidRDefault="00000000">
      <w:pPr>
        <w:numPr>
          <w:ilvl w:val="1"/>
          <w:numId w:val="4"/>
        </w:numPr>
        <w:tabs>
          <w:tab w:val="clear" w:pos="2010"/>
          <w:tab w:val="left" w:pos="567"/>
          <w:tab w:val="num" w:pos="1680"/>
        </w:tabs>
        <w:spacing w:after="240"/>
        <w:ind w:left="0"/>
      </w:pPr>
      <w:r>
        <w:t xml:space="preserve">Le </w:t>
      </w:r>
      <w:r>
        <w:rPr>
          <w:caps/>
          <w:u w:val="single"/>
        </w:rPr>
        <w:t>prÉsident</w:t>
      </w:r>
      <w:r>
        <w:t xml:space="preserve"> dit que le Comité étudiera de manière plus approfondie la question des territoires non autonomes à ses prochaines sessions mais qu’il doit disposer pour cela de plus d’informations. Il demande au Haut</w:t>
      </w:r>
      <w:r>
        <w:noBreakHyphen/>
        <w:t>Commissariat de recueillir des informations auprès des puissances administrantes.</w:t>
      </w:r>
    </w:p>
    <w:p w:rsidR="00000000" w:rsidRDefault="00000000">
      <w:pPr>
        <w:keepNext/>
        <w:tabs>
          <w:tab w:val="left" w:pos="567"/>
        </w:tabs>
        <w:spacing w:after="240"/>
        <w:rPr>
          <w:lang w:val="fr-CH"/>
        </w:rPr>
      </w:pPr>
      <w:r>
        <w:rPr>
          <w:lang w:val="fr-CH"/>
        </w:rPr>
        <w:t xml:space="preserve">EXAMEN DES RAPPORTS, OBSERVATIONS ET RENSEIGNEMENTS PRÉSENTÉS PAR LES </w:t>
      </w:r>
      <w:r>
        <w:t>ÉTATS</w:t>
      </w:r>
      <w:r>
        <w:rPr>
          <w:lang w:val="fr-CH"/>
        </w:rPr>
        <w:t xml:space="preserve"> PARTIES CONFORMÉMENT À L’ARTICLE 9 DE LA CONVENTION (point 4 de l’ordre du jour) (</w:t>
      </w:r>
      <w:r>
        <w:rPr>
          <w:i/>
          <w:iCs/>
          <w:lang w:val="fr-CH"/>
        </w:rPr>
        <w:t>suite</w:t>
      </w:r>
      <w:r>
        <w:rPr>
          <w:lang w:val="fr-CH"/>
        </w:rPr>
        <w:t>)</w:t>
      </w:r>
    </w:p>
    <w:p w:rsidR="00000000" w:rsidRDefault="00000000">
      <w:pPr>
        <w:keepNext/>
        <w:tabs>
          <w:tab w:val="left" w:pos="567"/>
        </w:tabs>
        <w:spacing w:after="240"/>
        <w:rPr>
          <w:lang w:val="fr-CH"/>
        </w:rPr>
      </w:pPr>
      <w:r>
        <w:rPr>
          <w:u w:val="single"/>
          <w:lang w:val="fr-CH"/>
        </w:rPr>
        <w:t xml:space="preserve">Projet de </w:t>
      </w:r>
      <w:r>
        <w:rPr>
          <w:u w:val="single"/>
        </w:rPr>
        <w:t>conclusions</w:t>
      </w:r>
      <w:r>
        <w:rPr>
          <w:u w:val="single"/>
          <w:lang w:val="fr-CH"/>
        </w:rPr>
        <w:t xml:space="preserve"> du Comité concernant le rapport initial et les deuxième à quatrième rapports périodiques de l’Albanie</w:t>
      </w:r>
      <w:r>
        <w:rPr>
          <w:lang w:val="fr-CH"/>
        </w:rPr>
        <w:t xml:space="preserve"> (CERD/C/63/CO/1/Rev.1, document distribué en séance, en anglais et en français) (</w:t>
      </w:r>
      <w:r>
        <w:rPr>
          <w:i/>
          <w:iCs/>
          <w:lang w:val="fr-CH"/>
        </w:rPr>
        <w:t>suite</w:t>
      </w:r>
      <w:r>
        <w:rPr>
          <w:lang w:val="fr-CH"/>
        </w:rPr>
        <w:t>)</w:t>
      </w:r>
    </w:p>
    <w:p w:rsidR="00000000" w:rsidRDefault="00000000">
      <w:pPr>
        <w:pStyle w:val="FootnoteText"/>
        <w:tabs>
          <w:tab w:val="left" w:pos="567"/>
        </w:tabs>
        <w:spacing w:after="240"/>
        <w:rPr>
          <w:u w:val="single"/>
        </w:rPr>
      </w:pPr>
      <w:r>
        <w:rPr>
          <w:u w:val="single"/>
        </w:rPr>
        <w:t>Paragraphe 20</w:t>
      </w:r>
    </w:p>
    <w:p w:rsidR="00000000" w:rsidRDefault="00000000">
      <w:pPr>
        <w:tabs>
          <w:tab w:val="left" w:pos="567"/>
        </w:tabs>
        <w:spacing w:after="240"/>
        <w:rPr>
          <w:u w:val="single"/>
          <w:lang w:val="fr-CH"/>
        </w:rPr>
      </w:pPr>
      <w:r>
        <w:rPr>
          <w:u w:val="single"/>
          <w:lang w:val="fr-CH"/>
        </w:rPr>
        <w:t>Sous</w:t>
      </w:r>
      <w:r>
        <w:rPr>
          <w:u w:val="single"/>
          <w:lang w:val="fr-CH"/>
        </w:rPr>
        <w:noBreakHyphen/>
      </w:r>
      <w:r>
        <w:rPr>
          <w:u w:val="single"/>
        </w:rPr>
        <w:t>paragraphe</w:t>
      </w:r>
    </w:p>
    <w:p w:rsidR="00000000" w:rsidRDefault="00000000">
      <w:pPr>
        <w:numPr>
          <w:ilvl w:val="1"/>
          <w:numId w:val="4"/>
        </w:numPr>
        <w:tabs>
          <w:tab w:val="clear" w:pos="2010"/>
          <w:tab w:val="left" w:pos="567"/>
          <w:tab w:val="num" w:pos="1680"/>
        </w:tabs>
        <w:spacing w:after="240"/>
        <w:ind w:left="0"/>
        <w:rPr>
          <w:lang w:val="fr-CH"/>
        </w:rPr>
      </w:pPr>
      <w:r>
        <w:rPr>
          <w:lang w:val="fr-CH"/>
        </w:rPr>
        <w:t xml:space="preserve">À l’issue d’un </w:t>
      </w:r>
      <w:r>
        <w:t>échange</w:t>
      </w:r>
      <w:r>
        <w:rPr>
          <w:lang w:val="fr-CH"/>
        </w:rPr>
        <w:t xml:space="preserve"> de vues auquel participent </w:t>
      </w:r>
      <w:r>
        <w:rPr>
          <w:u w:val="single"/>
          <w:lang w:val="fr-CH"/>
        </w:rPr>
        <w:t>M. LINDGREN ALVES</w:t>
      </w:r>
      <w:r>
        <w:rPr>
          <w:lang w:val="fr-CH"/>
        </w:rPr>
        <w:t xml:space="preserve">, </w:t>
      </w:r>
      <w:r>
        <w:rPr>
          <w:u w:val="single"/>
          <w:lang w:val="fr-CH"/>
        </w:rPr>
        <w:t>M. SHAHI</w:t>
      </w:r>
      <w:r>
        <w:rPr>
          <w:lang w:val="fr-CH"/>
        </w:rPr>
        <w:t xml:space="preserve">, </w:t>
      </w:r>
      <w:r>
        <w:rPr>
          <w:u w:val="single"/>
          <w:lang w:val="fr-CH"/>
        </w:rPr>
        <w:t>M. SICILIANOS</w:t>
      </w:r>
      <w:r>
        <w:rPr>
          <w:lang w:val="fr-CH"/>
        </w:rPr>
        <w:t xml:space="preserve">, </w:t>
      </w:r>
      <w:r>
        <w:rPr>
          <w:u w:val="single"/>
          <w:lang w:val="fr-CH"/>
        </w:rPr>
        <w:t>M. THIAM</w:t>
      </w:r>
      <w:r>
        <w:rPr>
          <w:lang w:val="fr-CH"/>
        </w:rPr>
        <w:t xml:space="preserve"> et </w:t>
      </w:r>
      <w:r>
        <w:rPr>
          <w:u w:val="single"/>
          <w:lang w:val="fr-CH"/>
        </w:rPr>
        <w:t>M. KJAERUM</w:t>
      </w:r>
      <w:r>
        <w:rPr>
          <w:lang w:val="fr-CH"/>
        </w:rPr>
        <w:t xml:space="preserve">, </w:t>
      </w:r>
      <w:r>
        <w:rPr>
          <w:u w:val="single"/>
          <w:lang w:val="fr-CH"/>
        </w:rPr>
        <w:t>M. de GOUTTES</w:t>
      </w:r>
      <w:r>
        <w:rPr>
          <w:lang w:val="fr-CH"/>
        </w:rPr>
        <w:t xml:space="preserve"> suggère de reformuler le sous</w:t>
      </w:r>
      <w:r>
        <w:rPr>
          <w:lang w:val="fr-CH"/>
        </w:rPr>
        <w:noBreakHyphen/>
        <w:t xml:space="preserve">paragraphe pour qu’il se lise comme suit: «Le Comité relève l’insuffisance des informations sur la dimension </w:t>
      </w:r>
      <w:proofErr w:type="spellStart"/>
      <w:r>
        <w:rPr>
          <w:lang w:val="fr-CH"/>
        </w:rPr>
        <w:t>sexospécifique</w:t>
      </w:r>
      <w:proofErr w:type="spellEnd"/>
      <w:r>
        <w:rPr>
          <w:lang w:val="fr-CH"/>
        </w:rPr>
        <w:t xml:space="preserve"> de la discrimination raciale. Il appelle l’attention de l’État partie sur la recommandation générale n</w:t>
      </w:r>
      <w:r>
        <w:rPr>
          <w:vertAlign w:val="superscript"/>
          <w:lang w:val="fr-CH"/>
        </w:rPr>
        <w:t>o</w:t>
      </w:r>
      <w:r>
        <w:rPr>
          <w:lang w:val="fr-CH"/>
        </w:rPr>
        <w:t> XXV et recommande à l’État partie d’évaluer et de prévenir la discrimination raciale à l’égard des femmes de façon générale.»</w:t>
      </w:r>
    </w:p>
    <w:p w:rsidR="00000000" w:rsidRDefault="00000000">
      <w:pPr>
        <w:numPr>
          <w:ilvl w:val="1"/>
          <w:numId w:val="4"/>
        </w:numPr>
        <w:tabs>
          <w:tab w:val="clear" w:pos="2010"/>
          <w:tab w:val="left" w:pos="567"/>
          <w:tab w:val="num" w:pos="1680"/>
        </w:tabs>
        <w:spacing w:after="240"/>
        <w:ind w:left="0"/>
        <w:rPr>
          <w:lang w:val="fr-CH"/>
        </w:rPr>
      </w:pPr>
      <w:r>
        <w:rPr>
          <w:lang w:val="fr-CH"/>
        </w:rPr>
        <w:t xml:space="preserve">Le </w:t>
      </w:r>
      <w:r>
        <w:rPr>
          <w:u w:val="single"/>
          <w:lang w:val="fr-CH"/>
        </w:rPr>
        <w:t>PRÉSIDENT</w:t>
      </w:r>
      <w:r>
        <w:rPr>
          <w:lang w:val="fr-CH"/>
        </w:rPr>
        <w:t xml:space="preserve"> dit que le sous</w:t>
      </w:r>
      <w:r>
        <w:rPr>
          <w:lang w:val="fr-CH"/>
        </w:rPr>
        <w:noBreakHyphen/>
        <w:t>paragraphe remplace le paragraphe dont le texte est supprimé.</w:t>
      </w:r>
    </w:p>
    <w:p w:rsidR="00000000" w:rsidRDefault="00000000">
      <w:pPr>
        <w:numPr>
          <w:ilvl w:val="1"/>
          <w:numId w:val="4"/>
        </w:numPr>
        <w:tabs>
          <w:tab w:val="clear" w:pos="2010"/>
          <w:tab w:val="left" w:pos="567"/>
          <w:tab w:val="num" w:pos="1680"/>
        </w:tabs>
        <w:spacing w:after="240"/>
        <w:ind w:left="0"/>
        <w:rPr>
          <w:lang w:val="fr-CH"/>
        </w:rPr>
      </w:pPr>
      <w:r>
        <w:rPr>
          <w:i/>
          <w:iCs/>
          <w:lang w:val="fr-CH"/>
        </w:rPr>
        <w:t>Le paragrap</w:t>
      </w:r>
      <w:r>
        <w:rPr>
          <w:i/>
          <w:iCs/>
        </w:rPr>
        <w:t>h</w:t>
      </w:r>
      <w:r>
        <w:rPr>
          <w:i/>
          <w:iCs/>
          <w:lang w:val="fr-CH"/>
        </w:rPr>
        <w:t>e 20, ainsi modifié, est adopté</w:t>
      </w:r>
      <w:r>
        <w:rPr>
          <w:lang w:val="fr-CH"/>
        </w:rPr>
        <w:t>.</w:t>
      </w:r>
    </w:p>
    <w:p w:rsidR="00000000" w:rsidRDefault="00000000">
      <w:pPr>
        <w:pStyle w:val="Heading5"/>
      </w:pPr>
      <w:r>
        <w:t>Paragraphe 21</w:t>
      </w:r>
    </w:p>
    <w:p w:rsidR="00000000" w:rsidRDefault="00000000">
      <w:pPr>
        <w:numPr>
          <w:ilvl w:val="1"/>
          <w:numId w:val="4"/>
        </w:numPr>
        <w:tabs>
          <w:tab w:val="clear" w:pos="2010"/>
          <w:tab w:val="left" w:pos="567"/>
          <w:tab w:val="num" w:pos="1680"/>
        </w:tabs>
        <w:spacing w:after="240"/>
        <w:ind w:left="0"/>
      </w:pPr>
      <w:r>
        <w:rPr>
          <w:lang w:val="fr-CH"/>
        </w:rPr>
        <w:t xml:space="preserve">À l’issue </w:t>
      </w:r>
      <w:r>
        <w:t>d’un</w:t>
      </w:r>
      <w:r>
        <w:rPr>
          <w:lang w:val="fr-CH"/>
        </w:rPr>
        <w:t xml:space="preserve"> échange de vues auquel participent </w:t>
      </w:r>
      <w:r>
        <w:rPr>
          <w:u w:val="single"/>
          <w:lang w:val="fr-CH"/>
        </w:rPr>
        <w:t>M. ABOUL</w:t>
      </w:r>
      <w:r>
        <w:rPr>
          <w:u w:val="single"/>
          <w:lang w:val="fr-CH"/>
        </w:rPr>
        <w:noBreakHyphen/>
        <w:t>NASR</w:t>
      </w:r>
      <w:r>
        <w:rPr>
          <w:lang w:val="fr-CH"/>
        </w:rPr>
        <w:t xml:space="preserve">, </w:t>
      </w:r>
      <w:r>
        <w:rPr>
          <w:u w:val="single"/>
          <w:lang w:val="fr-CH"/>
        </w:rPr>
        <w:t>M. BOSSUYT</w:t>
      </w:r>
      <w:r>
        <w:rPr>
          <w:lang w:val="fr-CH"/>
        </w:rPr>
        <w:t xml:space="preserve"> et </w:t>
      </w:r>
      <w:r>
        <w:rPr>
          <w:u w:val="single"/>
          <w:lang w:val="fr-CH"/>
        </w:rPr>
        <w:t>M. AVTONOMOV</w:t>
      </w:r>
      <w:r>
        <w:rPr>
          <w:lang w:val="fr-CH"/>
        </w:rPr>
        <w:t xml:space="preserve">, </w:t>
      </w:r>
      <w:r>
        <w:rPr>
          <w:u w:val="single"/>
          <w:lang w:val="fr-CH"/>
        </w:rPr>
        <w:t>M. de GOUTTES</w:t>
      </w:r>
      <w:r>
        <w:rPr>
          <w:lang w:val="fr-CH"/>
        </w:rPr>
        <w:t xml:space="preserve"> </w:t>
      </w:r>
      <w:r>
        <w:t>propose de supprimer la seconde phrase.</w:t>
      </w:r>
    </w:p>
    <w:p w:rsidR="00000000" w:rsidRDefault="00000000">
      <w:pPr>
        <w:numPr>
          <w:ilvl w:val="1"/>
          <w:numId w:val="4"/>
        </w:numPr>
        <w:tabs>
          <w:tab w:val="clear" w:pos="2010"/>
          <w:tab w:val="left" w:pos="567"/>
          <w:tab w:val="num" w:pos="1680"/>
        </w:tabs>
        <w:spacing w:after="240"/>
        <w:ind w:left="0"/>
        <w:rPr>
          <w:i/>
          <w:iCs/>
        </w:rPr>
      </w:pPr>
      <w:r>
        <w:rPr>
          <w:i/>
          <w:iCs/>
        </w:rPr>
        <w:t xml:space="preserve">Le </w:t>
      </w:r>
      <w:r>
        <w:t>paragraphe</w:t>
      </w:r>
      <w:r>
        <w:rPr>
          <w:i/>
          <w:iCs/>
        </w:rPr>
        <w:t xml:space="preserve"> 21, ainsi modifié, est adopté. </w:t>
      </w:r>
    </w:p>
    <w:p w:rsidR="00000000" w:rsidRDefault="00000000">
      <w:pPr>
        <w:pStyle w:val="Heading5"/>
      </w:pPr>
      <w:r>
        <w:t>Paragraphe 22</w:t>
      </w:r>
    </w:p>
    <w:p w:rsidR="00000000" w:rsidRDefault="00000000">
      <w:pPr>
        <w:numPr>
          <w:ilvl w:val="1"/>
          <w:numId w:val="4"/>
        </w:numPr>
        <w:tabs>
          <w:tab w:val="clear" w:pos="2010"/>
          <w:tab w:val="left" w:pos="567"/>
          <w:tab w:val="num" w:pos="1680"/>
        </w:tabs>
        <w:spacing w:after="240"/>
        <w:ind w:left="0"/>
        <w:rPr>
          <w:lang w:val="fr-CH"/>
        </w:rPr>
      </w:pPr>
      <w:r>
        <w:rPr>
          <w:lang w:val="fr-CH"/>
        </w:rPr>
        <w:t xml:space="preserve">Le </w:t>
      </w:r>
      <w:r>
        <w:rPr>
          <w:u w:val="single"/>
          <w:lang w:val="fr-CH"/>
        </w:rPr>
        <w:t>PRÉSIDENT</w:t>
      </w:r>
      <w:r>
        <w:rPr>
          <w:lang w:val="fr-CH"/>
        </w:rPr>
        <w:t xml:space="preserve"> propose d’ajouter, à la deuxième ligne, après «la restitution» les termes </w:t>
      </w:r>
      <w:r>
        <w:t>«</w:t>
      </w:r>
      <w:r>
        <w:rPr>
          <w:lang w:val="fr-CH"/>
        </w:rPr>
        <w:t xml:space="preserve">ou l’indemnisation» [des propriétés religieuses]. </w:t>
      </w:r>
    </w:p>
    <w:p w:rsidR="00000000" w:rsidRDefault="00000000">
      <w:pPr>
        <w:numPr>
          <w:ilvl w:val="1"/>
          <w:numId w:val="4"/>
        </w:numPr>
        <w:tabs>
          <w:tab w:val="clear" w:pos="2010"/>
          <w:tab w:val="left" w:pos="567"/>
          <w:tab w:val="num" w:pos="1680"/>
        </w:tabs>
        <w:spacing w:after="240"/>
        <w:ind w:left="0"/>
        <w:rPr>
          <w:u w:val="single"/>
          <w:lang w:val="fr-CH"/>
        </w:rPr>
      </w:pPr>
      <w:r>
        <w:rPr>
          <w:i/>
          <w:iCs/>
          <w:lang w:val="fr-CH"/>
        </w:rPr>
        <w:t xml:space="preserve">Le paragraphe 22, </w:t>
      </w:r>
      <w:r>
        <w:t>ainsi</w:t>
      </w:r>
      <w:r>
        <w:rPr>
          <w:i/>
          <w:iCs/>
          <w:lang w:val="fr-CH"/>
        </w:rPr>
        <w:t xml:space="preserve"> modifié, est adopté. </w:t>
      </w:r>
    </w:p>
    <w:p w:rsidR="00000000" w:rsidRDefault="00000000">
      <w:pPr>
        <w:tabs>
          <w:tab w:val="left" w:pos="567"/>
        </w:tabs>
        <w:spacing w:after="240"/>
        <w:rPr>
          <w:u w:val="single"/>
          <w:lang w:val="fr-CH"/>
        </w:rPr>
      </w:pPr>
      <w:r>
        <w:rPr>
          <w:u w:val="single"/>
        </w:rPr>
        <w:t>Paragraphe</w:t>
      </w:r>
      <w:r>
        <w:rPr>
          <w:u w:val="single"/>
          <w:lang w:val="fr-CH"/>
        </w:rPr>
        <w:t xml:space="preserve"> 23</w:t>
      </w:r>
    </w:p>
    <w:p w:rsidR="00000000" w:rsidRDefault="00000000">
      <w:pPr>
        <w:tabs>
          <w:tab w:val="left" w:pos="567"/>
        </w:tabs>
        <w:spacing w:after="240"/>
        <w:rPr>
          <w:u w:val="single"/>
          <w:lang w:val="fr-CH"/>
        </w:rPr>
      </w:pPr>
      <w:r>
        <w:rPr>
          <w:u w:val="single"/>
          <w:lang w:val="fr-CH"/>
        </w:rPr>
        <w:t>Sous</w:t>
      </w:r>
      <w:r>
        <w:rPr>
          <w:u w:val="single"/>
          <w:lang w:val="fr-CH"/>
        </w:rPr>
        <w:noBreakHyphen/>
      </w:r>
      <w:r>
        <w:rPr>
          <w:u w:val="single"/>
        </w:rPr>
        <w:t>paragraphe</w:t>
      </w:r>
      <w:r>
        <w:rPr>
          <w:u w:val="single"/>
          <w:lang w:val="fr-CH"/>
        </w:rPr>
        <w:t xml:space="preserve"> </w:t>
      </w:r>
    </w:p>
    <w:p w:rsidR="00000000" w:rsidRDefault="00000000">
      <w:pPr>
        <w:numPr>
          <w:ilvl w:val="1"/>
          <w:numId w:val="4"/>
        </w:numPr>
        <w:tabs>
          <w:tab w:val="clear" w:pos="2010"/>
          <w:tab w:val="left" w:pos="567"/>
          <w:tab w:val="num" w:pos="1680"/>
        </w:tabs>
        <w:spacing w:after="240"/>
        <w:ind w:left="0"/>
        <w:rPr>
          <w:lang w:val="fr-CH"/>
        </w:rPr>
      </w:pPr>
      <w:r>
        <w:rPr>
          <w:u w:val="single"/>
          <w:lang w:val="fr-CH"/>
        </w:rPr>
        <w:t>M. PILLAI</w:t>
      </w:r>
      <w:r>
        <w:rPr>
          <w:lang w:val="fr-CH"/>
        </w:rPr>
        <w:t xml:space="preserve"> </w:t>
      </w:r>
      <w:r>
        <w:t>demande</w:t>
      </w:r>
      <w:r>
        <w:rPr>
          <w:lang w:val="fr-CH"/>
        </w:rPr>
        <w:t xml:space="preserve"> si le terme «stations», à la cinquième ligne, renvoie aux infrastructures matérielles ou aux programmes de télévision ou de radio. </w:t>
      </w:r>
    </w:p>
    <w:p w:rsidR="00000000" w:rsidRDefault="00000000">
      <w:pPr>
        <w:numPr>
          <w:ilvl w:val="1"/>
          <w:numId w:val="4"/>
        </w:numPr>
        <w:tabs>
          <w:tab w:val="clear" w:pos="2010"/>
          <w:tab w:val="left" w:pos="567"/>
          <w:tab w:val="num" w:pos="1680"/>
        </w:tabs>
        <w:spacing w:after="240"/>
        <w:ind w:left="0"/>
        <w:rPr>
          <w:lang w:val="fr-CH"/>
        </w:rPr>
      </w:pPr>
      <w:r>
        <w:rPr>
          <w:u w:val="single"/>
          <w:lang w:val="fr-CH"/>
        </w:rPr>
        <w:t xml:space="preserve">M. de </w:t>
      </w:r>
      <w:r>
        <w:rPr>
          <w:u w:val="single"/>
        </w:rPr>
        <w:t>GOUTTES</w:t>
      </w:r>
      <w:r>
        <w:rPr>
          <w:lang w:val="fr-CH"/>
        </w:rPr>
        <w:t xml:space="preserve"> dit que le passage qui intéresse M. Pillai fait référence à l’absence d’émissions s’adressant spécialement aux membres des minorités. Il propose donc de remplacer «stations» par «émissions». </w:t>
      </w:r>
    </w:p>
    <w:p w:rsidR="00000000" w:rsidRDefault="00000000">
      <w:pPr>
        <w:numPr>
          <w:ilvl w:val="1"/>
          <w:numId w:val="4"/>
        </w:numPr>
        <w:tabs>
          <w:tab w:val="clear" w:pos="2010"/>
          <w:tab w:val="left" w:pos="567"/>
          <w:tab w:val="num" w:pos="1680"/>
        </w:tabs>
        <w:spacing w:after="240"/>
        <w:ind w:left="0"/>
        <w:rPr>
          <w:lang w:val="fr-CH"/>
        </w:rPr>
      </w:pPr>
      <w:r>
        <w:rPr>
          <w:u w:val="single"/>
          <w:lang w:val="fr-CH"/>
        </w:rPr>
        <w:t>M. KJAERUM</w:t>
      </w:r>
      <w:r>
        <w:rPr>
          <w:lang w:val="fr-CH"/>
        </w:rPr>
        <w:t xml:space="preserve"> </w:t>
      </w:r>
      <w:r>
        <w:t>demande</w:t>
      </w:r>
      <w:r>
        <w:rPr>
          <w:lang w:val="fr-CH"/>
        </w:rPr>
        <w:t xml:space="preserve"> pourquoi l’accent est mis dans ce paragraphe sur la minorité grecque. </w:t>
      </w:r>
    </w:p>
    <w:p w:rsidR="00000000" w:rsidRDefault="00000000">
      <w:pPr>
        <w:numPr>
          <w:ilvl w:val="1"/>
          <w:numId w:val="4"/>
        </w:numPr>
        <w:tabs>
          <w:tab w:val="clear" w:pos="2010"/>
          <w:tab w:val="left" w:pos="567"/>
          <w:tab w:val="num" w:pos="1680"/>
        </w:tabs>
        <w:spacing w:after="240"/>
        <w:ind w:left="0"/>
        <w:rPr>
          <w:lang w:val="fr-CH"/>
        </w:rPr>
      </w:pPr>
      <w:r>
        <w:rPr>
          <w:u w:val="single"/>
          <w:lang w:val="fr-CH"/>
        </w:rPr>
        <w:t xml:space="preserve">M. </w:t>
      </w:r>
      <w:r>
        <w:rPr>
          <w:u w:val="single"/>
        </w:rPr>
        <w:t>SICILIANOS</w:t>
      </w:r>
      <w:r>
        <w:rPr>
          <w:lang w:val="fr-CH"/>
        </w:rPr>
        <w:t xml:space="preserve"> dit que dans ses réponses, le Gouvernement a indiqué que la minorité grecque avait demandé la création de médias qui lui soient spécialement destinés, mais n’en a pas dit plus sur la suite donnée à cette demande. Il convient donc de mentionner cette minorité dans le paragraphe à l’examen. </w:t>
      </w:r>
    </w:p>
    <w:p w:rsidR="00000000" w:rsidRDefault="00000000">
      <w:pPr>
        <w:numPr>
          <w:ilvl w:val="1"/>
          <w:numId w:val="4"/>
        </w:numPr>
        <w:tabs>
          <w:tab w:val="left" w:pos="567"/>
        </w:tabs>
        <w:spacing w:after="240"/>
        <w:ind w:left="0"/>
        <w:rPr>
          <w:lang w:val="fr-CH"/>
        </w:rPr>
      </w:pPr>
      <w:r>
        <w:rPr>
          <w:u w:val="single"/>
          <w:lang w:val="fr-CH"/>
        </w:rPr>
        <w:t>M. SHAHI</w:t>
      </w:r>
      <w:r>
        <w:rPr>
          <w:lang w:val="fr-CH"/>
        </w:rPr>
        <w:t xml:space="preserve"> propose de reformuler la deuxième phrase à la lumière du débat pour qu’elle se lise ainsi: «Il suggère en outre à l’État partie de faciliter la création d’émissions s’adressant spécialement aux membres des minorités, y compris la minorité grecque» (It also suggests that the State </w:t>
      </w:r>
      <w:proofErr w:type="spellStart"/>
      <w:r>
        <w:rPr>
          <w:lang w:val="fr-CH"/>
        </w:rPr>
        <w:t>Party</w:t>
      </w:r>
      <w:proofErr w:type="spellEnd"/>
      <w:r>
        <w:rPr>
          <w:lang w:val="fr-CH"/>
        </w:rPr>
        <w:t xml:space="preserve"> </w:t>
      </w:r>
      <w:proofErr w:type="spellStart"/>
      <w:r>
        <w:rPr>
          <w:lang w:val="fr-CH"/>
        </w:rPr>
        <w:t>facilitate</w:t>
      </w:r>
      <w:proofErr w:type="spellEnd"/>
      <w:r>
        <w:rPr>
          <w:lang w:val="fr-CH"/>
        </w:rPr>
        <w:t xml:space="preserve"> </w:t>
      </w:r>
      <w:proofErr w:type="spellStart"/>
      <w:r>
        <w:rPr>
          <w:lang w:val="fr-CH"/>
        </w:rPr>
        <w:t>the</w:t>
      </w:r>
      <w:proofErr w:type="spellEnd"/>
      <w:r>
        <w:rPr>
          <w:lang w:val="fr-CH"/>
        </w:rPr>
        <w:t xml:space="preserve"> establishment of broadcasts </w:t>
      </w:r>
      <w:proofErr w:type="spellStart"/>
      <w:r>
        <w:rPr>
          <w:lang w:val="fr-CH"/>
        </w:rPr>
        <w:t>especially</w:t>
      </w:r>
      <w:proofErr w:type="spellEnd"/>
      <w:r>
        <w:rPr>
          <w:lang w:val="fr-CH"/>
        </w:rPr>
        <w:t xml:space="preserve"> </w:t>
      </w:r>
      <w:proofErr w:type="spellStart"/>
      <w:r>
        <w:rPr>
          <w:lang w:val="fr-CH"/>
        </w:rPr>
        <w:t>serving</w:t>
      </w:r>
      <w:proofErr w:type="spellEnd"/>
      <w:r>
        <w:rPr>
          <w:lang w:val="fr-CH"/>
        </w:rPr>
        <w:t xml:space="preserve"> minorities, including the Greek minority». </w:t>
      </w:r>
    </w:p>
    <w:p w:rsidR="00000000" w:rsidRDefault="00000000">
      <w:pPr>
        <w:numPr>
          <w:ilvl w:val="1"/>
          <w:numId w:val="4"/>
        </w:numPr>
        <w:tabs>
          <w:tab w:val="left" w:pos="567"/>
        </w:tabs>
        <w:spacing w:after="240"/>
        <w:ind w:left="0"/>
        <w:rPr>
          <w:i/>
          <w:iCs/>
          <w:lang w:val="fr-CH"/>
        </w:rPr>
      </w:pPr>
      <w:r>
        <w:rPr>
          <w:i/>
          <w:iCs/>
          <w:lang w:val="fr-CH"/>
        </w:rPr>
        <w:t xml:space="preserve">Le paragraphe 23, ainsi modifié, est adopté. </w:t>
      </w:r>
    </w:p>
    <w:p w:rsidR="00000000" w:rsidRDefault="00000000">
      <w:pPr>
        <w:pStyle w:val="Heading5"/>
        <w:tabs>
          <w:tab w:val="left" w:pos="567"/>
        </w:tabs>
      </w:pPr>
      <w:r>
        <w:t>Paragraphe 24</w:t>
      </w:r>
    </w:p>
    <w:p w:rsidR="00000000" w:rsidRDefault="00000000">
      <w:pPr>
        <w:numPr>
          <w:ilvl w:val="1"/>
          <w:numId w:val="4"/>
        </w:numPr>
        <w:tabs>
          <w:tab w:val="left" w:pos="567"/>
        </w:tabs>
        <w:spacing w:after="240"/>
        <w:ind w:left="0"/>
        <w:rPr>
          <w:lang w:val="fr-CH"/>
        </w:rPr>
      </w:pPr>
      <w:r>
        <w:rPr>
          <w:lang w:val="fr-CH"/>
        </w:rPr>
        <w:t xml:space="preserve">Après un échange de vues auquel participent </w:t>
      </w:r>
      <w:r>
        <w:rPr>
          <w:u w:val="single"/>
          <w:lang w:val="fr-CH"/>
        </w:rPr>
        <w:t>M. ABOUL</w:t>
      </w:r>
      <w:r>
        <w:rPr>
          <w:u w:val="single"/>
          <w:lang w:val="fr-CH"/>
        </w:rPr>
        <w:noBreakHyphen/>
        <w:t>NASR</w:t>
      </w:r>
      <w:r>
        <w:rPr>
          <w:lang w:val="fr-CH"/>
        </w:rPr>
        <w:t xml:space="preserve">, </w:t>
      </w:r>
      <w:r>
        <w:rPr>
          <w:u w:val="single"/>
          <w:lang w:val="fr-CH"/>
        </w:rPr>
        <w:t>M. AVTONOMOV</w:t>
      </w:r>
      <w:r>
        <w:rPr>
          <w:lang w:val="fr-CH"/>
        </w:rPr>
        <w:t xml:space="preserve"> et </w:t>
      </w:r>
      <w:r>
        <w:rPr>
          <w:u w:val="single"/>
          <w:lang w:val="fr-CH"/>
        </w:rPr>
        <w:t>M. de GOUTTES</w:t>
      </w:r>
      <w:r>
        <w:rPr>
          <w:lang w:val="fr-CH"/>
        </w:rPr>
        <w:t>, il est décidé, par souci d’harmonisation avec le paragraphe 15, où le Comité note l’existence d’une communauté qui se qualifie elle</w:t>
      </w:r>
      <w:r>
        <w:rPr>
          <w:lang w:val="fr-CH"/>
        </w:rPr>
        <w:noBreakHyphen/>
        <w:t xml:space="preserve">même d’«égyptienne», de remplacer, à la deuxième ligne, les mots «les Égyptiens» par «les membres de la communauté se qualifiant d’égyptienne». </w:t>
      </w:r>
    </w:p>
    <w:p w:rsidR="00000000" w:rsidRDefault="00000000">
      <w:pPr>
        <w:numPr>
          <w:ilvl w:val="1"/>
          <w:numId w:val="4"/>
        </w:numPr>
        <w:tabs>
          <w:tab w:val="left" w:pos="567"/>
        </w:tabs>
        <w:spacing w:after="240"/>
        <w:ind w:left="0"/>
        <w:rPr>
          <w:i/>
          <w:iCs/>
          <w:lang w:val="fr-CH"/>
        </w:rPr>
      </w:pPr>
      <w:r>
        <w:rPr>
          <w:i/>
          <w:iCs/>
          <w:lang w:val="fr-CH"/>
        </w:rPr>
        <w:t xml:space="preserve">Le paragraphe 24, ainsi modifié, est adopté. </w:t>
      </w:r>
    </w:p>
    <w:p w:rsidR="00000000" w:rsidRDefault="00000000">
      <w:pPr>
        <w:pStyle w:val="Header"/>
        <w:tabs>
          <w:tab w:val="left" w:pos="567"/>
        </w:tabs>
        <w:spacing w:after="240"/>
        <w:rPr>
          <w:u w:val="single"/>
          <w:lang w:val="fr-CH"/>
        </w:rPr>
      </w:pPr>
      <w:r>
        <w:rPr>
          <w:u w:val="single"/>
          <w:lang w:val="fr-CH"/>
        </w:rPr>
        <w:t>Paragraphe 25</w:t>
      </w:r>
    </w:p>
    <w:p w:rsidR="00000000" w:rsidRDefault="00000000">
      <w:pPr>
        <w:pStyle w:val="Header"/>
        <w:tabs>
          <w:tab w:val="left" w:pos="567"/>
        </w:tabs>
        <w:spacing w:after="240"/>
        <w:rPr>
          <w:u w:val="single"/>
          <w:lang w:val="fr-CH"/>
        </w:rPr>
      </w:pPr>
      <w:proofErr w:type="spellStart"/>
      <w:r>
        <w:rPr>
          <w:u w:val="single"/>
          <w:lang w:val="fr-CH"/>
        </w:rPr>
        <w:t>Sous</w:t>
      </w:r>
      <w:r>
        <w:rPr>
          <w:u w:val="single"/>
          <w:lang w:val="fr-CH"/>
        </w:rPr>
        <w:noBreakHyphen/>
        <w:t>paragraphe</w:t>
      </w:r>
      <w:proofErr w:type="spellEnd"/>
      <w:r>
        <w:rPr>
          <w:u w:val="single"/>
          <w:lang w:val="fr-CH"/>
        </w:rPr>
        <w:t xml:space="preserve"> </w:t>
      </w:r>
    </w:p>
    <w:p w:rsidR="00000000" w:rsidRDefault="00000000">
      <w:pPr>
        <w:numPr>
          <w:ilvl w:val="1"/>
          <w:numId w:val="4"/>
        </w:numPr>
        <w:tabs>
          <w:tab w:val="left" w:pos="567"/>
        </w:tabs>
        <w:spacing w:after="240"/>
        <w:ind w:left="0"/>
        <w:rPr>
          <w:lang w:val="fr-CH"/>
        </w:rPr>
      </w:pPr>
      <w:r>
        <w:rPr>
          <w:u w:val="single"/>
          <w:lang w:val="fr-CH"/>
        </w:rPr>
        <w:t>M. ABOUL</w:t>
      </w:r>
      <w:r>
        <w:rPr>
          <w:u w:val="single"/>
          <w:lang w:val="fr-CH"/>
        </w:rPr>
        <w:noBreakHyphen/>
        <w:t>NASR</w:t>
      </w:r>
      <w:r>
        <w:rPr>
          <w:lang w:val="fr-CH"/>
        </w:rPr>
        <w:t xml:space="preserve"> fait observer que le Comité ne peut décemment demander au Gouvernement albanais d’exposer, dans son prochain rapport, des informations exhaustives en matière de contrôle d’identité, d’entrée et de séjour des étrangers, de droit d’asile et d’extradition, en raison de l’énorme travail que cela supposerait. </w:t>
      </w:r>
    </w:p>
    <w:p w:rsidR="00000000" w:rsidRDefault="00000000">
      <w:pPr>
        <w:numPr>
          <w:ilvl w:val="1"/>
          <w:numId w:val="4"/>
        </w:numPr>
        <w:tabs>
          <w:tab w:val="left" w:pos="567"/>
        </w:tabs>
        <w:spacing w:after="240"/>
        <w:ind w:left="0"/>
        <w:rPr>
          <w:lang w:val="fr-CH"/>
        </w:rPr>
      </w:pPr>
      <w:r>
        <w:rPr>
          <w:lang w:val="fr-CH"/>
        </w:rPr>
        <w:t xml:space="preserve">Le </w:t>
      </w:r>
      <w:r>
        <w:rPr>
          <w:u w:val="single"/>
          <w:lang w:val="fr-CH"/>
        </w:rPr>
        <w:t>PRÉSIDENT</w:t>
      </w:r>
      <w:r>
        <w:rPr>
          <w:lang w:val="fr-CH"/>
        </w:rPr>
        <w:t xml:space="preserve">, s’exprimant à titre personnel, propose de circonscrire la demande d’informations à la législation et à la pratique concernant le contrôle d’identité, l’entrée et le séjour des étrangers, le droit d’asile et l’extradition. Il suggère donc d’insérer, après «en particulier», à la deuxième ligne, les termes «sur la législation et les pratiques concernant» (legislation and practices concerning). </w:t>
      </w:r>
    </w:p>
    <w:p w:rsidR="00000000" w:rsidRDefault="00000000">
      <w:pPr>
        <w:numPr>
          <w:ilvl w:val="1"/>
          <w:numId w:val="4"/>
        </w:numPr>
        <w:tabs>
          <w:tab w:val="left" w:pos="567"/>
        </w:tabs>
        <w:spacing w:after="240"/>
        <w:ind w:left="0"/>
        <w:rPr>
          <w:i/>
          <w:iCs/>
          <w:lang w:val="fr-CH"/>
        </w:rPr>
      </w:pPr>
      <w:r>
        <w:rPr>
          <w:i/>
          <w:iCs/>
          <w:lang w:val="fr-CH"/>
        </w:rPr>
        <w:t xml:space="preserve">Le paragraphe 25, ainsi modifié, est adopté. </w:t>
      </w:r>
    </w:p>
    <w:p w:rsidR="00000000" w:rsidRDefault="00000000">
      <w:pPr>
        <w:pStyle w:val="Heading5"/>
        <w:tabs>
          <w:tab w:val="left" w:pos="567"/>
        </w:tabs>
      </w:pPr>
      <w:r>
        <w:t>Paragraphe 26</w:t>
      </w:r>
    </w:p>
    <w:p w:rsidR="00000000" w:rsidRDefault="00000000">
      <w:pPr>
        <w:pStyle w:val="Heading5"/>
        <w:tabs>
          <w:tab w:val="left" w:pos="567"/>
        </w:tabs>
      </w:pPr>
      <w:r>
        <w:t>Sous</w:t>
      </w:r>
      <w:r>
        <w:noBreakHyphen/>
        <w:t>paragraphe</w:t>
      </w:r>
    </w:p>
    <w:p w:rsidR="00000000" w:rsidRDefault="00000000">
      <w:pPr>
        <w:numPr>
          <w:ilvl w:val="1"/>
          <w:numId w:val="4"/>
        </w:numPr>
        <w:tabs>
          <w:tab w:val="left" w:pos="567"/>
        </w:tabs>
        <w:spacing w:after="240"/>
        <w:ind w:left="0"/>
        <w:rPr>
          <w:lang w:val="fr-CH"/>
        </w:rPr>
      </w:pPr>
      <w:r>
        <w:rPr>
          <w:lang w:val="fr-CH"/>
        </w:rPr>
        <w:t xml:space="preserve">Le </w:t>
      </w:r>
      <w:r>
        <w:rPr>
          <w:u w:val="single"/>
          <w:lang w:val="fr-CH"/>
        </w:rPr>
        <w:t>PRÉSIDENT</w:t>
      </w:r>
      <w:r>
        <w:rPr>
          <w:lang w:val="fr-CH"/>
        </w:rPr>
        <w:t xml:space="preserve">, s’exprimant à titre personnel, dit qu’il ne sera sûrement pas facile au Gouvernement albanais de s’assurer que l’absence de telles plaintes n’est pas le résultat d’une méconnaissance de leurs droits par les victimes. Il propose donc de lui demander plutôt d’examiner si cette absence est le résultat de cette méconnaissance. </w:t>
      </w:r>
    </w:p>
    <w:p w:rsidR="00000000" w:rsidRDefault="00000000">
      <w:pPr>
        <w:numPr>
          <w:ilvl w:val="1"/>
          <w:numId w:val="4"/>
        </w:numPr>
        <w:tabs>
          <w:tab w:val="left" w:pos="567"/>
        </w:tabs>
        <w:spacing w:after="240"/>
        <w:ind w:left="0"/>
        <w:rPr>
          <w:i/>
          <w:iCs/>
          <w:lang w:val="fr-CH"/>
        </w:rPr>
      </w:pPr>
      <w:r>
        <w:rPr>
          <w:i/>
          <w:iCs/>
          <w:lang w:val="fr-CH"/>
        </w:rPr>
        <w:t xml:space="preserve">Le paragraphe 26, ainsi modifié, est adopté. </w:t>
      </w:r>
    </w:p>
    <w:p w:rsidR="00000000" w:rsidRDefault="00000000">
      <w:pPr>
        <w:keepNext/>
        <w:tabs>
          <w:tab w:val="left" w:pos="567"/>
        </w:tabs>
        <w:spacing w:after="240"/>
        <w:rPr>
          <w:u w:val="single"/>
        </w:rPr>
      </w:pPr>
      <w:r>
        <w:rPr>
          <w:u w:val="single"/>
        </w:rPr>
        <w:t>Paragraphe 27</w:t>
      </w:r>
    </w:p>
    <w:p w:rsidR="00000000" w:rsidRDefault="00000000">
      <w:pPr>
        <w:keepNext/>
        <w:tabs>
          <w:tab w:val="left" w:pos="567"/>
        </w:tabs>
        <w:spacing w:after="240"/>
        <w:rPr>
          <w:u w:val="single"/>
        </w:rPr>
      </w:pPr>
      <w:r>
        <w:rPr>
          <w:u w:val="single"/>
        </w:rPr>
        <w:t>Alinéa a)</w:t>
      </w:r>
    </w:p>
    <w:p w:rsidR="00000000" w:rsidRDefault="00000000">
      <w:pPr>
        <w:keepNext/>
        <w:numPr>
          <w:ilvl w:val="1"/>
          <w:numId w:val="4"/>
        </w:numPr>
        <w:tabs>
          <w:tab w:val="left" w:pos="567"/>
        </w:tabs>
        <w:spacing w:after="240"/>
        <w:ind w:left="0"/>
        <w:rPr>
          <w:lang w:val="fr-CH"/>
        </w:rPr>
      </w:pPr>
      <w:r>
        <w:rPr>
          <w:lang w:val="fr-CH"/>
        </w:rPr>
        <w:t xml:space="preserve">Le </w:t>
      </w:r>
      <w:r>
        <w:rPr>
          <w:u w:val="single"/>
          <w:lang w:val="fr-CH"/>
        </w:rPr>
        <w:t>PRÉSIDENT</w:t>
      </w:r>
      <w:r>
        <w:rPr>
          <w:lang w:val="fr-CH"/>
        </w:rPr>
        <w:t xml:space="preserve">, s’exprimant à titre personnel, propose de remplacer, à la première ligne, les mots «sur les résultats obtenus» par «sur les activités de», afin d’insister sur le fait que l’Avocat du peuple a une «obligation d’agir», et non une «obligation de résultat». </w:t>
      </w:r>
    </w:p>
    <w:p w:rsidR="00000000" w:rsidRDefault="00000000">
      <w:pPr>
        <w:numPr>
          <w:ilvl w:val="1"/>
          <w:numId w:val="4"/>
        </w:numPr>
        <w:tabs>
          <w:tab w:val="left" w:pos="567"/>
        </w:tabs>
        <w:spacing w:after="240"/>
        <w:ind w:left="0"/>
        <w:rPr>
          <w:i/>
          <w:iCs/>
          <w:lang w:val="fr-CH"/>
        </w:rPr>
      </w:pPr>
      <w:r>
        <w:rPr>
          <w:i/>
          <w:iCs/>
          <w:lang w:val="fr-CH"/>
        </w:rPr>
        <w:t xml:space="preserve">Le paragraphe 27, ainsi modifié, est adopté. </w:t>
      </w:r>
    </w:p>
    <w:p w:rsidR="00000000" w:rsidRDefault="00000000">
      <w:pPr>
        <w:pStyle w:val="Heading5"/>
        <w:tabs>
          <w:tab w:val="left" w:pos="567"/>
        </w:tabs>
      </w:pPr>
      <w:r>
        <w:t>Paragraphes 28 et 29</w:t>
      </w:r>
    </w:p>
    <w:p w:rsidR="00000000" w:rsidRDefault="00000000">
      <w:pPr>
        <w:numPr>
          <w:ilvl w:val="1"/>
          <w:numId w:val="4"/>
        </w:numPr>
        <w:tabs>
          <w:tab w:val="left" w:pos="567"/>
        </w:tabs>
        <w:spacing w:after="240"/>
        <w:ind w:left="0"/>
        <w:rPr>
          <w:i/>
          <w:iCs/>
          <w:lang w:val="fr-CH"/>
        </w:rPr>
      </w:pPr>
      <w:r>
        <w:rPr>
          <w:i/>
          <w:iCs/>
          <w:lang w:val="fr-CH"/>
        </w:rPr>
        <w:t xml:space="preserve">Les paragraphes 28 et 29 sont adoptés. </w:t>
      </w:r>
    </w:p>
    <w:p w:rsidR="00000000" w:rsidRDefault="00000000">
      <w:pPr>
        <w:pStyle w:val="Heading5"/>
        <w:tabs>
          <w:tab w:val="left" w:pos="567"/>
        </w:tabs>
      </w:pPr>
      <w:r>
        <w:t>Paragraphe 30</w:t>
      </w:r>
    </w:p>
    <w:p w:rsidR="00000000" w:rsidRDefault="00000000">
      <w:pPr>
        <w:numPr>
          <w:ilvl w:val="1"/>
          <w:numId w:val="4"/>
        </w:numPr>
        <w:tabs>
          <w:tab w:val="left" w:pos="567"/>
        </w:tabs>
        <w:spacing w:after="240"/>
        <w:ind w:left="0"/>
        <w:rPr>
          <w:lang w:val="fr-CH"/>
        </w:rPr>
      </w:pPr>
      <w:r>
        <w:rPr>
          <w:u w:val="single"/>
          <w:lang w:val="fr-CH"/>
        </w:rPr>
        <w:t>M. de GOUTTES</w:t>
      </w:r>
      <w:r>
        <w:rPr>
          <w:lang w:val="fr-CH"/>
        </w:rPr>
        <w:t xml:space="preserve"> propose de remplacer, aux deuxième et troisième lignes, les mots «cette entreprise» par «ce processus». </w:t>
      </w:r>
    </w:p>
    <w:p w:rsidR="00000000" w:rsidRDefault="00000000">
      <w:pPr>
        <w:numPr>
          <w:ilvl w:val="1"/>
          <w:numId w:val="4"/>
        </w:numPr>
        <w:tabs>
          <w:tab w:val="left" w:pos="567"/>
        </w:tabs>
        <w:spacing w:after="240"/>
        <w:ind w:left="0"/>
        <w:rPr>
          <w:i/>
          <w:iCs/>
          <w:lang w:val="fr-CH"/>
        </w:rPr>
      </w:pPr>
      <w:r>
        <w:rPr>
          <w:i/>
          <w:iCs/>
          <w:lang w:val="fr-CH"/>
        </w:rPr>
        <w:t xml:space="preserve">Le paragraphe 30, ainsi modifié, est adopté. </w:t>
      </w:r>
    </w:p>
    <w:p w:rsidR="00000000" w:rsidRDefault="00000000">
      <w:pPr>
        <w:pStyle w:val="Heading5"/>
        <w:tabs>
          <w:tab w:val="left" w:pos="567"/>
        </w:tabs>
      </w:pPr>
      <w:r>
        <w:t>Paragraphe 31</w:t>
      </w:r>
    </w:p>
    <w:p w:rsidR="00000000" w:rsidRDefault="00000000">
      <w:pPr>
        <w:numPr>
          <w:ilvl w:val="1"/>
          <w:numId w:val="4"/>
        </w:numPr>
        <w:tabs>
          <w:tab w:val="left" w:pos="567"/>
        </w:tabs>
        <w:spacing w:after="240"/>
        <w:ind w:left="0"/>
        <w:rPr>
          <w:i/>
          <w:iCs/>
          <w:lang w:val="fr-CH"/>
        </w:rPr>
      </w:pPr>
      <w:r>
        <w:rPr>
          <w:i/>
          <w:iCs/>
          <w:lang w:val="fr-CH"/>
        </w:rPr>
        <w:t xml:space="preserve">Le paragraphe 31 est adopté. </w:t>
      </w:r>
    </w:p>
    <w:p w:rsidR="00000000" w:rsidRDefault="00000000">
      <w:pPr>
        <w:pStyle w:val="Header"/>
        <w:tabs>
          <w:tab w:val="left" w:pos="567"/>
        </w:tabs>
        <w:spacing w:after="240"/>
        <w:rPr>
          <w:u w:val="single"/>
          <w:lang w:val="fr-CH"/>
        </w:rPr>
      </w:pPr>
      <w:r>
        <w:rPr>
          <w:u w:val="single"/>
          <w:lang w:val="fr-CH"/>
        </w:rPr>
        <w:t>Paragraphe 32</w:t>
      </w:r>
    </w:p>
    <w:p w:rsidR="00000000" w:rsidRDefault="00000000">
      <w:pPr>
        <w:pStyle w:val="Header"/>
        <w:numPr>
          <w:ilvl w:val="1"/>
          <w:numId w:val="4"/>
        </w:numPr>
        <w:tabs>
          <w:tab w:val="left" w:pos="567"/>
        </w:tabs>
        <w:spacing w:after="240"/>
        <w:ind w:left="0"/>
        <w:rPr>
          <w:u w:val="single"/>
          <w:lang w:val="fr-CH"/>
        </w:rPr>
      </w:pPr>
      <w:r>
        <w:rPr>
          <w:u w:val="single"/>
        </w:rPr>
        <w:t>M. BOSSUYT</w:t>
      </w:r>
      <w:r>
        <w:t>, appuyé par </w:t>
      </w:r>
      <w:r>
        <w:rPr>
          <w:u w:val="single"/>
        </w:rPr>
        <w:t>M. HERNDL</w:t>
      </w:r>
      <w:r>
        <w:t xml:space="preserve"> et </w:t>
      </w:r>
      <w:r>
        <w:rPr>
          <w:u w:val="single"/>
        </w:rPr>
        <w:t>M. de GOUTTES</w:t>
      </w:r>
      <w:r>
        <w:t xml:space="preserve">, propose de reporter à 2007 la date de soumission du prochain rapport périodique de l’État partie et de lui demander de présenter en un seul document ses cinquième, sixième et septième rapports périodiques. </w:t>
      </w:r>
    </w:p>
    <w:p w:rsidR="00000000" w:rsidRDefault="00000000">
      <w:pPr>
        <w:numPr>
          <w:ilvl w:val="1"/>
          <w:numId w:val="4"/>
        </w:numPr>
        <w:tabs>
          <w:tab w:val="left" w:pos="567"/>
        </w:tabs>
        <w:spacing w:after="240"/>
        <w:ind w:left="0"/>
        <w:rPr>
          <w:i/>
          <w:iCs/>
        </w:rPr>
      </w:pPr>
      <w:r>
        <w:rPr>
          <w:i/>
          <w:iCs/>
        </w:rPr>
        <w:t xml:space="preserve">Le paragraphe 32, ainsi modifié, est adopté. </w:t>
      </w:r>
    </w:p>
    <w:p w:rsidR="00000000" w:rsidRDefault="00000000">
      <w:pPr>
        <w:pStyle w:val="BodyText"/>
        <w:numPr>
          <w:ilvl w:val="1"/>
          <w:numId w:val="4"/>
        </w:numPr>
        <w:tabs>
          <w:tab w:val="left" w:pos="567"/>
        </w:tabs>
        <w:spacing w:after="240"/>
        <w:ind w:left="0"/>
      </w:pPr>
      <w:r>
        <w:t xml:space="preserve">L’ensemble du projet de conclusions concernant le rapport initial et les deuxième à quatrième rapports périodiques de l’Albanie, tel qu’il a été modifié oralement, est adopté. </w:t>
      </w:r>
    </w:p>
    <w:p w:rsidR="00000000" w:rsidRDefault="00000000">
      <w:pPr>
        <w:tabs>
          <w:tab w:val="left" w:pos="567"/>
        </w:tabs>
        <w:spacing w:after="240"/>
        <w:rPr>
          <w:lang w:val="fr-CH"/>
        </w:rPr>
      </w:pPr>
      <w:r>
        <w:rPr>
          <w:lang w:val="fr-CH"/>
        </w:rPr>
        <w:t>PR</w:t>
      </w:r>
      <w:r>
        <w:t>É</w:t>
      </w:r>
      <w:r>
        <w:rPr>
          <w:lang w:val="fr-CH"/>
        </w:rPr>
        <w:t>VENTION DE LA DISCRIMINATION RACIALE, Y COMPRIS MESURES D’ALERTE RAPIDE ET PROCÉDURE D’ACTION URGENTE (point 3 de l’ordre du jour) (</w:t>
      </w:r>
      <w:r>
        <w:rPr>
          <w:i/>
          <w:iCs/>
          <w:lang w:val="fr-CH"/>
        </w:rPr>
        <w:t>suite</w:t>
      </w:r>
      <w:r>
        <w:rPr>
          <w:lang w:val="fr-CH"/>
        </w:rPr>
        <w:t>)</w:t>
      </w:r>
    </w:p>
    <w:p w:rsidR="00000000" w:rsidRDefault="00000000">
      <w:pPr>
        <w:tabs>
          <w:tab w:val="left" w:pos="567"/>
        </w:tabs>
        <w:spacing w:after="240"/>
        <w:rPr>
          <w:lang w:val="fr-CH"/>
        </w:rPr>
      </w:pPr>
      <w:r>
        <w:rPr>
          <w:u w:val="single"/>
        </w:rPr>
        <w:t xml:space="preserve">Projet de décision du Comité concernant la situation en République démocratique populaire lao </w:t>
      </w:r>
      <w:r>
        <w:rPr>
          <w:lang w:val="fr-CH"/>
        </w:rPr>
        <w:t>(CERD/C/63/Dec.1, document distribué en séance, en anglais et en français)</w:t>
      </w:r>
    </w:p>
    <w:p w:rsidR="00000000" w:rsidRDefault="00000000">
      <w:pPr>
        <w:pStyle w:val="Heading5"/>
        <w:tabs>
          <w:tab w:val="left" w:pos="567"/>
        </w:tabs>
      </w:pPr>
      <w:r>
        <w:t>Premier et deuxième alinéas</w:t>
      </w:r>
    </w:p>
    <w:p w:rsidR="00000000" w:rsidRDefault="00000000">
      <w:pPr>
        <w:numPr>
          <w:ilvl w:val="1"/>
          <w:numId w:val="4"/>
        </w:numPr>
        <w:tabs>
          <w:tab w:val="left" w:pos="567"/>
        </w:tabs>
        <w:spacing w:after="240"/>
        <w:ind w:left="0"/>
        <w:rPr>
          <w:lang w:val="fr-CH"/>
        </w:rPr>
      </w:pPr>
      <w:r>
        <w:rPr>
          <w:i/>
          <w:iCs/>
          <w:lang w:val="fr-CH"/>
        </w:rPr>
        <w:t>Les premier et deuxième alinéas sont adoptés</w:t>
      </w:r>
      <w:r>
        <w:rPr>
          <w:lang w:val="fr-CH"/>
        </w:rPr>
        <w:t>.</w:t>
      </w:r>
    </w:p>
    <w:p w:rsidR="00000000" w:rsidRDefault="00000000">
      <w:pPr>
        <w:pStyle w:val="Heading5"/>
        <w:tabs>
          <w:tab w:val="left" w:pos="567"/>
        </w:tabs>
      </w:pPr>
      <w:r>
        <w:t>Troisième alinéa</w:t>
      </w:r>
    </w:p>
    <w:p w:rsidR="00000000" w:rsidRDefault="00000000">
      <w:pPr>
        <w:numPr>
          <w:ilvl w:val="1"/>
          <w:numId w:val="4"/>
        </w:numPr>
        <w:tabs>
          <w:tab w:val="left" w:pos="567"/>
        </w:tabs>
        <w:spacing w:after="240"/>
        <w:ind w:left="0"/>
        <w:rPr>
          <w:lang w:val="fr-CH"/>
        </w:rPr>
      </w:pPr>
      <w:r>
        <w:rPr>
          <w:u w:val="single"/>
          <w:lang w:val="fr-CH"/>
        </w:rPr>
        <w:t>M. THIAM</w:t>
      </w:r>
      <w:r>
        <w:rPr>
          <w:lang w:val="fr-CH"/>
        </w:rPr>
        <w:t xml:space="preserve"> propose de remplacer, à l’avant dernière ligne, les termes «les présentes conclusions» par «la présente décision».</w:t>
      </w:r>
    </w:p>
    <w:p w:rsidR="00000000" w:rsidRDefault="00000000">
      <w:pPr>
        <w:numPr>
          <w:ilvl w:val="1"/>
          <w:numId w:val="4"/>
        </w:numPr>
        <w:tabs>
          <w:tab w:val="left" w:pos="567"/>
        </w:tabs>
        <w:spacing w:after="240"/>
        <w:ind w:left="0"/>
        <w:rPr>
          <w:i/>
          <w:iCs/>
          <w:lang w:val="fr-CH"/>
        </w:rPr>
      </w:pPr>
      <w:r>
        <w:rPr>
          <w:i/>
          <w:iCs/>
          <w:lang w:val="fr-CH"/>
        </w:rPr>
        <w:t xml:space="preserve">Le troisième alinéa, ainsi modifié, est adopté. </w:t>
      </w:r>
    </w:p>
    <w:p w:rsidR="00000000" w:rsidRDefault="00000000">
      <w:pPr>
        <w:pStyle w:val="Heading5"/>
        <w:tabs>
          <w:tab w:val="left" w:pos="567"/>
        </w:tabs>
      </w:pPr>
      <w:r>
        <w:t>Paragraphes 1 et 2</w:t>
      </w:r>
    </w:p>
    <w:p w:rsidR="00000000" w:rsidRDefault="00000000">
      <w:pPr>
        <w:numPr>
          <w:ilvl w:val="1"/>
          <w:numId w:val="4"/>
        </w:numPr>
        <w:tabs>
          <w:tab w:val="left" w:pos="567"/>
        </w:tabs>
        <w:spacing w:after="240"/>
        <w:ind w:left="0"/>
        <w:rPr>
          <w:i/>
          <w:iCs/>
          <w:lang w:val="fr-CH"/>
        </w:rPr>
      </w:pPr>
      <w:r>
        <w:rPr>
          <w:i/>
          <w:iCs/>
          <w:lang w:val="fr-CH"/>
        </w:rPr>
        <w:t>Les paragraphes 1 et 2 sont adoptés.</w:t>
      </w:r>
    </w:p>
    <w:p w:rsidR="00000000" w:rsidRDefault="00000000">
      <w:pPr>
        <w:pStyle w:val="Header"/>
        <w:tabs>
          <w:tab w:val="left" w:pos="567"/>
        </w:tabs>
        <w:spacing w:after="240"/>
        <w:rPr>
          <w:u w:val="single"/>
          <w:lang w:val="fr-CH"/>
        </w:rPr>
      </w:pPr>
      <w:r>
        <w:rPr>
          <w:u w:val="single"/>
          <w:lang w:val="fr-CH"/>
        </w:rPr>
        <w:t>Paragraphe 3</w:t>
      </w:r>
    </w:p>
    <w:p w:rsidR="00000000" w:rsidRDefault="00000000">
      <w:pPr>
        <w:numPr>
          <w:ilvl w:val="1"/>
          <w:numId w:val="4"/>
        </w:numPr>
        <w:tabs>
          <w:tab w:val="left" w:pos="567"/>
        </w:tabs>
        <w:spacing w:after="240"/>
        <w:ind w:left="0"/>
        <w:rPr>
          <w:lang w:val="fr-CH"/>
        </w:rPr>
      </w:pPr>
      <w:r>
        <w:rPr>
          <w:u w:val="single"/>
          <w:lang w:val="fr-CH"/>
        </w:rPr>
        <w:t>M. THIAM</w:t>
      </w:r>
      <w:r>
        <w:rPr>
          <w:lang w:val="fr-CH"/>
        </w:rPr>
        <w:t xml:space="preserve"> rappelle que le terme «réfugié» s’applique juridiquement à des personnes qui ne vivent pas sur leur territoire national. En l’espèce, il ne convient donc pas qu’une partie de la minorité hmong considérée n’a pas ce statut car elle s’est simplement réfugiée dans la jungle ou certaines régions montagneuses du pays.</w:t>
      </w:r>
    </w:p>
    <w:p w:rsidR="00000000" w:rsidRDefault="00000000">
      <w:pPr>
        <w:numPr>
          <w:ilvl w:val="1"/>
          <w:numId w:val="4"/>
        </w:numPr>
        <w:tabs>
          <w:tab w:val="left" w:pos="567"/>
        </w:tabs>
        <w:spacing w:after="240"/>
        <w:ind w:left="0"/>
        <w:rPr>
          <w:lang w:val="fr-CH"/>
        </w:rPr>
      </w:pPr>
      <w:r>
        <w:rPr>
          <w:u w:val="single"/>
          <w:lang w:val="fr-CH"/>
        </w:rPr>
        <w:t>M. THORNBERRY</w:t>
      </w:r>
      <w:r>
        <w:rPr>
          <w:lang w:val="fr-CH"/>
        </w:rPr>
        <w:t xml:space="preserve">, appuyé par </w:t>
      </w:r>
      <w:r>
        <w:rPr>
          <w:u w:val="single"/>
          <w:lang w:val="fr-CH"/>
        </w:rPr>
        <w:t>M. SHAHI</w:t>
      </w:r>
      <w:r>
        <w:rPr>
          <w:lang w:val="fr-CH"/>
        </w:rPr>
        <w:t xml:space="preserve">, </w:t>
      </w:r>
      <w:r>
        <w:rPr>
          <w:u w:val="single"/>
          <w:lang w:val="fr-CH"/>
        </w:rPr>
        <w:t>M. THIAM</w:t>
      </w:r>
      <w:r>
        <w:rPr>
          <w:lang w:val="fr-CH"/>
        </w:rPr>
        <w:t xml:space="preserve"> et </w:t>
      </w:r>
      <w:r>
        <w:rPr>
          <w:u w:val="single"/>
          <w:lang w:val="fr-CH"/>
        </w:rPr>
        <w:t>M. YUTZIS</w:t>
      </w:r>
      <w:r>
        <w:rPr>
          <w:lang w:val="fr-CH"/>
        </w:rPr>
        <w:t xml:space="preserve">, propose de remplacer le membre de phrase «une partie de la minorité hmong réfugiée» par «une partie de la minorité hmong qui a trouvé refuge». </w:t>
      </w:r>
    </w:p>
    <w:p w:rsidR="00000000" w:rsidRDefault="00000000">
      <w:pPr>
        <w:numPr>
          <w:ilvl w:val="1"/>
          <w:numId w:val="4"/>
        </w:numPr>
        <w:tabs>
          <w:tab w:val="left" w:pos="567"/>
        </w:tabs>
        <w:spacing w:after="240"/>
        <w:ind w:left="0"/>
        <w:rPr>
          <w:lang w:val="fr-CH"/>
        </w:rPr>
      </w:pPr>
      <w:r>
        <w:rPr>
          <w:u w:val="single"/>
          <w:lang w:val="fr-CH"/>
        </w:rPr>
        <w:t>M. PILLAI</w:t>
      </w:r>
      <w:r>
        <w:rPr>
          <w:lang w:val="fr-CH"/>
        </w:rPr>
        <w:t xml:space="preserve"> propose de déplacer l’incise «(bombardements de villages, utilisation d’armes chimiques et de mines antipersonnel, exécutions extrajudiciaires, tortures)» de la fin au début de la deuxième phrase, après les termes «Des actes de violence extrême». </w:t>
      </w:r>
    </w:p>
    <w:p w:rsidR="00000000" w:rsidRDefault="00000000">
      <w:pPr>
        <w:numPr>
          <w:ilvl w:val="1"/>
          <w:numId w:val="4"/>
        </w:numPr>
        <w:tabs>
          <w:tab w:val="left" w:pos="567"/>
        </w:tabs>
        <w:spacing w:after="240"/>
        <w:ind w:left="0"/>
        <w:rPr>
          <w:lang w:val="fr-CH"/>
        </w:rPr>
      </w:pPr>
      <w:r>
        <w:rPr>
          <w:i/>
          <w:iCs/>
          <w:lang w:val="fr-CH"/>
        </w:rPr>
        <w:t>Le paragraphe 3, ainsi modifié, est adopté</w:t>
      </w:r>
      <w:r>
        <w:rPr>
          <w:lang w:val="fr-CH"/>
        </w:rPr>
        <w:t>.</w:t>
      </w:r>
    </w:p>
    <w:p w:rsidR="00000000" w:rsidRDefault="00000000">
      <w:pPr>
        <w:pStyle w:val="Heading5"/>
        <w:tabs>
          <w:tab w:val="left" w:pos="567"/>
        </w:tabs>
      </w:pPr>
      <w:r>
        <w:t>Paragraphe 4</w:t>
      </w:r>
    </w:p>
    <w:p w:rsidR="00000000" w:rsidRDefault="00000000">
      <w:pPr>
        <w:numPr>
          <w:ilvl w:val="1"/>
          <w:numId w:val="4"/>
        </w:numPr>
        <w:tabs>
          <w:tab w:val="left" w:pos="567"/>
        </w:tabs>
        <w:spacing w:after="240"/>
        <w:ind w:left="0"/>
        <w:rPr>
          <w:lang w:val="fr-CH"/>
        </w:rPr>
      </w:pPr>
      <w:r>
        <w:rPr>
          <w:u w:val="single"/>
          <w:lang w:val="fr-CH"/>
        </w:rPr>
        <w:t>M. YUTZIS</w:t>
      </w:r>
      <w:r>
        <w:rPr>
          <w:lang w:val="fr-CH"/>
        </w:rPr>
        <w:t xml:space="preserve"> suggère d’aligner la terminologie sur celle retenue pour le paragraphe 3 en remplaçant les mots «les Hmong réfugiés dans la jungle» par «les Hmong qui ont trouvé refuge dans la jungle», à la fin de la première phrase. </w:t>
      </w:r>
    </w:p>
    <w:p w:rsidR="00000000" w:rsidRDefault="00000000">
      <w:pPr>
        <w:pStyle w:val="Header"/>
        <w:numPr>
          <w:ilvl w:val="1"/>
          <w:numId w:val="4"/>
        </w:numPr>
        <w:tabs>
          <w:tab w:val="left" w:pos="567"/>
        </w:tabs>
        <w:spacing w:after="240"/>
        <w:ind w:left="0"/>
        <w:rPr>
          <w:lang w:val="fr-CH"/>
        </w:rPr>
      </w:pPr>
      <w:r>
        <w:rPr>
          <w:u w:val="single"/>
          <w:lang w:val="fr-CH"/>
        </w:rPr>
        <w:t>M. de GOUTTES</w:t>
      </w:r>
      <w:r>
        <w:rPr>
          <w:lang w:val="fr-CH"/>
        </w:rPr>
        <w:t xml:space="preserve"> propose de remplacer, à la deuxième phrase, les termes «En sont la preuve l’arrestation» par «Il s’inquiète en particulier de l’arrestation». </w:t>
      </w:r>
    </w:p>
    <w:p w:rsidR="00000000" w:rsidRDefault="00000000">
      <w:pPr>
        <w:numPr>
          <w:ilvl w:val="1"/>
          <w:numId w:val="4"/>
        </w:numPr>
        <w:tabs>
          <w:tab w:val="left" w:pos="567"/>
        </w:tabs>
        <w:spacing w:after="240"/>
        <w:ind w:left="0"/>
        <w:rPr>
          <w:lang w:val="fr-CH"/>
        </w:rPr>
      </w:pPr>
      <w:r>
        <w:rPr>
          <w:u w:val="single"/>
          <w:lang w:val="fr-CH"/>
        </w:rPr>
        <w:t>M. HERNDL</w:t>
      </w:r>
      <w:r>
        <w:rPr>
          <w:lang w:val="fr-CH"/>
        </w:rPr>
        <w:t xml:space="preserve"> propose de préciser, à l’avant</w:t>
      </w:r>
      <w:r>
        <w:rPr>
          <w:lang w:val="fr-CH"/>
        </w:rPr>
        <w:noBreakHyphen/>
        <w:t>dernière ligne, qu’il s’agit du sort réservé «aux assistants hmong».</w:t>
      </w:r>
    </w:p>
    <w:p w:rsidR="00000000" w:rsidRDefault="00000000">
      <w:pPr>
        <w:numPr>
          <w:ilvl w:val="1"/>
          <w:numId w:val="4"/>
        </w:numPr>
        <w:tabs>
          <w:tab w:val="left" w:pos="567"/>
        </w:tabs>
        <w:spacing w:after="240"/>
        <w:ind w:left="0"/>
        <w:rPr>
          <w:i/>
          <w:iCs/>
          <w:lang w:val="fr-CH"/>
        </w:rPr>
      </w:pPr>
      <w:r>
        <w:rPr>
          <w:i/>
          <w:iCs/>
          <w:lang w:val="fr-CH"/>
        </w:rPr>
        <w:t>Le paragraphe 4, ainsi modifié, est adopté.</w:t>
      </w:r>
    </w:p>
    <w:p w:rsidR="00000000" w:rsidRDefault="00000000">
      <w:pPr>
        <w:pStyle w:val="Heading5"/>
        <w:tabs>
          <w:tab w:val="left" w:pos="567"/>
        </w:tabs>
      </w:pPr>
      <w:r>
        <w:t>Paragraphe 5</w:t>
      </w:r>
    </w:p>
    <w:p w:rsidR="00000000" w:rsidRDefault="00000000">
      <w:pPr>
        <w:numPr>
          <w:ilvl w:val="1"/>
          <w:numId w:val="4"/>
        </w:numPr>
        <w:tabs>
          <w:tab w:val="left" w:pos="567"/>
        </w:tabs>
        <w:spacing w:after="240"/>
        <w:ind w:left="0"/>
        <w:rPr>
          <w:lang w:val="fr-CH"/>
        </w:rPr>
      </w:pPr>
      <w:r>
        <w:rPr>
          <w:lang w:val="fr-CH"/>
        </w:rPr>
        <w:t xml:space="preserve">Le </w:t>
      </w:r>
      <w:r>
        <w:rPr>
          <w:u w:val="single"/>
          <w:lang w:val="fr-CH"/>
        </w:rPr>
        <w:t>PRÉSIDENT</w:t>
      </w:r>
      <w:r>
        <w:rPr>
          <w:lang w:val="fr-CH"/>
        </w:rPr>
        <w:t xml:space="preserve"> propose de rattacher ce paragraphe au précédent. </w:t>
      </w:r>
    </w:p>
    <w:p w:rsidR="00000000" w:rsidRDefault="00000000">
      <w:pPr>
        <w:numPr>
          <w:ilvl w:val="1"/>
          <w:numId w:val="4"/>
        </w:numPr>
        <w:tabs>
          <w:tab w:val="left" w:pos="567"/>
        </w:tabs>
        <w:spacing w:after="240"/>
        <w:ind w:left="0"/>
        <w:rPr>
          <w:lang w:val="fr-CH"/>
        </w:rPr>
      </w:pPr>
      <w:r>
        <w:rPr>
          <w:u w:val="single"/>
          <w:lang w:val="fr-CH"/>
        </w:rPr>
        <w:t>M. BOSSUYT</w:t>
      </w:r>
      <w:r>
        <w:rPr>
          <w:lang w:val="fr-CH"/>
        </w:rPr>
        <w:t xml:space="preserve"> suggère de remplacer à la troisième ligne, le verbe «discuter» par les mots «procéder à un échange de vues».</w:t>
      </w:r>
    </w:p>
    <w:p w:rsidR="00000000" w:rsidRDefault="00000000">
      <w:pPr>
        <w:numPr>
          <w:ilvl w:val="1"/>
          <w:numId w:val="4"/>
        </w:numPr>
        <w:tabs>
          <w:tab w:val="left" w:pos="567"/>
        </w:tabs>
        <w:spacing w:after="240"/>
        <w:ind w:left="0"/>
        <w:rPr>
          <w:lang w:val="fr-CH"/>
        </w:rPr>
      </w:pPr>
      <w:r>
        <w:rPr>
          <w:i/>
          <w:iCs/>
          <w:lang w:val="fr-CH"/>
        </w:rPr>
        <w:t>Le paragraphe 5, ainsi modifié, est adopté</w:t>
      </w:r>
      <w:r>
        <w:rPr>
          <w:lang w:val="fr-CH"/>
        </w:rPr>
        <w:t>.</w:t>
      </w:r>
    </w:p>
    <w:p w:rsidR="00000000" w:rsidRDefault="00000000">
      <w:pPr>
        <w:tabs>
          <w:tab w:val="left" w:pos="567"/>
        </w:tabs>
        <w:spacing w:after="240"/>
        <w:rPr>
          <w:u w:val="single"/>
          <w:lang w:val="fr-CH"/>
        </w:rPr>
      </w:pPr>
      <w:r>
        <w:rPr>
          <w:u w:val="single"/>
          <w:lang w:val="fr-CH"/>
        </w:rPr>
        <w:t>Sous</w:t>
      </w:r>
      <w:r>
        <w:rPr>
          <w:u w:val="single"/>
          <w:lang w:val="fr-CH"/>
        </w:rPr>
        <w:noBreakHyphen/>
        <w:t>paragraphe a)</w:t>
      </w:r>
    </w:p>
    <w:p w:rsidR="00000000" w:rsidRDefault="00000000">
      <w:pPr>
        <w:numPr>
          <w:ilvl w:val="1"/>
          <w:numId w:val="4"/>
        </w:numPr>
        <w:tabs>
          <w:tab w:val="left" w:pos="567"/>
        </w:tabs>
        <w:spacing w:after="240"/>
        <w:ind w:left="0"/>
        <w:rPr>
          <w:lang w:val="fr-CH"/>
        </w:rPr>
      </w:pPr>
      <w:r>
        <w:rPr>
          <w:u w:val="single"/>
          <w:lang w:val="fr-CH"/>
        </w:rPr>
        <w:t>M. THIAM</w:t>
      </w:r>
      <w:r>
        <w:rPr>
          <w:lang w:val="fr-CH"/>
        </w:rPr>
        <w:t xml:space="preserve"> propose de remplacer le terme «réfugiée» par le membre de phrase «qui a trouvé refuge», comme au paragraphe 3.</w:t>
      </w:r>
    </w:p>
    <w:p w:rsidR="00000000" w:rsidRDefault="00000000">
      <w:pPr>
        <w:numPr>
          <w:ilvl w:val="1"/>
          <w:numId w:val="4"/>
        </w:numPr>
        <w:tabs>
          <w:tab w:val="left" w:pos="567"/>
        </w:tabs>
        <w:spacing w:after="240"/>
        <w:ind w:left="0"/>
        <w:rPr>
          <w:i/>
          <w:iCs/>
          <w:lang w:val="fr-CH"/>
        </w:rPr>
      </w:pPr>
      <w:r>
        <w:rPr>
          <w:i/>
          <w:iCs/>
          <w:lang w:val="fr-CH"/>
        </w:rPr>
        <w:t>Le sous</w:t>
      </w:r>
      <w:r>
        <w:rPr>
          <w:i/>
          <w:iCs/>
          <w:lang w:val="fr-CH"/>
        </w:rPr>
        <w:noBreakHyphen/>
        <w:t>paragraphe a), ainsi modifié, est adopté.</w:t>
      </w:r>
    </w:p>
    <w:p w:rsidR="00000000" w:rsidRDefault="00000000">
      <w:pPr>
        <w:keepNext/>
        <w:tabs>
          <w:tab w:val="left" w:pos="567"/>
        </w:tabs>
        <w:spacing w:after="240"/>
        <w:rPr>
          <w:u w:val="single"/>
          <w:lang w:val="fr-CH"/>
        </w:rPr>
      </w:pPr>
      <w:r>
        <w:rPr>
          <w:u w:val="single"/>
          <w:lang w:val="fr-CH"/>
        </w:rPr>
        <w:t>Sous</w:t>
      </w:r>
      <w:r>
        <w:rPr>
          <w:u w:val="single"/>
          <w:lang w:val="fr-CH"/>
        </w:rPr>
        <w:noBreakHyphen/>
        <w:t>paragraphe b)</w:t>
      </w:r>
    </w:p>
    <w:p w:rsidR="00000000" w:rsidRDefault="00000000">
      <w:pPr>
        <w:keepNext/>
        <w:numPr>
          <w:ilvl w:val="1"/>
          <w:numId w:val="4"/>
        </w:numPr>
        <w:tabs>
          <w:tab w:val="left" w:pos="567"/>
        </w:tabs>
        <w:spacing w:after="240"/>
        <w:ind w:left="0"/>
        <w:rPr>
          <w:lang w:val="fr-CH"/>
        </w:rPr>
      </w:pPr>
      <w:r>
        <w:rPr>
          <w:u w:val="single"/>
          <w:lang w:val="fr-CH"/>
        </w:rPr>
        <w:t>M. THIAM</w:t>
      </w:r>
      <w:r>
        <w:rPr>
          <w:lang w:val="fr-CH"/>
        </w:rPr>
        <w:t xml:space="preserve"> propose d’ajouter, après le verbe «assurer», le membre de phrase «la libre circulation».</w:t>
      </w:r>
    </w:p>
    <w:p w:rsidR="00000000" w:rsidRDefault="00000000">
      <w:pPr>
        <w:numPr>
          <w:ilvl w:val="1"/>
          <w:numId w:val="4"/>
        </w:numPr>
        <w:tabs>
          <w:tab w:val="left" w:pos="567"/>
        </w:tabs>
        <w:spacing w:after="240"/>
        <w:ind w:left="0"/>
        <w:rPr>
          <w:i/>
          <w:iCs/>
          <w:lang w:val="fr-CH"/>
        </w:rPr>
      </w:pPr>
      <w:r>
        <w:rPr>
          <w:i/>
          <w:iCs/>
          <w:lang w:val="fr-CH"/>
        </w:rPr>
        <w:t>Le sous</w:t>
      </w:r>
      <w:r>
        <w:rPr>
          <w:i/>
          <w:iCs/>
          <w:lang w:val="fr-CH"/>
        </w:rPr>
        <w:noBreakHyphen/>
        <w:t>paragraphe b), ainsi modifié, est adopté.</w:t>
      </w:r>
    </w:p>
    <w:p w:rsidR="00000000" w:rsidRDefault="00000000">
      <w:pPr>
        <w:tabs>
          <w:tab w:val="left" w:pos="567"/>
        </w:tabs>
        <w:spacing w:after="240"/>
        <w:rPr>
          <w:u w:val="single"/>
          <w:lang w:val="fr-CH"/>
        </w:rPr>
      </w:pPr>
      <w:r>
        <w:rPr>
          <w:u w:val="single"/>
          <w:lang w:val="fr-CH"/>
        </w:rPr>
        <w:t>Sous</w:t>
      </w:r>
      <w:r>
        <w:rPr>
          <w:u w:val="single"/>
          <w:lang w:val="fr-CH"/>
        </w:rPr>
        <w:noBreakHyphen/>
        <w:t>paragraphe c)</w:t>
      </w:r>
    </w:p>
    <w:p w:rsidR="00000000" w:rsidRDefault="00000000">
      <w:pPr>
        <w:numPr>
          <w:ilvl w:val="1"/>
          <w:numId w:val="4"/>
        </w:numPr>
        <w:tabs>
          <w:tab w:val="left" w:pos="567"/>
        </w:tabs>
        <w:spacing w:after="240"/>
        <w:ind w:left="0"/>
        <w:rPr>
          <w:lang w:val="fr-CH"/>
        </w:rPr>
      </w:pPr>
      <w:r>
        <w:rPr>
          <w:u w:val="single"/>
          <w:lang w:val="fr-CH"/>
        </w:rPr>
        <w:t>M. BOSSUYT</w:t>
      </w:r>
      <w:r>
        <w:rPr>
          <w:lang w:val="fr-CH"/>
        </w:rPr>
        <w:t xml:space="preserve"> propose, à la deuxième ligne, d’insérer le mot «assistants» avant «</w:t>
      </w:r>
      <w:proofErr w:type="spellStart"/>
      <w:r>
        <w:rPr>
          <w:lang w:val="fr-CH"/>
        </w:rPr>
        <w:t>Hmong</w:t>
      </w:r>
      <w:proofErr w:type="spellEnd"/>
      <w:r>
        <w:rPr>
          <w:lang w:val="fr-CH"/>
        </w:rPr>
        <w:t xml:space="preserve">» et de remplacer le mot «enquête», qui a une connotation essentiellement juridique, par «reportage», terme mieux approprié à des journalistes. </w:t>
      </w:r>
    </w:p>
    <w:p w:rsidR="00000000" w:rsidRDefault="00000000">
      <w:pPr>
        <w:numPr>
          <w:ilvl w:val="1"/>
          <w:numId w:val="4"/>
        </w:numPr>
        <w:tabs>
          <w:tab w:val="left" w:pos="567"/>
        </w:tabs>
        <w:spacing w:after="240"/>
        <w:ind w:left="0"/>
        <w:rPr>
          <w:i/>
          <w:iCs/>
          <w:lang w:val="fr-CH"/>
        </w:rPr>
      </w:pPr>
      <w:r>
        <w:rPr>
          <w:i/>
          <w:iCs/>
          <w:lang w:val="fr-CH"/>
        </w:rPr>
        <w:t>Le sous</w:t>
      </w:r>
      <w:r>
        <w:rPr>
          <w:i/>
          <w:iCs/>
          <w:lang w:val="fr-CH"/>
        </w:rPr>
        <w:noBreakHyphen/>
        <w:t>paragraphe c), ainsi modifié, est adopté.</w:t>
      </w:r>
    </w:p>
    <w:p w:rsidR="00000000" w:rsidRDefault="00000000">
      <w:pPr>
        <w:spacing w:after="240"/>
        <w:jc w:val="center"/>
        <w:rPr>
          <w:i/>
          <w:iCs/>
          <w:lang w:val="fr-CH"/>
        </w:rPr>
      </w:pPr>
      <w:r>
        <w:rPr>
          <w:i/>
          <w:iCs/>
          <w:lang w:val="fr-CH"/>
        </w:rPr>
        <w:t>La séance est levée à 18 heures.</w:t>
      </w:r>
    </w:p>
    <w:p w:rsidR="00000000" w:rsidRDefault="00000000">
      <w:pPr>
        <w:spacing w:after="240"/>
        <w:jc w:val="center"/>
      </w:pPr>
      <w:r>
        <w:t>-----</w:t>
      </w:r>
    </w:p>
    <w:sectPr w:rsidR="00000000">
      <w:headerReference w:type="even" r:id="rId8"/>
      <w:headerReference w:type="default" r:id="rId9"/>
      <w:footerReference w:type="first" r:id="rId10"/>
      <w:endnotePr>
        <w:numFmt w:val="decimal"/>
      </w:endnotePr>
      <w:pgSz w:w="11905" w:h="16837"/>
      <w:pgMar w:top="851" w:right="1247" w:bottom="1418" w:left="1247" w:header="851" w:footer="1418"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spacing w:after="200"/>
    </w:pPr>
    <w:r>
      <w:t>_______________</w:t>
    </w:r>
  </w:p>
  <w:p w:rsidR="00000000" w:rsidRDefault="00000000">
    <w:pPr>
      <w:spacing w:after="160"/>
    </w:pPr>
    <w:r>
      <w:tab/>
      <w:t>Le présent compte rendu est sujet à rectifications.</w:t>
    </w:r>
  </w:p>
  <w:p w:rsidR="00000000" w:rsidRDefault="00000000">
    <w:pPr>
      <w:spacing w:after="160"/>
    </w:pPr>
    <w:r>
      <w:tab/>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à la Section d’édition des documents officiels, bureau E.4108, Palais des Nations, Genève.</w:t>
    </w:r>
  </w:p>
  <w:p w:rsidR="00000000" w:rsidRDefault="00000000">
    <w:pPr>
      <w:spacing w:after="160"/>
    </w:pPr>
    <w:r>
      <w:tab/>
      <w:t>Les rectifications aux comptes rendus des séances publiques du Comité seront groupées dans un rectificatif unique qui sera publié peu après la session.</w:t>
    </w:r>
  </w:p>
  <w:p w:rsidR="00000000" w:rsidRDefault="00000000">
    <w:pPr>
      <w:pStyle w:val="Footer"/>
      <w:spacing w:after="160"/>
    </w:pPr>
    <w:r>
      <w:t>GE.03-43771  (EXT)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de-CH"/>
      </w:rPr>
    </w:pPr>
    <w:r>
      <w:rPr>
        <w:lang w:val="de-CH"/>
      </w:rPr>
      <w:t>CERD/C/SR.1608</w:t>
    </w:r>
  </w:p>
  <w:p w:rsidR="00000000" w:rsidRDefault="00000000">
    <w:pPr>
      <w:pStyle w:val="Header"/>
    </w:pPr>
    <w:r>
      <w:t xml:space="preserve">page </w:t>
    </w:r>
    <w:r>
      <w:fldChar w:fldCharType="begin"/>
    </w:r>
    <w:r>
      <w:instrText xml:space="preserve"> PAGE  \* MERGEFORMAT </w:instrText>
    </w:r>
    <w:r>
      <w:fldChar w:fldCharType="separate"/>
    </w:r>
    <w:r>
      <w:rPr>
        <w:noProof/>
      </w:rPr>
      <w:t>6</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7320"/>
      </w:tabs>
      <w:rPr>
        <w:lang w:val="de-CH"/>
      </w:rPr>
    </w:pPr>
    <w:r>
      <w:tab/>
    </w:r>
    <w:r>
      <w:rPr>
        <w:lang w:val="de-CH"/>
      </w:rPr>
      <w:t>CERD/C/SR.1608</w:t>
    </w:r>
  </w:p>
  <w:p w:rsidR="00000000" w:rsidRDefault="00000000">
    <w:pPr>
      <w:pStyle w:val="Header"/>
      <w:tabs>
        <w:tab w:val="clear" w:pos="4536"/>
        <w:tab w:val="clear" w:pos="9072"/>
        <w:tab w:val="left" w:pos="7320"/>
      </w:tabs>
    </w:pPr>
    <w:r>
      <w:rPr>
        <w:lang w:val="de-CH"/>
      </w:rPr>
      <w:tab/>
    </w:r>
    <w:r>
      <w:t xml:space="preserve">page </w:t>
    </w:r>
    <w:r>
      <w:fldChar w:fldCharType="begin"/>
    </w:r>
    <w:r>
      <w:instrText xml:space="preserve"> PAGE  \* MERGEFORMAT </w:instrText>
    </w:r>
    <w:r>
      <w:fldChar w:fldCharType="separate"/>
    </w:r>
    <w:r>
      <w:rPr>
        <w:noProof/>
      </w:rPr>
      <w:t>7</w:t>
    </w:r>
    <w:r>
      <w:fldChar w:fldCharType="end"/>
    </w:r>
  </w:p>
  <w:p w:rsidR="00000000" w:rsidRDefault="00000000">
    <w:pPr>
      <w:pStyle w:val="Header"/>
      <w:tabs>
        <w:tab w:val="clear" w:pos="4536"/>
        <w:tab w:val="clear" w:pos="9072"/>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B77491F2"/>
    <w:lvl w:ilvl="0">
      <w:start w:val="1"/>
      <w:numFmt w:val="lowerRoman"/>
      <w:pStyle w:val="Rom2"/>
      <w:lvlText w:val="%1)"/>
      <w:lvlJc w:val="right"/>
      <w:pPr>
        <w:tabs>
          <w:tab w:val="num" w:pos="927"/>
        </w:tabs>
        <w:ind w:left="567" w:firstLine="0"/>
      </w:pPr>
    </w:lvl>
  </w:abstractNum>
  <w:abstractNum w:abstractNumId="1">
    <w:nsid w:val="3166663E"/>
    <w:multiLevelType w:val="hybridMultilevel"/>
    <w:tmpl w:val="69765DC0"/>
    <w:lvl w:ilvl="0" w:tplc="C41263AE">
      <w:start w:val="1"/>
      <w:numFmt w:val="decimal"/>
      <w:lvlText w:val="%1."/>
      <w:lvlJc w:val="left"/>
      <w:pPr>
        <w:tabs>
          <w:tab w:val="num" w:pos="2064"/>
        </w:tabs>
        <w:ind w:left="1704" w:firstLine="0"/>
      </w:pPr>
      <w:rPr>
        <w:rFonts w:hint="default"/>
        <w:b w:val="0"/>
        <w:i w:val="0"/>
        <w:sz w:val="24"/>
      </w:rPr>
    </w:lvl>
    <w:lvl w:ilvl="1" w:tplc="C41263AE">
      <w:start w:val="1"/>
      <w:numFmt w:val="decimal"/>
      <w:lvlText w:val="%2."/>
      <w:lvlJc w:val="left"/>
      <w:pPr>
        <w:tabs>
          <w:tab w:val="num" w:pos="2010"/>
        </w:tabs>
        <w:ind w:left="1650" w:firstLine="0"/>
      </w:pPr>
      <w:rPr>
        <w:rFonts w:hint="default"/>
        <w:b w:val="0"/>
        <w:i w:val="0"/>
        <w:sz w:val="24"/>
      </w:rPr>
    </w:lvl>
    <w:lvl w:ilvl="2" w:tplc="040C001B" w:tentative="1">
      <w:start w:val="1"/>
      <w:numFmt w:val="lowerRoman"/>
      <w:lvlText w:val="%3."/>
      <w:lvlJc w:val="right"/>
      <w:pPr>
        <w:tabs>
          <w:tab w:val="num" w:pos="2730"/>
        </w:tabs>
        <w:ind w:left="2730" w:hanging="180"/>
      </w:pPr>
    </w:lvl>
    <w:lvl w:ilvl="3" w:tplc="040C000F" w:tentative="1">
      <w:start w:val="1"/>
      <w:numFmt w:val="decimal"/>
      <w:lvlText w:val="%4."/>
      <w:lvlJc w:val="left"/>
      <w:pPr>
        <w:tabs>
          <w:tab w:val="num" w:pos="3450"/>
        </w:tabs>
        <w:ind w:left="3450" w:hanging="360"/>
      </w:pPr>
    </w:lvl>
    <w:lvl w:ilvl="4" w:tplc="040C0019" w:tentative="1">
      <w:start w:val="1"/>
      <w:numFmt w:val="lowerLetter"/>
      <w:lvlText w:val="%5."/>
      <w:lvlJc w:val="left"/>
      <w:pPr>
        <w:tabs>
          <w:tab w:val="num" w:pos="4170"/>
        </w:tabs>
        <w:ind w:left="4170" w:hanging="360"/>
      </w:pPr>
    </w:lvl>
    <w:lvl w:ilvl="5" w:tplc="040C001B" w:tentative="1">
      <w:start w:val="1"/>
      <w:numFmt w:val="lowerRoman"/>
      <w:lvlText w:val="%6."/>
      <w:lvlJc w:val="right"/>
      <w:pPr>
        <w:tabs>
          <w:tab w:val="num" w:pos="4890"/>
        </w:tabs>
        <w:ind w:left="4890" w:hanging="180"/>
      </w:pPr>
    </w:lvl>
    <w:lvl w:ilvl="6" w:tplc="040C000F" w:tentative="1">
      <w:start w:val="1"/>
      <w:numFmt w:val="decimal"/>
      <w:lvlText w:val="%7."/>
      <w:lvlJc w:val="left"/>
      <w:pPr>
        <w:tabs>
          <w:tab w:val="num" w:pos="5610"/>
        </w:tabs>
        <w:ind w:left="5610" w:hanging="360"/>
      </w:pPr>
    </w:lvl>
    <w:lvl w:ilvl="7" w:tplc="040C0019" w:tentative="1">
      <w:start w:val="1"/>
      <w:numFmt w:val="lowerLetter"/>
      <w:lvlText w:val="%8."/>
      <w:lvlJc w:val="left"/>
      <w:pPr>
        <w:tabs>
          <w:tab w:val="num" w:pos="6330"/>
        </w:tabs>
        <w:ind w:left="6330" w:hanging="360"/>
      </w:pPr>
    </w:lvl>
    <w:lvl w:ilvl="8" w:tplc="040C001B" w:tentative="1">
      <w:start w:val="1"/>
      <w:numFmt w:val="lowerRoman"/>
      <w:lvlText w:val="%9."/>
      <w:lvlJc w:val="right"/>
      <w:pPr>
        <w:tabs>
          <w:tab w:val="num" w:pos="7050"/>
        </w:tabs>
        <w:ind w:left="7050" w:hanging="180"/>
      </w:pPr>
    </w:lvl>
  </w:abstractNum>
  <w:abstractNum w:abstractNumId="2">
    <w:nsid w:val="3CB061AB"/>
    <w:multiLevelType w:val="singleLevel"/>
    <w:tmpl w:val="41B05A72"/>
    <w:lvl w:ilvl="0">
      <w:start w:val="1"/>
      <w:numFmt w:val="decimal"/>
      <w:pStyle w:val="ParaNo"/>
      <w:lvlText w:val="%1."/>
      <w:lvlJc w:val="left"/>
      <w:pPr>
        <w:tabs>
          <w:tab w:val="num" w:pos="360"/>
        </w:tabs>
        <w:ind w:left="-1" w:firstLine="1"/>
      </w:pPr>
      <w:rPr>
        <w:rFonts w:hint="default"/>
      </w:rPr>
    </w:lvl>
  </w:abstractNum>
  <w:abstractNum w:abstractNumId="3">
    <w:nsid w:val="7CF349BD"/>
    <w:multiLevelType w:val="singleLevel"/>
    <w:tmpl w:val="18B8A3E2"/>
    <w:lvl w:ilvl="0">
      <w:start w:val="1"/>
      <w:numFmt w:val="lowerRoman"/>
      <w:pStyle w:val="Rom1"/>
      <w:lvlText w:val="%1)"/>
      <w:lvlJc w:val="right"/>
      <w:pPr>
        <w:tabs>
          <w:tab w:val="num" w:pos="504"/>
        </w:tabs>
        <w:ind w:left="504" w:hanging="216"/>
      </w:pPr>
    </w:lvl>
  </w:abstractNum>
  <w:num w:numId="1">
    <w:abstractNumId w:val="2"/>
  </w:num>
  <w:num w:numId="2">
    <w:abstractNumId w:val="3"/>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attachedTemplate r:id="rId1"/>
  <w:doNotTrackMoves/>
  <w:defaultTabStop w:val="567"/>
  <w:hyphenationZone w:val="425"/>
  <w:doNotHyphenateCaps/>
  <w:evenAndOddHeaders/>
  <w:drawingGridHorizontalSpacing w:val="120"/>
  <w:drawingGridVerticalSpacing w:val="163"/>
  <w:displayHorizontalDrawingGridEvery w:val="0"/>
  <w:displayVerticalDrawingGridEvery w:val="0"/>
  <w:doNotShadeFormData/>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1">
    <w:name w:val="heading 1"/>
    <w:basedOn w:val="Normal"/>
    <w:next w:val="Normal"/>
    <w:qFormat/>
    <w:pPr>
      <w:keepNext/>
      <w:tabs>
        <w:tab w:val="right" w:pos="2629"/>
      </w:tabs>
      <w:spacing w:after="58"/>
      <w:ind w:firstLine="1263"/>
      <w:outlineLvl w:val="0"/>
    </w:pPr>
    <w:rPr>
      <w:rFonts w:ascii="Times New Roman Gras" w:hAnsi="Times New Roman Gras"/>
      <w:b/>
      <w:sz w:val="72"/>
    </w:rPr>
  </w:style>
  <w:style w:type="paragraph" w:styleId="Heading2">
    <w:name w:val="heading 2"/>
    <w:basedOn w:val="Normal"/>
    <w:next w:val="Normal"/>
    <w:qFormat/>
    <w:pPr>
      <w:keepNext/>
      <w:ind w:hanging="382"/>
      <w:outlineLvl w:val="1"/>
    </w:pPr>
    <w:rPr>
      <w:rFonts w:ascii="Times New Roman Gras" w:hAnsi="Times New Roman Gras"/>
      <w:b/>
      <w:sz w:val="32"/>
    </w:rPr>
  </w:style>
  <w:style w:type="paragraph" w:styleId="Heading3">
    <w:name w:val="heading 3"/>
    <w:basedOn w:val="Normal"/>
    <w:next w:val="Normal"/>
    <w:qFormat/>
    <w:pPr>
      <w:keepNext/>
      <w:tabs>
        <w:tab w:val="left" w:pos="0"/>
      </w:tabs>
      <w:ind w:hanging="1"/>
      <w:outlineLvl w:val="2"/>
    </w:pPr>
    <w:rPr>
      <w:b/>
    </w:rPr>
  </w:style>
  <w:style w:type="paragraph" w:styleId="Heading4">
    <w:name w:val="heading 4"/>
    <w:basedOn w:val="Normal"/>
    <w:next w:val="Normal"/>
    <w:qFormat/>
    <w:pPr>
      <w:keepNext/>
      <w:outlineLvl w:val="3"/>
    </w:pPr>
    <w:rPr>
      <w:b/>
    </w:rPr>
  </w:style>
  <w:style w:type="paragraph" w:styleId="Heading5">
    <w:name w:val="heading 5"/>
    <w:basedOn w:val="Normal"/>
    <w:next w:val="Normal"/>
    <w:qFormat/>
    <w:pPr>
      <w:keepNext/>
      <w:tabs>
        <w:tab w:val="left" w:pos="567"/>
      </w:tabs>
      <w:spacing w:after="240"/>
      <w:outlineLvl w:val="4"/>
    </w:pPr>
    <w:rPr>
      <w:u w:val="single"/>
    </w:rPr>
  </w:style>
  <w:style w:type="paragraph" w:styleId="Heading7">
    <w:name w:val="heading 7"/>
    <w:basedOn w:val="Normal"/>
    <w:next w:val="Normal"/>
    <w:qFormat/>
    <w:pPr>
      <w:keepNext/>
      <w:spacing w:after="200"/>
      <w:ind w:left="567"/>
      <w:outlineLvl w:val="6"/>
    </w:pPr>
    <w:rPr>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character" w:styleId="EndnoteReference">
    <w:name w:val="end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1"/>
      </w:numPr>
      <w:tabs>
        <w:tab w:val="clear" w:pos="360"/>
      </w:tabs>
    </w:pPr>
  </w:style>
  <w:style w:type="paragraph" w:customStyle="1" w:styleId="Rom1">
    <w:name w:val="Rom1"/>
    <w:basedOn w:val="Normal"/>
    <w:pPr>
      <w:numPr>
        <w:numId w:val="2"/>
      </w:numPr>
      <w:tabs>
        <w:tab w:val="clear" w:pos="504"/>
      </w:tabs>
      <w:ind w:left="1145" w:hanging="465"/>
    </w:pPr>
  </w:style>
  <w:style w:type="paragraph" w:customStyle="1" w:styleId="Rom2">
    <w:name w:val="Rom2"/>
    <w:basedOn w:val="Normal"/>
    <w:pPr>
      <w:numPr>
        <w:numId w:val="3"/>
      </w:numPr>
      <w:tabs>
        <w:tab w:val="clear" w:pos="927"/>
      </w:tabs>
      <w:ind w:left="1712" w:hanging="465"/>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 w:type="paragraph" w:styleId="BodyText">
    <w:name w:val="Body Text"/>
    <w:basedOn w:val="Normal"/>
    <w:semiHidden/>
    <w:rPr>
      <w:i/>
      <w:iCs/>
      <w:lang w:val="fr-CH"/>
    </w:rPr>
  </w:style>
  <w:style w:type="paragraph" w:styleId="BodyText2">
    <w:name w:val="Body Text 2"/>
    <w:basedOn w:val="Normal"/>
    <w:semiHidden/>
    <w:pPr>
      <w:spacing w:after="200"/>
    </w:pPr>
    <w:rPr>
      <w:sz w:val="22"/>
    </w:rPr>
  </w:style>
  <w:style w:type="paragraph" w:styleId="BodyTextIndent">
    <w:name w:val="Body Text Indent"/>
    <w:basedOn w:val="Normal"/>
    <w:semiHidden/>
    <w:pPr>
      <w:spacing w:after="200"/>
      <w:ind w:left="567"/>
    </w:pPr>
  </w:style>
  <w:style w:type="paragraph" w:styleId="BodyTextIndent2">
    <w:name w:val="Body Text Indent 2"/>
    <w:basedOn w:val="Normal"/>
    <w:semiHidden/>
    <w:pPr>
      <w:ind w:left="567" w:hanging="567"/>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in2000\Q9.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Q9</Template>
  <TotalTime>10</TotalTime>
  <Pages>1</Pages>
  <Words>1858</Words>
  <Characters>10591</Characters>
  <Application>Microsoft Office Word</Application>
  <DocSecurity>4</DocSecurity>
  <Lines>88</Lines>
  <Paragraphs>21</Paragraphs>
  <ScaleCrop>false</ScaleCrop>
  <HeadingPairs>
    <vt:vector size="2" baseType="variant">
      <vt:variant>
        <vt:lpstr>Titre</vt:lpstr>
      </vt:variant>
      <vt:variant>
        <vt:i4>1</vt:i4>
      </vt:variant>
    </vt:vector>
  </HeadingPairs>
  <TitlesOfParts>
    <vt:vector size="1" baseType="lpstr">
      <vt:lpstr>NATIONS</vt:lpstr>
    </vt:vector>
  </TitlesOfParts>
  <Company>ONU</Company>
  <LinksUpToDate>false</LinksUpToDate>
  <CharactersWithSpaces>13006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NATIONS</dc:title>
  <dc:subject/>
  <dc:creator>AVETTAND</dc:creator>
  <cp:keywords/>
  <cp:lastModifiedBy>Maillot</cp:lastModifiedBy>
  <cp:revision>4</cp:revision>
  <cp:lastPrinted>2003-10-31T09:32:00Z</cp:lastPrinted>
  <dcterms:created xsi:type="dcterms:W3CDTF">2003-10-30T09:52:00Z</dcterms:created>
  <dcterms:modified xsi:type="dcterms:W3CDTF">2003-10-31T09:36:00Z</dcterms:modified>
</cp:coreProperties>
</file>