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A89" w:rsidRDefault="00577A89" w:rsidP="00577A89">
      <w:pPr>
        <w:spacing w:line="60" w:lineRule="exact"/>
        <w:rPr>
          <w:sz w:val="6"/>
        </w:rPr>
        <w:sectPr w:rsidR="00577A89" w:rsidSect="00577A8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77A89" w:rsidRDefault="00577A89" w:rsidP="00577A89">
      <w:pPr>
        <w:spacing w:line="60" w:lineRule="exact"/>
        <w:rPr>
          <w:sz w:val="6"/>
        </w:rPr>
      </w:pPr>
    </w:p>
    <w:p w:rsidR="00DA7ED1" w:rsidRDefault="00DA7ED1" w:rsidP="00DA7E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DA7ED1" w:rsidRDefault="00DA7ED1" w:rsidP="00DA7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第四十届会议</w:t>
      </w:r>
    </w:p>
    <w:p w:rsidR="00DA7ED1" w:rsidRDefault="00DA7ED1" w:rsidP="00DA7ED1">
      <w:pPr>
        <w:pStyle w:val="SingleTxt"/>
        <w:spacing w:after="60"/>
        <w:ind w:left="0"/>
        <w:rPr>
          <w:rFonts w:hint="eastAsia"/>
        </w:rPr>
      </w:pPr>
      <w:r>
        <w:rPr>
          <w:rFonts w:hint="eastAsia"/>
        </w:rPr>
        <w:t>2008年1月14日至2月1日</w:t>
      </w:r>
    </w:p>
    <w:p w:rsidR="00DA7ED1" w:rsidRPr="004C1507" w:rsidRDefault="00DA7ED1" w:rsidP="00DA7ED1">
      <w:pPr>
        <w:pStyle w:val="SingleTxt"/>
        <w:spacing w:after="0" w:line="120" w:lineRule="exact"/>
        <w:ind w:right="0"/>
        <w:rPr>
          <w:rFonts w:hint="eastAsia"/>
          <w:sz w:val="10"/>
        </w:rPr>
      </w:pPr>
    </w:p>
    <w:p w:rsidR="00DA7ED1" w:rsidRPr="004C1507" w:rsidRDefault="00DA7ED1" w:rsidP="00DA7ED1">
      <w:pPr>
        <w:pStyle w:val="SingleTxt"/>
        <w:spacing w:after="0" w:line="120" w:lineRule="exact"/>
        <w:ind w:right="0"/>
        <w:rPr>
          <w:rFonts w:hint="eastAsia"/>
          <w:sz w:val="10"/>
        </w:rPr>
      </w:pPr>
    </w:p>
    <w:p w:rsidR="00DA7ED1" w:rsidRPr="004C1507" w:rsidRDefault="00DA7ED1" w:rsidP="00DA7ED1">
      <w:pPr>
        <w:pStyle w:val="SingleTxt"/>
        <w:spacing w:after="0" w:line="120" w:lineRule="exact"/>
        <w:ind w:right="0"/>
        <w:rPr>
          <w:rFonts w:hint="eastAsia"/>
          <w:sz w:val="10"/>
        </w:rPr>
      </w:pPr>
    </w:p>
    <w:p w:rsidR="00DA7ED1" w:rsidRDefault="00DA7ED1" w:rsidP="00DA7ED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消除对妇女歧视委员会的结论性意见</w:t>
      </w:r>
    </w:p>
    <w:p w:rsidR="00DA7ED1" w:rsidRPr="002942F7" w:rsidRDefault="00DA7ED1" w:rsidP="00DA7ED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A7ED1" w:rsidRPr="002942F7" w:rsidRDefault="00DA7ED1" w:rsidP="00DA7ED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DA7ED1" w:rsidRDefault="00DA7ED1" w:rsidP="00DA7E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玻利维亚</w:t>
      </w:r>
    </w:p>
    <w:p w:rsidR="00DA7ED1" w:rsidRPr="004C1507" w:rsidRDefault="00DA7ED1" w:rsidP="00DA7ED1">
      <w:pPr>
        <w:pStyle w:val="SingleTxt"/>
        <w:spacing w:after="0" w:line="120" w:lineRule="exact"/>
        <w:ind w:right="0"/>
        <w:rPr>
          <w:rFonts w:hint="eastAsia"/>
          <w:sz w:val="10"/>
        </w:rPr>
      </w:pPr>
    </w:p>
    <w:p w:rsidR="00DA7ED1" w:rsidRPr="004C1507" w:rsidRDefault="00DA7ED1" w:rsidP="00DA7ED1">
      <w:pPr>
        <w:pStyle w:val="SingleTxt"/>
        <w:spacing w:after="0" w:line="120" w:lineRule="exact"/>
        <w:ind w:right="0"/>
        <w:rPr>
          <w:rFonts w:hint="eastAsia"/>
          <w:sz w:val="10"/>
        </w:rPr>
      </w:pPr>
    </w:p>
    <w:p w:rsidR="00DA7ED1" w:rsidRDefault="00DA7ED1" w:rsidP="00DA7ED1">
      <w:pPr>
        <w:pStyle w:val="SingleTxt"/>
        <w:rPr>
          <w:rFonts w:hint="eastAsia"/>
        </w:rPr>
      </w:pPr>
      <w:r>
        <w:rPr>
          <w:rFonts w:hint="eastAsia"/>
        </w:rPr>
        <w:t>1.</w:t>
      </w:r>
      <w:r>
        <w:rPr>
          <w:rFonts w:hint="eastAsia"/>
        </w:rPr>
        <w:tab/>
        <w:t>委员会在2008年1月15日举行的第811次和第812次会议上（见CEDAW/C/</w:t>
      </w:r>
      <w:r>
        <w:t xml:space="preserve"> </w:t>
      </w:r>
      <w:r>
        <w:rPr>
          <w:rFonts w:hint="eastAsia"/>
        </w:rPr>
        <w:t>SR.811和812</w:t>
      </w:r>
      <w:r w:rsidR="009A23FE">
        <w:rPr>
          <w:rFonts w:hint="eastAsia"/>
        </w:rPr>
        <w:t>）审议了玻利维亚的第二次、第三次和第四次定期报告（</w:t>
      </w:r>
      <w:r>
        <w:rPr>
          <w:rFonts w:hint="eastAsia"/>
        </w:rPr>
        <w:t>CEDAW/C/</w:t>
      </w:r>
      <w:r>
        <w:t xml:space="preserve"> </w:t>
      </w:r>
      <w:r>
        <w:rPr>
          <w:rFonts w:hint="eastAsia"/>
        </w:rPr>
        <w:t>BOL/2</w:t>
      </w:r>
      <w:r>
        <w:t>-</w:t>
      </w:r>
      <w:r>
        <w:rPr>
          <w:rFonts w:hint="eastAsia"/>
        </w:rPr>
        <w:t>4）。委员会提出的问题清单载于CEDAW/C/BOL/Q/4号文件，玻利维亚的答复则载于CEDAW/C/BOL/Q/4/Add.1号文件。</w:t>
      </w:r>
    </w:p>
    <w:p w:rsidR="00DA7ED1" w:rsidRPr="00261CB8" w:rsidRDefault="00DA7ED1" w:rsidP="00DA7ED1">
      <w:pPr>
        <w:pStyle w:val="SingleTxt"/>
        <w:rPr>
          <w:rFonts w:ascii="SimHei" w:eastAsia="SimHei" w:hint="eastAsia"/>
          <w:color w:val="FF0000"/>
        </w:rPr>
      </w:pPr>
      <w:r w:rsidRPr="00261CB8">
        <w:rPr>
          <w:rFonts w:ascii="SimHei" w:eastAsia="SimHei" w:hint="eastAsia"/>
          <w:color w:val="FF0000"/>
        </w:rPr>
        <w:t>导言</w:t>
      </w:r>
    </w:p>
    <w:p w:rsidR="00DA7ED1" w:rsidRDefault="00DA7ED1" w:rsidP="00DA7ED1">
      <w:pPr>
        <w:pStyle w:val="SingleTxt"/>
        <w:rPr>
          <w:rFonts w:hint="eastAsia"/>
        </w:rPr>
      </w:pPr>
      <w:r>
        <w:rPr>
          <w:rFonts w:hint="eastAsia"/>
        </w:rPr>
        <w:t>2.</w:t>
      </w:r>
      <w:r>
        <w:rPr>
          <w:rFonts w:hint="eastAsia"/>
        </w:rPr>
        <w:tab/>
        <w:t>委员会感谢缔约国提出的第二次、第三次和第四次定期报告，虽然提出的日期比会议日历原定时间晚了很多，但符合委员会报告格式的标准。报告坦率和作出自我批评，并考虑到委员会以前提出的结论意见。委员会还感谢对工作组前几届会议提出的问题清单所作的书面答复。</w:t>
      </w:r>
    </w:p>
    <w:p w:rsidR="00DA7ED1" w:rsidRDefault="00DA7ED1" w:rsidP="00DA7ED1">
      <w:pPr>
        <w:pStyle w:val="SingleTxt"/>
        <w:rPr>
          <w:rFonts w:hint="eastAsia"/>
        </w:rPr>
      </w:pPr>
      <w:r>
        <w:rPr>
          <w:rFonts w:hint="eastAsia"/>
        </w:rPr>
        <w:t>3.</w:t>
      </w:r>
      <w:r>
        <w:rPr>
          <w:rFonts w:hint="eastAsia"/>
        </w:rPr>
        <w:tab/>
        <w:t>委员会赞扬缔约国派遣了以司法部长及性别和生育事务副部长率领的高级代表团出席会议。委员会感谢缔约国作出的口头陈述，陈述概述了最新进展，以及在玻利维亚实现两性平等面临的挑战，同时感谢在对话期间对委员会所提问题的澄清。</w:t>
      </w:r>
    </w:p>
    <w:p w:rsidR="00DA7ED1" w:rsidRPr="00261CB8" w:rsidRDefault="00DA7ED1" w:rsidP="00DA7ED1">
      <w:pPr>
        <w:pStyle w:val="SingleTxt"/>
        <w:rPr>
          <w:rFonts w:ascii="SimHei" w:eastAsia="SimHei" w:hint="eastAsia"/>
          <w:color w:val="FF0000"/>
        </w:rPr>
      </w:pPr>
      <w:r w:rsidRPr="00261CB8">
        <w:rPr>
          <w:rFonts w:ascii="SimHei" w:eastAsia="SimHei" w:hint="eastAsia"/>
          <w:color w:val="FF0000"/>
        </w:rPr>
        <w:t>积极方面</w:t>
      </w:r>
    </w:p>
    <w:p w:rsidR="00DA7ED1" w:rsidRDefault="00DA7ED1" w:rsidP="00DA7ED1">
      <w:pPr>
        <w:pStyle w:val="SingleTxt"/>
        <w:rPr>
          <w:rFonts w:hint="eastAsia"/>
        </w:rPr>
      </w:pPr>
      <w:r>
        <w:rPr>
          <w:rFonts w:hint="eastAsia"/>
        </w:rPr>
        <w:t>4.</w:t>
      </w:r>
      <w:r>
        <w:rPr>
          <w:rFonts w:hint="eastAsia"/>
        </w:rPr>
        <w:tab/>
        <w:t>委员会赞扬缔约国在2000年批准了《公约任择议定书》。</w:t>
      </w:r>
    </w:p>
    <w:p w:rsidR="00DA7ED1" w:rsidRDefault="00DA7ED1" w:rsidP="00DA7ED1">
      <w:pPr>
        <w:pStyle w:val="SingleTxt"/>
        <w:rPr>
          <w:rFonts w:hint="eastAsia"/>
        </w:rPr>
      </w:pPr>
      <w:r>
        <w:rPr>
          <w:rFonts w:hint="eastAsia"/>
        </w:rPr>
        <w:t>5.</w:t>
      </w:r>
      <w:r>
        <w:rPr>
          <w:rFonts w:hint="eastAsia"/>
        </w:rPr>
        <w:tab/>
        <w:t>委员会满意地注意到缔约国为执行本公约采取了大量举措，核准了更多的法律、政策、计划和方案，其中包括《第1674号禁止家庭暴力法》；《第1779号选举制度改革和补充法》；拟定促进两性平等政策的《第1788号政府改革法》；《公民团体及土著居民法》；《第2033号妨碍性自由罪受害者保护法》；《第3325号打击贩卖和贩运人口及其他相关犯罪法》；《促进妇女充分行使权力公共政策国家计划》；《安全分娩及出生国家计划》和《生殖健康国家计划》。</w:t>
      </w:r>
    </w:p>
    <w:p w:rsidR="00DA7ED1" w:rsidRPr="00261CB8" w:rsidRDefault="00DA7ED1" w:rsidP="00DA7ED1">
      <w:pPr>
        <w:pStyle w:val="SingleTxt"/>
        <w:rPr>
          <w:rFonts w:ascii="SimHei" w:eastAsia="SimHei" w:hint="eastAsia"/>
          <w:color w:val="FF0000"/>
        </w:rPr>
      </w:pPr>
      <w:r>
        <w:rPr>
          <w:rFonts w:ascii="SimHei" w:eastAsia="SimHei" w:hint="eastAsia"/>
          <w:color w:val="FF0000"/>
        </w:rPr>
        <w:t>主要</w:t>
      </w:r>
      <w:r w:rsidRPr="00261CB8">
        <w:rPr>
          <w:rFonts w:ascii="SimHei" w:eastAsia="SimHei" w:hint="eastAsia"/>
          <w:color w:val="FF0000"/>
        </w:rPr>
        <w:t>关注领域和建议</w:t>
      </w:r>
    </w:p>
    <w:p w:rsidR="00DA7ED1" w:rsidRDefault="00DA7ED1" w:rsidP="00DA7ED1">
      <w:pPr>
        <w:pStyle w:val="SingleTxt"/>
        <w:rPr>
          <w:rFonts w:hint="eastAsia"/>
        </w:rPr>
      </w:pPr>
      <w:r>
        <w:rPr>
          <w:rFonts w:hint="eastAsia"/>
        </w:rPr>
        <w:t>6.</w:t>
      </w:r>
      <w:r>
        <w:rPr>
          <w:rFonts w:hint="eastAsia"/>
        </w:rPr>
        <w:tab/>
      </w:r>
      <w:r w:rsidRPr="00261CB8">
        <w:rPr>
          <w:rFonts w:ascii="SimHei" w:eastAsia="SimHei" w:hint="eastAsia"/>
          <w:color w:val="FF0000"/>
        </w:rPr>
        <w:t>委员会</w:t>
      </w:r>
      <w:r>
        <w:rPr>
          <w:rFonts w:ascii="SimHei" w:eastAsia="SimHei" w:hint="eastAsia"/>
          <w:color w:val="FF0000"/>
        </w:rPr>
        <w:t>指出，</w:t>
      </w:r>
      <w:r w:rsidRPr="00261CB8">
        <w:rPr>
          <w:rFonts w:ascii="SimHei" w:eastAsia="SimHei" w:hint="eastAsia"/>
          <w:color w:val="FF0000"/>
        </w:rPr>
        <w:t>缔约国有义务</w:t>
      </w:r>
      <w:r>
        <w:rPr>
          <w:rFonts w:ascii="SimHei" w:eastAsia="SimHei" w:hint="eastAsia"/>
          <w:color w:val="FF0000"/>
        </w:rPr>
        <w:t>继续有计划地</w:t>
      </w:r>
      <w:r w:rsidRPr="00261CB8">
        <w:rPr>
          <w:rFonts w:ascii="SimHei" w:eastAsia="SimHei" w:hint="eastAsia"/>
          <w:color w:val="FF0000"/>
        </w:rPr>
        <w:t>执行本公约的所有规定，同时认为从现在直到提出下一份定期报告时，缔约国需要优先注意目前最后意见所指出的关注事项和建议。因此，委员会促请缔约国以这些领域为执行工作的重点，在其下一份定期报告中说明采取的措施和取得的成果。委员会促请缔约国向所有相关部委、议会和司法机构传达</w:t>
      </w:r>
      <w:r>
        <w:rPr>
          <w:rFonts w:ascii="SimHei" w:eastAsia="SimHei" w:hint="eastAsia"/>
          <w:color w:val="FF0000"/>
        </w:rPr>
        <w:t>本结论意见，以确保这些意见得到充分</w:t>
      </w:r>
      <w:r w:rsidRPr="00261CB8">
        <w:rPr>
          <w:rFonts w:ascii="SimHei" w:eastAsia="SimHei" w:hint="eastAsia"/>
          <w:color w:val="FF0000"/>
        </w:rPr>
        <w:t>执行。</w:t>
      </w:r>
    </w:p>
    <w:p w:rsidR="00AE0F70" w:rsidRDefault="00AE0F70" w:rsidP="00AE0F70">
      <w:pPr>
        <w:pStyle w:val="SingleTxt"/>
        <w:rPr>
          <w:rFonts w:hint="eastAsia"/>
        </w:rPr>
      </w:pPr>
      <w:r>
        <w:t>7</w:t>
      </w:r>
      <w:r>
        <w:rPr>
          <w:rFonts w:hint="eastAsia"/>
        </w:rPr>
        <w:t>.</w:t>
      </w:r>
      <w:r>
        <w:rPr>
          <w:rFonts w:hint="eastAsia"/>
        </w:rPr>
        <w:tab/>
        <w:t>委员会对于目前在法律上保护妇女以及两性平等方面存在的法律和事实上的不平等表示关注。委员会欢迎已进行的立法改革以及议会正在审议</w:t>
      </w:r>
      <w:r w:rsidR="009A23FE">
        <w:rPr>
          <w:rFonts w:hint="eastAsia"/>
        </w:rPr>
        <w:t>的</w:t>
      </w:r>
      <w:r>
        <w:rPr>
          <w:rFonts w:hint="eastAsia"/>
        </w:rPr>
        <w:t>专为改善玻利维亚妇女地位而制定的法案，但对于缔约国尤其是在刑法和民法方面仍保持歧视性法规表示关切。在这方面，委员会特别提到《刑法》第317条的规定，即在强暴或其他虐待的案件中，如犯罪者与受害者结婚，犯罪者可不受惩罚；《家庭法》中关于离婚理由的第130条。</w:t>
      </w:r>
    </w:p>
    <w:p w:rsidR="00AE0F70" w:rsidRDefault="00AE0F70" w:rsidP="00AE0F70">
      <w:pPr>
        <w:pStyle w:val="SingleTxt"/>
        <w:rPr>
          <w:rFonts w:hint="eastAsia"/>
        </w:rPr>
      </w:pPr>
      <w:r>
        <w:rPr>
          <w:rFonts w:hint="eastAsia"/>
        </w:rPr>
        <w:t>8.</w:t>
      </w:r>
      <w:r>
        <w:rPr>
          <w:rFonts w:hint="eastAsia"/>
        </w:rPr>
        <w:tab/>
      </w:r>
      <w:r>
        <w:rPr>
          <w:rFonts w:ascii="SimHei" w:eastAsia="SimHei" w:hint="eastAsia"/>
          <w:color w:val="FF0000"/>
        </w:rPr>
        <w:t>委员会促请缔约国采取必要措施，</w:t>
      </w:r>
      <w:r w:rsidRPr="00261CB8">
        <w:rPr>
          <w:rFonts w:ascii="SimHei" w:eastAsia="SimHei" w:hint="eastAsia"/>
          <w:color w:val="FF0000"/>
        </w:rPr>
        <w:t>确保</w:t>
      </w:r>
      <w:r>
        <w:rPr>
          <w:rFonts w:ascii="SimHei" w:eastAsia="SimHei" w:hint="eastAsia"/>
          <w:color w:val="FF0000"/>
        </w:rPr>
        <w:t>全面</w:t>
      </w:r>
      <w:r w:rsidRPr="00261CB8">
        <w:rPr>
          <w:rFonts w:ascii="SimHei" w:eastAsia="SimHei" w:hint="eastAsia"/>
          <w:color w:val="FF0000"/>
        </w:rPr>
        <w:t>执行在两性平等方面的现行法律。委员会敦促缔约国</w:t>
      </w:r>
      <w:r>
        <w:rPr>
          <w:rFonts w:ascii="SimHei" w:eastAsia="SimHei" w:hint="eastAsia"/>
          <w:color w:val="FF0000"/>
        </w:rPr>
        <w:t>简化审查这些法律是否符合《公约》的程序，废除现</w:t>
      </w:r>
      <w:r w:rsidRPr="00261CB8">
        <w:rPr>
          <w:rFonts w:ascii="SimHei" w:eastAsia="SimHei" w:hint="eastAsia"/>
          <w:color w:val="FF0000"/>
        </w:rPr>
        <w:t>存的所有歧视性法规，尤其是刑</w:t>
      </w:r>
      <w:r>
        <w:rPr>
          <w:rFonts w:ascii="SimHei" w:eastAsia="SimHei" w:hint="eastAsia"/>
          <w:color w:val="FF0000"/>
        </w:rPr>
        <w:t>法和民</w:t>
      </w:r>
      <w:r w:rsidRPr="00261CB8">
        <w:rPr>
          <w:rFonts w:ascii="SimHei" w:eastAsia="SimHei" w:hint="eastAsia"/>
          <w:color w:val="FF0000"/>
        </w:rPr>
        <w:t>法中的歧视性法规，以确保执行</w:t>
      </w:r>
      <w:r>
        <w:rPr>
          <w:rFonts w:ascii="SimHei" w:eastAsia="SimHei" w:hint="eastAsia"/>
          <w:color w:val="FF0000"/>
        </w:rPr>
        <w:t>禁止</w:t>
      </w:r>
      <w:r w:rsidRPr="00261CB8">
        <w:rPr>
          <w:rFonts w:ascii="SimHei" w:eastAsia="SimHei" w:hint="eastAsia"/>
          <w:color w:val="FF0000"/>
        </w:rPr>
        <w:t>歧视妇女的法律。</w:t>
      </w:r>
    </w:p>
    <w:p w:rsidR="00AE0F70" w:rsidRDefault="00AE0F70" w:rsidP="00AE0F70">
      <w:pPr>
        <w:pStyle w:val="SingleTxt"/>
        <w:rPr>
          <w:rFonts w:hint="eastAsia"/>
        </w:rPr>
      </w:pPr>
      <w:r>
        <w:rPr>
          <w:rFonts w:hint="eastAsia"/>
        </w:rPr>
        <w:t>9.</w:t>
      </w:r>
      <w:r>
        <w:rPr>
          <w:rFonts w:hint="eastAsia"/>
        </w:rPr>
        <w:tab/>
        <w:t>委员会虽然注意到目前的性别和生育事务司进行的各种内部改革，但对于提高妇女地位国家机制的体制不稳定表示关切，同时感到关</w:t>
      </w:r>
      <w:r w:rsidR="009A23FE">
        <w:rPr>
          <w:rFonts w:hint="eastAsia"/>
        </w:rPr>
        <w:t>切</w:t>
      </w:r>
      <w:r>
        <w:rPr>
          <w:rFonts w:hint="eastAsia"/>
        </w:rPr>
        <w:t>的是，该司的决策权有限、财政资源和人力资源不足，无论是在中央行政机构范围内还是在省市行政机构范围，都无法有效地促进本公约的执行和两性平等。委员会表示关切的是，该司特别是在省市一级缺少一项两性平等制度化和主流化的全面政策，以此作为缔约国战略优先事项的核心内容。</w:t>
      </w:r>
    </w:p>
    <w:p w:rsidR="00AE0F70" w:rsidRDefault="00AE0F70" w:rsidP="00AE0F70">
      <w:pPr>
        <w:pStyle w:val="SingleTxt"/>
        <w:rPr>
          <w:rFonts w:hint="eastAsia"/>
        </w:rPr>
      </w:pPr>
      <w:r>
        <w:rPr>
          <w:rFonts w:hint="eastAsia"/>
        </w:rPr>
        <w:t>10.</w:t>
      </w:r>
      <w:r>
        <w:rPr>
          <w:rFonts w:hint="eastAsia"/>
        </w:rPr>
        <w:tab/>
      </w:r>
      <w:r w:rsidRPr="00261CB8">
        <w:rPr>
          <w:rFonts w:ascii="SimHei" w:eastAsia="SimHei" w:hint="eastAsia"/>
          <w:color w:val="FF0000"/>
        </w:rPr>
        <w:t>委员会请缔约国确保提高妇女地位的国家机制的体制稳定，不论是在中央行政机构领域还是在省市领域，</w:t>
      </w:r>
      <w:r>
        <w:rPr>
          <w:rFonts w:ascii="SimHei" w:eastAsia="SimHei" w:hint="eastAsia"/>
          <w:color w:val="FF0000"/>
        </w:rPr>
        <w:t>均能</w:t>
      </w:r>
      <w:r w:rsidRPr="00261CB8">
        <w:rPr>
          <w:rFonts w:ascii="SimHei" w:eastAsia="SimHei" w:hint="eastAsia"/>
          <w:color w:val="FF0000"/>
        </w:rPr>
        <w:t>向其提供充分的决策权和财政及人力资源，以有效地推动并协调执行本公约的实质性战略，并将两性平等观点纳入所有行动领域和政府领域。委员会</w:t>
      </w:r>
      <w:r>
        <w:rPr>
          <w:rFonts w:ascii="SimHei" w:eastAsia="SimHei" w:hint="eastAsia"/>
          <w:color w:val="FF0000"/>
        </w:rPr>
        <w:t>鼓励</w:t>
      </w:r>
      <w:r w:rsidRPr="00261CB8">
        <w:rPr>
          <w:rFonts w:ascii="SimHei" w:eastAsia="SimHei" w:hint="eastAsia"/>
          <w:color w:val="FF0000"/>
        </w:rPr>
        <w:t>缔约国</w:t>
      </w:r>
      <w:r>
        <w:rPr>
          <w:rFonts w:ascii="SimHei" w:eastAsia="SimHei" w:hint="eastAsia"/>
          <w:color w:val="FF0000"/>
        </w:rPr>
        <w:t>拟定、通过、</w:t>
      </w:r>
      <w:r w:rsidR="009A23FE">
        <w:rPr>
          <w:rFonts w:ascii="SimHei" w:eastAsia="SimHei" w:hint="eastAsia"/>
          <w:color w:val="FF0000"/>
        </w:rPr>
        <w:t>执行</w:t>
      </w:r>
      <w:r>
        <w:rPr>
          <w:rFonts w:ascii="SimHei" w:eastAsia="SimHei" w:hint="eastAsia"/>
          <w:color w:val="FF0000"/>
        </w:rPr>
        <w:t>致力于实现两性平等、提高妇女地位的综合全面的国家行动计划</w:t>
      </w:r>
      <w:r w:rsidRPr="00261CB8">
        <w:rPr>
          <w:rFonts w:ascii="SimHei" w:eastAsia="SimHei" w:hint="eastAsia"/>
          <w:color w:val="FF0000"/>
        </w:rPr>
        <w:t>。</w:t>
      </w:r>
    </w:p>
    <w:p w:rsidR="00AE0F70" w:rsidRDefault="00AE0F70" w:rsidP="00AE0F70">
      <w:pPr>
        <w:pStyle w:val="SingleTxt"/>
        <w:rPr>
          <w:rFonts w:hint="eastAsia"/>
        </w:rPr>
      </w:pPr>
      <w:r>
        <w:rPr>
          <w:rFonts w:hint="eastAsia"/>
        </w:rPr>
        <w:t>11.</w:t>
      </w:r>
      <w:r>
        <w:rPr>
          <w:rFonts w:hint="eastAsia"/>
        </w:rPr>
        <w:tab/>
      </w:r>
      <w:r w:rsidR="009A23FE">
        <w:rPr>
          <w:rFonts w:hint="eastAsia"/>
        </w:rPr>
        <w:t>委员会感到关切的是，玻利维亚</w:t>
      </w:r>
      <w:r>
        <w:rPr>
          <w:rFonts w:hint="eastAsia"/>
        </w:rPr>
        <w:t>妇女，特别是农村地区妇女、土著妇女、老龄妇女和残疾妇女极度贫困和受到社会排斥，并且很难获得土地、住房和基本社会服务，而且这种状况长期存在。委员会注意到，自由市场经济不顾及社会层面，加剧穷困，</w:t>
      </w:r>
      <w:r w:rsidR="009A23FE">
        <w:rPr>
          <w:rFonts w:hint="eastAsia"/>
        </w:rPr>
        <w:t>给</w:t>
      </w:r>
      <w:r>
        <w:rPr>
          <w:rFonts w:hint="eastAsia"/>
        </w:rPr>
        <w:t>妇女的贫穷状况带来严重影响。这些妇女的贫穷状况表现在文盲率偏高、就学和完成学业率偏低、保健（特别是性保健和生殖保健）服务供应不足、产妇死亡率偏高、不能获得土地、赚取收入机会和基本社会服务。</w:t>
      </w:r>
    </w:p>
    <w:p w:rsidR="00AE0F70" w:rsidRPr="00491DA5" w:rsidRDefault="00AE0F70" w:rsidP="00AE0F70">
      <w:pPr>
        <w:pStyle w:val="SingleTxt"/>
        <w:rPr>
          <w:rFonts w:hint="eastAsia"/>
        </w:rPr>
      </w:pPr>
      <w:r>
        <w:rPr>
          <w:rFonts w:hint="eastAsia"/>
        </w:rPr>
        <w:t>12.</w:t>
      </w:r>
      <w:r>
        <w:rPr>
          <w:rFonts w:hint="eastAsia"/>
        </w:rPr>
        <w:tab/>
        <w:t>委员会建议研究自由市场经济对妇女贫困状况的影响，并把解决这个问题的适当措施纳入减贫战略中。</w:t>
      </w:r>
    </w:p>
    <w:p w:rsidR="00AE0F70" w:rsidRDefault="00AE0F70" w:rsidP="00AE0F70">
      <w:pPr>
        <w:pStyle w:val="SingleTxt"/>
        <w:rPr>
          <w:rFonts w:hint="eastAsia"/>
        </w:rPr>
      </w:pPr>
      <w:r>
        <w:rPr>
          <w:rFonts w:hint="eastAsia"/>
        </w:rPr>
        <w:t>13.</w:t>
      </w:r>
      <w:r>
        <w:rPr>
          <w:rFonts w:hint="eastAsia"/>
        </w:rPr>
        <w:tab/>
      </w:r>
      <w:r w:rsidRPr="00261CB8">
        <w:rPr>
          <w:rFonts w:ascii="SimHei" w:eastAsia="SimHei" w:hint="eastAsia"/>
          <w:color w:val="FF0000"/>
        </w:rPr>
        <w:t>委员会敦</w:t>
      </w:r>
      <w:r>
        <w:rPr>
          <w:rFonts w:ascii="SimHei" w:eastAsia="SimHei" w:hint="eastAsia"/>
          <w:color w:val="FF0000"/>
        </w:rPr>
        <w:t>促缔约国尽力在所有消除贫穷方案和政策中列入两性平等观点，并明确</w:t>
      </w:r>
      <w:r w:rsidRPr="00261CB8">
        <w:rPr>
          <w:rFonts w:ascii="SimHei" w:eastAsia="SimHei" w:hint="eastAsia"/>
          <w:color w:val="FF0000"/>
        </w:rPr>
        <w:t>讨论妇女、特别是农村地区妇女、土著妇女、老龄妇女和残疾妇女面对</w:t>
      </w:r>
      <w:r>
        <w:rPr>
          <w:rFonts w:ascii="SimHei" w:eastAsia="SimHei" w:hint="eastAsia"/>
          <w:color w:val="FF0000"/>
        </w:rPr>
        <w:t>的</w:t>
      </w:r>
      <w:r w:rsidRPr="00261CB8">
        <w:rPr>
          <w:rFonts w:ascii="SimHei" w:eastAsia="SimHei" w:hint="eastAsia"/>
          <w:color w:val="FF0000"/>
        </w:rPr>
        <w:t>贫穷</w:t>
      </w:r>
      <w:r>
        <w:rPr>
          <w:rFonts w:ascii="SimHei" w:eastAsia="SimHei" w:hint="eastAsia"/>
          <w:color w:val="FF0000"/>
        </w:rPr>
        <w:t>结构及其各个层面</w:t>
      </w:r>
      <w:r w:rsidRPr="00261CB8">
        <w:rPr>
          <w:rFonts w:ascii="SimHei" w:eastAsia="SimHei" w:hint="eastAsia"/>
          <w:color w:val="FF0000"/>
        </w:rPr>
        <w:t>。委员会建议缔约国加紧努力，在全国执行有效的教育方案，特别是在实用识字、</w:t>
      </w:r>
      <w:r>
        <w:rPr>
          <w:rFonts w:ascii="SimHei" w:eastAsia="SimHei" w:hint="eastAsia"/>
          <w:color w:val="FF0000"/>
        </w:rPr>
        <w:t>技能和</w:t>
      </w:r>
      <w:r w:rsidRPr="00491DA5">
        <w:rPr>
          <w:rFonts w:ascii="SimHei" w:eastAsia="SimHei" w:hint="eastAsia"/>
          <w:color w:val="FF0000"/>
        </w:rPr>
        <w:t>赚取收入培训</w:t>
      </w:r>
      <w:r w:rsidRPr="00261CB8">
        <w:rPr>
          <w:rFonts w:ascii="SimHei" w:eastAsia="SimHei" w:hint="eastAsia"/>
          <w:color w:val="FF0000"/>
        </w:rPr>
        <w:t>，</w:t>
      </w:r>
      <w:r w:rsidR="009A23FE">
        <w:rPr>
          <w:rFonts w:ascii="SimHei" w:eastAsia="SimHei" w:hint="eastAsia"/>
          <w:color w:val="FF0000"/>
        </w:rPr>
        <w:t>小额</w:t>
      </w:r>
      <w:r w:rsidR="001B1434">
        <w:rPr>
          <w:rFonts w:ascii="SimHei" w:eastAsia="SimHei" w:hint="eastAsia"/>
          <w:color w:val="FF0000"/>
        </w:rPr>
        <w:t>供</w:t>
      </w:r>
      <w:r w:rsidR="009A23FE">
        <w:rPr>
          <w:rFonts w:ascii="SimHei" w:eastAsia="SimHei" w:hint="eastAsia"/>
          <w:color w:val="FF0000"/>
        </w:rPr>
        <w:t>资领域，</w:t>
      </w:r>
      <w:r w:rsidRPr="00261CB8">
        <w:rPr>
          <w:rFonts w:ascii="SimHei" w:eastAsia="SimHei" w:hint="eastAsia"/>
          <w:color w:val="FF0000"/>
        </w:rPr>
        <w:t>以此作为扶贫手段，并采取措施确保妇女平等地获得土地、住房</w:t>
      </w:r>
      <w:r>
        <w:rPr>
          <w:rFonts w:ascii="SimHei" w:eastAsia="SimHei" w:hint="eastAsia"/>
          <w:color w:val="FF0000"/>
        </w:rPr>
        <w:t>、保健</w:t>
      </w:r>
      <w:r w:rsidRPr="00261CB8">
        <w:rPr>
          <w:rFonts w:ascii="SimHei" w:eastAsia="SimHei" w:hint="eastAsia"/>
          <w:color w:val="FF0000"/>
        </w:rPr>
        <w:t>和基本服务。</w:t>
      </w:r>
    </w:p>
    <w:p w:rsidR="00AE0F70" w:rsidRDefault="00AE0F70" w:rsidP="00AE0F70">
      <w:pPr>
        <w:pStyle w:val="SingleTxt"/>
        <w:rPr>
          <w:rFonts w:hint="eastAsia"/>
        </w:rPr>
      </w:pPr>
      <w:r>
        <w:rPr>
          <w:rFonts w:hint="eastAsia"/>
        </w:rPr>
        <w:t>14.</w:t>
      </w:r>
      <w:r>
        <w:rPr>
          <w:rFonts w:hint="eastAsia"/>
        </w:rPr>
        <w:tab/>
        <w:t>委员会特别关注的问题是，非裔玻利维亚人社区由于在国民统计中没有列入登记册而被忽视并受到社会排斥，从而妨碍了非裔玻利维亚人获得基本社会服务和进入市场的机会，尤其是妇女饱受种族和性别双重歧视。</w:t>
      </w:r>
    </w:p>
    <w:p w:rsidR="00AE0F70" w:rsidRDefault="00AE0F70" w:rsidP="00AE0F70">
      <w:pPr>
        <w:pStyle w:val="SingleTxt"/>
        <w:rPr>
          <w:rFonts w:hint="eastAsia"/>
        </w:rPr>
      </w:pPr>
      <w:r>
        <w:rPr>
          <w:rFonts w:hint="eastAsia"/>
        </w:rPr>
        <w:t>15.</w:t>
      </w:r>
      <w:r>
        <w:rPr>
          <w:rFonts w:hint="eastAsia"/>
        </w:rPr>
        <w:tab/>
      </w:r>
      <w:r w:rsidRPr="00261CB8">
        <w:rPr>
          <w:rFonts w:ascii="SimHei" w:eastAsia="SimHei" w:hint="eastAsia"/>
          <w:color w:val="FF0000"/>
        </w:rPr>
        <w:t>委员会</w:t>
      </w:r>
      <w:r>
        <w:rPr>
          <w:rFonts w:ascii="SimHei" w:eastAsia="SimHei" w:hint="eastAsia"/>
          <w:color w:val="FF0000"/>
        </w:rPr>
        <w:t>敦促</w:t>
      </w:r>
      <w:r w:rsidRPr="00261CB8">
        <w:rPr>
          <w:rFonts w:ascii="SimHei" w:eastAsia="SimHei" w:hint="eastAsia"/>
          <w:color w:val="FF0000"/>
        </w:rPr>
        <w:t>缔约国采取必要措施，使非裔玻利维亚人社区</w:t>
      </w:r>
      <w:r>
        <w:rPr>
          <w:rFonts w:ascii="SimHei" w:eastAsia="SimHei" w:hint="eastAsia"/>
          <w:color w:val="FF0000"/>
        </w:rPr>
        <w:t>的男人和妇女都被</w:t>
      </w:r>
      <w:r w:rsidRPr="00261CB8">
        <w:rPr>
          <w:rFonts w:ascii="SimHei" w:eastAsia="SimHei" w:hint="eastAsia"/>
          <w:color w:val="FF0000"/>
        </w:rPr>
        <w:t>列入国民统计</w:t>
      </w:r>
      <w:r>
        <w:rPr>
          <w:rFonts w:ascii="SimHei" w:eastAsia="SimHei" w:hint="eastAsia"/>
          <w:color w:val="FF0000"/>
        </w:rPr>
        <w:t>，从而获得所有社会基本服务，解决</w:t>
      </w:r>
      <w:r w:rsidRPr="00261CB8">
        <w:rPr>
          <w:rFonts w:ascii="SimHei" w:eastAsia="SimHei" w:hint="eastAsia"/>
          <w:color w:val="FF0000"/>
        </w:rPr>
        <w:t>非裔玻利维亚</w:t>
      </w:r>
      <w:r>
        <w:rPr>
          <w:rFonts w:ascii="SimHei" w:eastAsia="SimHei" w:hint="eastAsia"/>
          <w:color w:val="FF0000"/>
        </w:rPr>
        <w:t>妇女易受伤害的具体问题，并在下一次报告中报告在这方面采取的措施</w:t>
      </w:r>
      <w:r w:rsidRPr="00261CB8">
        <w:rPr>
          <w:rFonts w:ascii="SimHei" w:eastAsia="SimHei" w:hint="eastAsia"/>
          <w:color w:val="FF0000"/>
        </w:rPr>
        <w:t>。</w:t>
      </w:r>
    </w:p>
    <w:p w:rsidR="00AE0F70" w:rsidRDefault="00AE0F70" w:rsidP="00AE0F70">
      <w:pPr>
        <w:pStyle w:val="SingleTxt"/>
        <w:rPr>
          <w:rFonts w:hint="eastAsia"/>
        </w:rPr>
      </w:pPr>
      <w:r>
        <w:rPr>
          <w:rFonts w:hint="eastAsia"/>
        </w:rPr>
        <w:t>16.</w:t>
      </w:r>
      <w:r>
        <w:rPr>
          <w:rFonts w:hint="eastAsia"/>
        </w:rPr>
        <w:tab/>
      </w:r>
      <w:r w:rsidR="009A23FE">
        <w:rPr>
          <w:rFonts w:hint="eastAsia"/>
        </w:rPr>
        <w:t>委员会关注玻利维亚妇女诉诸司法的机会有限，因为妇女的文盲率</w:t>
      </w:r>
      <w:r>
        <w:rPr>
          <w:rFonts w:hint="eastAsia"/>
        </w:rPr>
        <w:t>高、缺乏关于妇女权利的信息、缺乏充分的法律援助来满足妇女需要、司法程序旷日持久和有关的费用以及司法机构对公约缺乏充分的了解。</w:t>
      </w:r>
    </w:p>
    <w:p w:rsidR="00AE0F70" w:rsidRPr="00FE04A5" w:rsidRDefault="00AE0F70" w:rsidP="00AE0F70">
      <w:pPr>
        <w:pStyle w:val="SingleTxt"/>
        <w:rPr>
          <w:rFonts w:ascii="SimHei" w:eastAsia="SimHei" w:hint="eastAsia"/>
          <w:color w:val="FF0000"/>
        </w:rPr>
      </w:pPr>
      <w:r>
        <w:rPr>
          <w:rFonts w:hint="eastAsia"/>
        </w:rPr>
        <w:t>17.</w:t>
      </w:r>
      <w:r>
        <w:rPr>
          <w:rFonts w:hint="eastAsia"/>
        </w:rPr>
        <w:tab/>
      </w:r>
      <w:r w:rsidRPr="00FE04A5">
        <w:rPr>
          <w:rFonts w:ascii="SimHei" w:eastAsia="SimHei" w:hint="eastAsia"/>
          <w:color w:val="FF0000"/>
        </w:rPr>
        <w:t>委员会</w:t>
      </w:r>
      <w:r>
        <w:rPr>
          <w:rFonts w:ascii="SimHei" w:eastAsia="SimHei" w:hint="eastAsia"/>
          <w:color w:val="FF0000"/>
        </w:rPr>
        <w:t>敦促</w:t>
      </w:r>
      <w:r w:rsidRPr="00FE04A5">
        <w:rPr>
          <w:rFonts w:ascii="SimHei" w:eastAsia="SimHei" w:hint="eastAsia"/>
          <w:color w:val="FF0000"/>
        </w:rPr>
        <w:t>缔约国特别为生活贫穷的妇女、农村妇女和土著妇女创造必要条件，让她们获得诉诸司法的机会，并以相关的语言向妇女宣传法律基本知识和妇女权利，以及</w:t>
      </w:r>
      <w:r>
        <w:rPr>
          <w:rFonts w:ascii="SimHei" w:eastAsia="SimHei" w:hint="eastAsia"/>
          <w:color w:val="FF0000"/>
        </w:rPr>
        <w:t>有效</w:t>
      </w:r>
      <w:r w:rsidRPr="00FE04A5">
        <w:rPr>
          <w:rFonts w:ascii="SimHei" w:eastAsia="SimHei" w:hint="eastAsia"/>
          <w:color w:val="FF0000"/>
        </w:rPr>
        <w:t>重申这些权利的能力。此外，委员会敦促缔约国</w:t>
      </w:r>
      <w:r>
        <w:rPr>
          <w:rFonts w:ascii="SimHei" w:eastAsia="SimHei" w:hint="eastAsia"/>
          <w:color w:val="FF0000"/>
        </w:rPr>
        <w:t>以适当方式</w:t>
      </w:r>
      <w:r w:rsidRPr="00FE04A5">
        <w:rPr>
          <w:rFonts w:ascii="SimHei" w:eastAsia="SimHei" w:hint="eastAsia"/>
          <w:color w:val="FF0000"/>
        </w:rPr>
        <w:t>传播关于本公约的信息、按照《任择议定书》施行的程序和委员会的一般</w:t>
      </w:r>
      <w:r w:rsidR="009A23FE">
        <w:rPr>
          <w:rFonts w:ascii="SimHei" w:eastAsia="SimHei" w:hint="eastAsia"/>
          <w:color w:val="FF0000"/>
        </w:rPr>
        <w:t>性</w:t>
      </w:r>
      <w:r w:rsidRPr="00FE04A5">
        <w:rPr>
          <w:rFonts w:ascii="SimHei" w:eastAsia="SimHei" w:hint="eastAsia"/>
          <w:color w:val="FF0000"/>
        </w:rPr>
        <w:t>建议，并</w:t>
      </w:r>
      <w:r>
        <w:rPr>
          <w:rFonts w:ascii="SimHei" w:eastAsia="SimHei" w:hint="eastAsia"/>
          <w:color w:val="FF0000"/>
        </w:rPr>
        <w:t>执行</w:t>
      </w:r>
      <w:r w:rsidRPr="00FE04A5">
        <w:rPr>
          <w:rFonts w:ascii="SimHei" w:eastAsia="SimHei" w:hint="eastAsia"/>
          <w:color w:val="FF0000"/>
        </w:rPr>
        <w:t>专为检察官、法官和律师</w:t>
      </w:r>
      <w:r>
        <w:rPr>
          <w:rFonts w:ascii="SimHei" w:eastAsia="SimHei" w:hint="eastAsia"/>
          <w:color w:val="FF0000"/>
        </w:rPr>
        <w:t>制订的针对</w:t>
      </w:r>
      <w:r w:rsidRPr="00FE04A5">
        <w:rPr>
          <w:rFonts w:ascii="SimHei" w:eastAsia="SimHei" w:hint="eastAsia"/>
          <w:color w:val="FF0000"/>
        </w:rPr>
        <w:t>本公约和《任择议定书》所有相关方面的</w:t>
      </w:r>
      <w:r>
        <w:rPr>
          <w:rFonts w:ascii="SimHei" w:eastAsia="SimHei" w:hint="eastAsia"/>
          <w:color w:val="FF0000"/>
        </w:rPr>
        <w:t>训练</w:t>
      </w:r>
      <w:r w:rsidRPr="00FE04A5">
        <w:rPr>
          <w:rFonts w:ascii="SimHei" w:eastAsia="SimHei" w:hint="eastAsia"/>
          <w:color w:val="FF0000"/>
        </w:rPr>
        <w:t>方案。</w:t>
      </w:r>
    </w:p>
    <w:p w:rsidR="00AE0F70" w:rsidRDefault="00AE0F70" w:rsidP="00AE0F70">
      <w:pPr>
        <w:pStyle w:val="SingleTxt"/>
        <w:rPr>
          <w:rFonts w:hint="eastAsia"/>
        </w:rPr>
      </w:pPr>
      <w:r>
        <w:rPr>
          <w:rFonts w:hint="eastAsia"/>
        </w:rPr>
        <w:t>18.</w:t>
      </w:r>
      <w:r>
        <w:rPr>
          <w:rFonts w:hint="eastAsia"/>
        </w:rPr>
        <w:tab/>
        <w:t>尽管缔约国作出了努力，委员会关切地注意到仍有大批妇女，特别是农村地区的土著妇女、老龄妇女和残疾妇女没有身份证件，因此，她们无法进入公共机构，也无法利用这些机构所提供的社会服务和社会福利。</w:t>
      </w:r>
    </w:p>
    <w:p w:rsidR="00AE0F70" w:rsidRDefault="00AE0F70" w:rsidP="00AE0F70">
      <w:pPr>
        <w:pStyle w:val="SingleTxt"/>
        <w:rPr>
          <w:rFonts w:hint="eastAsia"/>
        </w:rPr>
      </w:pPr>
      <w:r>
        <w:rPr>
          <w:rFonts w:hint="eastAsia"/>
        </w:rPr>
        <w:t>19.</w:t>
      </w:r>
      <w:r>
        <w:rPr>
          <w:rFonts w:hint="eastAsia"/>
        </w:rPr>
        <w:tab/>
      </w:r>
      <w:r w:rsidRPr="00FE04A5">
        <w:rPr>
          <w:rFonts w:ascii="SimHei" w:eastAsia="SimHei" w:hint="eastAsia"/>
          <w:color w:val="FF0000"/>
        </w:rPr>
        <w:t>委员会</w:t>
      </w:r>
      <w:r>
        <w:rPr>
          <w:rFonts w:ascii="SimHei" w:eastAsia="SimHei" w:hint="eastAsia"/>
          <w:color w:val="FF0000"/>
        </w:rPr>
        <w:t>呼吁</w:t>
      </w:r>
      <w:r w:rsidRPr="00FE04A5">
        <w:rPr>
          <w:rFonts w:ascii="SimHei" w:eastAsia="SimHei" w:hint="eastAsia"/>
          <w:color w:val="FF0000"/>
        </w:rPr>
        <w:t>缔约国继续</w:t>
      </w:r>
      <w:r>
        <w:rPr>
          <w:rFonts w:ascii="SimHei" w:eastAsia="SimHei" w:hint="eastAsia"/>
          <w:color w:val="FF0000"/>
        </w:rPr>
        <w:t>为</w:t>
      </w:r>
      <w:r w:rsidRPr="00FE04A5">
        <w:rPr>
          <w:rFonts w:ascii="SimHei" w:eastAsia="SimHei" w:hint="eastAsia"/>
          <w:color w:val="FF0000"/>
        </w:rPr>
        <w:t>那些没</w:t>
      </w:r>
      <w:r>
        <w:rPr>
          <w:rFonts w:ascii="SimHei" w:eastAsia="SimHei" w:hint="eastAsia"/>
          <w:color w:val="FF0000"/>
        </w:rPr>
        <w:t>有身份证件的妇女、特别是农村地区土著妇女、老龄妇女和残疾妇女</w:t>
      </w:r>
      <w:r w:rsidRPr="00FE04A5">
        <w:rPr>
          <w:rFonts w:ascii="SimHei" w:eastAsia="SimHei" w:hint="eastAsia"/>
          <w:color w:val="FF0000"/>
        </w:rPr>
        <w:t>登记</w:t>
      </w:r>
      <w:r>
        <w:rPr>
          <w:rFonts w:ascii="SimHei" w:eastAsia="SimHei" w:hint="eastAsia"/>
          <w:color w:val="FF0000"/>
        </w:rPr>
        <w:t>提供协助和方便，分发</w:t>
      </w:r>
      <w:r w:rsidRPr="00FE04A5">
        <w:rPr>
          <w:rFonts w:ascii="SimHei" w:eastAsia="SimHei" w:hint="eastAsia"/>
          <w:color w:val="FF0000"/>
        </w:rPr>
        <w:t>出生证明和</w:t>
      </w:r>
      <w:r>
        <w:rPr>
          <w:rFonts w:ascii="SimHei" w:eastAsia="SimHei" w:hint="eastAsia"/>
          <w:color w:val="FF0000"/>
        </w:rPr>
        <w:t>相关</w:t>
      </w:r>
      <w:r w:rsidRPr="00FE04A5">
        <w:rPr>
          <w:rFonts w:ascii="SimHei" w:eastAsia="SimHei" w:hint="eastAsia"/>
          <w:color w:val="FF0000"/>
        </w:rPr>
        <w:t>身份证件。委员会敦促缔约国</w:t>
      </w:r>
      <w:r>
        <w:rPr>
          <w:rFonts w:ascii="SimHei" w:eastAsia="SimHei" w:hint="eastAsia"/>
          <w:color w:val="FF0000"/>
        </w:rPr>
        <w:t>为这项工作</w:t>
      </w:r>
      <w:r w:rsidRPr="00FE04A5">
        <w:rPr>
          <w:rFonts w:ascii="SimHei" w:eastAsia="SimHei" w:hint="eastAsia"/>
          <w:color w:val="FF0000"/>
        </w:rPr>
        <w:t>确定明确的</w:t>
      </w:r>
      <w:r>
        <w:rPr>
          <w:rFonts w:ascii="SimHei" w:eastAsia="SimHei" w:hint="eastAsia"/>
          <w:color w:val="FF0000"/>
        </w:rPr>
        <w:t>目</w:t>
      </w:r>
      <w:r w:rsidRPr="00FE04A5">
        <w:rPr>
          <w:rFonts w:ascii="SimHei" w:eastAsia="SimHei" w:hint="eastAsia"/>
          <w:color w:val="FF0000"/>
        </w:rPr>
        <w:t>标和时间表，</w:t>
      </w:r>
      <w:r>
        <w:rPr>
          <w:rFonts w:ascii="SimHei" w:eastAsia="SimHei" w:hint="eastAsia"/>
          <w:color w:val="FF0000"/>
        </w:rPr>
        <w:t>并</w:t>
      </w:r>
      <w:r w:rsidRPr="00FE04A5">
        <w:rPr>
          <w:rFonts w:ascii="SimHei" w:eastAsia="SimHei" w:hint="eastAsia"/>
          <w:color w:val="FF0000"/>
        </w:rPr>
        <w:t>在下一份报告中说明在这方面取得的进展。</w:t>
      </w:r>
    </w:p>
    <w:p w:rsidR="00AE0F70" w:rsidRDefault="00AE0F70" w:rsidP="00AE0F70">
      <w:pPr>
        <w:pStyle w:val="SingleTxt"/>
        <w:rPr>
          <w:rFonts w:hint="eastAsia"/>
        </w:rPr>
      </w:pPr>
      <w:r>
        <w:rPr>
          <w:rFonts w:hint="eastAsia"/>
        </w:rPr>
        <w:t>20.</w:t>
      </w:r>
      <w:r>
        <w:rPr>
          <w:rFonts w:hint="eastAsia"/>
        </w:rPr>
        <w:tab/>
        <w:t>虽然制定</w:t>
      </w:r>
      <w:r w:rsidR="009A23FE">
        <w:rPr>
          <w:rFonts w:hint="eastAsia"/>
        </w:rPr>
        <w:t>了</w:t>
      </w:r>
      <w:r>
        <w:rPr>
          <w:rFonts w:hint="eastAsia"/>
        </w:rPr>
        <w:t>宣传方案，但委员会感到关切的是，对于男女在家庭中、在教育中和在一般社会中的角色和职责，明显地继续存在传统的陈规定型观念，结果加深了男尊女卑的观念，影响妇女在所有生活领域和一生</w:t>
      </w:r>
      <w:r w:rsidR="009A23FE">
        <w:rPr>
          <w:rFonts w:hint="eastAsia"/>
        </w:rPr>
        <w:t>中</w:t>
      </w:r>
      <w:r>
        <w:rPr>
          <w:rFonts w:hint="eastAsia"/>
        </w:rPr>
        <w:t>的地位。委员会表示关注的是，最近的教育改革没有深入地解决这个问题。</w:t>
      </w:r>
    </w:p>
    <w:p w:rsidR="00AE0F70" w:rsidRPr="008D5279" w:rsidRDefault="00AE0F70" w:rsidP="001545ED">
      <w:pPr>
        <w:pStyle w:val="SingleTxt"/>
        <w:spacing w:line="340" w:lineRule="exact"/>
        <w:rPr>
          <w:rFonts w:ascii="SimHei" w:eastAsia="SimHei" w:hint="eastAsia"/>
          <w:color w:val="FF0000"/>
        </w:rPr>
      </w:pPr>
      <w:r w:rsidRPr="009A23FE">
        <w:rPr>
          <w:rFonts w:hint="eastAsia"/>
        </w:rPr>
        <w:t>21.</w:t>
      </w:r>
      <w:r w:rsidRPr="008D5279">
        <w:rPr>
          <w:rFonts w:ascii="SimHei" w:eastAsia="SimHei" w:hint="eastAsia"/>
          <w:color w:val="FF0000"/>
        </w:rPr>
        <w:tab/>
        <w:t>委员会建议缔约国在农村和城市拟订和执行针对妇女和男子的政策和方案，帮助确保消除与家庭、教育、就业、政策和社会方面传统角色相关的定型观念。委员会还建议鼓励传播媒体塑造</w:t>
      </w:r>
      <w:r>
        <w:rPr>
          <w:rFonts w:ascii="SimHei" w:eastAsia="SimHei" w:hint="eastAsia"/>
          <w:color w:val="FF0000"/>
        </w:rPr>
        <w:t>积极</w:t>
      </w:r>
      <w:r w:rsidRPr="008D5279">
        <w:rPr>
          <w:rFonts w:ascii="SimHei" w:eastAsia="SimHei" w:hint="eastAsia"/>
          <w:color w:val="FF0000"/>
        </w:rPr>
        <w:t>的妇女形象，宣传妇女和男子无论在私人生活中还是在公共生活中都应享有平等条件，分担责任。</w:t>
      </w:r>
    </w:p>
    <w:p w:rsidR="00AE0F70" w:rsidRDefault="00AE0F70" w:rsidP="00AE0F70">
      <w:pPr>
        <w:pStyle w:val="SingleTxt"/>
        <w:rPr>
          <w:rFonts w:hint="eastAsia"/>
        </w:rPr>
      </w:pPr>
      <w:r>
        <w:rPr>
          <w:rFonts w:hint="eastAsia"/>
        </w:rPr>
        <w:t>2</w:t>
      </w:r>
      <w:r w:rsidR="001545ED">
        <w:rPr>
          <w:rFonts w:hint="eastAsia"/>
        </w:rPr>
        <w:t>2</w:t>
      </w:r>
      <w:r>
        <w:rPr>
          <w:rFonts w:hint="eastAsia"/>
        </w:rPr>
        <w:t>.</w:t>
      </w:r>
      <w:r>
        <w:rPr>
          <w:rFonts w:hint="eastAsia"/>
        </w:rPr>
        <w:tab/>
        <w:t>委员会赞扬缔约国在其政治法律中承认文化多样性和差异以及土著社区的特点，但感到关切的是，强调这种特点可能会妨碍遵守本公约规定的不歧视和男女正式实质性平等原则。缔约国承认社区的司法制度，这种司法制度虽然更便于土著人和农村民众利用，但有可能成为使定型观念、偏见、歧视和侵犯人权行为永久存在的一种机制。委员会对此表示特别关切。</w:t>
      </w:r>
    </w:p>
    <w:p w:rsidR="00AE0F70" w:rsidRPr="008D5279" w:rsidRDefault="00AE0F70" w:rsidP="001545ED">
      <w:pPr>
        <w:pStyle w:val="SingleTxt"/>
        <w:spacing w:line="340" w:lineRule="exact"/>
        <w:rPr>
          <w:rFonts w:ascii="SimHei" w:eastAsia="SimHei" w:hint="eastAsia"/>
          <w:color w:val="FF0000"/>
        </w:rPr>
      </w:pPr>
      <w:r w:rsidRPr="009A23FE">
        <w:rPr>
          <w:rFonts w:hint="eastAsia"/>
        </w:rPr>
        <w:t>2</w:t>
      </w:r>
      <w:r w:rsidR="001545ED" w:rsidRPr="009A23FE">
        <w:rPr>
          <w:rFonts w:hint="eastAsia"/>
        </w:rPr>
        <w:t>3</w:t>
      </w:r>
      <w:r w:rsidRPr="009A23FE">
        <w:rPr>
          <w:rFonts w:hint="eastAsia"/>
        </w:rPr>
        <w:t>.</w:t>
      </w:r>
      <w:r w:rsidRPr="008D5279">
        <w:rPr>
          <w:rFonts w:ascii="SimHei" w:eastAsia="SimHei" w:hint="eastAsia"/>
          <w:color w:val="FF0000"/>
        </w:rPr>
        <w:tab/>
        <w:t>委员会敦促缔约国确保土著传统观念和做法符合</w:t>
      </w:r>
      <w:r>
        <w:rPr>
          <w:rFonts w:ascii="SimHei" w:eastAsia="SimHei" w:hint="eastAsia"/>
          <w:color w:val="FF0000"/>
        </w:rPr>
        <w:t>本</w:t>
      </w:r>
      <w:r w:rsidRPr="008D5279">
        <w:rPr>
          <w:rFonts w:ascii="SimHei" w:eastAsia="SimHei" w:hint="eastAsia"/>
          <w:color w:val="FF0000"/>
        </w:rPr>
        <w:t>公约的法律框架，创造条件，扩大不同文化的对话，尊重多样性，保证</w:t>
      </w:r>
      <w:r>
        <w:rPr>
          <w:rFonts w:ascii="SimHei" w:eastAsia="SimHei" w:hint="eastAsia"/>
          <w:color w:val="FF0000"/>
        </w:rPr>
        <w:t>全面遵守</w:t>
      </w:r>
      <w:r w:rsidRPr="008D5279">
        <w:rPr>
          <w:rFonts w:ascii="SimHei" w:eastAsia="SimHei" w:hint="eastAsia"/>
          <w:color w:val="FF0000"/>
        </w:rPr>
        <w:t>保护人权</w:t>
      </w:r>
      <w:r>
        <w:rPr>
          <w:rFonts w:ascii="SimHei" w:eastAsia="SimHei" w:hint="eastAsia"/>
          <w:color w:val="FF0000"/>
        </w:rPr>
        <w:t>，特别是妇女权利</w:t>
      </w:r>
      <w:r w:rsidRPr="008D5279">
        <w:rPr>
          <w:rFonts w:ascii="SimHei" w:eastAsia="SimHei" w:hint="eastAsia"/>
          <w:color w:val="FF0000"/>
        </w:rPr>
        <w:t>的原则、价值观和</w:t>
      </w:r>
      <w:r>
        <w:rPr>
          <w:rFonts w:ascii="SimHei" w:eastAsia="SimHei" w:hint="eastAsia"/>
          <w:color w:val="FF0000"/>
        </w:rPr>
        <w:t>国际</w:t>
      </w:r>
      <w:r w:rsidRPr="008D5279">
        <w:rPr>
          <w:rFonts w:ascii="SimHei" w:eastAsia="SimHei" w:hint="eastAsia"/>
          <w:color w:val="FF0000"/>
        </w:rPr>
        <w:t>规范。</w:t>
      </w:r>
    </w:p>
    <w:p w:rsidR="00AE0F70" w:rsidRDefault="00AE0F70" w:rsidP="00AE0F70">
      <w:pPr>
        <w:pStyle w:val="SingleTxt"/>
        <w:rPr>
          <w:rFonts w:hint="eastAsia"/>
        </w:rPr>
      </w:pPr>
      <w:r>
        <w:rPr>
          <w:rFonts w:hint="eastAsia"/>
        </w:rPr>
        <w:t>24.</w:t>
      </w:r>
      <w:r>
        <w:rPr>
          <w:rFonts w:hint="eastAsia"/>
        </w:rPr>
        <w:tab/>
        <w:t>委员会注意到缔约国实行多项法律措施和政策，力求减少暴力侵害妇女行为，特别是家庭暴力和性暴力。委员会关切地注意到玻利维亚暴力侵害妇女的现象十分普遍，问题严重，有的妇女甚至被杀害，而且缺乏这方面的统计数据。委员会尤其关切的是，《第1674号禁止家庭暴力法》和《第2033号保护性暴力受害者法》软弱无力，优先重视和解与家庭完整，以及司法人员可据此劝告受害妇女放弃其投诉司法部门的权利。</w:t>
      </w:r>
    </w:p>
    <w:p w:rsidR="00AE0F70" w:rsidRPr="008D5279" w:rsidRDefault="00AE0F70" w:rsidP="001545ED">
      <w:pPr>
        <w:pStyle w:val="SingleTxt"/>
        <w:spacing w:line="340" w:lineRule="exact"/>
        <w:rPr>
          <w:rFonts w:ascii="SimHei" w:eastAsia="SimHei" w:hint="eastAsia"/>
          <w:color w:val="FF0000"/>
        </w:rPr>
      </w:pPr>
      <w:r w:rsidRPr="009A23FE">
        <w:rPr>
          <w:rFonts w:hint="eastAsia"/>
        </w:rPr>
        <w:t>25.</w:t>
      </w:r>
      <w:r w:rsidRPr="008D5279">
        <w:rPr>
          <w:rFonts w:ascii="SimHei" w:eastAsia="SimHei" w:hint="eastAsia"/>
          <w:color w:val="FF0000"/>
        </w:rPr>
        <w:tab/>
        <w:t>委员会敦促缔约国</w:t>
      </w:r>
      <w:r>
        <w:rPr>
          <w:rFonts w:ascii="SimHei" w:eastAsia="SimHei" w:hint="eastAsia"/>
          <w:color w:val="FF0000"/>
        </w:rPr>
        <w:t>确保</w:t>
      </w:r>
      <w:r w:rsidRPr="008D5279">
        <w:rPr>
          <w:rFonts w:ascii="SimHei" w:eastAsia="SimHei" w:hint="eastAsia"/>
          <w:color w:val="FF0000"/>
        </w:rPr>
        <w:t>适当拟订、有效贯彻执行现行有关法律，打击暴力侵害妇女和女孩的行为，特别是家庭暴力和性暴力，同时更加优先重视按照第19条一般性建议制定和实施综合战略，打击和消除一切形式的暴力侵害妇女行为，防止暴力，处罚</w:t>
      </w:r>
      <w:r>
        <w:rPr>
          <w:rFonts w:ascii="SimHei" w:eastAsia="SimHei" w:hint="eastAsia"/>
          <w:color w:val="FF0000"/>
        </w:rPr>
        <w:t>施</w:t>
      </w:r>
      <w:r w:rsidRPr="008D5279">
        <w:rPr>
          <w:rFonts w:ascii="SimHei" w:eastAsia="SimHei" w:hint="eastAsia"/>
          <w:color w:val="FF0000"/>
        </w:rPr>
        <w:t>暴</w:t>
      </w:r>
      <w:r>
        <w:rPr>
          <w:rFonts w:ascii="SimHei" w:eastAsia="SimHei" w:hint="eastAsia"/>
          <w:color w:val="FF0000"/>
        </w:rPr>
        <w:t>者</w:t>
      </w:r>
      <w:r w:rsidRPr="008D5279">
        <w:rPr>
          <w:rFonts w:ascii="SimHei" w:eastAsia="SimHei" w:hint="eastAsia"/>
          <w:color w:val="FF0000"/>
        </w:rPr>
        <w:t>，为受害者提供</w:t>
      </w:r>
      <w:r>
        <w:rPr>
          <w:rFonts w:ascii="SimHei" w:eastAsia="SimHei" w:hint="eastAsia"/>
          <w:color w:val="FF0000"/>
        </w:rPr>
        <w:t>服务</w:t>
      </w:r>
      <w:r w:rsidRPr="008D5279">
        <w:rPr>
          <w:rFonts w:ascii="SimHei" w:eastAsia="SimHei" w:hint="eastAsia"/>
          <w:color w:val="FF0000"/>
        </w:rPr>
        <w:t>。这一战略应包括提高认识和宣传教育措施，特别是提高司法人员、执法人员、检察官、教师、</w:t>
      </w:r>
      <w:r>
        <w:rPr>
          <w:rFonts w:ascii="SimHei" w:eastAsia="SimHei" w:hint="eastAsia"/>
          <w:color w:val="FF0000"/>
        </w:rPr>
        <w:t>医务</w:t>
      </w:r>
      <w:r w:rsidRPr="008D5279">
        <w:rPr>
          <w:rFonts w:ascii="SimHei" w:eastAsia="SimHei" w:hint="eastAsia"/>
          <w:color w:val="FF0000"/>
        </w:rPr>
        <w:t>工作者、社会工作者、媒体人员的认识。委员会鼓励缔约国在下次定期报告中</w:t>
      </w:r>
      <w:r>
        <w:rPr>
          <w:rFonts w:ascii="SimHei" w:eastAsia="SimHei" w:hint="eastAsia"/>
          <w:color w:val="FF0000"/>
        </w:rPr>
        <w:t>提供</w:t>
      </w:r>
      <w:r w:rsidRPr="008D5279">
        <w:rPr>
          <w:rFonts w:ascii="SimHei" w:eastAsia="SimHei" w:hint="eastAsia"/>
          <w:color w:val="FF0000"/>
        </w:rPr>
        <w:t>家庭暴力事件次数的统计数据以及关于为处理这一问题采取的措施、取得的进展和</w:t>
      </w:r>
      <w:r>
        <w:rPr>
          <w:rFonts w:ascii="SimHei" w:eastAsia="SimHei" w:hint="eastAsia"/>
          <w:color w:val="FF0000"/>
        </w:rPr>
        <w:t>仍然存在</w:t>
      </w:r>
      <w:r w:rsidRPr="008D5279">
        <w:rPr>
          <w:rFonts w:ascii="SimHei" w:eastAsia="SimHei" w:hint="eastAsia"/>
          <w:color w:val="FF0000"/>
        </w:rPr>
        <w:t>的障碍的资料。</w:t>
      </w:r>
    </w:p>
    <w:p w:rsidR="00AE0F70" w:rsidRDefault="00AE0F70" w:rsidP="00AE0F70">
      <w:pPr>
        <w:pStyle w:val="SingleTxt"/>
        <w:rPr>
          <w:rFonts w:hint="eastAsia"/>
        </w:rPr>
      </w:pPr>
      <w:r>
        <w:rPr>
          <w:rFonts w:hint="eastAsia"/>
        </w:rPr>
        <w:t>26.</w:t>
      </w:r>
      <w:r>
        <w:rPr>
          <w:rFonts w:hint="eastAsia"/>
        </w:rPr>
        <w:tab/>
        <w:t>委员会注意到，最近缔约国采取措施打击贩卖妇女和女孩以及性剥削等犯罪行为，包括颁布了《第3325号打击贩卖人口以及其他相关犯罪法》，但这个问题持续存在，关于这个问题在玻利维亚存在的根源和严重程度的资料也不足，而且在国家和地区一级都缺乏同妇女和女孩受贩卖和性剥削的现象作斗争的适当措施。委员会对此深感关切。</w:t>
      </w:r>
    </w:p>
    <w:p w:rsidR="00AE0F70" w:rsidRPr="008D5279" w:rsidRDefault="00AE0F70" w:rsidP="001545ED">
      <w:pPr>
        <w:pStyle w:val="SingleTxt"/>
        <w:spacing w:line="340" w:lineRule="exact"/>
        <w:rPr>
          <w:rFonts w:ascii="SimHei" w:eastAsia="SimHei" w:hint="eastAsia"/>
          <w:color w:val="FF0000"/>
        </w:rPr>
      </w:pPr>
      <w:r w:rsidRPr="009A23FE">
        <w:rPr>
          <w:rFonts w:hint="eastAsia"/>
        </w:rPr>
        <w:t>27.</w:t>
      </w:r>
      <w:r w:rsidRPr="008D5279">
        <w:rPr>
          <w:rFonts w:ascii="SimHei" w:eastAsia="SimHei" w:hint="eastAsia"/>
          <w:color w:val="FF0000"/>
        </w:rPr>
        <w:tab/>
        <w:t>委员会敦促缔约国颁布并充分实施</w:t>
      </w:r>
      <w:r>
        <w:rPr>
          <w:rFonts w:ascii="SimHei" w:eastAsia="SimHei" w:hint="eastAsia"/>
          <w:color w:val="FF0000"/>
        </w:rPr>
        <w:t>打击</w:t>
      </w:r>
      <w:r w:rsidRPr="008D5279">
        <w:rPr>
          <w:rFonts w:ascii="SimHei" w:eastAsia="SimHei" w:hint="eastAsia"/>
          <w:color w:val="FF0000"/>
        </w:rPr>
        <w:t>贩卖人口及性剥削的</w:t>
      </w:r>
      <w:r>
        <w:rPr>
          <w:rFonts w:ascii="SimHei" w:eastAsia="SimHei" w:hint="eastAsia"/>
          <w:color w:val="FF0000"/>
        </w:rPr>
        <w:t>法律和国家行动计划以及打击贩卖</w:t>
      </w:r>
      <w:r w:rsidRPr="008D5279">
        <w:rPr>
          <w:rFonts w:ascii="SimHei" w:eastAsia="SimHei" w:hint="eastAsia"/>
          <w:color w:val="FF0000"/>
        </w:rPr>
        <w:t>和性剥削</w:t>
      </w:r>
      <w:r>
        <w:rPr>
          <w:rFonts w:ascii="SimHei" w:eastAsia="SimHei" w:hint="eastAsia"/>
          <w:color w:val="FF0000"/>
        </w:rPr>
        <w:t>妇女</w:t>
      </w:r>
      <w:r w:rsidRPr="008D5279">
        <w:rPr>
          <w:rFonts w:ascii="SimHei" w:eastAsia="SimHei" w:hint="eastAsia"/>
          <w:color w:val="FF0000"/>
        </w:rPr>
        <w:t>的其他措施。委员会鼓励缔约国尽可能推动在南方共同市场范围内实施处理这个问题的区域协定。委员会还建议缔约国处理贩卖和性剥削的根源问题，加大力度改善妇女的经济状况，</w:t>
      </w:r>
      <w:r>
        <w:rPr>
          <w:rFonts w:ascii="SimHei" w:eastAsia="SimHei" w:hint="eastAsia"/>
          <w:color w:val="FF0000"/>
        </w:rPr>
        <w:t>从而</w:t>
      </w:r>
      <w:r w:rsidRPr="008D5279">
        <w:rPr>
          <w:rFonts w:ascii="SimHei" w:eastAsia="SimHei" w:hint="eastAsia"/>
          <w:color w:val="FF0000"/>
        </w:rPr>
        <w:t>消除妇女无力面对剥削和贩运的现象，采取措施让受贩卖和性剥削之害的妇女和女孩得到康复且重新融入社会，并采取有效措施，</w:t>
      </w:r>
      <w:r>
        <w:rPr>
          <w:rFonts w:ascii="SimHei" w:eastAsia="SimHei" w:hint="eastAsia"/>
          <w:color w:val="FF0000"/>
        </w:rPr>
        <w:t>惩罚</w:t>
      </w:r>
      <w:r w:rsidRPr="008D5279">
        <w:rPr>
          <w:rFonts w:ascii="SimHei" w:eastAsia="SimHei" w:hint="eastAsia"/>
          <w:color w:val="FF0000"/>
        </w:rPr>
        <w:t>对这种罪行负有责任的人。</w:t>
      </w:r>
    </w:p>
    <w:p w:rsidR="00AE0F70" w:rsidRDefault="00AE0F70" w:rsidP="00AE0F70">
      <w:pPr>
        <w:pStyle w:val="SingleTxt"/>
        <w:rPr>
          <w:rFonts w:hint="eastAsia"/>
        </w:rPr>
      </w:pPr>
      <w:r>
        <w:rPr>
          <w:rFonts w:hint="eastAsia"/>
        </w:rPr>
        <w:t>28</w:t>
      </w:r>
      <w:r w:rsidR="001545ED">
        <w:rPr>
          <w:rFonts w:hint="eastAsia"/>
        </w:rPr>
        <w:t>.</w:t>
      </w:r>
      <w:r>
        <w:rPr>
          <w:rFonts w:hint="eastAsia"/>
        </w:rPr>
        <w:tab/>
        <w:t>委员会感到关切的是，缔约国极少采取加速实现男女实际平等的暂行特别措施，例如《公约》第四条第1款规定、委员会第25条一般性建议提议的措施，而且政府显然没有理解本公约设想的暂行特别措施的目的和必要性。</w:t>
      </w:r>
    </w:p>
    <w:p w:rsidR="00AE0F70" w:rsidRPr="008D5279" w:rsidRDefault="00AE0F70" w:rsidP="001545ED">
      <w:pPr>
        <w:pStyle w:val="SingleTxt"/>
        <w:spacing w:line="340" w:lineRule="exact"/>
        <w:rPr>
          <w:rFonts w:ascii="SimHei" w:eastAsia="SimHei" w:hint="eastAsia"/>
          <w:color w:val="FF0000"/>
        </w:rPr>
      </w:pPr>
      <w:r w:rsidRPr="009A23FE">
        <w:rPr>
          <w:rFonts w:hint="eastAsia"/>
        </w:rPr>
        <w:t>29.</w:t>
      </w:r>
      <w:r w:rsidRPr="008D5279">
        <w:rPr>
          <w:rFonts w:ascii="SimHei" w:eastAsia="SimHei" w:hint="eastAsia"/>
          <w:color w:val="FF0000"/>
        </w:rPr>
        <w:tab/>
      </w:r>
      <w:r>
        <w:rPr>
          <w:rFonts w:ascii="SimHei" w:eastAsia="SimHei" w:hint="eastAsia"/>
          <w:color w:val="FF0000"/>
        </w:rPr>
        <w:t>委员会敦促缔约国依照本</w:t>
      </w:r>
      <w:r w:rsidRPr="008D5279">
        <w:rPr>
          <w:rFonts w:ascii="SimHei" w:eastAsia="SimHei" w:hint="eastAsia"/>
          <w:color w:val="FF0000"/>
        </w:rPr>
        <w:t>公约第四条第1款的规定和委员会的第25条一般性建议</w:t>
      </w:r>
      <w:r>
        <w:rPr>
          <w:rFonts w:ascii="SimHei" w:eastAsia="SimHei" w:hint="eastAsia"/>
          <w:color w:val="FF0000"/>
        </w:rPr>
        <w:t>，规定采取暂行特别措施的法律依据。委员会认为，暂行特别措施是在本公约</w:t>
      </w:r>
      <w:r w:rsidRPr="008D5279">
        <w:rPr>
          <w:rFonts w:ascii="SimHei" w:eastAsia="SimHei" w:hint="eastAsia"/>
          <w:color w:val="FF0000"/>
        </w:rPr>
        <w:t>所涉所有领</w:t>
      </w:r>
      <w:r>
        <w:rPr>
          <w:rFonts w:ascii="SimHei" w:eastAsia="SimHei" w:hint="eastAsia"/>
          <w:color w:val="FF0000"/>
        </w:rPr>
        <w:t>域加速实现妇女实质上平等的必要战略</w:t>
      </w:r>
      <w:r w:rsidRPr="008D5279">
        <w:rPr>
          <w:rFonts w:ascii="SimHei" w:eastAsia="SimHei" w:hint="eastAsia"/>
          <w:color w:val="FF0000"/>
        </w:rPr>
        <w:t>组成部分。</w:t>
      </w:r>
    </w:p>
    <w:p w:rsidR="00AE0F70" w:rsidRDefault="00AE0F70" w:rsidP="00AE0F70">
      <w:pPr>
        <w:pStyle w:val="SingleTxt"/>
        <w:rPr>
          <w:rFonts w:hint="eastAsia"/>
        </w:rPr>
      </w:pPr>
      <w:r>
        <w:rPr>
          <w:rFonts w:hint="eastAsia"/>
        </w:rPr>
        <w:t>30.</w:t>
      </w:r>
      <w:r>
        <w:rPr>
          <w:rFonts w:hint="eastAsia"/>
        </w:rPr>
        <w:tab/>
        <w:t>委员会欣悉缔约国最近任命了五名妇女担任部长，强调为妇女参与民选机关设定名额的法律规定十分重要，但关切地注意到妇女在许多专业领域和政府部门担任管理职务的人数很少，例如担任法官的妇女就很少，担任高级职务的妇女尤其少。委员会还表示关切的是，在经济领域任高级职务的妇女人数也远远不及男子人数。委员会注意到目前正在拟订的禁止政治骚扰法草案，但对暴力侵害担任公职妇女的事件表示特别关切。</w:t>
      </w:r>
    </w:p>
    <w:p w:rsidR="00AE0F70" w:rsidRPr="008D5279" w:rsidRDefault="00AE0F70" w:rsidP="001545ED">
      <w:pPr>
        <w:pStyle w:val="SingleTxt"/>
        <w:spacing w:line="340" w:lineRule="exact"/>
        <w:rPr>
          <w:rFonts w:ascii="SimHei" w:eastAsia="SimHei" w:hint="eastAsia"/>
          <w:color w:val="FF0000"/>
        </w:rPr>
      </w:pPr>
      <w:r w:rsidRPr="009A23FE">
        <w:rPr>
          <w:rFonts w:hint="eastAsia"/>
        </w:rPr>
        <w:t>31.</w:t>
      </w:r>
      <w:r w:rsidRPr="008D5279">
        <w:rPr>
          <w:rFonts w:ascii="SimHei" w:eastAsia="SimHei" w:hint="eastAsia"/>
          <w:color w:val="FF0000"/>
        </w:rPr>
        <w:tab/>
        <w:t>委员会建议缔约国采取积极主动的有效政策，</w:t>
      </w:r>
      <w:r>
        <w:rPr>
          <w:rFonts w:ascii="SimHei" w:eastAsia="SimHei" w:hint="eastAsia"/>
          <w:color w:val="FF0000"/>
        </w:rPr>
        <w:t>提拔更多</w:t>
      </w:r>
      <w:r w:rsidRPr="008D5279">
        <w:rPr>
          <w:rFonts w:ascii="SimHei" w:eastAsia="SimHei" w:hint="eastAsia"/>
          <w:color w:val="FF0000"/>
        </w:rPr>
        <w:t>妇女</w:t>
      </w:r>
      <w:r>
        <w:rPr>
          <w:rFonts w:ascii="SimHei" w:eastAsia="SimHei" w:hint="eastAsia"/>
          <w:color w:val="FF0000"/>
        </w:rPr>
        <w:t>担任高级别职务</w:t>
      </w:r>
      <w:r w:rsidRPr="008D5279">
        <w:rPr>
          <w:rFonts w:ascii="SimHei" w:eastAsia="SimHei" w:hint="eastAsia"/>
          <w:color w:val="FF0000"/>
        </w:rPr>
        <w:t>，包括采取暂行特别措施，并适当惩处不执行关于设定男女任职人数最低和最高百分比的现有规定的行为，同时制定其他有效措施，帮助执行这方面的规定。委员会敦促缔约国尽早通过禁止政治骚扰法草案，以打击和消除此类暴力行为，确保受政治骚扰之害的妇女能利用保护措施，能有</w:t>
      </w:r>
      <w:r>
        <w:rPr>
          <w:rFonts w:ascii="SimHei" w:eastAsia="SimHei" w:hint="eastAsia"/>
          <w:color w:val="FF0000"/>
        </w:rPr>
        <w:t>效上诉，确保将相关行为人绳之以法，予以适当处罚，并确保这些妇女</w:t>
      </w:r>
      <w:r w:rsidRPr="008D5279">
        <w:rPr>
          <w:rFonts w:ascii="SimHei" w:eastAsia="SimHei" w:hint="eastAsia"/>
          <w:color w:val="FF0000"/>
        </w:rPr>
        <w:t>得到有效保护，防止报复。</w:t>
      </w:r>
    </w:p>
    <w:p w:rsidR="00AE0F70" w:rsidRDefault="00AE0F70" w:rsidP="00AE0F70">
      <w:pPr>
        <w:pStyle w:val="SingleTxt"/>
        <w:rPr>
          <w:rFonts w:hint="eastAsia"/>
        </w:rPr>
      </w:pPr>
      <w:r>
        <w:rPr>
          <w:rFonts w:hint="eastAsia"/>
        </w:rPr>
        <w:t>32.</w:t>
      </w:r>
      <w:r>
        <w:rPr>
          <w:rFonts w:hint="eastAsia"/>
        </w:rPr>
        <w:tab/>
        <w:t>委员会承认缔约国为降低玻利维亚女孩和男孩的文盲率、增加就学率和完成学业率而进行的努力，例如提供“</w:t>
      </w:r>
      <w:r>
        <w:t>J</w:t>
      </w:r>
      <w:r>
        <w:rPr>
          <w:rFonts w:hint="eastAsia"/>
        </w:rPr>
        <w:t>uancito Pinto”奖学金，开设“我能做”识字方案等，但委员会关切地注意到女孩和妇女受教育程度低，特别是文盲率和辍学率很高。委员会尤其关注农村和土著妇女和女孩的受教育状况。就受教育机会和教学质量而言，农村和土著妇女和女孩仍然处于十分不利的地位，而且由于基础设施缺乏，远离学校，有遭受暴力的危险，交通费用高，语言不通等原因，她们就学年数也较短。</w:t>
      </w:r>
    </w:p>
    <w:p w:rsidR="00AE0F70" w:rsidRPr="008D5279" w:rsidRDefault="00AE0F70" w:rsidP="001545ED">
      <w:pPr>
        <w:pStyle w:val="SingleTxt"/>
        <w:spacing w:line="340" w:lineRule="exact"/>
        <w:rPr>
          <w:rFonts w:ascii="SimHei" w:eastAsia="SimHei" w:hint="eastAsia"/>
          <w:color w:val="FF0000"/>
        </w:rPr>
      </w:pPr>
      <w:r w:rsidRPr="009A23FE">
        <w:rPr>
          <w:rFonts w:hint="eastAsia"/>
        </w:rPr>
        <w:t>33.</w:t>
      </w:r>
      <w:r w:rsidRPr="008D5279">
        <w:rPr>
          <w:rFonts w:ascii="SimHei" w:eastAsia="SimHei" w:hint="eastAsia"/>
          <w:color w:val="FF0000"/>
        </w:rPr>
        <w:tab/>
      </w:r>
      <w:r>
        <w:rPr>
          <w:rFonts w:ascii="SimHei" w:eastAsia="SimHei" w:hint="eastAsia"/>
          <w:color w:val="FF0000"/>
        </w:rPr>
        <w:t>委员会敦促缔约国依照本</w:t>
      </w:r>
      <w:r w:rsidRPr="008D5279">
        <w:rPr>
          <w:rFonts w:ascii="SimHei" w:eastAsia="SimHei" w:hint="eastAsia"/>
          <w:color w:val="FF0000"/>
        </w:rPr>
        <w:t>公约第四条第1款的规定和委员会关于暂行特别措施的第25条一般性建议，采取一切必要措施，包括暂行特别措施，降低女孩的文盲率和辍学率，特别是降低农村女孩和土著女孩的文盲率和辍学率，为</w:t>
      </w:r>
      <w:r>
        <w:rPr>
          <w:rFonts w:ascii="SimHei" w:eastAsia="SimHei" w:hint="eastAsia"/>
          <w:color w:val="FF0000"/>
        </w:rPr>
        <w:t>这些</w:t>
      </w:r>
      <w:r w:rsidRPr="008D5279">
        <w:rPr>
          <w:rFonts w:ascii="SimHei" w:eastAsia="SimHei" w:hint="eastAsia"/>
          <w:color w:val="FF0000"/>
        </w:rPr>
        <w:t>妇女和女孩提供以适当语言接受教育的机会，包括正规教育和非正规教育。</w:t>
      </w:r>
    </w:p>
    <w:p w:rsidR="001C0272" w:rsidRDefault="001C0272" w:rsidP="001C0272">
      <w:pPr>
        <w:pStyle w:val="SingleTxt"/>
        <w:rPr>
          <w:rFonts w:hint="eastAsia"/>
        </w:rPr>
      </w:pPr>
      <w:r>
        <w:rPr>
          <w:rFonts w:hint="eastAsia"/>
        </w:rPr>
        <w:t>34.</w:t>
      </w:r>
      <w:r>
        <w:rPr>
          <w:rFonts w:hint="eastAsia"/>
        </w:rPr>
        <w:tab/>
        <w:t>委员会关切地注意到，劳工市场不平等现象持续存在，妇女的就业机会有限，尤其是男女工资差别很大，男女职业明显隔离，而且工作条件恶劣。</w:t>
      </w:r>
    </w:p>
    <w:p w:rsidR="001C0272" w:rsidRDefault="001C0272" w:rsidP="001C0272">
      <w:pPr>
        <w:pStyle w:val="SingleTxt"/>
        <w:rPr>
          <w:rFonts w:ascii="SimHei" w:eastAsia="SimHei" w:hint="eastAsia"/>
          <w:color w:val="FF0000"/>
        </w:rPr>
      </w:pPr>
      <w:r w:rsidRPr="009A23FE">
        <w:rPr>
          <w:rFonts w:hint="eastAsia"/>
        </w:rPr>
        <w:t>35.</w:t>
      </w:r>
      <w:r w:rsidRPr="008D5279">
        <w:rPr>
          <w:rFonts w:ascii="SimHei" w:eastAsia="SimHei" w:hint="eastAsia"/>
          <w:color w:val="FF0000"/>
        </w:rPr>
        <w:tab/>
        <w:t>委员会建议缔约国采取必要措施确保执行</w:t>
      </w:r>
      <w:r>
        <w:rPr>
          <w:rFonts w:ascii="SimHei" w:eastAsia="SimHei" w:hint="eastAsia"/>
          <w:color w:val="FF0000"/>
        </w:rPr>
        <w:t>本</w:t>
      </w:r>
      <w:r w:rsidRPr="008D5279">
        <w:rPr>
          <w:rFonts w:ascii="SimHei" w:eastAsia="SimHei" w:hint="eastAsia"/>
          <w:color w:val="FF0000"/>
        </w:rPr>
        <w:t>公约第十一条的规定，并实施玻利维亚已批准的国际劳工组织相关公约。委员会敦促缔约国设立有效机制，监测现行立法的执行情况，</w:t>
      </w:r>
      <w:r>
        <w:rPr>
          <w:rFonts w:ascii="SimHei" w:eastAsia="SimHei" w:hint="eastAsia"/>
          <w:color w:val="FF0000"/>
        </w:rPr>
        <w:t>确保无</w:t>
      </w:r>
      <w:r w:rsidRPr="008D5279">
        <w:rPr>
          <w:rFonts w:ascii="SimHei" w:eastAsia="SimHei" w:hint="eastAsia"/>
          <w:color w:val="FF0000"/>
        </w:rPr>
        <w:t>歧视就业</w:t>
      </w:r>
      <w:r>
        <w:rPr>
          <w:rFonts w:ascii="SimHei" w:eastAsia="SimHei" w:hint="eastAsia"/>
          <w:color w:val="FF0000"/>
        </w:rPr>
        <w:t>和男女同工同酬</w:t>
      </w:r>
      <w:r w:rsidRPr="008D5279">
        <w:rPr>
          <w:rFonts w:ascii="SimHei" w:eastAsia="SimHei" w:hint="eastAsia"/>
          <w:color w:val="FF0000"/>
        </w:rPr>
        <w:t>。</w:t>
      </w:r>
    </w:p>
    <w:p w:rsidR="001C0272" w:rsidRPr="001545ED" w:rsidRDefault="00864FB2" w:rsidP="001C0272">
      <w:pPr>
        <w:pStyle w:val="SingleTxt"/>
        <w:rPr>
          <w:rFonts w:hint="eastAsia"/>
        </w:rPr>
      </w:pPr>
      <w:r w:rsidRPr="001545ED">
        <w:t>36.</w:t>
      </w:r>
      <w:r w:rsidRPr="001545ED">
        <w:tab/>
      </w:r>
      <w:r w:rsidR="0052660F" w:rsidRPr="001545ED">
        <w:rPr>
          <w:rFonts w:hint="eastAsia"/>
        </w:rPr>
        <w:t>委员会关切地注意到，没有制定针对非正规部门妇女就业的政策，特别是从事农业和家务劳动的妇女。她们得不到任何社会保护和福利。委员会还关切缺乏妇女在经济中正规和非正规部门工作情况的数据。</w:t>
      </w:r>
    </w:p>
    <w:p w:rsidR="00864FB2" w:rsidRPr="00864FB2" w:rsidRDefault="00864FB2" w:rsidP="001C0272">
      <w:pPr>
        <w:pStyle w:val="SingleTxt"/>
        <w:rPr>
          <w:rFonts w:ascii="Times New Roman" w:eastAsia="SimHei" w:hint="eastAsia"/>
          <w:color w:val="FF0000"/>
        </w:rPr>
      </w:pPr>
      <w:r w:rsidRPr="009A23FE">
        <w:t>37.</w:t>
      </w:r>
      <w:r>
        <w:rPr>
          <w:rFonts w:ascii="Times New Roman" w:eastAsia="SimHei"/>
          <w:color w:val="FF0000"/>
        </w:rPr>
        <w:tab/>
      </w:r>
      <w:r w:rsidR="0052660F">
        <w:rPr>
          <w:rFonts w:ascii="Times New Roman" w:eastAsia="SimHei" w:hint="eastAsia"/>
          <w:color w:val="FF0000"/>
        </w:rPr>
        <w:t>委员会建议制定对性别问题敏感的就业政策，解决非正规部门、特别是从事农业和家务劳动的妇女的问题。委员会进一步建议有系统地收集按性别、年龄、农村和城市地区以及民族分列的妇女在正规和非正规经济部门中就业的数据。</w:t>
      </w:r>
    </w:p>
    <w:p w:rsidR="001C0272" w:rsidRDefault="001C0272" w:rsidP="001C0272">
      <w:pPr>
        <w:pStyle w:val="SingleTxt"/>
        <w:rPr>
          <w:rFonts w:hint="eastAsia"/>
        </w:rPr>
      </w:pPr>
      <w:r>
        <w:rPr>
          <w:rFonts w:hint="eastAsia"/>
        </w:rPr>
        <w:t>38.</w:t>
      </w:r>
      <w:r>
        <w:rPr>
          <w:rFonts w:hint="eastAsia"/>
        </w:rPr>
        <w:tab/>
        <w:t>委员会特别关切地注意到，女童工人数很多，流落街头的女孩面临特殊危险，无家可归。委员会还注意到《逐步消除最恶劣形式的童工劳动的国家方案（2000-2010年）》的安排不得力，财政资源不足，使其监控机制无法有效监测方案及其对性别问题敏感政策的影响。</w:t>
      </w:r>
    </w:p>
    <w:p w:rsidR="001C0272" w:rsidRDefault="001C0272" w:rsidP="001C0272">
      <w:pPr>
        <w:pStyle w:val="SingleTxt"/>
        <w:rPr>
          <w:rFonts w:hint="eastAsia"/>
        </w:rPr>
      </w:pPr>
      <w:r w:rsidRPr="009A23FE">
        <w:rPr>
          <w:rFonts w:hint="eastAsia"/>
        </w:rPr>
        <w:t>39.</w:t>
      </w:r>
      <w:r w:rsidRPr="008D5279">
        <w:rPr>
          <w:rFonts w:ascii="SimHei" w:eastAsia="SimHei" w:hint="eastAsia"/>
          <w:color w:val="FF0000"/>
        </w:rPr>
        <w:tab/>
        <w:t>委员会请缔约国处理童工问题，</w:t>
      </w:r>
      <w:r>
        <w:rPr>
          <w:rFonts w:ascii="SimHei" w:eastAsia="SimHei" w:hint="eastAsia"/>
          <w:color w:val="FF0000"/>
        </w:rPr>
        <w:t>特别是女童易受伤害的情况，</w:t>
      </w:r>
      <w:r w:rsidRPr="008D5279">
        <w:rPr>
          <w:rFonts w:ascii="SimHei" w:eastAsia="SimHei" w:hint="eastAsia"/>
          <w:color w:val="FF0000"/>
        </w:rPr>
        <w:t>克服《逐步消除最恶劣形式的童工劳动的国家方案（2000-2010年）》的安排不力和财政资源不足的弱点，依照其根据国际劳工组织关于准予就业最低年龄（14岁）的《第138号公约》和关于禁止和立即行动消除最有害的童工形式的《第182号公约》承担的义务</w:t>
      </w:r>
      <w:r>
        <w:rPr>
          <w:rFonts w:ascii="SimHei" w:eastAsia="SimHei" w:hint="eastAsia"/>
          <w:color w:val="FF0000"/>
        </w:rPr>
        <w:t>，</w:t>
      </w:r>
      <w:r w:rsidRPr="008D5279">
        <w:rPr>
          <w:rFonts w:ascii="SimHei" w:eastAsia="SimHei" w:hint="eastAsia"/>
          <w:color w:val="FF0000"/>
        </w:rPr>
        <w:t>制定政策和立法</w:t>
      </w:r>
      <w:r>
        <w:rPr>
          <w:rFonts w:hint="eastAsia"/>
        </w:rPr>
        <w:t>。</w:t>
      </w:r>
    </w:p>
    <w:p w:rsidR="001C0272" w:rsidRDefault="001C0272" w:rsidP="001C0272">
      <w:pPr>
        <w:pStyle w:val="SingleTxt"/>
        <w:rPr>
          <w:rFonts w:hint="eastAsia"/>
        </w:rPr>
      </w:pPr>
      <w:r>
        <w:rPr>
          <w:rFonts w:hint="eastAsia"/>
        </w:rPr>
        <w:t>40.</w:t>
      </w:r>
      <w:r>
        <w:rPr>
          <w:rFonts w:hint="eastAsia"/>
        </w:rPr>
        <w:tab/>
        <w:t>缔约国对妇女的性保健和生殖权利的承认和保护不够，特别是2004年通过的关于性权利和生殖权利的第1810号框架法虽可望颁布，但实施工作仍陷于瘫痪，因此阻碍玻利维亚全体民众接受性保健和生殖保健服务，委员会对此表示关切。缔约国提供的数据表明，玻利维亚妇女实际生育率和理想生育率有差距，农村地区尤其如此，少女怀孕人数多，影响她们享有其权利。委员会对此也表示特别关切。</w:t>
      </w:r>
    </w:p>
    <w:p w:rsidR="001C0272" w:rsidRPr="00C17CA3" w:rsidRDefault="001C0272" w:rsidP="001C0272">
      <w:pPr>
        <w:pStyle w:val="SingleTxt"/>
        <w:rPr>
          <w:rFonts w:ascii="SimHei" w:eastAsia="SimHei" w:hint="eastAsia"/>
          <w:color w:val="FF0000"/>
        </w:rPr>
      </w:pPr>
      <w:r w:rsidRPr="009A23FE">
        <w:rPr>
          <w:rFonts w:hint="eastAsia"/>
        </w:rPr>
        <w:t>41.</w:t>
      </w:r>
      <w:r w:rsidRPr="00C17CA3">
        <w:rPr>
          <w:rFonts w:ascii="SimHei" w:eastAsia="SimHei" w:hint="eastAsia"/>
          <w:color w:val="FF0000"/>
        </w:rPr>
        <w:tab/>
        <w:t>委员会敦促缔约国采取一切必要措施解决第1810号法陷入的僵局，并尽快颁布该法。委员会还敦促玻利维亚政府按照委员会关于提供保健服务和《北京宣言和行动纲要》的</w:t>
      </w:r>
      <w:r>
        <w:rPr>
          <w:rFonts w:ascii="SimHei" w:eastAsia="SimHei" w:hint="eastAsia"/>
          <w:color w:val="FF0000"/>
        </w:rPr>
        <w:t>第</w:t>
      </w:r>
      <w:r w:rsidRPr="00C17CA3">
        <w:rPr>
          <w:rFonts w:ascii="SimHei" w:eastAsia="SimHei" w:hint="eastAsia"/>
          <w:color w:val="FF0000"/>
        </w:rPr>
        <w:t>24</w:t>
      </w:r>
      <w:r>
        <w:rPr>
          <w:rFonts w:ascii="SimHei" w:eastAsia="SimHei" w:hint="eastAsia"/>
          <w:color w:val="FF0000"/>
        </w:rPr>
        <w:t>条</w:t>
      </w:r>
      <w:r w:rsidRPr="00C17CA3">
        <w:rPr>
          <w:rFonts w:ascii="SimHei" w:eastAsia="SimHei" w:hint="eastAsia"/>
          <w:color w:val="FF0000"/>
        </w:rPr>
        <w:t>一般性建议，加大执行计划生育和生殖健康方案和政策的力度，向妇女和女童有效提供关于保健服务、尤其是生殖健康和负担得起的避孕方法的信息，特别是在农村地区。委员会还建议缔约国加紧努力，按年龄将性教育纳入课程，并开展宣传教育，防止少女怀孕。</w:t>
      </w:r>
    </w:p>
    <w:p w:rsidR="001C0272" w:rsidRDefault="001C0272" w:rsidP="001C0272">
      <w:pPr>
        <w:pStyle w:val="SingleTxt"/>
        <w:rPr>
          <w:rFonts w:hint="eastAsia"/>
        </w:rPr>
      </w:pPr>
      <w:r>
        <w:rPr>
          <w:rFonts w:hint="eastAsia"/>
        </w:rPr>
        <w:t>42.</w:t>
      </w:r>
      <w:r>
        <w:rPr>
          <w:rFonts w:hint="eastAsia"/>
        </w:rPr>
        <w:tab/>
        <w:t>委员会对玻利维亚孕产妇死亡率高表示关切，主要原因是与怀孕有关的问题，以及缺乏及时的医疗照顾，特别是在农村地区。委员会还表示关切的是，目前很难进行不受惩罚的人工流产，无论是在治疗还是道德上，特别是由于无现行法律规定可循，结果许多妇女进行非法又不安全的人工流产。</w:t>
      </w:r>
    </w:p>
    <w:p w:rsidR="001C0272" w:rsidRPr="00C17CA3" w:rsidRDefault="001C0272" w:rsidP="001C0272">
      <w:pPr>
        <w:pStyle w:val="SingleTxt"/>
        <w:rPr>
          <w:rFonts w:ascii="SimHei" w:eastAsia="SimHei" w:hint="eastAsia"/>
          <w:color w:val="FF0000"/>
        </w:rPr>
      </w:pPr>
      <w:r w:rsidRPr="009A23FE">
        <w:rPr>
          <w:rFonts w:hint="eastAsia"/>
        </w:rPr>
        <w:t>43.</w:t>
      </w:r>
      <w:r w:rsidRPr="00C17CA3">
        <w:rPr>
          <w:rFonts w:ascii="SimHei" w:eastAsia="SimHei" w:hint="eastAsia"/>
          <w:color w:val="FF0000"/>
        </w:rPr>
        <w:tab/>
      </w:r>
      <w:r w:rsidRPr="00B412AD">
        <w:rPr>
          <w:rFonts w:ascii="SimHei" w:eastAsia="SimHei" w:hint="eastAsia"/>
          <w:color w:val="FF0000"/>
        </w:rPr>
        <w:t>委员会建议</w:t>
      </w:r>
      <w:r w:rsidRPr="00C17CA3">
        <w:rPr>
          <w:rFonts w:ascii="SimHei" w:eastAsia="SimHei" w:hint="eastAsia"/>
          <w:color w:val="FF0000"/>
        </w:rPr>
        <w:t>缔约国</w:t>
      </w:r>
      <w:r>
        <w:rPr>
          <w:rFonts w:ascii="SimHei" w:eastAsia="SimHei" w:hint="eastAsia"/>
          <w:color w:val="FF0000"/>
        </w:rPr>
        <w:t>根据第24条一般性建议，把两性平等观点纳入国家卫生保健政策中，使最容易受到伤害的妇女群体、特别是农村和土著妇女。</w:t>
      </w:r>
      <w:r w:rsidRPr="00C17CA3">
        <w:rPr>
          <w:rFonts w:ascii="SimHei" w:eastAsia="SimHei" w:hint="eastAsia"/>
          <w:color w:val="FF0000"/>
        </w:rPr>
        <w:t>委员会敦促缔约国立即行动起来，采取有效措施解决孕产妇死亡率高的问题，保证妇女在产前、分娩和产后均得到适当的医疗照顾，并确保在全国所有地区、特别是农村地区提供保健设施，由训练有素的人员提供医疗援助。委员会敦促缔约国开始实施有关玻利维亚妇女进行治疗性人工流产权利的现行法律规定。委员会还敦促缔约国允许妇女在不安全人工流产导致并发症的情况下获得优质医疗服务，以降低孕产妇死亡率。</w:t>
      </w:r>
    </w:p>
    <w:p w:rsidR="001C0272" w:rsidRDefault="001C0272" w:rsidP="001C0272">
      <w:pPr>
        <w:pStyle w:val="SingleTxt"/>
        <w:rPr>
          <w:rFonts w:hint="eastAsia"/>
        </w:rPr>
      </w:pPr>
      <w:r>
        <w:rPr>
          <w:rFonts w:hint="eastAsia"/>
        </w:rPr>
        <w:t>44.</w:t>
      </w:r>
      <w:r>
        <w:rPr>
          <w:rFonts w:hint="eastAsia"/>
        </w:rPr>
        <w:tab/>
        <w:t>委员会注意到，玻利维亚虽然努力提高妇女结婚年龄，特别是通过修改《家庭法》将男女最低结婚年龄均定为16岁，但委员会对此表示关切，因为这个年龄太早，可能阻碍女童继续学习，导致她们提早辍学。</w:t>
      </w:r>
    </w:p>
    <w:p w:rsidR="001C0272" w:rsidRPr="00C17CA3" w:rsidRDefault="001C0272" w:rsidP="001C0272">
      <w:pPr>
        <w:pStyle w:val="SingleTxt"/>
        <w:rPr>
          <w:rFonts w:ascii="SimHei" w:eastAsia="SimHei" w:hint="eastAsia"/>
          <w:color w:val="FF0000"/>
        </w:rPr>
      </w:pPr>
      <w:r w:rsidRPr="009A23FE">
        <w:rPr>
          <w:rFonts w:hint="eastAsia"/>
        </w:rPr>
        <w:t>45.</w:t>
      </w:r>
      <w:r w:rsidRPr="00C17CA3">
        <w:rPr>
          <w:rFonts w:ascii="SimHei" w:eastAsia="SimHei" w:hint="eastAsia"/>
          <w:color w:val="FF0000"/>
        </w:rPr>
        <w:tab/>
        <w:t>委员会敦促缔约国采取必要措施，在当前改革的基础上，将男女最低结婚年龄</w:t>
      </w:r>
      <w:r>
        <w:rPr>
          <w:rFonts w:ascii="SimHei" w:eastAsia="SimHei" w:hint="eastAsia"/>
          <w:color w:val="FF0000"/>
        </w:rPr>
        <w:t>提高到</w:t>
      </w:r>
      <w:r w:rsidRPr="00C17CA3">
        <w:rPr>
          <w:rFonts w:ascii="SimHei" w:eastAsia="SimHei" w:hint="eastAsia"/>
          <w:color w:val="FF0000"/>
        </w:rPr>
        <w:t>18岁，使之符合《儿童权利公约》第</w:t>
      </w:r>
      <w:r>
        <w:rPr>
          <w:rFonts w:ascii="SimHei" w:eastAsia="SimHei" w:hint="eastAsia"/>
          <w:color w:val="FF0000"/>
        </w:rPr>
        <w:t>一</w:t>
      </w:r>
      <w:r w:rsidRPr="00C17CA3">
        <w:rPr>
          <w:rFonts w:ascii="SimHei" w:eastAsia="SimHei" w:hint="eastAsia"/>
          <w:color w:val="FF0000"/>
        </w:rPr>
        <w:t>条和《消除对妇女一切形式歧视公约》第十六条第2款的规定，以及消除对妇女歧视委员会关于婚姻和家庭关系平等的</w:t>
      </w:r>
      <w:r>
        <w:rPr>
          <w:rFonts w:ascii="SimHei" w:eastAsia="SimHei" w:hint="eastAsia"/>
          <w:color w:val="FF0000"/>
        </w:rPr>
        <w:t>第</w:t>
      </w:r>
      <w:r w:rsidRPr="00C17CA3">
        <w:rPr>
          <w:rFonts w:ascii="SimHei" w:eastAsia="SimHei" w:hint="eastAsia"/>
          <w:color w:val="FF0000"/>
        </w:rPr>
        <w:t>21</w:t>
      </w:r>
      <w:r>
        <w:rPr>
          <w:rFonts w:ascii="SimHei" w:eastAsia="SimHei" w:hint="eastAsia"/>
          <w:color w:val="FF0000"/>
        </w:rPr>
        <w:t>条</w:t>
      </w:r>
      <w:r w:rsidRPr="00C17CA3">
        <w:rPr>
          <w:rFonts w:ascii="SimHei" w:eastAsia="SimHei" w:hint="eastAsia"/>
          <w:color w:val="FF0000"/>
        </w:rPr>
        <w:t>一般性建议。</w:t>
      </w:r>
    </w:p>
    <w:p w:rsidR="001C0272" w:rsidRDefault="001C0272" w:rsidP="001C0272">
      <w:pPr>
        <w:pStyle w:val="SingleTxt"/>
        <w:rPr>
          <w:rFonts w:hint="eastAsia"/>
        </w:rPr>
      </w:pPr>
      <w:r>
        <w:rPr>
          <w:rFonts w:hint="eastAsia"/>
        </w:rPr>
        <w:t>46.</w:t>
      </w:r>
      <w:r>
        <w:rPr>
          <w:rFonts w:hint="eastAsia"/>
        </w:rPr>
        <w:tab/>
        <w:t>委员会感到遗憾的是，报告中没有按性别、年龄、城乡和族裔分列统计数据，致使很难准确评价妇女在本公约所涉大多数领域中的现状，以及持续存在直接和间接歧视形式的可能性。委员会关切地注意到，缺少详细数据还可能妨碍缔约国现在制定实施具体政策和方案，并对其在执行本公约方面的实效作出评价。</w:t>
      </w:r>
    </w:p>
    <w:p w:rsidR="001C0272" w:rsidRPr="00C17CA3" w:rsidRDefault="001C0272" w:rsidP="001C0272">
      <w:pPr>
        <w:pStyle w:val="SingleTxt"/>
        <w:rPr>
          <w:rFonts w:ascii="SimHei" w:eastAsia="SimHei" w:hint="eastAsia"/>
          <w:color w:val="FF0000"/>
        </w:rPr>
      </w:pPr>
      <w:r w:rsidRPr="009A23FE">
        <w:rPr>
          <w:rFonts w:hint="eastAsia"/>
        </w:rPr>
        <w:t>47.</w:t>
      </w:r>
      <w:r w:rsidRPr="00C17CA3">
        <w:rPr>
          <w:rFonts w:ascii="SimHei" w:eastAsia="SimHei" w:hint="eastAsia"/>
          <w:color w:val="FF0000"/>
        </w:rPr>
        <w:tab/>
        <w:t>委员会敦促缔约国毫不拖延地加强当前在本公约所涉各领域的数据收集系统，以便准确评价妇女的真实情况，并适当跟踪趋势变化。委员会敦促缔约国利用量化指标，评价所采取的各项措施的影响，以及在实现男女事实平等方面取得的进展。委员会鼓励缔约国利用这些数据和指标制定法律、政策和方案，以有效执行本公约。委员会请缔约国在下份报告中按城乡和族裔分列这些数据，并说明采取的各项措施的结果，以及在切实实现男女事实平等方面取得的成果。</w:t>
      </w:r>
    </w:p>
    <w:p w:rsidR="001C0272" w:rsidRPr="00C17CA3" w:rsidRDefault="001C0272" w:rsidP="001C0272">
      <w:pPr>
        <w:pStyle w:val="SingleTxt"/>
        <w:rPr>
          <w:rFonts w:ascii="SimHei" w:eastAsia="SimHei" w:hint="eastAsia"/>
          <w:color w:val="FF0000"/>
        </w:rPr>
      </w:pPr>
      <w:r w:rsidRPr="009A23FE">
        <w:rPr>
          <w:rFonts w:hint="eastAsia"/>
        </w:rPr>
        <w:t>48.</w:t>
      </w:r>
      <w:r w:rsidRPr="00C17CA3">
        <w:rPr>
          <w:rFonts w:ascii="SimHei" w:eastAsia="SimHei" w:hint="eastAsia"/>
          <w:color w:val="FF0000"/>
        </w:rPr>
        <w:tab/>
        <w:t>委员会敦促缔约国尽快接受关于委员会开会时间的本公</w:t>
      </w:r>
      <w:r>
        <w:rPr>
          <w:rFonts w:ascii="SimHei" w:eastAsia="SimHei" w:hint="eastAsia"/>
          <w:color w:val="FF0000"/>
        </w:rPr>
        <w:t>约</w:t>
      </w:r>
      <w:r w:rsidRPr="00C17CA3">
        <w:rPr>
          <w:rFonts w:ascii="SimHei" w:eastAsia="SimHei" w:hint="eastAsia"/>
          <w:color w:val="FF0000"/>
        </w:rPr>
        <w:t>第二十条第1款</w:t>
      </w:r>
      <w:r>
        <w:rPr>
          <w:rFonts w:ascii="SimHei" w:eastAsia="SimHei" w:hint="eastAsia"/>
          <w:color w:val="FF0000"/>
        </w:rPr>
        <w:t>的</w:t>
      </w:r>
      <w:r w:rsidRPr="00C17CA3">
        <w:rPr>
          <w:rFonts w:ascii="SimHei" w:eastAsia="SimHei" w:hint="eastAsia"/>
          <w:color w:val="FF0000"/>
        </w:rPr>
        <w:t>修正案。</w:t>
      </w:r>
    </w:p>
    <w:p w:rsidR="001C0272" w:rsidRPr="00C17CA3" w:rsidRDefault="001C0272" w:rsidP="001C0272">
      <w:pPr>
        <w:pStyle w:val="SingleTxt"/>
        <w:rPr>
          <w:rFonts w:ascii="SimHei" w:eastAsia="SimHei" w:hint="eastAsia"/>
          <w:color w:val="FF0000"/>
        </w:rPr>
      </w:pPr>
      <w:r w:rsidRPr="009A23FE">
        <w:rPr>
          <w:rFonts w:hint="eastAsia"/>
        </w:rPr>
        <w:t>49.</w:t>
      </w:r>
      <w:r w:rsidRPr="00C17CA3">
        <w:rPr>
          <w:rFonts w:ascii="SimHei" w:eastAsia="SimHei" w:hint="eastAsia"/>
          <w:color w:val="FF0000"/>
        </w:rPr>
        <w:tab/>
        <w:t>委员会敦促缔约国依照本公约规定的义务，充分执行《北京宣言和行动纲要》，其中重申本公约的各项规定，并请缔约国在下份定期报告中列入有关信息。</w:t>
      </w:r>
    </w:p>
    <w:p w:rsidR="001C0272" w:rsidRPr="00C17CA3" w:rsidRDefault="001C0272" w:rsidP="001C0272">
      <w:pPr>
        <w:pStyle w:val="SingleTxt"/>
        <w:rPr>
          <w:rFonts w:ascii="SimHei" w:eastAsia="SimHei" w:hint="eastAsia"/>
          <w:color w:val="FF0000"/>
        </w:rPr>
      </w:pPr>
      <w:r w:rsidRPr="009A23FE">
        <w:rPr>
          <w:rFonts w:hint="eastAsia"/>
        </w:rPr>
        <w:t>50.</w:t>
      </w:r>
      <w:r w:rsidRPr="00C17CA3">
        <w:rPr>
          <w:rFonts w:ascii="SimHei" w:eastAsia="SimHei" w:hint="eastAsia"/>
          <w:color w:val="FF0000"/>
        </w:rPr>
        <w:tab/>
        <w:t>委员会强调充分、有效执行本公约对实现千年发展目标至关重要；要求缔约国在努力实现这些目标的所有活动中纳入两性平等观点，明确反映出本公约的各项规定，并要求缔约国在下份定期报告中纳入有关信息。</w:t>
      </w:r>
    </w:p>
    <w:p w:rsidR="001C0272" w:rsidRPr="00C17CA3" w:rsidRDefault="001C0272" w:rsidP="001C0272">
      <w:pPr>
        <w:pStyle w:val="SingleTxt"/>
        <w:rPr>
          <w:rFonts w:ascii="SimHei" w:eastAsia="SimHei" w:hint="eastAsia"/>
          <w:color w:val="FF0000"/>
        </w:rPr>
      </w:pPr>
      <w:r w:rsidRPr="009A23FE">
        <w:rPr>
          <w:rFonts w:hint="eastAsia"/>
        </w:rPr>
        <w:t>51.</w:t>
      </w:r>
      <w:r w:rsidRPr="00C17CA3">
        <w:rPr>
          <w:rFonts w:ascii="SimHei" w:eastAsia="SimHei" w:hint="eastAsia"/>
          <w:color w:val="FF0000"/>
        </w:rPr>
        <w:tab/>
        <w:t>委员会</w:t>
      </w:r>
      <w:r>
        <w:rPr>
          <w:rFonts w:ascii="SimHei" w:eastAsia="SimHei" w:hint="eastAsia"/>
          <w:color w:val="FF0000"/>
        </w:rPr>
        <w:t>注意到</w:t>
      </w:r>
      <w:r w:rsidRPr="00C17CA3">
        <w:rPr>
          <w:rFonts w:ascii="SimHei" w:eastAsia="SimHei" w:hint="eastAsia"/>
          <w:color w:val="FF0000"/>
        </w:rPr>
        <w:t>缔约国已</w:t>
      </w:r>
      <w:r>
        <w:rPr>
          <w:rFonts w:ascii="SimHei" w:eastAsia="SimHei" w:hint="eastAsia"/>
          <w:color w:val="FF0000"/>
        </w:rPr>
        <w:t>加入九</w:t>
      </w:r>
      <w:r w:rsidRPr="00C17CA3">
        <w:rPr>
          <w:rFonts w:ascii="SimHei" w:eastAsia="SimHei" w:hint="eastAsia"/>
          <w:color w:val="FF0000"/>
        </w:rPr>
        <w:t>项主要国际人权文书，</w:t>
      </w:r>
      <w:r w:rsidR="0004069C">
        <w:rPr>
          <w:rStyle w:val="FootnoteReference"/>
          <w:rFonts w:ascii="SimHei" w:eastAsia="SimHei"/>
        </w:rPr>
        <w:footnoteReference w:id="1"/>
      </w:r>
      <w:r w:rsidR="0004069C">
        <w:rPr>
          <w:rFonts w:ascii="Times New Roman" w:eastAsia="SimHei"/>
          <w:color w:val="FF0000"/>
        </w:rPr>
        <w:t xml:space="preserve"> </w:t>
      </w:r>
      <w:r w:rsidRPr="00C17CA3">
        <w:rPr>
          <w:rFonts w:ascii="SimHei" w:eastAsia="SimHei" w:hint="eastAsia"/>
          <w:color w:val="FF0000"/>
        </w:rPr>
        <w:t>并指出缔约国加入这些文书有助于妇女在生活所有方面享受人权和基本自由。</w:t>
      </w:r>
      <w:r>
        <w:rPr>
          <w:rFonts w:ascii="SimHei" w:eastAsia="SimHei" w:hint="eastAsia"/>
          <w:color w:val="FF0000"/>
        </w:rPr>
        <w:t>委员会鼓励玻利维亚政府考虑批准它尚未加入的</w:t>
      </w:r>
      <w:r w:rsidR="009A23FE">
        <w:rPr>
          <w:rFonts w:ascii="SimHei" w:eastAsia="SimHei" w:hint="eastAsia"/>
          <w:color w:val="FF0000"/>
        </w:rPr>
        <w:t>公约</w:t>
      </w:r>
      <w:r>
        <w:rPr>
          <w:rFonts w:ascii="SimHei" w:eastAsia="SimHei" w:hint="eastAsia"/>
          <w:color w:val="FF0000"/>
        </w:rPr>
        <w:t>，即《保护所有人不遭受强迫失踪国际公约》和《残疾人权利公约》。</w:t>
      </w:r>
    </w:p>
    <w:p w:rsidR="001C0272" w:rsidRPr="00C17CA3" w:rsidRDefault="001C0272" w:rsidP="001C0272">
      <w:pPr>
        <w:pStyle w:val="SingleTxt"/>
        <w:rPr>
          <w:rFonts w:ascii="SimHei" w:eastAsia="SimHei" w:hint="eastAsia"/>
          <w:color w:val="FF0000"/>
        </w:rPr>
      </w:pPr>
      <w:r w:rsidRPr="009A23FE">
        <w:rPr>
          <w:rFonts w:hint="eastAsia"/>
        </w:rPr>
        <w:t>52.</w:t>
      </w:r>
      <w:r w:rsidRPr="00C17CA3">
        <w:rPr>
          <w:rFonts w:ascii="SimHei" w:eastAsia="SimHei" w:hint="eastAsia"/>
          <w:color w:val="FF0000"/>
        </w:rPr>
        <w:tab/>
        <w:t>委员会请求在玻利维亚广泛宣传这些</w:t>
      </w:r>
      <w:r>
        <w:rPr>
          <w:rFonts w:ascii="SimHei" w:eastAsia="SimHei" w:hint="eastAsia"/>
          <w:color w:val="FF0000"/>
        </w:rPr>
        <w:t>结论</w:t>
      </w:r>
      <w:r w:rsidRPr="00C17CA3">
        <w:rPr>
          <w:rFonts w:ascii="SimHei" w:eastAsia="SimHei" w:hint="eastAsia"/>
          <w:color w:val="FF0000"/>
        </w:rPr>
        <w:t>意见，让人民，包括政府官员、政治家、议员、妇女组织和人权促进组织了解为确保妇女法律和事实上的平等所采取的措施，以及打算在</w:t>
      </w:r>
      <w:r>
        <w:rPr>
          <w:rFonts w:ascii="SimHei" w:eastAsia="SimHei" w:hint="eastAsia"/>
          <w:color w:val="FF0000"/>
        </w:rPr>
        <w:t>这</w:t>
      </w:r>
      <w:r w:rsidRPr="00C17CA3">
        <w:rPr>
          <w:rFonts w:ascii="SimHei" w:eastAsia="SimHei" w:hint="eastAsia"/>
          <w:color w:val="FF0000"/>
        </w:rPr>
        <w:t>方面采取的进一步措施。委员会请缔约国特别是在妇女组织和人权组织中继续广泛宣传，本公约及其《任择议定书》、委员会一般性建议、《北京宣言和行动纲要》及大会第二十三届特别会议成果。</w:t>
      </w:r>
    </w:p>
    <w:p w:rsidR="001C0272" w:rsidRDefault="001C0272" w:rsidP="001C0272">
      <w:pPr>
        <w:pStyle w:val="SingleTxt"/>
        <w:rPr>
          <w:rFonts w:ascii="SimHei" w:eastAsia="SimHei" w:hint="eastAsia"/>
          <w:color w:val="FF0000"/>
        </w:rPr>
      </w:pPr>
      <w:r w:rsidRPr="009A23FE">
        <w:rPr>
          <w:rFonts w:hint="eastAsia"/>
        </w:rPr>
        <w:t>53.</w:t>
      </w:r>
      <w:r w:rsidRPr="00C17CA3">
        <w:rPr>
          <w:rFonts w:ascii="SimHei" w:eastAsia="SimHei" w:hint="eastAsia"/>
          <w:color w:val="FF0000"/>
        </w:rPr>
        <w:tab/>
        <w:t>委员会请缔约国在其下份定期报告中对在这些结论意见中表示</w:t>
      </w:r>
      <w:r>
        <w:rPr>
          <w:rFonts w:ascii="SimHei" w:eastAsia="SimHei" w:hint="eastAsia"/>
          <w:color w:val="FF0000"/>
        </w:rPr>
        <w:t>的关切作出回应，这些关切与本公约第十八条有关。委员会请缔约国在2011年以合并报告形式</w:t>
      </w:r>
      <w:r w:rsidRPr="00C17CA3">
        <w:rPr>
          <w:rFonts w:ascii="SimHei" w:eastAsia="SimHei" w:hint="eastAsia"/>
          <w:color w:val="FF0000"/>
        </w:rPr>
        <w:t>提交第五次定期</w:t>
      </w:r>
      <w:r>
        <w:rPr>
          <w:rFonts w:ascii="SimHei" w:eastAsia="SimHei" w:hint="eastAsia"/>
          <w:color w:val="FF0000"/>
        </w:rPr>
        <w:t>报告（应于2007年7月提交）和第六次定期报告（</w:t>
      </w:r>
      <w:r w:rsidRPr="00C17CA3">
        <w:rPr>
          <w:rFonts w:ascii="SimHei" w:eastAsia="SimHei" w:hint="eastAsia"/>
          <w:color w:val="FF0000"/>
        </w:rPr>
        <w:t>预定日期是2011年7月</w:t>
      </w:r>
      <w:r>
        <w:rPr>
          <w:rFonts w:ascii="SimHei" w:eastAsia="SimHei" w:hint="eastAsia"/>
          <w:color w:val="FF0000"/>
        </w:rPr>
        <w:t>）</w:t>
      </w:r>
      <w:r w:rsidRPr="00C17CA3">
        <w:rPr>
          <w:rFonts w:ascii="SimHei" w:eastAsia="SimHei" w:hint="eastAsia"/>
          <w:color w:val="FF0000"/>
        </w:rPr>
        <w:t>。</w:t>
      </w:r>
    </w:p>
    <w:p w:rsidR="00EA31C3" w:rsidRPr="001C0272" w:rsidRDefault="001C0272" w:rsidP="001C0272">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wrap type="square"/>
          </v:line>
        </w:pict>
      </w:r>
    </w:p>
    <w:sectPr w:rsidR="00EA31C3" w:rsidRPr="001C0272" w:rsidSect="00577A8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7T14:44:00Z" w:initials="Start">
    <w:p w:rsidR="009A23FE" w:rsidRDefault="009A23F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NO&gt;&gt;N0829813C&lt;&lt;ODS JOB NO&gt;&gt;</w:t>
      </w:r>
    </w:p>
    <w:p w:rsidR="009A23FE" w:rsidRDefault="009A23FE">
      <w:pPr>
        <w:pStyle w:val="CommentText"/>
      </w:pPr>
      <w:r>
        <w:t>&lt;&lt;ODS DOC SYMBOL1&gt;&gt;CEDAW/C/BOL/CO/4&lt;&lt;ODS DOC SYMBOL1&gt;&gt;</w:t>
      </w:r>
    </w:p>
    <w:p w:rsidR="009A23FE" w:rsidRDefault="009A23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D5B" w:rsidRDefault="00664D5B">
      <w:r>
        <w:separator/>
      </w:r>
    </w:p>
  </w:endnote>
  <w:endnote w:type="continuationSeparator" w:id="0">
    <w:p w:rsidR="00664D5B" w:rsidRDefault="00664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23FE" w:rsidTr="00577A89">
      <w:tblPrEx>
        <w:tblCellMar>
          <w:top w:w="0" w:type="dxa"/>
          <w:bottom w:w="0" w:type="dxa"/>
        </w:tblCellMar>
      </w:tblPrEx>
      <w:tc>
        <w:tcPr>
          <w:tcW w:w="5033" w:type="dxa"/>
          <w:shd w:val="clear" w:color="auto" w:fill="auto"/>
        </w:tcPr>
        <w:p w:rsidR="009A23FE" w:rsidRPr="00577A89" w:rsidRDefault="009A23FE" w:rsidP="00577A89">
          <w:pPr>
            <w:pStyle w:val="Footer"/>
            <w:jc w:val="right"/>
            <w:rPr>
              <w:b w:val="0"/>
              <w:w w:val="103"/>
              <w:sz w:val="14"/>
            </w:rPr>
          </w:pPr>
          <w:r>
            <w:rPr>
              <w:b w:val="0"/>
              <w:w w:val="103"/>
              <w:sz w:val="14"/>
            </w:rPr>
            <w:t>08-29</w:t>
          </w:r>
          <w:r>
            <w:rPr>
              <w:rFonts w:hint="eastAsia"/>
              <w:b w:val="0"/>
              <w:w w:val="103"/>
              <w:sz w:val="14"/>
            </w:rPr>
            <w:t>813</w:t>
          </w:r>
          <w:r>
            <w:rPr>
              <w:b w:val="0"/>
              <w:w w:val="103"/>
              <w:sz w:val="14"/>
            </w:rPr>
            <w:t xml:space="preserve"> (C)</w:t>
          </w:r>
        </w:p>
      </w:tc>
      <w:tc>
        <w:tcPr>
          <w:tcW w:w="5033" w:type="dxa"/>
          <w:shd w:val="clear" w:color="auto" w:fill="auto"/>
        </w:tcPr>
        <w:p w:rsidR="009A23FE" w:rsidRPr="00577A89" w:rsidRDefault="009A23FE" w:rsidP="00577A8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B1434">
            <w:rPr>
              <w:w w:val="103"/>
              <w:sz w:val="17"/>
            </w:rPr>
            <w:t>2</w:t>
          </w:r>
          <w:r>
            <w:rPr>
              <w:w w:val="103"/>
              <w:sz w:val="17"/>
            </w:rPr>
            <w:fldChar w:fldCharType="end"/>
          </w:r>
        </w:p>
      </w:tc>
    </w:tr>
  </w:tbl>
  <w:p w:rsidR="009A23FE" w:rsidRPr="00577A89" w:rsidRDefault="009A23FE" w:rsidP="00577A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23FE" w:rsidTr="00577A89">
      <w:tblPrEx>
        <w:tblCellMar>
          <w:top w:w="0" w:type="dxa"/>
          <w:bottom w:w="0" w:type="dxa"/>
        </w:tblCellMar>
      </w:tblPrEx>
      <w:tc>
        <w:tcPr>
          <w:tcW w:w="5033" w:type="dxa"/>
          <w:shd w:val="clear" w:color="auto" w:fill="auto"/>
        </w:tcPr>
        <w:p w:rsidR="009A23FE" w:rsidRPr="00577A89" w:rsidRDefault="009A23FE" w:rsidP="00577A89">
          <w:pPr>
            <w:pStyle w:val="Footer"/>
            <w:jc w:val="right"/>
          </w:pPr>
          <w:r>
            <w:fldChar w:fldCharType="begin"/>
          </w:r>
          <w:r>
            <w:instrText xml:space="preserve"> PAGE  \* MERGEFORMAT </w:instrText>
          </w:r>
          <w:r>
            <w:fldChar w:fldCharType="separate"/>
          </w:r>
          <w:r w:rsidR="001B1434">
            <w:t>3</w:t>
          </w:r>
          <w:r>
            <w:fldChar w:fldCharType="end"/>
          </w:r>
        </w:p>
      </w:tc>
      <w:tc>
        <w:tcPr>
          <w:tcW w:w="5033" w:type="dxa"/>
          <w:shd w:val="clear" w:color="auto" w:fill="auto"/>
        </w:tcPr>
        <w:p w:rsidR="009A23FE" w:rsidRPr="00577A89" w:rsidRDefault="009A23FE" w:rsidP="00577A89">
          <w:pPr>
            <w:pStyle w:val="Footer"/>
            <w:jc w:val="left"/>
            <w:rPr>
              <w:b w:val="0"/>
              <w:w w:val="103"/>
              <w:sz w:val="14"/>
            </w:rPr>
          </w:pPr>
          <w:r>
            <w:rPr>
              <w:b w:val="0"/>
              <w:w w:val="103"/>
              <w:sz w:val="14"/>
            </w:rPr>
            <w:t>08-29</w:t>
          </w:r>
          <w:r>
            <w:rPr>
              <w:rFonts w:hint="eastAsia"/>
              <w:b w:val="0"/>
              <w:w w:val="103"/>
              <w:sz w:val="14"/>
            </w:rPr>
            <w:t>813</w:t>
          </w:r>
          <w:r>
            <w:rPr>
              <w:b w:val="0"/>
              <w:w w:val="103"/>
              <w:sz w:val="14"/>
            </w:rPr>
            <w:t xml:space="preserve"> (C)</w:t>
          </w:r>
        </w:p>
      </w:tc>
    </w:tr>
  </w:tbl>
  <w:p w:rsidR="009A23FE" w:rsidRPr="00577A89" w:rsidRDefault="009A23FE" w:rsidP="00577A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3FE" w:rsidRDefault="009A23FE" w:rsidP="00577A8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1B1434">
      <w:rPr>
        <w:b w:val="0"/>
        <w:sz w:val="21"/>
      </w:rPr>
      <w:t>08-29813 (C)</w:t>
    </w:r>
    <w:r>
      <w:rPr>
        <w:b w:val="0"/>
        <w:sz w:val="21"/>
      </w:rPr>
      <w:fldChar w:fldCharType="end"/>
    </w:r>
    <w:r>
      <w:rPr>
        <w:b w:val="0"/>
        <w:sz w:val="21"/>
      </w:rPr>
      <w:t xml:space="preserve">    0</w:t>
    </w:r>
    <w:r>
      <w:rPr>
        <w:rFonts w:hint="eastAsia"/>
        <w:b w:val="0"/>
        <w:sz w:val="21"/>
      </w:rPr>
      <w:t>2</w:t>
    </w:r>
    <w:r>
      <w:rPr>
        <w:b w:val="0"/>
        <w:sz w:val="21"/>
      </w:rPr>
      <w:t>0508    070508</w:t>
    </w:r>
  </w:p>
  <w:p w:rsidR="009A23FE" w:rsidRPr="00577A89" w:rsidRDefault="009A23FE" w:rsidP="00577A89">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1B1434">
      <w:rPr>
        <w:rFonts w:ascii="Barcode 3 of 9 by request" w:hAnsi="Barcode 3 of 9 by request"/>
        <w:sz w:val="24"/>
      </w:rPr>
      <w:t>*0829813*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D5B" w:rsidRPr="0004069C" w:rsidRDefault="00664D5B" w:rsidP="0004069C">
      <w:pPr>
        <w:pStyle w:val="Footer"/>
        <w:spacing w:after="80"/>
        <w:ind w:left="792"/>
        <w:rPr>
          <w:sz w:val="16"/>
        </w:rPr>
      </w:pPr>
      <w:r w:rsidRPr="0004069C">
        <w:rPr>
          <w:sz w:val="16"/>
        </w:rPr>
        <w:t>__________________</w:t>
      </w:r>
    </w:p>
  </w:footnote>
  <w:footnote w:type="continuationSeparator" w:id="0">
    <w:p w:rsidR="00664D5B" w:rsidRPr="0004069C" w:rsidRDefault="00664D5B" w:rsidP="0004069C">
      <w:pPr>
        <w:pStyle w:val="Footer"/>
        <w:spacing w:after="80"/>
        <w:ind w:left="792"/>
        <w:rPr>
          <w:sz w:val="16"/>
        </w:rPr>
      </w:pPr>
      <w:r w:rsidRPr="0004069C">
        <w:rPr>
          <w:sz w:val="16"/>
        </w:rPr>
        <w:t>__________________</w:t>
      </w:r>
    </w:p>
  </w:footnote>
  <w:footnote w:id="1">
    <w:p w:rsidR="009A23FE" w:rsidRDefault="009A23FE" w:rsidP="000406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不遭受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23FE" w:rsidTr="00577A89">
      <w:tblPrEx>
        <w:tblCellMar>
          <w:top w:w="0" w:type="dxa"/>
          <w:bottom w:w="0" w:type="dxa"/>
        </w:tblCellMar>
      </w:tblPrEx>
      <w:trPr>
        <w:trHeight w:hRule="exact" w:val="864"/>
      </w:trPr>
      <w:tc>
        <w:tcPr>
          <w:tcW w:w="4838" w:type="dxa"/>
          <w:shd w:val="clear" w:color="auto" w:fill="auto"/>
          <w:vAlign w:val="bottom"/>
        </w:tcPr>
        <w:p w:rsidR="009A23FE" w:rsidRPr="00577A89" w:rsidRDefault="009A23FE" w:rsidP="00577A8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B1434">
            <w:rPr>
              <w:b/>
              <w:sz w:val="17"/>
            </w:rPr>
            <w:t>CEDAW/C/BOL/CO/4</w:t>
          </w:r>
          <w:r>
            <w:rPr>
              <w:b/>
              <w:sz w:val="17"/>
            </w:rPr>
            <w:fldChar w:fldCharType="end"/>
          </w:r>
        </w:p>
      </w:tc>
      <w:tc>
        <w:tcPr>
          <w:tcW w:w="5033" w:type="dxa"/>
          <w:shd w:val="clear" w:color="auto" w:fill="auto"/>
          <w:vAlign w:val="bottom"/>
        </w:tcPr>
        <w:p w:rsidR="009A23FE" w:rsidRDefault="009A23FE" w:rsidP="00577A89">
          <w:pPr>
            <w:pStyle w:val="Header"/>
          </w:pPr>
        </w:p>
      </w:tc>
    </w:tr>
  </w:tbl>
  <w:p w:rsidR="009A23FE" w:rsidRPr="00577A89" w:rsidRDefault="009A23FE" w:rsidP="00577A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23FE" w:rsidTr="00577A89">
      <w:tblPrEx>
        <w:tblCellMar>
          <w:top w:w="0" w:type="dxa"/>
          <w:bottom w:w="0" w:type="dxa"/>
        </w:tblCellMar>
      </w:tblPrEx>
      <w:trPr>
        <w:trHeight w:hRule="exact" w:val="864"/>
      </w:trPr>
      <w:tc>
        <w:tcPr>
          <w:tcW w:w="4838" w:type="dxa"/>
          <w:shd w:val="clear" w:color="auto" w:fill="auto"/>
          <w:vAlign w:val="bottom"/>
        </w:tcPr>
        <w:p w:rsidR="009A23FE" w:rsidRDefault="009A23FE" w:rsidP="00577A89">
          <w:pPr>
            <w:pStyle w:val="Header"/>
          </w:pPr>
        </w:p>
      </w:tc>
      <w:tc>
        <w:tcPr>
          <w:tcW w:w="5033" w:type="dxa"/>
          <w:shd w:val="clear" w:color="auto" w:fill="auto"/>
          <w:vAlign w:val="bottom"/>
        </w:tcPr>
        <w:p w:rsidR="009A23FE" w:rsidRPr="00577A89" w:rsidRDefault="009A23FE" w:rsidP="00577A8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B1434">
            <w:rPr>
              <w:b/>
              <w:sz w:val="17"/>
            </w:rPr>
            <w:t>CEDAW/C/BOL/CO/4</w:t>
          </w:r>
          <w:r>
            <w:rPr>
              <w:b/>
              <w:sz w:val="17"/>
            </w:rPr>
            <w:fldChar w:fldCharType="end"/>
          </w:r>
        </w:p>
      </w:tc>
    </w:tr>
  </w:tbl>
  <w:p w:rsidR="009A23FE" w:rsidRPr="00577A89" w:rsidRDefault="009A23FE" w:rsidP="00577A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A23FE" w:rsidTr="00577A8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A23FE" w:rsidRDefault="009A23FE" w:rsidP="00577A89">
          <w:pPr>
            <w:pStyle w:val="Header"/>
            <w:spacing w:after="120"/>
          </w:pPr>
        </w:p>
      </w:tc>
      <w:tc>
        <w:tcPr>
          <w:tcW w:w="1872" w:type="dxa"/>
          <w:tcBorders>
            <w:bottom w:val="single" w:sz="4" w:space="0" w:color="auto"/>
          </w:tcBorders>
          <w:shd w:val="clear" w:color="auto" w:fill="auto"/>
          <w:vAlign w:val="bottom"/>
        </w:tcPr>
        <w:p w:rsidR="009A23FE" w:rsidRPr="00577A89" w:rsidRDefault="009A23FE" w:rsidP="00577A8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A23FE" w:rsidRDefault="009A23FE" w:rsidP="00577A89">
          <w:pPr>
            <w:pStyle w:val="Header"/>
            <w:spacing w:after="120"/>
          </w:pPr>
        </w:p>
      </w:tc>
      <w:tc>
        <w:tcPr>
          <w:tcW w:w="6523" w:type="dxa"/>
          <w:gridSpan w:val="3"/>
          <w:tcBorders>
            <w:bottom w:val="single" w:sz="4" w:space="0" w:color="auto"/>
          </w:tcBorders>
          <w:shd w:val="clear" w:color="auto" w:fill="auto"/>
          <w:vAlign w:val="bottom"/>
        </w:tcPr>
        <w:p w:rsidR="009A23FE" w:rsidRPr="00577A89" w:rsidRDefault="009A23FE" w:rsidP="00577A89">
          <w:pPr>
            <w:spacing w:after="80" w:line="240" w:lineRule="auto"/>
            <w:jc w:val="right"/>
            <w:rPr>
              <w:rFonts w:ascii="Times New Roman"/>
              <w:position w:val="-4"/>
            </w:rPr>
          </w:pPr>
          <w:r>
            <w:rPr>
              <w:rFonts w:ascii="Times New Roman"/>
              <w:position w:val="-4"/>
              <w:sz w:val="40"/>
            </w:rPr>
            <w:t>CEDAW</w:t>
          </w:r>
          <w:r>
            <w:rPr>
              <w:rFonts w:ascii="Times New Roman"/>
              <w:position w:val="-4"/>
            </w:rPr>
            <w:t>/C/BOL/CO/4</w:t>
          </w:r>
        </w:p>
      </w:tc>
    </w:tr>
    <w:tr w:rsidR="009A23FE" w:rsidRPr="00577A89" w:rsidTr="00577A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A23FE" w:rsidRDefault="009A23FE" w:rsidP="00577A8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A23FE" w:rsidRPr="00577A89" w:rsidRDefault="009A23FE" w:rsidP="00577A89">
          <w:pPr>
            <w:pStyle w:val="Header"/>
            <w:spacing w:before="109"/>
            <w:ind w:left="-72"/>
          </w:pPr>
        </w:p>
      </w:tc>
      <w:tc>
        <w:tcPr>
          <w:tcW w:w="5227" w:type="dxa"/>
          <w:gridSpan w:val="3"/>
          <w:tcBorders>
            <w:top w:val="single" w:sz="4" w:space="0" w:color="auto"/>
            <w:bottom w:val="single" w:sz="12" w:space="0" w:color="auto"/>
          </w:tcBorders>
          <w:shd w:val="clear" w:color="auto" w:fill="auto"/>
        </w:tcPr>
        <w:p w:rsidR="009A23FE" w:rsidRPr="00577A89" w:rsidRDefault="009A23FE" w:rsidP="00577A8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A23FE" w:rsidRPr="00577A89" w:rsidRDefault="009A23FE" w:rsidP="00577A89">
          <w:pPr>
            <w:pStyle w:val="Header"/>
            <w:spacing w:before="109"/>
          </w:pPr>
        </w:p>
      </w:tc>
      <w:tc>
        <w:tcPr>
          <w:tcW w:w="3180" w:type="dxa"/>
          <w:gridSpan w:val="2"/>
          <w:tcBorders>
            <w:top w:val="single" w:sz="4" w:space="0" w:color="auto"/>
            <w:bottom w:val="single" w:sz="12" w:space="0" w:color="auto"/>
          </w:tcBorders>
          <w:shd w:val="clear" w:color="auto" w:fill="auto"/>
        </w:tcPr>
        <w:p w:rsidR="009A23FE" w:rsidRDefault="009A23FE" w:rsidP="00577A89">
          <w:pPr>
            <w:spacing w:before="240" w:line="240" w:lineRule="exact"/>
            <w:rPr>
              <w:rFonts w:ascii="Times New Roman"/>
            </w:rPr>
          </w:pPr>
          <w:r>
            <w:rPr>
              <w:rFonts w:ascii="Times New Roman"/>
            </w:rPr>
            <w:t>Distr.: General</w:t>
          </w:r>
        </w:p>
        <w:p w:rsidR="009A23FE" w:rsidRDefault="009A23FE" w:rsidP="00577A89">
          <w:pPr>
            <w:spacing w:line="240" w:lineRule="exact"/>
            <w:rPr>
              <w:rFonts w:ascii="Times New Roman"/>
            </w:rPr>
          </w:pPr>
          <w:r>
            <w:rPr>
              <w:rFonts w:ascii="Times New Roman"/>
            </w:rPr>
            <w:t>8 April 2008</w:t>
          </w:r>
        </w:p>
        <w:p w:rsidR="009A23FE" w:rsidRDefault="009A23FE" w:rsidP="00577A89">
          <w:pPr>
            <w:spacing w:line="240" w:lineRule="exact"/>
            <w:rPr>
              <w:rFonts w:ascii="Times New Roman"/>
            </w:rPr>
          </w:pPr>
          <w:r>
            <w:rPr>
              <w:rFonts w:ascii="Times New Roman"/>
            </w:rPr>
            <w:t>Chinese</w:t>
          </w:r>
        </w:p>
        <w:p w:rsidR="009A23FE" w:rsidRPr="00577A89" w:rsidRDefault="009A23FE" w:rsidP="00577A89">
          <w:pPr>
            <w:spacing w:line="240" w:lineRule="exact"/>
            <w:rPr>
              <w:rFonts w:ascii="Times New Roman"/>
            </w:rPr>
          </w:pPr>
          <w:r>
            <w:rPr>
              <w:rFonts w:ascii="Times New Roman"/>
            </w:rPr>
            <w:t>Original: Spanish</w:t>
          </w:r>
        </w:p>
      </w:tc>
    </w:tr>
  </w:tbl>
  <w:p w:rsidR="009A23FE" w:rsidRPr="00577A89" w:rsidRDefault="009A23FE" w:rsidP="00577A8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13*"/>
    <w:docVar w:name="CreationDt" w:val="07/05/2008 10:13:51"/>
    <w:docVar w:name="DocCategory" w:val="Doc"/>
    <w:docVar w:name="DocType" w:val="Final"/>
    <w:docVar w:name="FooterJN" w:val="08-29813"/>
    <w:docVar w:name="Jobn" w:val="08-29813 (C)"/>
    <w:docVar w:name="jobnDT" w:val="08-21129 (C)   070508"/>
    <w:docVar w:name="jobnDTDT" w:val="08-21129 (C)   070508   070508"/>
    <w:docVar w:name="JobNo" w:val="0829813C"/>
    <w:docVar w:name="OandT" w:val="geng"/>
    <w:docVar w:name="sss1" w:val="CEDAW/C/BOL/CO/4"/>
    <w:docVar w:name="sss2" w:val="-"/>
    <w:docVar w:name="Symbol1" w:val="CEDAW/C/BOL/CO/4"/>
    <w:docVar w:name="Symbol2" w:val="-"/>
  </w:docVars>
  <w:rsids>
    <w:rsidRoot w:val="00F1609A"/>
    <w:rsid w:val="000125BC"/>
    <w:rsid w:val="00014206"/>
    <w:rsid w:val="00021A2B"/>
    <w:rsid w:val="00037B39"/>
    <w:rsid w:val="0004069C"/>
    <w:rsid w:val="00044CA4"/>
    <w:rsid w:val="00045EFE"/>
    <w:rsid w:val="0007337D"/>
    <w:rsid w:val="000758DF"/>
    <w:rsid w:val="00076EB8"/>
    <w:rsid w:val="00095C67"/>
    <w:rsid w:val="000A31F9"/>
    <w:rsid w:val="000C1786"/>
    <w:rsid w:val="000E240F"/>
    <w:rsid w:val="000E49A4"/>
    <w:rsid w:val="000F1058"/>
    <w:rsid w:val="000F429D"/>
    <w:rsid w:val="001113F8"/>
    <w:rsid w:val="001212F9"/>
    <w:rsid w:val="00121328"/>
    <w:rsid w:val="0012708E"/>
    <w:rsid w:val="00141322"/>
    <w:rsid w:val="0015066B"/>
    <w:rsid w:val="00150D3A"/>
    <w:rsid w:val="00153D29"/>
    <w:rsid w:val="001545ED"/>
    <w:rsid w:val="00161E69"/>
    <w:rsid w:val="00161F54"/>
    <w:rsid w:val="00170FBE"/>
    <w:rsid w:val="0017506F"/>
    <w:rsid w:val="001B1434"/>
    <w:rsid w:val="001B2814"/>
    <w:rsid w:val="001B4F95"/>
    <w:rsid w:val="001C0272"/>
    <w:rsid w:val="001C3F7F"/>
    <w:rsid w:val="001C50E6"/>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04D7"/>
    <w:rsid w:val="00394A02"/>
    <w:rsid w:val="003C7B20"/>
    <w:rsid w:val="003E4565"/>
    <w:rsid w:val="003E748F"/>
    <w:rsid w:val="003E7612"/>
    <w:rsid w:val="004058B0"/>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2660F"/>
    <w:rsid w:val="005335B9"/>
    <w:rsid w:val="00536CCE"/>
    <w:rsid w:val="005541E4"/>
    <w:rsid w:val="00577A89"/>
    <w:rsid w:val="0058302A"/>
    <w:rsid w:val="005B7338"/>
    <w:rsid w:val="005C02AB"/>
    <w:rsid w:val="005D0F04"/>
    <w:rsid w:val="005F12F0"/>
    <w:rsid w:val="005F3273"/>
    <w:rsid w:val="005F34A3"/>
    <w:rsid w:val="00610CF2"/>
    <w:rsid w:val="006328DE"/>
    <w:rsid w:val="006479F1"/>
    <w:rsid w:val="00650BEE"/>
    <w:rsid w:val="006520FA"/>
    <w:rsid w:val="0065377D"/>
    <w:rsid w:val="00664D5B"/>
    <w:rsid w:val="00666F57"/>
    <w:rsid w:val="006740A7"/>
    <w:rsid w:val="00691524"/>
    <w:rsid w:val="006A654B"/>
    <w:rsid w:val="006E2924"/>
    <w:rsid w:val="006E7A26"/>
    <w:rsid w:val="006F2B3D"/>
    <w:rsid w:val="007319E0"/>
    <w:rsid w:val="00737B00"/>
    <w:rsid w:val="0075155C"/>
    <w:rsid w:val="00753A05"/>
    <w:rsid w:val="00757193"/>
    <w:rsid w:val="00761190"/>
    <w:rsid w:val="00776537"/>
    <w:rsid w:val="00783A25"/>
    <w:rsid w:val="007877F4"/>
    <w:rsid w:val="007E1B5E"/>
    <w:rsid w:val="007E6253"/>
    <w:rsid w:val="007F1D94"/>
    <w:rsid w:val="007F2278"/>
    <w:rsid w:val="00805783"/>
    <w:rsid w:val="00806F57"/>
    <w:rsid w:val="00806F90"/>
    <w:rsid w:val="00824C19"/>
    <w:rsid w:val="00826250"/>
    <w:rsid w:val="008378D1"/>
    <w:rsid w:val="00846462"/>
    <w:rsid w:val="00864FB2"/>
    <w:rsid w:val="0086691F"/>
    <w:rsid w:val="00883DB0"/>
    <w:rsid w:val="00884C8F"/>
    <w:rsid w:val="00892B89"/>
    <w:rsid w:val="00896D38"/>
    <w:rsid w:val="008C3296"/>
    <w:rsid w:val="008E2D03"/>
    <w:rsid w:val="008F2BB5"/>
    <w:rsid w:val="008F425D"/>
    <w:rsid w:val="008F5472"/>
    <w:rsid w:val="008F5D0F"/>
    <w:rsid w:val="009122E0"/>
    <w:rsid w:val="00913351"/>
    <w:rsid w:val="00915437"/>
    <w:rsid w:val="0096193C"/>
    <w:rsid w:val="009769E1"/>
    <w:rsid w:val="00977E0D"/>
    <w:rsid w:val="00986C04"/>
    <w:rsid w:val="009A23FE"/>
    <w:rsid w:val="009A2F76"/>
    <w:rsid w:val="009D2AC2"/>
    <w:rsid w:val="009E1774"/>
    <w:rsid w:val="009E2668"/>
    <w:rsid w:val="009E40A3"/>
    <w:rsid w:val="009E5C8C"/>
    <w:rsid w:val="009F10B1"/>
    <w:rsid w:val="009F47E3"/>
    <w:rsid w:val="009F6938"/>
    <w:rsid w:val="009F752E"/>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C195E"/>
    <w:rsid w:val="00AD4308"/>
    <w:rsid w:val="00AE0F70"/>
    <w:rsid w:val="00AF2A33"/>
    <w:rsid w:val="00B178C7"/>
    <w:rsid w:val="00B309DD"/>
    <w:rsid w:val="00B36621"/>
    <w:rsid w:val="00B36D64"/>
    <w:rsid w:val="00B41B48"/>
    <w:rsid w:val="00B56194"/>
    <w:rsid w:val="00B61A34"/>
    <w:rsid w:val="00B64E8E"/>
    <w:rsid w:val="00B65E8B"/>
    <w:rsid w:val="00B8025A"/>
    <w:rsid w:val="00B827B1"/>
    <w:rsid w:val="00B85979"/>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54E9A"/>
    <w:rsid w:val="00D676D7"/>
    <w:rsid w:val="00D71517"/>
    <w:rsid w:val="00D7168D"/>
    <w:rsid w:val="00D874E1"/>
    <w:rsid w:val="00D9586D"/>
    <w:rsid w:val="00DA7ED1"/>
    <w:rsid w:val="00DB0932"/>
    <w:rsid w:val="00DC2506"/>
    <w:rsid w:val="00DC49FA"/>
    <w:rsid w:val="00DD3D6B"/>
    <w:rsid w:val="00DD4467"/>
    <w:rsid w:val="00DD61C8"/>
    <w:rsid w:val="00DD772B"/>
    <w:rsid w:val="00E050BA"/>
    <w:rsid w:val="00E25442"/>
    <w:rsid w:val="00E25A1F"/>
    <w:rsid w:val="00E339BF"/>
    <w:rsid w:val="00E37EEB"/>
    <w:rsid w:val="00E710FB"/>
    <w:rsid w:val="00E806D9"/>
    <w:rsid w:val="00E82CA2"/>
    <w:rsid w:val="00E94E5A"/>
    <w:rsid w:val="00E95594"/>
    <w:rsid w:val="00EA31C3"/>
    <w:rsid w:val="00EB33AC"/>
    <w:rsid w:val="00EC6F21"/>
    <w:rsid w:val="00EE0913"/>
    <w:rsid w:val="00EF67EE"/>
    <w:rsid w:val="00F01440"/>
    <w:rsid w:val="00F13305"/>
    <w:rsid w:val="00F1609A"/>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3751</Words>
  <Characters>3865</Characters>
  <Application>Microsoft Office Word</Application>
  <DocSecurity>4</DocSecurity>
  <Lines>128</Lines>
  <Paragraphs>61</Paragraphs>
  <ScaleCrop>false</ScaleCrop>
  <Company>United Nations</Company>
  <LinksUpToDate>false</LinksUpToDate>
  <CharactersWithSpaces>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Xiaqin.Lin</cp:lastModifiedBy>
  <cp:revision>14</cp:revision>
  <cp:lastPrinted>2008-05-07T15:26:00Z</cp:lastPrinted>
  <dcterms:created xsi:type="dcterms:W3CDTF">2008-05-07T13:28:00Z</dcterms:created>
  <dcterms:modified xsi:type="dcterms:W3CDTF">2008-05-07T15:28:00Z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CEDAW/C/BOL/CO/4</vt:lpwstr>
  </property>
  <property fmtid="{D5CDD505-2E9C-101B-9397-08002B2CF9AE}" pid="3" name="Symbol2">
    <vt:lpwstr/>
  </property>
  <property fmtid="{D5CDD505-2E9C-101B-9397-08002B2CF9AE}" pid="4" name="Translator">
    <vt:lpwstr/>
  </property>
  <property fmtid="{D5CDD505-2E9C-101B-9397-08002B2CF9AE}" pid="5" name="JobNo">
    <vt:lpwstr>0829813C</vt:lpwstr>
  </property>
  <property fmtid="{D5CDD505-2E9C-101B-9397-08002B2CF9AE}" pid="6" name="Comment">
    <vt:lpwstr/>
  </property>
  <property fmtid="{D5CDD505-2E9C-101B-9397-08002B2CF9AE}" pid="7" name="DraftPages">
    <vt:lpwstr> </vt:lpwstr>
  </property>
  <property fmtid="{D5CDD505-2E9C-101B-9397-08002B2CF9AE}" pid="8" name="Operator">
    <vt:lpwstr>geng</vt:lpwstr>
  </property>
</Properties>
</file>