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D2CA2" w14:textId="77777777" w:rsidR="00CC2DD8" w:rsidRDefault="00CC2DD8" w:rsidP="00CC2DD8">
      <w:pPr>
        <w:spacing w:line="60" w:lineRule="exact"/>
        <w:rPr>
          <w:sz w:val="2"/>
        </w:rPr>
        <w:sectPr w:rsidR="00CC2DD8" w:rsidSect="00CC2DD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bookmarkStart w:id="1" w:name="_GoBack"/>
      <w:bookmarkEnd w:id="1"/>
    </w:p>
    <w:p w14:paraId="1D3CC126" w14:textId="77777777" w:rsidR="00033DDA" w:rsidRDefault="00033DDA" w:rsidP="006F64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605AC4E4" w14:textId="250CEC35" w:rsidR="001C089A" w:rsidRPr="001C089A" w:rsidRDefault="001C089A" w:rsidP="001C08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3C958459" wp14:editId="479511E3">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4B035F"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1C089A">
        <w:rPr>
          <w:rFonts w:hint="eastAsia"/>
          <w:sz w:val="18"/>
        </w:rPr>
        <w:t>在委员会第七十一届会议</w:t>
      </w:r>
      <w:r w:rsidRPr="001C089A">
        <w:rPr>
          <w:rFonts w:hint="eastAsia"/>
          <w:sz w:val="18"/>
        </w:rPr>
        <w:t>(2018</w:t>
      </w:r>
      <w:r w:rsidRPr="001C089A">
        <w:rPr>
          <w:rFonts w:hint="eastAsia"/>
          <w:sz w:val="18"/>
        </w:rPr>
        <w:t>年</w:t>
      </w:r>
      <w:r w:rsidRPr="001C089A">
        <w:rPr>
          <w:rFonts w:hint="eastAsia"/>
          <w:sz w:val="18"/>
        </w:rPr>
        <w:t>10</w:t>
      </w:r>
      <w:r w:rsidRPr="001C089A">
        <w:rPr>
          <w:rFonts w:hint="eastAsia"/>
          <w:sz w:val="18"/>
        </w:rPr>
        <w:t>月</w:t>
      </w:r>
      <w:r w:rsidRPr="001C089A">
        <w:rPr>
          <w:rFonts w:hint="eastAsia"/>
          <w:sz w:val="18"/>
        </w:rPr>
        <w:t>22</w:t>
      </w:r>
      <w:r w:rsidRPr="001C089A">
        <w:rPr>
          <w:rFonts w:hint="eastAsia"/>
          <w:sz w:val="18"/>
        </w:rPr>
        <w:t>日至</w:t>
      </w:r>
      <w:r w:rsidRPr="001C089A">
        <w:rPr>
          <w:rFonts w:hint="eastAsia"/>
          <w:sz w:val="18"/>
        </w:rPr>
        <w:t>11</w:t>
      </w:r>
      <w:r w:rsidRPr="001C089A">
        <w:rPr>
          <w:rFonts w:hint="eastAsia"/>
          <w:sz w:val="18"/>
        </w:rPr>
        <w:t>月</w:t>
      </w:r>
      <w:r w:rsidRPr="001C089A">
        <w:rPr>
          <w:rFonts w:hint="eastAsia"/>
          <w:sz w:val="18"/>
        </w:rPr>
        <w:t>9</w:t>
      </w:r>
      <w:r w:rsidRPr="001C089A">
        <w:rPr>
          <w:rFonts w:hint="eastAsia"/>
          <w:sz w:val="18"/>
        </w:rPr>
        <w:t>日</w:t>
      </w:r>
      <w:r w:rsidRPr="001C089A">
        <w:rPr>
          <w:rFonts w:hint="eastAsia"/>
          <w:sz w:val="18"/>
        </w:rPr>
        <w:t>)</w:t>
      </w:r>
      <w:r w:rsidRPr="001C089A">
        <w:rPr>
          <w:rFonts w:hint="eastAsia"/>
          <w:sz w:val="18"/>
        </w:rPr>
        <w:t>上获得通过。</w:t>
      </w:r>
    </w:p>
    <w:p w14:paraId="3ECA9B75" w14:textId="12926F20" w:rsidR="00033DDA" w:rsidRDefault="00033DDA" w:rsidP="003E56A2">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ind w:left="1267" w:right="1260" w:hanging="1267"/>
      </w:pPr>
      <w:r>
        <w:tab/>
      </w:r>
      <w:r>
        <w:tab/>
      </w:r>
      <w:r>
        <w:rPr>
          <w:rFonts w:hint="eastAsia"/>
        </w:rPr>
        <w:t>关于巴哈马第六次定期报告的结论性意见</w:t>
      </w:r>
      <w:r>
        <w:t xml:space="preserve">*  </w:t>
      </w:r>
    </w:p>
    <w:p w14:paraId="7DBAAA5F" w14:textId="0EF30E0F" w:rsidR="00033DDA" w:rsidRDefault="00033DDA" w:rsidP="001C089A">
      <w:pPr>
        <w:pStyle w:val="SingleTxt"/>
        <w:spacing w:before="240"/>
      </w:pPr>
      <w:r>
        <w:rPr>
          <w:rFonts w:hint="eastAsia"/>
        </w:rPr>
        <w:t>1.</w:t>
      </w:r>
      <w:r>
        <w:rPr>
          <w:rFonts w:hint="eastAsia"/>
        </w:rPr>
        <w:tab/>
      </w:r>
      <w:r>
        <w:rPr>
          <w:rFonts w:hint="eastAsia"/>
        </w:rPr>
        <w:t>委员会在</w:t>
      </w:r>
      <w:r>
        <w:rPr>
          <w:rFonts w:hint="eastAsia"/>
        </w:rPr>
        <w:t>2018</w:t>
      </w:r>
      <w:r>
        <w:rPr>
          <w:rFonts w:hint="eastAsia"/>
        </w:rPr>
        <w:t>年</w:t>
      </w:r>
      <w:r>
        <w:rPr>
          <w:rFonts w:hint="eastAsia"/>
        </w:rPr>
        <w:t>10</w:t>
      </w:r>
      <w:r>
        <w:rPr>
          <w:rFonts w:hint="eastAsia"/>
        </w:rPr>
        <w:t>月</w:t>
      </w:r>
      <w:r>
        <w:rPr>
          <w:rFonts w:hint="eastAsia"/>
        </w:rPr>
        <w:t>25</w:t>
      </w:r>
      <w:r>
        <w:rPr>
          <w:rFonts w:hint="eastAsia"/>
        </w:rPr>
        <w:t>日举行的第</w:t>
      </w:r>
      <w:r>
        <w:rPr>
          <w:rFonts w:hint="eastAsia"/>
        </w:rPr>
        <w:t>1635</w:t>
      </w:r>
      <w:r>
        <w:rPr>
          <w:rFonts w:hint="eastAsia"/>
        </w:rPr>
        <w:t>次和第</w:t>
      </w:r>
      <w:r>
        <w:rPr>
          <w:rFonts w:hint="eastAsia"/>
        </w:rPr>
        <w:t>1636</w:t>
      </w:r>
      <w:r>
        <w:rPr>
          <w:rFonts w:hint="eastAsia"/>
        </w:rPr>
        <w:t>次会议</w:t>
      </w:r>
      <w:r>
        <w:rPr>
          <w:rFonts w:hint="eastAsia"/>
        </w:rPr>
        <w:t>(</w:t>
      </w:r>
      <w:r>
        <w:rPr>
          <w:rFonts w:hint="eastAsia"/>
        </w:rPr>
        <w:t>见</w:t>
      </w:r>
      <w:hyperlink r:id="rId16" w:history="1">
        <w:r w:rsidRPr="005F72D3">
          <w:rPr>
            <w:rStyle w:val="ad"/>
            <w:rFonts w:hint="eastAsia"/>
          </w:rPr>
          <w:t>CEDAW/C/SR.1635</w:t>
        </w:r>
      </w:hyperlink>
      <w:r>
        <w:rPr>
          <w:rFonts w:hint="eastAsia"/>
        </w:rPr>
        <w:t>和</w:t>
      </w:r>
      <w:hyperlink r:id="rId17" w:history="1">
        <w:r w:rsidRPr="005F72D3">
          <w:rPr>
            <w:rStyle w:val="ad"/>
            <w:rFonts w:hint="eastAsia"/>
          </w:rPr>
          <w:t>CEDAW/C/SR.1636</w:t>
        </w:r>
      </w:hyperlink>
      <w:r>
        <w:rPr>
          <w:rFonts w:hint="eastAsia"/>
        </w:rPr>
        <w:t>)</w:t>
      </w:r>
      <w:r>
        <w:rPr>
          <w:rFonts w:hint="eastAsia"/>
        </w:rPr>
        <w:t>上审议了巴哈马第六次定期报告</w:t>
      </w:r>
      <w:r>
        <w:rPr>
          <w:rFonts w:hint="eastAsia"/>
        </w:rPr>
        <w:t>(</w:t>
      </w:r>
      <w:hyperlink r:id="rId18" w:history="1">
        <w:r w:rsidRPr="005F72D3">
          <w:rPr>
            <w:rStyle w:val="ad"/>
            <w:rFonts w:hint="eastAsia"/>
          </w:rPr>
          <w:t>CEDAW/C/BHS/CO/6</w:t>
        </w:r>
      </w:hyperlink>
      <w:r>
        <w:rPr>
          <w:rFonts w:hint="eastAsia"/>
        </w:rPr>
        <w:t>)</w:t>
      </w:r>
      <w:r>
        <w:rPr>
          <w:rFonts w:hint="eastAsia"/>
        </w:rPr>
        <w:t>。委员会的议题和问题清单载于</w:t>
      </w:r>
      <w:hyperlink r:id="rId19" w:history="1">
        <w:r w:rsidRPr="005F72D3">
          <w:rPr>
            <w:rStyle w:val="ad"/>
            <w:rFonts w:hint="eastAsia"/>
          </w:rPr>
          <w:t>CEDAW/C/BHS/Q/6</w:t>
        </w:r>
      </w:hyperlink>
      <w:r>
        <w:rPr>
          <w:rFonts w:hint="eastAsia"/>
        </w:rPr>
        <w:t>，该缔约国的答复载于</w:t>
      </w:r>
      <w:hyperlink r:id="rId20" w:history="1">
        <w:r w:rsidRPr="005F72D3">
          <w:rPr>
            <w:rStyle w:val="ad"/>
            <w:rFonts w:hint="eastAsia"/>
          </w:rPr>
          <w:t>CEDAW/C/BHS/Q/6/Add.1</w:t>
        </w:r>
      </w:hyperlink>
      <w:r>
        <w:rPr>
          <w:rFonts w:hint="eastAsia"/>
        </w:rPr>
        <w:t>。</w:t>
      </w:r>
    </w:p>
    <w:p w14:paraId="7D26FAAA" w14:textId="77777777" w:rsidR="00033DDA" w:rsidRDefault="00033DDA" w:rsidP="003E56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r>
      <w:r>
        <w:rPr>
          <w:rFonts w:hint="eastAsia"/>
        </w:rPr>
        <w:t>导言</w:t>
      </w:r>
    </w:p>
    <w:p w14:paraId="5B6B4B36" w14:textId="515E50A5" w:rsidR="00033DDA" w:rsidRDefault="00033DDA" w:rsidP="003E56A2">
      <w:pPr>
        <w:pStyle w:val="SingleTxt"/>
        <w:spacing w:before="120"/>
      </w:pPr>
      <w:r>
        <w:rPr>
          <w:rFonts w:hint="eastAsia"/>
        </w:rPr>
        <w:t>2.</w:t>
      </w:r>
      <w:r>
        <w:rPr>
          <w:rFonts w:hint="eastAsia"/>
        </w:rPr>
        <w:tab/>
      </w:r>
      <w:r>
        <w:rPr>
          <w:rFonts w:hint="eastAsia"/>
        </w:rPr>
        <w:t>委员会赞赏该缔约国提交其第六次定期报告。委员会还赞赏该缔约国提交后续报告</w:t>
      </w:r>
      <w:r>
        <w:rPr>
          <w:rFonts w:hint="eastAsia"/>
        </w:rPr>
        <w:t>(</w:t>
      </w:r>
      <w:hyperlink r:id="rId21" w:history="1">
        <w:r w:rsidRPr="005F72D3">
          <w:rPr>
            <w:rStyle w:val="ad"/>
            <w:rFonts w:hint="eastAsia"/>
          </w:rPr>
          <w:t>CEDAW/C/BHS/CO/1-5/Add.1</w:t>
        </w:r>
      </w:hyperlink>
      <w:r>
        <w:rPr>
          <w:rFonts w:hint="eastAsia"/>
        </w:rPr>
        <w:t>)</w:t>
      </w:r>
      <w:r>
        <w:rPr>
          <w:rFonts w:hint="eastAsia"/>
        </w:rPr>
        <w:t>并就会前工作组提出的议题和问题清单作出书面答复，以及该缔约国代表团在对话期间作出口头陈述并针对委员会口头提问作出进一步澄清。</w:t>
      </w:r>
    </w:p>
    <w:p w14:paraId="3E312F68" w14:textId="739BB5D6" w:rsidR="00033DDA" w:rsidRDefault="00033DDA" w:rsidP="00033DDA">
      <w:pPr>
        <w:pStyle w:val="SingleTxt"/>
      </w:pPr>
      <w:r>
        <w:rPr>
          <w:rFonts w:hint="eastAsia"/>
        </w:rPr>
        <w:t>3.</w:t>
      </w:r>
      <w:r>
        <w:rPr>
          <w:rFonts w:hint="eastAsia"/>
        </w:rPr>
        <w:tab/>
      </w:r>
      <w:r w:rsidR="004B3E16">
        <w:rPr>
          <w:rFonts w:hint="eastAsia"/>
        </w:rPr>
        <w:t>委员会称赞该缔约国</w:t>
      </w:r>
      <w:r w:rsidR="004B3E16" w:rsidRPr="004B3E16">
        <w:rPr>
          <w:rFonts w:hint="eastAsia"/>
          <w:spacing w:val="4"/>
        </w:rPr>
        <w:t>派出由社会服务和城市发展部长弗朗基·</w:t>
      </w:r>
      <w:r w:rsidRPr="004B3E16">
        <w:rPr>
          <w:rFonts w:hint="eastAsia"/>
          <w:spacing w:val="4"/>
        </w:rPr>
        <w:t>坎贝尔率领</w:t>
      </w:r>
      <w:r>
        <w:rPr>
          <w:rFonts w:hint="eastAsia"/>
        </w:rPr>
        <w:t>的高级别代表团。代表团成员还包括巴哈马政府性别和家庭事务司、总检察长办公室兼司法部、教育部、卫生部、外交部以及巴哈马常驻联合国日内瓦办事处和日内瓦其他国际组织代表团的代表。</w:t>
      </w:r>
    </w:p>
    <w:p w14:paraId="7FF48BFC" w14:textId="77777777" w:rsidR="00033DDA" w:rsidRDefault="00033DDA" w:rsidP="003E56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r>
      <w:r>
        <w:rPr>
          <w:rFonts w:hint="eastAsia"/>
        </w:rPr>
        <w:t>积极方面</w:t>
      </w:r>
    </w:p>
    <w:p w14:paraId="63AB2F44" w14:textId="1636661F" w:rsidR="00033DDA" w:rsidRDefault="00033DDA" w:rsidP="003E56A2">
      <w:pPr>
        <w:pStyle w:val="SingleTxt"/>
        <w:spacing w:before="120"/>
      </w:pPr>
      <w:r>
        <w:rPr>
          <w:rFonts w:hint="eastAsia"/>
        </w:rPr>
        <w:t>4.</w:t>
      </w:r>
      <w:r>
        <w:rPr>
          <w:rFonts w:hint="eastAsia"/>
        </w:rPr>
        <w:tab/>
      </w:r>
      <w:r>
        <w:rPr>
          <w:rFonts w:hint="eastAsia"/>
        </w:rPr>
        <w:t>委员会欣见，自</w:t>
      </w:r>
      <w:r>
        <w:rPr>
          <w:rFonts w:hint="eastAsia"/>
        </w:rPr>
        <w:t>2012</w:t>
      </w:r>
      <w:r>
        <w:rPr>
          <w:rFonts w:hint="eastAsia"/>
        </w:rPr>
        <w:t>年审议该缔约国初次至第四次合并定期报告</w:t>
      </w:r>
      <w:r>
        <w:rPr>
          <w:rFonts w:hint="eastAsia"/>
        </w:rPr>
        <w:t>(</w:t>
      </w:r>
      <w:hyperlink r:id="rId22" w:history="1">
        <w:r w:rsidRPr="005F72D3">
          <w:rPr>
            <w:rStyle w:val="ad"/>
            <w:rFonts w:hint="eastAsia"/>
          </w:rPr>
          <w:t>CEDAW/C/BHS/CO/4</w:t>
        </w:r>
      </w:hyperlink>
      <w:r>
        <w:rPr>
          <w:rFonts w:hint="eastAsia"/>
        </w:rPr>
        <w:t>)</w:t>
      </w:r>
      <w:r>
        <w:rPr>
          <w:rFonts w:hint="eastAsia"/>
        </w:rPr>
        <w:t>和第五次定期报告</w:t>
      </w:r>
      <w:r>
        <w:rPr>
          <w:rFonts w:hint="eastAsia"/>
        </w:rPr>
        <w:t>(</w:t>
      </w:r>
      <w:hyperlink r:id="rId23" w:history="1">
        <w:r w:rsidRPr="005F72D3">
          <w:rPr>
            <w:rStyle w:val="ad"/>
            <w:rFonts w:hint="eastAsia"/>
          </w:rPr>
          <w:t>CEDAW/C/BHS/CO/5</w:t>
        </w:r>
      </w:hyperlink>
      <w:r>
        <w:rPr>
          <w:rFonts w:hint="eastAsia"/>
        </w:rPr>
        <w:t>)</w:t>
      </w:r>
      <w:r>
        <w:rPr>
          <w:rFonts w:hint="eastAsia"/>
        </w:rPr>
        <w:t>以来，该国立法改革进展不断，特别是通过了：</w:t>
      </w:r>
    </w:p>
    <w:p w14:paraId="3941331F" w14:textId="77777777" w:rsidR="00033DDA" w:rsidRDefault="00033DDA" w:rsidP="00033DDA">
      <w:pPr>
        <w:pStyle w:val="SingleTxt"/>
      </w:pPr>
      <w:r>
        <w:rPr>
          <w:rFonts w:hint="eastAsia"/>
        </w:rPr>
        <w:tab/>
        <w:t>(a)</w:t>
      </w:r>
      <w:r>
        <w:rPr>
          <w:rFonts w:hint="eastAsia"/>
        </w:rPr>
        <w:tab/>
      </w:r>
      <w:r>
        <w:rPr>
          <w:rFonts w:hint="eastAsia"/>
        </w:rPr>
        <w:t>《性犯罪法案修正案》，其中规定设立性侵害犯罪者登记册和登记处，</w:t>
      </w:r>
      <w:r>
        <w:rPr>
          <w:rFonts w:hint="eastAsia"/>
        </w:rPr>
        <w:t>2014</w:t>
      </w:r>
      <w:r>
        <w:rPr>
          <w:rFonts w:hint="eastAsia"/>
        </w:rPr>
        <w:t>年；</w:t>
      </w:r>
    </w:p>
    <w:p w14:paraId="155309ED" w14:textId="77777777" w:rsidR="00033DDA" w:rsidRDefault="00033DDA" w:rsidP="00033DDA">
      <w:pPr>
        <w:pStyle w:val="SingleTxt"/>
      </w:pPr>
      <w:r>
        <w:rPr>
          <w:rFonts w:hint="eastAsia"/>
        </w:rPr>
        <w:tab/>
        <w:t>(b)</w:t>
      </w:r>
      <w:r>
        <w:rPr>
          <w:rFonts w:hint="eastAsia"/>
        </w:rPr>
        <w:tab/>
      </w:r>
      <w:r>
        <w:rPr>
          <w:rFonts w:hint="eastAsia"/>
        </w:rPr>
        <w:t>《残疾人</w:t>
      </w:r>
      <w:r>
        <w:rPr>
          <w:rFonts w:hint="eastAsia"/>
        </w:rPr>
        <w:t>(</w:t>
      </w:r>
      <w:r>
        <w:rPr>
          <w:rFonts w:hint="eastAsia"/>
        </w:rPr>
        <w:t>机会均等</w:t>
      </w:r>
      <w:r>
        <w:rPr>
          <w:rFonts w:hint="eastAsia"/>
        </w:rPr>
        <w:t>)</w:t>
      </w:r>
      <w:r>
        <w:rPr>
          <w:rFonts w:hint="eastAsia"/>
        </w:rPr>
        <w:t>法案》，</w:t>
      </w:r>
      <w:r>
        <w:rPr>
          <w:rFonts w:hint="eastAsia"/>
        </w:rPr>
        <w:t>2014</w:t>
      </w:r>
      <w:r>
        <w:rPr>
          <w:rFonts w:hint="eastAsia"/>
        </w:rPr>
        <w:t>年。</w:t>
      </w:r>
    </w:p>
    <w:p w14:paraId="71B18764" w14:textId="77777777" w:rsidR="00E82A4A" w:rsidRDefault="00033DDA" w:rsidP="00033DDA">
      <w:pPr>
        <w:pStyle w:val="SingleTxt"/>
      </w:pPr>
      <w:r>
        <w:rPr>
          <w:rFonts w:hint="eastAsia"/>
        </w:rPr>
        <w:t>5.</w:t>
      </w:r>
      <w:r>
        <w:rPr>
          <w:rFonts w:hint="eastAsia"/>
        </w:rPr>
        <w:tab/>
      </w:r>
      <w:r>
        <w:rPr>
          <w:rFonts w:hint="eastAsia"/>
        </w:rPr>
        <w:t>委员会欣见，该缔约国在完善本国旨在加速消除对妇女的歧视和促进性别平等的体制和政策框架方面作出了诸多努力，例如：</w:t>
      </w:r>
    </w:p>
    <w:p w14:paraId="2DB07E86" w14:textId="42A3F7F2" w:rsidR="00033DDA" w:rsidRDefault="00033DDA" w:rsidP="00033DDA">
      <w:pPr>
        <w:pStyle w:val="SingleTxt"/>
      </w:pPr>
    </w:p>
    <w:p w14:paraId="66F2A1B6" w14:textId="28027938" w:rsidR="00033DDA" w:rsidRDefault="00033DDA" w:rsidP="003E56A2">
      <w:pPr>
        <w:pStyle w:val="SingleTxt"/>
      </w:pPr>
      <w:r w:rsidRPr="001C089A">
        <w:rPr>
          <w:rFonts w:hint="eastAsia"/>
          <w:sz w:val="20"/>
        </w:rPr>
        <w:lastRenderedPageBreak/>
        <w:tab/>
      </w:r>
      <w:r>
        <w:rPr>
          <w:rFonts w:hint="eastAsia"/>
        </w:rPr>
        <w:t>(a)</w:t>
      </w:r>
      <w:r>
        <w:rPr>
          <w:rFonts w:hint="eastAsia"/>
        </w:rPr>
        <w:tab/>
      </w:r>
      <w:r>
        <w:rPr>
          <w:rFonts w:hint="eastAsia"/>
        </w:rPr>
        <w:t>将妇女事务局升级为“性别和家庭事务司”，隶属于社会服务和城市发展部管辖，并加大了对该部门的资源调拨力度，</w:t>
      </w:r>
      <w:r>
        <w:rPr>
          <w:rFonts w:hint="eastAsia"/>
        </w:rPr>
        <w:t>2016</w:t>
      </w:r>
      <w:r>
        <w:rPr>
          <w:rFonts w:hint="eastAsia"/>
        </w:rPr>
        <w:t>年；</w:t>
      </w:r>
    </w:p>
    <w:p w14:paraId="0532A474" w14:textId="77777777" w:rsidR="00033DDA" w:rsidRDefault="00033DDA" w:rsidP="00033DDA">
      <w:pPr>
        <w:pStyle w:val="SingleTxt"/>
      </w:pPr>
      <w:r>
        <w:rPr>
          <w:rFonts w:hint="eastAsia"/>
        </w:rPr>
        <w:tab/>
        <w:t>(b)</w:t>
      </w:r>
      <w:r>
        <w:rPr>
          <w:rFonts w:hint="eastAsia"/>
        </w:rPr>
        <w:tab/>
      </w:r>
      <w:r>
        <w:rPr>
          <w:rFonts w:hint="eastAsia"/>
        </w:rPr>
        <w:t>组建了国家残疾人工作委员会，</w:t>
      </w:r>
      <w:r>
        <w:rPr>
          <w:rFonts w:hint="eastAsia"/>
        </w:rPr>
        <w:t>2014</w:t>
      </w:r>
      <w:r>
        <w:rPr>
          <w:rFonts w:hint="eastAsia"/>
        </w:rPr>
        <w:t>年；</w:t>
      </w:r>
    </w:p>
    <w:p w14:paraId="02DBA7BF" w14:textId="77777777" w:rsidR="00033DDA" w:rsidRDefault="00033DDA" w:rsidP="00033DDA">
      <w:pPr>
        <w:pStyle w:val="SingleTxt"/>
      </w:pPr>
      <w:r>
        <w:rPr>
          <w:rFonts w:hint="eastAsia"/>
        </w:rPr>
        <w:tab/>
        <w:t>(c)</w:t>
      </w:r>
      <w:r>
        <w:rPr>
          <w:rFonts w:hint="eastAsia"/>
        </w:rPr>
        <w:tab/>
        <w:t>2013</w:t>
      </w:r>
      <w:r>
        <w:rPr>
          <w:rFonts w:hint="eastAsia"/>
        </w:rPr>
        <w:t>年成立了国家性别暴力问题工作队，并随后制定了相应的战略计划和实施计划；</w:t>
      </w:r>
    </w:p>
    <w:p w14:paraId="3FBF074E" w14:textId="77777777" w:rsidR="00033DDA" w:rsidRDefault="00033DDA" w:rsidP="00033DDA">
      <w:pPr>
        <w:pStyle w:val="SingleTxt"/>
      </w:pPr>
      <w:r>
        <w:rPr>
          <w:rFonts w:hint="eastAsia"/>
        </w:rPr>
        <w:tab/>
        <w:t>(d)</w:t>
      </w:r>
      <w:r>
        <w:rPr>
          <w:rFonts w:hint="eastAsia"/>
        </w:rPr>
        <w:tab/>
      </w:r>
      <w:r>
        <w:rPr>
          <w:rFonts w:hint="eastAsia"/>
        </w:rPr>
        <w:t>成立了部际打击贩运人口委员会和贩运人口问题工作队，</w:t>
      </w:r>
      <w:r>
        <w:rPr>
          <w:rFonts w:hint="eastAsia"/>
        </w:rPr>
        <w:t>2013</w:t>
      </w:r>
      <w:r>
        <w:rPr>
          <w:rFonts w:hint="eastAsia"/>
        </w:rPr>
        <w:t>年。</w:t>
      </w:r>
    </w:p>
    <w:p w14:paraId="1E8808AB" w14:textId="77777777" w:rsidR="00033DDA" w:rsidRDefault="00033DDA" w:rsidP="00033DDA">
      <w:pPr>
        <w:pStyle w:val="SingleTxt"/>
      </w:pPr>
      <w:r>
        <w:rPr>
          <w:rFonts w:hint="eastAsia"/>
        </w:rPr>
        <w:t>6.</w:t>
      </w:r>
      <w:r>
        <w:rPr>
          <w:rFonts w:hint="eastAsia"/>
        </w:rPr>
        <w:tab/>
      </w:r>
      <w:r>
        <w:rPr>
          <w:rFonts w:hint="eastAsia"/>
        </w:rPr>
        <w:t>委员会欣见，自审议之前各次报告以来，该缔约国或批准或加入了以下国际文书：</w:t>
      </w:r>
    </w:p>
    <w:p w14:paraId="63C13D9E" w14:textId="77777777" w:rsidR="00033DDA" w:rsidRDefault="00033DDA" w:rsidP="00033DDA">
      <w:pPr>
        <w:pStyle w:val="SingleTxt"/>
      </w:pPr>
      <w:r>
        <w:rPr>
          <w:rFonts w:hint="eastAsia"/>
        </w:rPr>
        <w:tab/>
        <w:t>(a)</w:t>
      </w:r>
      <w:r>
        <w:rPr>
          <w:rFonts w:hint="eastAsia"/>
        </w:rPr>
        <w:tab/>
      </w:r>
      <w:r>
        <w:rPr>
          <w:rFonts w:hint="eastAsia"/>
        </w:rPr>
        <w:t>《</w:t>
      </w:r>
      <w:r w:rsidRPr="00A02611">
        <w:rPr>
          <w:rFonts w:hint="eastAsia"/>
          <w:spacing w:val="-6"/>
        </w:rPr>
        <w:t>禁止酷刑和其他残忍、不人道或有辱人格的待遇或处罚公约</w:t>
      </w:r>
      <w:r>
        <w:rPr>
          <w:rFonts w:hint="eastAsia"/>
        </w:rPr>
        <w:t>》，</w:t>
      </w:r>
      <w:r>
        <w:rPr>
          <w:rFonts w:hint="eastAsia"/>
        </w:rPr>
        <w:t>2018</w:t>
      </w:r>
      <w:r>
        <w:rPr>
          <w:rFonts w:hint="eastAsia"/>
        </w:rPr>
        <w:t>年；</w:t>
      </w:r>
    </w:p>
    <w:p w14:paraId="0765CAC4" w14:textId="77777777" w:rsidR="00033DDA" w:rsidRDefault="00033DDA" w:rsidP="00033DDA">
      <w:pPr>
        <w:pStyle w:val="SingleTxt"/>
      </w:pPr>
      <w:r>
        <w:rPr>
          <w:rFonts w:hint="eastAsia"/>
        </w:rPr>
        <w:tab/>
        <w:t>(b)</w:t>
      </w:r>
      <w:r>
        <w:rPr>
          <w:rFonts w:hint="eastAsia"/>
        </w:rPr>
        <w:tab/>
      </w:r>
      <w:r>
        <w:rPr>
          <w:rFonts w:hint="eastAsia"/>
        </w:rPr>
        <w:t>《残疾人权利公约》，</w:t>
      </w:r>
      <w:r>
        <w:rPr>
          <w:rFonts w:hint="eastAsia"/>
        </w:rPr>
        <w:t>2015</w:t>
      </w:r>
      <w:r>
        <w:rPr>
          <w:rFonts w:hint="eastAsia"/>
        </w:rPr>
        <w:t>年；</w:t>
      </w:r>
    </w:p>
    <w:p w14:paraId="6720780C" w14:textId="77777777" w:rsidR="00033DDA" w:rsidRDefault="00033DDA" w:rsidP="00033DDA">
      <w:pPr>
        <w:pStyle w:val="SingleTxt"/>
      </w:pPr>
      <w:r>
        <w:rPr>
          <w:rFonts w:hint="eastAsia"/>
        </w:rPr>
        <w:tab/>
        <w:t>(c)</w:t>
      </w:r>
      <w:r>
        <w:rPr>
          <w:rFonts w:hint="eastAsia"/>
        </w:rPr>
        <w:tab/>
      </w:r>
      <w:r>
        <w:rPr>
          <w:rFonts w:hint="eastAsia"/>
        </w:rPr>
        <w:t>《儿童权利公约关于儿童卷入武装冲突问题的任择议定书》，</w:t>
      </w:r>
      <w:r>
        <w:rPr>
          <w:rFonts w:hint="eastAsia"/>
        </w:rPr>
        <w:t>2015</w:t>
      </w:r>
      <w:r>
        <w:rPr>
          <w:rFonts w:hint="eastAsia"/>
        </w:rPr>
        <w:t>年；</w:t>
      </w:r>
    </w:p>
    <w:p w14:paraId="63AA6310" w14:textId="77777777" w:rsidR="00033DDA" w:rsidRDefault="00033DDA" w:rsidP="00033DDA">
      <w:pPr>
        <w:pStyle w:val="SingleTxt"/>
      </w:pPr>
      <w:r>
        <w:rPr>
          <w:rFonts w:hint="eastAsia"/>
        </w:rPr>
        <w:tab/>
        <w:t>(d)</w:t>
      </w:r>
      <w:r>
        <w:rPr>
          <w:rFonts w:hint="eastAsia"/>
        </w:rPr>
        <w:tab/>
      </w:r>
      <w:r>
        <w:rPr>
          <w:rFonts w:hint="eastAsia"/>
        </w:rPr>
        <w:t>《儿童权利公约关于买卖儿童、儿童卖淫和儿童色情制品问题的任择议定书》，</w:t>
      </w:r>
      <w:r>
        <w:rPr>
          <w:rFonts w:hint="eastAsia"/>
        </w:rPr>
        <w:t>2015</w:t>
      </w:r>
      <w:r>
        <w:rPr>
          <w:rFonts w:hint="eastAsia"/>
        </w:rPr>
        <w:t>年。</w:t>
      </w:r>
    </w:p>
    <w:p w14:paraId="1AA73C93" w14:textId="77777777" w:rsidR="00033DDA" w:rsidRPr="00A02611" w:rsidRDefault="00033DDA" w:rsidP="00A026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02611">
        <w:rPr>
          <w:rFonts w:hint="eastAsia"/>
        </w:rPr>
        <w:tab/>
      </w:r>
      <w:r w:rsidRPr="00A02611">
        <w:rPr>
          <w:rFonts w:hint="eastAsia"/>
        </w:rPr>
        <w:tab/>
      </w:r>
      <w:r w:rsidRPr="00A02611">
        <w:rPr>
          <w:rFonts w:hint="eastAsia"/>
        </w:rPr>
        <w:t>可持续发展目标</w:t>
      </w:r>
    </w:p>
    <w:p w14:paraId="1CCB8C20" w14:textId="056A33C5" w:rsidR="00033DDA" w:rsidRDefault="00033DDA" w:rsidP="00A02611">
      <w:pPr>
        <w:pStyle w:val="SingleTxt"/>
        <w:spacing w:before="120"/>
      </w:pPr>
      <w:r>
        <w:rPr>
          <w:rFonts w:hint="eastAsia"/>
        </w:rPr>
        <w:t>7.</w:t>
      </w:r>
      <w:r>
        <w:rPr>
          <w:rFonts w:hint="eastAsia"/>
        </w:rPr>
        <w:tab/>
      </w:r>
      <w:r>
        <w:rPr>
          <w:rFonts w:hint="eastAsia"/>
        </w:rPr>
        <w:t>委员会欢迎国际社会对可持续发展目标的支持，呼吁在整个《</w:t>
      </w:r>
      <w:r>
        <w:rPr>
          <w:rFonts w:hint="eastAsia"/>
        </w:rPr>
        <w:t>2030</w:t>
      </w:r>
      <w:r>
        <w:rPr>
          <w:rFonts w:hint="eastAsia"/>
        </w:rPr>
        <w:t>年可持续发展议程》执行进程中，根据《公约》规定实现法律上和事实上</w:t>
      </w:r>
      <w:r>
        <w:rPr>
          <w:rFonts w:hint="eastAsia"/>
        </w:rPr>
        <w:t>(</w:t>
      </w:r>
      <w:r>
        <w:rPr>
          <w:rFonts w:hint="eastAsia"/>
        </w:rPr>
        <w:t>实质性</w:t>
      </w:r>
      <w:r>
        <w:rPr>
          <w:rFonts w:hint="eastAsia"/>
        </w:rPr>
        <w:t>)</w:t>
      </w:r>
      <w:r>
        <w:rPr>
          <w:rFonts w:hint="eastAsia"/>
        </w:rPr>
        <w:t>的性别平等。委员会忆及可持续发展目标</w:t>
      </w:r>
      <w:r>
        <w:rPr>
          <w:rFonts w:hint="eastAsia"/>
        </w:rPr>
        <w:t>5</w:t>
      </w:r>
      <w:r>
        <w:rPr>
          <w:rFonts w:hint="eastAsia"/>
        </w:rPr>
        <w:t>以及将平等和不歧视原则纳入全部</w:t>
      </w:r>
      <w:r>
        <w:rPr>
          <w:rFonts w:hint="eastAsia"/>
        </w:rPr>
        <w:t>17</w:t>
      </w:r>
      <w:r>
        <w:rPr>
          <w:rFonts w:hint="eastAsia"/>
        </w:rPr>
        <w:t>项可持续发展目标的主流的重要性，敦促该缔约国承认妇女是实现该国可持续发展的一大推动力量，并通过相应的政策和战略，以明承认之意。</w:t>
      </w:r>
    </w:p>
    <w:p w14:paraId="47CB6E5B" w14:textId="77777777" w:rsidR="00033DDA" w:rsidRDefault="00033DDA" w:rsidP="00A026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r>
      <w:r>
        <w:rPr>
          <w:rFonts w:hint="eastAsia"/>
        </w:rPr>
        <w:t>议会</w:t>
      </w:r>
    </w:p>
    <w:p w14:paraId="625584E1" w14:textId="566AB503" w:rsidR="00033DDA" w:rsidRDefault="00033DDA" w:rsidP="00A02611">
      <w:pPr>
        <w:pStyle w:val="SingleTxt"/>
        <w:spacing w:before="120"/>
      </w:pPr>
      <w:r>
        <w:rPr>
          <w:rFonts w:hint="eastAsia"/>
        </w:rPr>
        <w:t>8.</w:t>
      </w:r>
      <w:r>
        <w:rPr>
          <w:rFonts w:hint="eastAsia"/>
        </w:rPr>
        <w:tab/>
      </w:r>
      <w:r w:rsidRPr="00DD2CCA">
        <w:rPr>
          <w:rFonts w:ascii="黑体" w:eastAsia="黑体" w:hAnsi="黑体" w:hint="eastAsia"/>
        </w:rPr>
        <w:t>委员会强调，立法权在确保《公约》得到充分执行方面起着至关重要的作用(见</w:t>
      </w:r>
      <w:hyperlink r:id="rId24" w:history="1">
        <w:r w:rsidRPr="005F72D3">
          <w:rPr>
            <w:rStyle w:val="ad"/>
            <w:rFonts w:ascii="黑体" w:eastAsia="黑体" w:hAnsi="黑体" w:hint="eastAsia"/>
          </w:rPr>
          <w:t>A/65/38</w:t>
        </w:r>
      </w:hyperlink>
      <w:r w:rsidRPr="00DD2CCA">
        <w:rPr>
          <w:rFonts w:ascii="黑体" w:eastAsia="黑体" w:hAnsi="黑体" w:hint="eastAsia"/>
        </w:rPr>
        <w:t>，第二部分，附件六)。委员会请议会根据自身任务授权，在从现在起到根据《公约》提交下次定期报告期间，采取必要步骤落实本结论性意见。</w:t>
      </w:r>
    </w:p>
    <w:p w14:paraId="05D79431" w14:textId="77777777" w:rsidR="00033DDA" w:rsidRDefault="00033DDA" w:rsidP="005F3B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r>
      <w:r>
        <w:rPr>
          <w:rFonts w:hint="eastAsia"/>
        </w:rPr>
        <w:t>主要关切领域和建议</w:t>
      </w:r>
    </w:p>
    <w:p w14:paraId="3A5CD738" w14:textId="5E6A0AAC" w:rsidR="00033DDA" w:rsidRPr="005F3B2C" w:rsidRDefault="00033DDA" w:rsidP="005F3B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pPr>
      <w:r w:rsidRPr="005F3B2C">
        <w:rPr>
          <w:rFonts w:hint="eastAsia"/>
        </w:rPr>
        <w:tab/>
      </w:r>
      <w:r w:rsidRPr="005F3B2C">
        <w:rPr>
          <w:rFonts w:hint="eastAsia"/>
        </w:rPr>
        <w:tab/>
      </w:r>
      <w:r w:rsidRPr="005F3B2C">
        <w:rPr>
          <w:rFonts w:hint="eastAsia"/>
        </w:rPr>
        <w:t>保留</w:t>
      </w:r>
    </w:p>
    <w:p w14:paraId="16B95AC2" w14:textId="6E541890" w:rsidR="00033DDA" w:rsidRDefault="00033DDA" w:rsidP="005F3B2C">
      <w:pPr>
        <w:pStyle w:val="SingleTxt"/>
        <w:spacing w:before="120"/>
      </w:pPr>
      <w:r>
        <w:rPr>
          <w:rFonts w:hint="eastAsia"/>
        </w:rPr>
        <w:t>9.</w:t>
      </w:r>
      <w:r>
        <w:rPr>
          <w:rFonts w:hint="eastAsia"/>
        </w:rPr>
        <w:tab/>
      </w:r>
      <w:r>
        <w:rPr>
          <w:rFonts w:hint="eastAsia"/>
        </w:rPr>
        <w:t>委员会仍对该缔约国依旧对第二条</w:t>
      </w:r>
      <w:r>
        <w:rPr>
          <w:rFonts w:hint="eastAsia"/>
        </w:rPr>
        <w:t>(a)</w:t>
      </w:r>
      <w:r>
        <w:rPr>
          <w:rFonts w:hint="eastAsia"/>
        </w:rPr>
        <w:t>项</w:t>
      </w:r>
      <w:r>
        <w:rPr>
          <w:rFonts w:hint="eastAsia"/>
        </w:rPr>
        <w:t>(</w:t>
      </w:r>
      <w:r>
        <w:rPr>
          <w:rFonts w:hint="eastAsia"/>
        </w:rPr>
        <w:t>关于该缔约国在《公约》下应承担的一般法律义务</w:t>
      </w:r>
      <w:r>
        <w:rPr>
          <w:rFonts w:hint="eastAsia"/>
        </w:rPr>
        <w:t>)</w:t>
      </w:r>
      <w:r>
        <w:rPr>
          <w:rFonts w:hint="eastAsia"/>
        </w:rPr>
        <w:t>至第九条第</w:t>
      </w:r>
      <w:r>
        <w:rPr>
          <w:rFonts w:hint="eastAsia"/>
        </w:rPr>
        <w:t>2</w:t>
      </w:r>
      <w:r>
        <w:rPr>
          <w:rFonts w:hint="eastAsia"/>
        </w:rPr>
        <w:t>款</w:t>
      </w:r>
      <w:r>
        <w:rPr>
          <w:rFonts w:hint="eastAsia"/>
        </w:rPr>
        <w:t>(</w:t>
      </w:r>
      <w:r>
        <w:rPr>
          <w:rFonts w:hint="eastAsia"/>
        </w:rPr>
        <w:t>关于国籍</w:t>
      </w:r>
      <w:r>
        <w:rPr>
          <w:rFonts w:hint="eastAsia"/>
        </w:rPr>
        <w:t>)</w:t>
      </w:r>
      <w:r>
        <w:rPr>
          <w:rFonts w:hint="eastAsia"/>
        </w:rPr>
        <w:t>持保留意见感到关切。</w:t>
      </w:r>
    </w:p>
    <w:p w14:paraId="5FDB8F07" w14:textId="77777777" w:rsidR="00033DDA" w:rsidRDefault="00033DDA" w:rsidP="00033DDA">
      <w:pPr>
        <w:pStyle w:val="SingleTxt"/>
      </w:pPr>
      <w:r>
        <w:rPr>
          <w:rFonts w:hint="eastAsia"/>
        </w:rPr>
        <w:t>10.</w:t>
      </w:r>
      <w:r>
        <w:rPr>
          <w:rFonts w:hint="eastAsia"/>
        </w:rPr>
        <w:tab/>
      </w:r>
      <w:r w:rsidRPr="00DD2CCA">
        <w:rPr>
          <w:rFonts w:ascii="黑体" w:eastAsia="黑体" w:hAnsi="黑体" w:hint="eastAsia"/>
        </w:rPr>
        <w:t>委员会建议该缔约国展现出消除对妇女一切形式歧视的决心，为此应在明确的时限内，撤回对第二条(a)项至第九条第2款的保留意见，以期确保《公约》在该缔约国境内得到充分适用。</w:t>
      </w:r>
    </w:p>
    <w:p w14:paraId="050AF57C" w14:textId="77777777" w:rsidR="00033DDA" w:rsidRPr="00894F49" w:rsidRDefault="00033DDA" w:rsidP="00894F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94F49">
        <w:rPr>
          <w:rFonts w:hint="eastAsia"/>
        </w:rPr>
        <w:tab/>
      </w:r>
      <w:r w:rsidRPr="00894F49">
        <w:rPr>
          <w:rFonts w:hint="eastAsia"/>
        </w:rPr>
        <w:tab/>
      </w:r>
      <w:r w:rsidRPr="00894F49">
        <w:rPr>
          <w:rFonts w:hint="eastAsia"/>
        </w:rPr>
        <w:t>宪法和法律对妇女免遭歧视的保护</w:t>
      </w:r>
    </w:p>
    <w:p w14:paraId="107845C8" w14:textId="2C388404" w:rsidR="00033DDA" w:rsidRDefault="00033DDA" w:rsidP="00894F49">
      <w:pPr>
        <w:pStyle w:val="SingleTxt"/>
        <w:spacing w:before="120"/>
      </w:pPr>
      <w:r>
        <w:rPr>
          <w:rFonts w:hint="eastAsia"/>
        </w:rPr>
        <w:t>11.</w:t>
      </w:r>
      <w:r>
        <w:rPr>
          <w:rFonts w:hint="eastAsia"/>
        </w:rPr>
        <w:tab/>
      </w:r>
      <w:r>
        <w:rPr>
          <w:rFonts w:hint="eastAsia"/>
        </w:rPr>
        <w:t>委员会对旨在实现性别平等的宪法第四修正案议案在</w:t>
      </w:r>
      <w:r>
        <w:rPr>
          <w:rFonts w:hint="eastAsia"/>
        </w:rPr>
        <w:t>2016</w:t>
      </w:r>
      <w:r>
        <w:rPr>
          <w:rFonts w:hint="eastAsia"/>
        </w:rPr>
        <w:t>年</w:t>
      </w:r>
      <w:r>
        <w:rPr>
          <w:rFonts w:hint="eastAsia"/>
        </w:rPr>
        <w:t>6</w:t>
      </w:r>
      <w:r>
        <w:rPr>
          <w:rFonts w:hint="eastAsia"/>
        </w:rPr>
        <w:t>月举行的全民投票中被否决感到关切。委员会仍对该缔约国至今尚未按照《公约》规定，在《宪法》和国家级法律法规对何为歧视妇女作出明确定义并引入关于性别平等的条款感到关切。委员会对以下情况尤感关切：</w:t>
      </w:r>
    </w:p>
    <w:p w14:paraId="7119B1D1" w14:textId="77777777" w:rsidR="00033DDA" w:rsidRDefault="00033DDA" w:rsidP="00033DDA">
      <w:pPr>
        <w:pStyle w:val="SingleTxt"/>
      </w:pPr>
      <w:r>
        <w:rPr>
          <w:rFonts w:hint="eastAsia"/>
        </w:rPr>
        <w:tab/>
        <w:t>(a)</w:t>
      </w:r>
      <w:r>
        <w:rPr>
          <w:rFonts w:hint="eastAsia"/>
        </w:rPr>
        <w:tab/>
      </w:r>
      <w:r>
        <w:rPr>
          <w:rFonts w:hint="eastAsia"/>
        </w:rPr>
        <w:t>《宪法》第</w:t>
      </w:r>
      <w:r>
        <w:rPr>
          <w:rFonts w:hint="eastAsia"/>
        </w:rPr>
        <w:t>26</w:t>
      </w:r>
      <w:r>
        <w:rPr>
          <w:rFonts w:hint="eastAsia"/>
        </w:rPr>
        <w:t>条第</w:t>
      </w:r>
      <w:r>
        <w:rPr>
          <w:rFonts w:hint="eastAsia"/>
        </w:rPr>
        <w:t>(1)</w:t>
      </w:r>
      <w:r>
        <w:rPr>
          <w:rFonts w:hint="eastAsia"/>
        </w:rPr>
        <w:t>款未就禁止基于性别的歧视和保护妇女免遭歧视作出规定；</w:t>
      </w:r>
    </w:p>
    <w:p w14:paraId="01C7868E" w14:textId="77777777" w:rsidR="00033DDA" w:rsidRDefault="00033DDA" w:rsidP="00033DDA">
      <w:pPr>
        <w:pStyle w:val="SingleTxt"/>
      </w:pPr>
      <w:r>
        <w:rPr>
          <w:rFonts w:hint="eastAsia"/>
        </w:rPr>
        <w:tab/>
        <w:t>(b)</w:t>
      </w:r>
      <w:r>
        <w:rPr>
          <w:rFonts w:hint="eastAsia"/>
        </w:rPr>
        <w:tab/>
      </w:r>
      <w:r>
        <w:rPr>
          <w:rFonts w:hint="eastAsia"/>
        </w:rPr>
        <w:t>在执行性别平等相关法律和监测执法情况方面，缺乏有效机制，而且国家级预算拨款不充足；</w:t>
      </w:r>
    </w:p>
    <w:p w14:paraId="5E81B127" w14:textId="77777777" w:rsidR="00033DDA" w:rsidRDefault="00033DDA" w:rsidP="00033DDA">
      <w:pPr>
        <w:pStyle w:val="SingleTxt"/>
      </w:pPr>
      <w:r>
        <w:rPr>
          <w:rFonts w:hint="eastAsia"/>
        </w:rPr>
        <w:tab/>
        <w:t>(c)</w:t>
      </w:r>
      <w:r>
        <w:rPr>
          <w:rFonts w:hint="eastAsia"/>
        </w:rPr>
        <w:tab/>
      </w:r>
      <w:r>
        <w:rPr>
          <w:rFonts w:hint="eastAsia"/>
        </w:rPr>
        <w:t>未能消除歧视，特别是针对海地裔妇女、移民妇女、残疾妇女、女同性恋、双性恋和变性妇女、双性人以及外岛散居妇女的交叉形式歧视。</w:t>
      </w:r>
    </w:p>
    <w:p w14:paraId="30760E85" w14:textId="64FD8846" w:rsidR="00033DDA" w:rsidRDefault="00033DDA" w:rsidP="00033DDA">
      <w:pPr>
        <w:pStyle w:val="SingleTxt"/>
      </w:pPr>
      <w:r>
        <w:rPr>
          <w:rFonts w:hint="eastAsia"/>
        </w:rPr>
        <w:t>12.</w:t>
      </w:r>
      <w:r>
        <w:rPr>
          <w:rFonts w:hint="eastAsia"/>
        </w:rPr>
        <w:tab/>
      </w:r>
      <w:r w:rsidRPr="00DD2CCA">
        <w:rPr>
          <w:rFonts w:ascii="黑体" w:eastAsia="黑体" w:hAnsi="黑体" w:hint="eastAsia"/>
        </w:rPr>
        <w:t>委员会重申其先前提出的建议(</w:t>
      </w:r>
      <w:hyperlink r:id="rId25" w:history="1">
        <w:r w:rsidRPr="005F72D3">
          <w:rPr>
            <w:rStyle w:val="ad"/>
            <w:rFonts w:ascii="黑体" w:eastAsia="黑体" w:hAnsi="黑体" w:hint="eastAsia"/>
          </w:rPr>
          <w:t>CEDAW/C/BHS/CO/1-5</w:t>
        </w:r>
      </w:hyperlink>
      <w:r w:rsidRPr="00DD2CCA">
        <w:rPr>
          <w:rFonts w:ascii="黑体" w:eastAsia="黑体" w:hAnsi="黑体" w:hint="eastAsia"/>
        </w:rPr>
        <w:t>，第14段)，并建议该缔约国按照《公约》第一条和第二条规定以及委员会关于该缔约国在《公约》第二条之下的核心义务的第28(2010)号一般性建议：</w:t>
      </w:r>
    </w:p>
    <w:p w14:paraId="3C17DDA2"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设</w:t>
      </w:r>
      <w:r w:rsidRPr="00DD2CCA">
        <w:rPr>
          <w:rFonts w:ascii="黑体" w:eastAsia="黑体" w:hAnsi="黑体" w:hint="eastAsia"/>
          <w:spacing w:val="4"/>
        </w:rPr>
        <w:t>定明确时限推行宪法改革，同时辅以开展全面的教育和提高认识运</w:t>
      </w:r>
      <w:r w:rsidRPr="00DD2CCA">
        <w:rPr>
          <w:rFonts w:ascii="黑体" w:eastAsia="黑体" w:hAnsi="黑体" w:hint="eastAsia"/>
        </w:rPr>
        <w:t>动，并动员民间社会组织普遍参与，以扩大《宪法》第26条第(1)款对妇女免遭歧视的保护范围，确保至少延及基于性和性别的歧视；</w:t>
      </w:r>
    </w:p>
    <w:p w14:paraId="7A9E571B" w14:textId="0F2D5696" w:rsidR="00033DDA" w:rsidRDefault="00033DDA" w:rsidP="00033DDA">
      <w:pPr>
        <w:pStyle w:val="SingleTxt"/>
      </w:pPr>
      <w:r>
        <w:rPr>
          <w:rFonts w:hint="eastAsia"/>
        </w:rPr>
        <w:tab/>
        <w:t>(b)</w:t>
      </w:r>
      <w:r>
        <w:rPr>
          <w:rFonts w:hint="eastAsia"/>
        </w:rPr>
        <w:tab/>
      </w:r>
      <w:r w:rsidRPr="00DD2CCA">
        <w:rPr>
          <w:rFonts w:ascii="黑体" w:eastAsia="黑体" w:hAnsi="黑体" w:hint="eastAsia"/>
        </w:rPr>
        <w:t>毫不延迟地采取行动，确保对现行法律法规展开全面审查，确保按照《公约》规定，对何为歧视妇女作出全面的定义，并确保将性别平等原则纳入所有国家法律；</w:t>
      </w:r>
    </w:p>
    <w:p w14:paraId="27809D0C"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确保通过适当的执法机制和制裁措施，切实落实关于禁止基于性和性别的歧视的规定；</w:t>
      </w:r>
    </w:p>
    <w:p w14:paraId="0C15A11E" w14:textId="144659E5" w:rsidR="00033DDA" w:rsidRDefault="00033DDA" w:rsidP="00033DDA">
      <w:pPr>
        <w:pStyle w:val="SingleTxt"/>
      </w:pPr>
      <w:r>
        <w:rPr>
          <w:rFonts w:hint="eastAsia"/>
        </w:rPr>
        <w:tab/>
        <w:t>(d)</w:t>
      </w:r>
      <w:r>
        <w:rPr>
          <w:rFonts w:hint="eastAsia"/>
        </w:rPr>
        <w:tab/>
      </w:r>
      <w:r w:rsidRPr="00DD2CCA">
        <w:rPr>
          <w:rFonts w:ascii="黑体" w:eastAsia="黑体" w:hAnsi="黑体" w:hint="eastAsia"/>
        </w:rPr>
        <w:t>通过一项行动计划，并就其执行配备适当的资源、制定时间表和确立可衡量的目标，责令相关主管部门执行相关法律，预防并消除事实上存在的对妇女和女童的一切形式歧视</w:t>
      </w:r>
      <w:r w:rsidR="003E56A2" w:rsidRPr="00DD2CCA">
        <w:rPr>
          <w:rFonts w:ascii="黑体" w:eastAsia="黑体" w:hAnsi="黑体" w:hint="eastAsia"/>
        </w:rPr>
        <w:t>，</w:t>
      </w:r>
      <w:r w:rsidRPr="00DD2CCA">
        <w:rPr>
          <w:rFonts w:ascii="黑体" w:eastAsia="黑体" w:hAnsi="黑体" w:hint="eastAsia"/>
        </w:rPr>
        <w:t xml:space="preserve"> 特别是针对海地裔妇女、移民妇女和寻求庇护妇女、残疾妇女、女同性恋、双性恋和变性妇女、双性人以及外岛散居妇女的歧视。</w:t>
      </w:r>
    </w:p>
    <w:p w14:paraId="34D2A183" w14:textId="77777777" w:rsidR="00033DDA" w:rsidRPr="004B2092" w:rsidRDefault="00033DDA" w:rsidP="004B20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4B2092">
        <w:rPr>
          <w:rFonts w:hint="eastAsia"/>
        </w:rPr>
        <w:tab/>
      </w:r>
      <w:r w:rsidRPr="004B2092">
        <w:rPr>
          <w:rFonts w:hint="eastAsia"/>
        </w:rPr>
        <w:tab/>
      </w:r>
      <w:r w:rsidRPr="004B2092">
        <w:rPr>
          <w:rFonts w:hint="eastAsia"/>
        </w:rPr>
        <w:t>司法救助</w:t>
      </w:r>
    </w:p>
    <w:p w14:paraId="0F8AFF7A" w14:textId="595F76C2" w:rsidR="00033DDA" w:rsidRDefault="00033DDA" w:rsidP="004B2092">
      <w:pPr>
        <w:pStyle w:val="SingleTxt"/>
        <w:spacing w:before="120"/>
      </w:pPr>
      <w:r>
        <w:rPr>
          <w:rFonts w:hint="eastAsia"/>
        </w:rPr>
        <w:t>13.</w:t>
      </w:r>
      <w:r>
        <w:rPr>
          <w:rFonts w:hint="eastAsia"/>
        </w:rPr>
        <w:tab/>
      </w:r>
      <w:r>
        <w:rPr>
          <w:rFonts w:hint="eastAsia"/>
        </w:rPr>
        <w:t>委员会欣见，该缔约国在实施司法机关能力建设方案方面做出了诸多努力。然而，委员会感到关切的是，警方和法院处理妇女所提性别歧视申诉的能力有限，对性别问题的敏感认识不到位。委员会还感到关切的是，该缔约国妇女，特别是弱势妇女群体，对《公约》规定的妇女权利缺乏认识，从而缺乏主张这些权利所需的信息指引。</w:t>
      </w:r>
    </w:p>
    <w:p w14:paraId="62779979" w14:textId="77777777" w:rsidR="00033DDA" w:rsidRDefault="00033DDA" w:rsidP="00033DDA">
      <w:pPr>
        <w:pStyle w:val="SingleTxt"/>
      </w:pPr>
      <w:r>
        <w:rPr>
          <w:rFonts w:hint="eastAsia"/>
        </w:rPr>
        <w:t>14.</w:t>
      </w:r>
      <w:r>
        <w:rPr>
          <w:rFonts w:hint="eastAsia"/>
        </w:rPr>
        <w:tab/>
      </w:r>
      <w:r w:rsidRPr="00DD2CCA">
        <w:rPr>
          <w:rFonts w:ascii="黑体" w:eastAsia="黑体" w:hAnsi="黑体" w:hint="eastAsia"/>
        </w:rPr>
        <w:t>委员会建议该缔约国：</w:t>
      </w:r>
    </w:p>
    <w:p w14:paraId="2147B2F7"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加强司法系统，包括通过为之调拨充足的人力、技术和财政资源，面向法官、检察官、律师、警察和其他执法官员系统开展有关妇女权利和性别平等的法律教育和能力建设方案，同时提高司法系统的认识水平，以期消除针对主张自身权利的妇女和女童的歧视和污名化；</w:t>
      </w:r>
    </w:p>
    <w:p w14:paraId="56A978CF"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确保警方和法院在处理妇女和女童所提性别歧视申诉时做到及时、高效且对性别问题有敏感认识；</w:t>
      </w:r>
    </w:p>
    <w:p w14:paraId="3E8C7730"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提高妇女和女童对自身依照《公约》规定应该享有的权利以及被侵权后可诉诸的补救办法的认识，包括通过与民间社会组织和社区妇女协会合作开展提高认识运动。</w:t>
      </w:r>
    </w:p>
    <w:p w14:paraId="2DC54C0C" w14:textId="77777777" w:rsidR="00033DDA" w:rsidRPr="004B2092" w:rsidRDefault="00033DDA" w:rsidP="004B20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4B2092">
        <w:rPr>
          <w:rFonts w:hint="eastAsia"/>
        </w:rPr>
        <w:tab/>
      </w:r>
      <w:r w:rsidRPr="004B2092">
        <w:rPr>
          <w:rFonts w:hint="eastAsia"/>
        </w:rPr>
        <w:tab/>
      </w:r>
      <w:r w:rsidRPr="004B2092">
        <w:rPr>
          <w:rFonts w:hint="eastAsia"/>
        </w:rPr>
        <w:t>提高妇女地位国家机构</w:t>
      </w:r>
    </w:p>
    <w:p w14:paraId="05033983" w14:textId="77777777" w:rsidR="00033DDA" w:rsidRDefault="00033DDA" w:rsidP="004B2092">
      <w:pPr>
        <w:pStyle w:val="SingleTxt"/>
        <w:spacing w:before="120"/>
      </w:pPr>
      <w:r>
        <w:rPr>
          <w:rFonts w:hint="eastAsia"/>
        </w:rPr>
        <w:t>15.</w:t>
      </w:r>
      <w:r>
        <w:rPr>
          <w:rFonts w:hint="eastAsia"/>
        </w:rPr>
        <w:tab/>
      </w:r>
      <w:r>
        <w:rPr>
          <w:rFonts w:hint="eastAsia"/>
        </w:rPr>
        <w:t>委员会欣见，</w:t>
      </w:r>
      <w:r>
        <w:rPr>
          <w:rFonts w:hint="eastAsia"/>
        </w:rPr>
        <w:t>2016</w:t>
      </w:r>
      <w:r>
        <w:rPr>
          <w:rFonts w:hint="eastAsia"/>
        </w:rPr>
        <w:t>年</w:t>
      </w:r>
      <w:r>
        <w:rPr>
          <w:rFonts w:hint="eastAsia"/>
        </w:rPr>
        <w:t>10</w:t>
      </w:r>
      <w:r>
        <w:rPr>
          <w:rFonts w:hint="eastAsia"/>
        </w:rPr>
        <w:t>月，妇女事务局升级为“性别和家庭事务司”，隶属于社会服务和城市发展部管辖。然而，委员会对以下情况感到关切：</w:t>
      </w:r>
    </w:p>
    <w:p w14:paraId="67C1FF33" w14:textId="77777777" w:rsidR="00033DDA" w:rsidRDefault="00033DDA" w:rsidP="00033DDA">
      <w:pPr>
        <w:pStyle w:val="SingleTxt"/>
      </w:pPr>
      <w:r>
        <w:rPr>
          <w:rFonts w:hint="eastAsia"/>
        </w:rPr>
        <w:tab/>
        <w:t>(a)</w:t>
      </w:r>
      <w:r>
        <w:rPr>
          <w:rFonts w:hint="eastAsia"/>
        </w:rPr>
        <w:tab/>
      </w:r>
      <w:r>
        <w:rPr>
          <w:rFonts w:hint="eastAsia"/>
        </w:rPr>
        <w:t>分配给性别和家庭事务司的人力资源有限，财政资源未得到充分利用；</w:t>
      </w:r>
    </w:p>
    <w:p w14:paraId="1868329A" w14:textId="3E5BC825" w:rsidR="00033DDA" w:rsidRDefault="00033DDA" w:rsidP="00033DDA">
      <w:pPr>
        <w:pStyle w:val="SingleTxt"/>
      </w:pPr>
      <w:r>
        <w:rPr>
          <w:rFonts w:hint="eastAsia"/>
        </w:rPr>
        <w:tab/>
        <w:t>(b)</w:t>
      </w:r>
      <w:r>
        <w:rPr>
          <w:rFonts w:hint="eastAsia"/>
        </w:rPr>
        <w:tab/>
      </w:r>
      <w:r>
        <w:rPr>
          <w:rFonts w:hint="eastAsia"/>
        </w:rPr>
        <w:t>该司有效执行其任务授权的自主权和职权有限；</w:t>
      </w:r>
    </w:p>
    <w:p w14:paraId="706A0713" w14:textId="77777777" w:rsidR="00033DDA" w:rsidRDefault="00033DDA" w:rsidP="00033DDA">
      <w:pPr>
        <w:pStyle w:val="SingleTxt"/>
      </w:pPr>
      <w:r>
        <w:rPr>
          <w:rFonts w:hint="eastAsia"/>
        </w:rPr>
        <w:tab/>
        <w:t>(c)</w:t>
      </w:r>
      <w:r>
        <w:rPr>
          <w:rFonts w:hint="eastAsia"/>
        </w:rPr>
        <w:tab/>
      </w:r>
      <w:r>
        <w:rPr>
          <w:rFonts w:hint="eastAsia"/>
        </w:rPr>
        <w:t>该司在确保自身核心方案拟定工作在全国所有部门和各级政府中保持连续性方面的体制结构薄弱；</w:t>
      </w:r>
    </w:p>
    <w:p w14:paraId="2E9E4888" w14:textId="77777777" w:rsidR="00033DDA" w:rsidRDefault="00033DDA" w:rsidP="00033DDA">
      <w:pPr>
        <w:pStyle w:val="SingleTxt"/>
      </w:pPr>
      <w:r>
        <w:rPr>
          <w:rFonts w:hint="eastAsia"/>
        </w:rPr>
        <w:tab/>
        <w:t>(d)</w:t>
      </w:r>
      <w:r>
        <w:rPr>
          <w:rFonts w:hint="eastAsia"/>
        </w:rPr>
        <w:tab/>
      </w:r>
      <w:r>
        <w:rPr>
          <w:rFonts w:hint="eastAsia"/>
        </w:rPr>
        <w:t>性别平等政策草案和该司战略计划草案迟迟未获通过；</w:t>
      </w:r>
    </w:p>
    <w:p w14:paraId="09516127" w14:textId="77777777" w:rsidR="00033DDA" w:rsidRDefault="00033DDA" w:rsidP="00033DDA">
      <w:pPr>
        <w:pStyle w:val="SingleTxt"/>
      </w:pPr>
      <w:r>
        <w:rPr>
          <w:rFonts w:hint="eastAsia"/>
        </w:rPr>
        <w:tab/>
        <w:t>(e)</w:t>
      </w:r>
      <w:r>
        <w:rPr>
          <w:rFonts w:hint="eastAsia"/>
        </w:rPr>
        <w:tab/>
      </w:r>
      <w:r>
        <w:rPr>
          <w:rFonts w:hint="eastAsia"/>
        </w:rPr>
        <w:t>民间社会组织对妇女权利相关政策、方案和活动规划和开展工作的参与有限。</w:t>
      </w:r>
    </w:p>
    <w:p w14:paraId="1208BD2F" w14:textId="77777777" w:rsidR="00033DDA" w:rsidRDefault="00033DDA" w:rsidP="00033DDA">
      <w:pPr>
        <w:pStyle w:val="SingleTxt"/>
      </w:pPr>
      <w:r>
        <w:rPr>
          <w:rFonts w:hint="eastAsia"/>
        </w:rPr>
        <w:t>16.</w:t>
      </w:r>
      <w:r>
        <w:rPr>
          <w:rFonts w:hint="eastAsia"/>
        </w:rPr>
        <w:tab/>
      </w:r>
      <w:r w:rsidRPr="00DD2CCA">
        <w:rPr>
          <w:rFonts w:ascii="黑体" w:eastAsia="黑体" w:hAnsi="黑体" w:hint="eastAsia"/>
        </w:rPr>
        <w:t>委员会忆及《北京行动纲要》中提出的指导意见，特别是提高妇女地位国家机构有效运行的必要条件，进而建议该缔约国：</w:t>
      </w:r>
    </w:p>
    <w:p w14:paraId="744E6766"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对性别和家庭事务司工作人员以及政府各部委中负责就相关问题开展工作的所有官员进行有关性别平等和妇女权利的培训；</w:t>
      </w:r>
    </w:p>
    <w:p w14:paraId="7EE19E26"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有效查明需要努力提高该司获拨财政资源利用效率的领域和地方；</w:t>
      </w:r>
    </w:p>
    <w:p w14:paraId="307D1FCD"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扩大该司的职权并强化其监管和监督职能，同时确保该司拥有增强自身任务授权执行实效的自主权；</w:t>
      </w:r>
    </w:p>
    <w:p w14:paraId="4B39C906"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加强该司的体制架构，使之能够胜任其职，以期维护该司各项职能及其核心方案拟定工作在所有部门和各级政府中的连续性；</w:t>
      </w:r>
    </w:p>
    <w:p w14:paraId="02E1C4F3" w14:textId="77777777" w:rsidR="00033DDA" w:rsidRDefault="00033DDA" w:rsidP="00033DDA">
      <w:pPr>
        <w:pStyle w:val="SingleTxt"/>
      </w:pPr>
      <w:r>
        <w:rPr>
          <w:rFonts w:hint="eastAsia"/>
        </w:rPr>
        <w:tab/>
        <w:t>(e)</w:t>
      </w:r>
      <w:r>
        <w:rPr>
          <w:rFonts w:hint="eastAsia"/>
        </w:rPr>
        <w:tab/>
      </w:r>
      <w:r w:rsidRPr="00DD2CCA">
        <w:rPr>
          <w:rFonts w:ascii="黑体" w:eastAsia="黑体" w:hAnsi="黑体" w:hint="eastAsia"/>
        </w:rPr>
        <w:t>加快通过该司战略计划草案以及性别平等政策草案，并在性别平等政策中规定具体的指标和目标，以促进实行利益攸关方问责制；</w:t>
      </w:r>
    </w:p>
    <w:p w14:paraId="2A4D429F" w14:textId="77777777" w:rsidR="00033DDA" w:rsidRDefault="00033DDA" w:rsidP="00033DDA">
      <w:pPr>
        <w:pStyle w:val="SingleTxt"/>
      </w:pPr>
      <w:r>
        <w:rPr>
          <w:rFonts w:hint="eastAsia"/>
        </w:rPr>
        <w:tab/>
        <w:t>(f)</w:t>
      </w:r>
      <w:r>
        <w:rPr>
          <w:rFonts w:hint="eastAsia"/>
        </w:rPr>
        <w:tab/>
      </w:r>
      <w:r w:rsidRPr="00DD2CCA">
        <w:rPr>
          <w:rFonts w:ascii="黑体" w:eastAsia="黑体" w:hAnsi="黑体" w:hint="eastAsia"/>
        </w:rPr>
        <w:t>扩大民间社会组织对参与执行《公约》和委员会建议的所有国家机制的参与，以期全方位地切实实现性别平等。</w:t>
      </w:r>
    </w:p>
    <w:p w14:paraId="710184E9" w14:textId="6219FAD9" w:rsidR="00033DDA" w:rsidRPr="004B2092" w:rsidRDefault="00033DDA" w:rsidP="004B20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4B2092">
        <w:rPr>
          <w:rFonts w:hint="eastAsia"/>
        </w:rPr>
        <w:tab/>
      </w:r>
      <w:r w:rsidRPr="004B2092">
        <w:rPr>
          <w:rFonts w:hint="eastAsia"/>
        </w:rPr>
        <w:tab/>
      </w:r>
      <w:r w:rsidRPr="004B2092">
        <w:rPr>
          <w:rFonts w:hint="eastAsia"/>
        </w:rPr>
        <w:t>国家人权机构</w:t>
      </w:r>
    </w:p>
    <w:p w14:paraId="6254C37F" w14:textId="77777777" w:rsidR="00033DDA" w:rsidRDefault="00033DDA" w:rsidP="004B2092">
      <w:pPr>
        <w:pStyle w:val="SingleTxt"/>
        <w:spacing w:before="120"/>
      </w:pPr>
      <w:r>
        <w:rPr>
          <w:rFonts w:hint="eastAsia"/>
        </w:rPr>
        <w:t>17.</w:t>
      </w:r>
      <w:r>
        <w:rPr>
          <w:rFonts w:hint="eastAsia"/>
        </w:rPr>
        <w:tab/>
      </w:r>
      <w:r>
        <w:rPr>
          <w:rFonts w:hint="eastAsia"/>
        </w:rPr>
        <w:t>委员会注意到，监察员议案已于</w:t>
      </w:r>
      <w:r>
        <w:rPr>
          <w:rFonts w:hint="eastAsia"/>
        </w:rPr>
        <w:t>2017</w:t>
      </w:r>
      <w:r>
        <w:rPr>
          <w:rFonts w:hint="eastAsia"/>
        </w:rPr>
        <w:t>年</w:t>
      </w:r>
      <w:r>
        <w:rPr>
          <w:rFonts w:hint="eastAsia"/>
        </w:rPr>
        <w:t>10</w:t>
      </w:r>
      <w:r>
        <w:rPr>
          <w:rFonts w:hint="eastAsia"/>
        </w:rPr>
        <w:t>月提交议会，目前，议会正在审议该议案，目的是确保该议案符合《关于促进和保护人权的国家机构的地位的原则》</w:t>
      </w:r>
      <w:r>
        <w:rPr>
          <w:rFonts w:hint="eastAsia"/>
        </w:rPr>
        <w:t>(</w:t>
      </w:r>
      <w:r>
        <w:rPr>
          <w:rFonts w:hint="eastAsia"/>
        </w:rPr>
        <w:t>《巴黎原则》</w:t>
      </w:r>
      <w:r>
        <w:rPr>
          <w:rFonts w:hint="eastAsia"/>
        </w:rPr>
        <w:t>)</w:t>
      </w:r>
      <w:r>
        <w:rPr>
          <w:rFonts w:hint="eastAsia"/>
        </w:rPr>
        <w:t>。然而，委员会重申其先前表明的关切，即该缔约国尚未按照《巴黎原则》设立受权保障妇女权利的独立而有效的国家人权机构。</w:t>
      </w:r>
    </w:p>
    <w:p w14:paraId="68DCCBDB" w14:textId="73D19F55" w:rsidR="00033DDA" w:rsidRPr="00DD2CCA" w:rsidRDefault="00033DDA" w:rsidP="00033DDA">
      <w:pPr>
        <w:pStyle w:val="SingleTxt"/>
        <w:rPr>
          <w:rFonts w:ascii="黑体" w:eastAsia="黑体" w:hAnsi="黑体"/>
        </w:rPr>
      </w:pPr>
      <w:r>
        <w:rPr>
          <w:rFonts w:hint="eastAsia"/>
        </w:rPr>
        <w:t>18.</w:t>
      </w:r>
      <w:r>
        <w:rPr>
          <w:rFonts w:hint="eastAsia"/>
        </w:rPr>
        <w:tab/>
      </w:r>
      <w:r w:rsidRPr="00DD2CCA">
        <w:rPr>
          <w:rFonts w:ascii="黑体" w:eastAsia="黑体" w:hAnsi="黑体" w:hint="eastAsia"/>
        </w:rPr>
        <w:t>委员会忆及其先前提出的建议(</w:t>
      </w:r>
      <w:hyperlink r:id="rId26" w:history="1">
        <w:r w:rsidRPr="005F72D3">
          <w:rPr>
            <w:rStyle w:val="ad"/>
            <w:rFonts w:ascii="黑体" w:eastAsia="黑体" w:hAnsi="黑体" w:hint="eastAsia"/>
          </w:rPr>
          <w:t>CEDAW/C/BHS/CO/1-5</w:t>
        </w:r>
      </w:hyperlink>
      <w:r w:rsidRPr="00DD2CCA">
        <w:rPr>
          <w:rFonts w:ascii="黑体" w:eastAsia="黑体" w:hAnsi="黑体" w:hint="eastAsia"/>
        </w:rPr>
        <w:t>，第40段)，进而建议该缔约国严格按照《巴黎原则》，优先设立一个拥有广泛任务授权的国家人权机构，同时为该机构配备充足的资源并明确赋之以保障妇女权利的具体任务授权。</w:t>
      </w:r>
    </w:p>
    <w:p w14:paraId="79857FE6" w14:textId="77777777" w:rsidR="00033DDA" w:rsidRPr="00530247" w:rsidRDefault="00033DDA" w:rsidP="005302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30247">
        <w:rPr>
          <w:rFonts w:hint="eastAsia"/>
        </w:rPr>
        <w:tab/>
      </w:r>
      <w:r w:rsidRPr="00530247">
        <w:rPr>
          <w:rFonts w:hint="eastAsia"/>
        </w:rPr>
        <w:tab/>
      </w:r>
      <w:r w:rsidRPr="00530247">
        <w:rPr>
          <w:rFonts w:hint="eastAsia"/>
        </w:rPr>
        <w:t>暂行特别措施</w:t>
      </w:r>
    </w:p>
    <w:p w14:paraId="1188979D" w14:textId="77777777" w:rsidR="00033DDA" w:rsidRDefault="00033DDA" w:rsidP="00530247">
      <w:pPr>
        <w:pStyle w:val="SingleTxt"/>
        <w:spacing w:before="120"/>
      </w:pPr>
      <w:r>
        <w:rPr>
          <w:rFonts w:hint="eastAsia"/>
        </w:rPr>
        <w:t>19.</w:t>
      </w:r>
      <w:r>
        <w:rPr>
          <w:rFonts w:hint="eastAsia"/>
        </w:rPr>
        <w:tab/>
      </w:r>
      <w:r>
        <w:rPr>
          <w:rFonts w:hint="eastAsia"/>
        </w:rPr>
        <w:t>委员会感到关切的是，尚无关于通过和执行暂行特别措施以在妇女任职人数不足或处于不利地位的政治和公共生活、教育、就业和卫生等《公约》所涉各个领域实现男女实质性平等的综合战略。</w:t>
      </w:r>
    </w:p>
    <w:p w14:paraId="402D1BA8" w14:textId="6E91823E" w:rsidR="00033DDA" w:rsidRDefault="00033DDA" w:rsidP="00033DDA">
      <w:pPr>
        <w:pStyle w:val="SingleTxt"/>
      </w:pPr>
      <w:r>
        <w:rPr>
          <w:rFonts w:hint="eastAsia"/>
        </w:rPr>
        <w:t>20.</w:t>
      </w:r>
      <w:r>
        <w:rPr>
          <w:rFonts w:hint="eastAsia"/>
        </w:rPr>
        <w:tab/>
      </w:r>
      <w:r w:rsidRPr="00DD2CCA">
        <w:rPr>
          <w:rFonts w:ascii="黑体" w:eastAsia="黑体" w:hAnsi="黑体" w:hint="eastAsia"/>
        </w:rPr>
        <w:t>委员会建议该缔约国按照《公约》第四条第1款规定和委员会关于暂行特别措施的第25(2004)号一般性建议，加强利用暂行特别措施，以之为工具，加快实现性别平等，包括通过利用实施可持续发展目标的部门政策、目标、中期计划和模式，同时考虑实行配额制和采取其他积极措施，并辅以激励措施和针对不合规情事的制裁措施，以期在妇女任职人数不足或处于不利地位的政治和公共生活、教育、就业和卫生等《公约》所涉各个领域实现男女实质性平等。</w:t>
      </w:r>
    </w:p>
    <w:p w14:paraId="1D8AC9A9"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陈规定型观念和有害习俗</w:t>
      </w:r>
    </w:p>
    <w:p w14:paraId="706712C3" w14:textId="77777777" w:rsidR="00033DDA" w:rsidRDefault="00033DDA" w:rsidP="00372D63">
      <w:pPr>
        <w:pStyle w:val="SingleTxt"/>
        <w:spacing w:before="120"/>
      </w:pPr>
      <w:r>
        <w:rPr>
          <w:rFonts w:hint="eastAsia"/>
        </w:rPr>
        <w:t>21.</w:t>
      </w:r>
      <w:r>
        <w:rPr>
          <w:rFonts w:hint="eastAsia"/>
        </w:rPr>
        <w:tab/>
      </w:r>
      <w:r>
        <w:rPr>
          <w:rFonts w:hint="eastAsia"/>
        </w:rPr>
        <w:t>委员会对卫生和家庭生活教育课程中包含旨在打击歧视性性别陈规定型观念的内容表示赞赏。委员会还注意到，性别平等政策草案实施计划中将列入一项应对歧视性陈规定型观念和有害习俗的综合战略。然而，委员会依然对以下情况深感关切：</w:t>
      </w:r>
    </w:p>
    <w:p w14:paraId="3D47AFC9" w14:textId="77777777" w:rsidR="00033DDA" w:rsidRDefault="00033DDA" w:rsidP="00033DDA">
      <w:pPr>
        <w:pStyle w:val="SingleTxt"/>
      </w:pPr>
      <w:r>
        <w:rPr>
          <w:rFonts w:hint="eastAsia"/>
        </w:rPr>
        <w:tab/>
        <w:t>(a)</w:t>
      </w:r>
      <w:r>
        <w:rPr>
          <w:rFonts w:hint="eastAsia"/>
        </w:rPr>
        <w:tab/>
      </w:r>
      <w:r>
        <w:rPr>
          <w:rFonts w:hint="eastAsia"/>
        </w:rPr>
        <w:t>关于男女家庭与社会角色和责任的父权主义态度和歧视性陈规定型观念根深蒂固，积重难返，此种态度和观念具体体现在公众对妇女权利和性别平等的认识水平和讨论度均有不足上面；</w:t>
      </w:r>
    </w:p>
    <w:p w14:paraId="022F900F" w14:textId="5338FFBD" w:rsidR="00033DDA" w:rsidRDefault="00033DDA" w:rsidP="00033DDA">
      <w:pPr>
        <w:pStyle w:val="SingleTxt"/>
      </w:pPr>
      <w:r>
        <w:rPr>
          <w:rFonts w:hint="eastAsia"/>
        </w:rPr>
        <w:tab/>
        <w:t>(b)</w:t>
      </w:r>
      <w:r>
        <w:rPr>
          <w:rFonts w:hint="eastAsia"/>
        </w:rPr>
        <w:tab/>
      </w:r>
      <w:r>
        <w:rPr>
          <w:rFonts w:hint="eastAsia"/>
        </w:rPr>
        <w:t>陈规定型观念也是导致暴力侵害妇女行为的根源，而且该缔约国未采取持续措施纠正或消除针对妇女特别是针对弱势妇女群体的歧视性陈规定型观念。</w:t>
      </w:r>
    </w:p>
    <w:p w14:paraId="75B64159" w14:textId="77777777" w:rsidR="00033DDA" w:rsidRDefault="00033DDA" w:rsidP="00033DDA">
      <w:pPr>
        <w:pStyle w:val="SingleTxt"/>
      </w:pPr>
      <w:r>
        <w:rPr>
          <w:rFonts w:hint="eastAsia"/>
        </w:rPr>
        <w:t>22.</w:t>
      </w:r>
      <w:r>
        <w:rPr>
          <w:rFonts w:hint="eastAsia"/>
        </w:rPr>
        <w:tab/>
      </w:r>
      <w:r w:rsidRPr="00DD2CCA">
        <w:rPr>
          <w:rFonts w:ascii="黑体" w:eastAsia="黑体" w:hAnsi="黑体" w:hint="eastAsia"/>
        </w:rPr>
        <w:t>委员会建议该缔约国：</w:t>
      </w:r>
    </w:p>
    <w:p w14:paraId="6BF5F27C" w14:textId="77777777" w:rsidR="00033DDA" w:rsidRPr="00DD2CCA" w:rsidRDefault="00033DDA" w:rsidP="00033DDA">
      <w:pPr>
        <w:pStyle w:val="SingleTxt"/>
        <w:rPr>
          <w:rFonts w:ascii="黑体" w:eastAsia="黑体" w:hAnsi="黑体"/>
        </w:rPr>
      </w:pPr>
      <w:r>
        <w:rPr>
          <w:rFonts w:hint="eastAsia"/>
        </w:rPr>
        <w:tab/>
        <w:t>(a)</w:t>
      </w:r>
      <w:r>
        <w:rPr>
          <w:rFonts w:hint="eastAsia"/>
        </w:rPr>
        <w:tab/>
      </w:r>
      <w:r w:rsidRPr="00DD2CCA">
        <w:rPr>
          <w:rFonts w:ascii="黑体" w:eastAsia="黑体" w:hAnsi="黑体" w:hint="eastAsia"/>
        </w:rPr>
        <w:t>毫不延迟地通过性别平等政策草案实施计划及相关综合战略，针对学校内、媒体上和公共空间中的歧视性陈规定型观念和有害习俗出台积极和持续的措施；</w:t>
      </w:r>
    </w:p>
    <w:p w14:paraId="55647941"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针对所有公职人员、社区和宗教领袖以及广大公众，加大有关性别陈规定型观念的提高认识运动的开展力度；</w:t>
      </w:r>
    </w:p>
    <w:p w14:paraId="0A8C9659" w14:textId="77777777" w:rsidR="00033DDA" w:rsidRPr="00DD2CCA" w:rsidRDefault="00033DDA" w:rsidP="00033DDA">
      <w:pPr>
        <w:pStyle w:val="SingleTxt"/>
        <w:rPr>
          <w:rFonts w:ascii="黑体" w:eastAsia="黑体" w:hAnsi="黑体"/>
        </w:rPr>
      </w:pPr>
      <w:r>
        <w:rPr>
          <w:rFonts w:hint="eastAsia"/>
        </w:rPr>
        <w:tab/>
        <w:t>(c)</w:t>
      </w:r>
      <w:r>
        <w:rPr>
          <w:rFonts w:hint="eastAsia"/>
        </w:rPr>
        <w:tab/>
      </w:r>
      <w:r w:rsidRPr="00DD2CCA">
        <w:rPr>
          <w:rFonts w:ascii="黑体" w:eastAsia="黑体" w:hAnsi="黑体" w:hint="eastAsia"/>
        </w:rPr>
        <w:t>加强中小学阶段关于性别陈规定型观念、偏见和家庭关系中性别角色的教育；</w:t>
      </w:r>
    </w:p>
    <w:p w14:paraId="4E707EBE"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制定一项消除煽动暴力侵害妇女和女童行为的歧视性性别陈规定型观念行动计划，并确立一项监测机制，评估此种措施的影响，特别是对面临多重和交叉形式歧视的妇女和女童的影响。</w:t>
      </w:r>
    </w:p>
    <w:p w14:paraId="1D9497FF" w14:textId="77777777" w:rsidR="001521B9" w:rsidRDefault="001521B9">
      <w:pPr>
        <w:spacing w:line="240" w:lineRule="auto"/>
        <w:jc w:val="left"/>
        <w:rPr>
          <w:rFonts w:eastAsia="黑体"/>
          <w:szCs w:val="21"/>
        </w:rPr>
      </w:pPr>
      <w:r>
        <w:br w:type="page"/>
      </w:r>
    </w:p>
    <w:p w14:paraId="4CBB1185" w14:textId="7D721B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基于性别的暴力侵害妇女行为</w:t>
      </w:r>
    </w:p>
    <w:p w14:paraId="3F9BF4A2" w14:textId="77777777" w:rsidR="00033DDA" w:rsidRDefault="00033DDA" w:rsidP="00372D63">
      <w:pPr>
        <w:pStyle w:val="SingleTxt"/>
        <w:spacing w:before="120"/>
      </w:pPr>
      <w:r>
        <w:rPr>
          <w:rFonts w:hint="eastAsia"/>
        </w:rPr>
        <w:t>23.</w:t>
      </w:r>
      <w:r>
        <w:rPr>
          <w:rFonts w:hint="eastAsia"/>
        </w:rPr>
        <w:tab/>
      </w:r>
      <w:r>
        <w:rPr>
          <w:rFonts w:hint="eastAsia"/>
        </w:rPr>
        <w:t>委员会欣见，该缔约国为打击基于性别的暴力侵害妇女和女童行为采取了诸多措施，包括组建了家庭暴力问题与咨询股、成立了国家性别暴力问题工作队并制定了打击性别暴力的国家战略计划草案。委员会还欣见，巴哈马皇家警察部队和司法机关也采取了诸多措施，包括在检察厅内下设性别犯罪问题股并实施了旨在解决司法救助延迟问题的“迅疾司法”倡议。然而，委员会对以下情况感到关切：</w:t>
      </w:r>
    </w:p>
    <w:p w14:paraId="5D04B21B" w14:textId="4C13D451" w:rsidR="00033DDA" w:rsidRDefault="00033DDA" w:rsidP="00033DDA">
      <w:pPr>
        <w:pStyle w:val="SingleTxt"/>
      </w:pPr>
      <w:r>
        <w:rPr>
          <w:rFonts w:hint="eastAsia"/>
        </w:rPr>
        <w:tab/>
        <w:t>(a)</w:t>
      </w:r>
      <w:r>
        <w:rPr>
          <w:rFonts w:hint="eastAsia"/>
        </w:rPr>
        <w:tab/>
      </w:r>
      <w:r>
        <w:rPr>
          <w:rFonts w:hint="eastAsia"/>
        </w:rPr>
        <w:t>基于性别的暴力侵害妇女和女童现象高发多发，其中包括家庭暴力以及性暴力和强奸，而且从报案情况来看，针对女同性恋、双性恋、变性妇女和双性人的仇恨犯罪发生率高</w:t>
      </w:r>
      <w:r w:rsidR="003E56A2">
        <w:rPr>
          <w:rFonts w:hint="eastAsia"/>
        </w:rPr>
        <w:t>，</w:t>
      </w:r>
      <w:r>
        <w:rPr>
          <w:rFonts w:hint="eastAsia"/>
        </w:rPr>
        <w:t>但在该缔约国，这类犯罪依然为文化所接受，而且报案率仍不足；</w:t>
      </w:r>
    </w:p>
    <w:p w14:paraId="1831AC0C" w14:textId="77777777" w:rsidR="00033DDA" w:rsidRDefault="00033DDA" w:rsidP="00033DDA">
      <w:pPr>
        <w:pStyle w:val="SingleTxt"/>
      </w:pPr>
      <w:r>
        <w:rPr>
          <w:rFonts w:hint="eastAsia"/>
        </w:rPr>
        <w:tab/>
        <w:t>(b)</w:t>
      </w:r>
      <w:r>
        <w:rPr>
          <w:rFonts w:hint="eastAsia"/>
        </w:rPr>
        <w:tab/>
      </w:r>
      <w:r>
        <w:rPr>
          <w:rFonts w:hint="eastAsia"/>
        </w:rPr>
        <w:t>缺乏一部针对暴力侵害妇女问题的综合性法律，而且关于性别暴力问题的议案草案与旨在应对性别暴力的国家战略计划草案迟迟没有最后定稿和通过；</w:t>
      </w:r>
    </w:p>
    <w:p w14:paraId="44A213F6" w14:textId="77777777" w:rsidR="00033DDA" w:rsidRDefault="00033DDA" w:rsidP="00033DDA">
      <w:pPr>
        <w:pStyle w:val="SingleTxt"/>
      </w:pPr>
      <w:r>
        <w:rPr>
          <w:rFonts w:hint="eastAsia"/>
        </w:rPr>
        <w:tab/>
        <w:t>(c)</w:t>
      </w:r>
      <w:r>
        <w:rPr>
          <w:rFonts w:hint="eastAsia"/>
        </w:rPr>
        <w:tab/>
      </w:r>
      <w:r>
        <w:rPr>
          <w:rFonts w:hint="eastAsia"/>
        </w:rPr>
        <w:t>完全符合委员会经更新其关于对妇女的暴力行为的第</w:t>
      </w:r>
      <w:r>
        <w:rPr>
          <w:rFonts w:hint="eastAsia"/>
        </w:rPr>
        <w:t>19</w:t>
      </w:r>
      <w:r>
        <w:rPr>
          <w:rFonts w:hint="eastAsia"/>
        </w:rPr>
        <w:t>号一般性建议而形成的关于基于性别的暴力侵害妇女行为的第</w:t>
      </w:r>
      <w:r>
        <w:rPr>
          <w:rFonts w:hint="eastAsia"/>
        </w:rPr>
        <w:t>35(2017)</w:t>
      </w:r>
      <w:r>
        <w:rPr>
          <w:rFonts w:hint="eastAsia"/>
        </w:rPr>
        <w:t>号一般性建议的《性犯罪法案》修正案草案迟迟未获通过，而且拟议修正案会将婚内强奸案件的申诉时效限制在自侵害发生之日起一年之内；</w:t>
      </w:r>
    </w:p>
    <w:p w14:paraId="18E4A8C6" w14:textId="77777777" w:rsidR="00033DDA" w:rsidRDefault="00033DDA" w:rsidP="00033DDA">
      <w:pPr>
        <w:pStyle w:val="SingleTxt"/>
      </w:pPr>
      <w:r>
        <w:rPr>
          <w:rFonts w:hint="eastAsia"/>
        </w:rPr>
        <w:tab/>
        <w:t>(d)</w:t>
      </w:r>
      <w:r>
        <w:rPr>
          <w:rFonts w:hint="eastAsia"/>
        </w:rPr>
        <w:tab/>
      </w:r>
      <w:r>
        <w:rPr>
          <w:rFonts w:hint="eastAsia"/>
        </w:rPr>
        <w:t>性侵害犯罪者登记册和登记处迟迟未设立，也未规定明确的设立时限；</w:t>
      </w:r>
    </w:p>
    <w:p w14:paraId="172B76B2" w14:textId="77777777" w:rsidR="00033DDA" w:rsidRDefault="00033DDA" w:rsidP="00033DDA">
      <w:pPr>
        <w:pStyle w:val="SingleTxt"/>
      </w:pPr>
      <w:r>
        <w:rPr>
          <w:rFonts w:hint="eastAsia"/>
        </w:rPr>
        <w:tab/>
        <w:t>(e)</w:t>
      </w:r>
      <w:r>
        <w:rPr>
          <w:rFonts w:hint="eastAsia"/>
        </w:rPr>
        <w:tab/>
      </w:r>
      <w:r>
        <w:rPr>
          <w:rFonts w:hint="eastAsia"/>
        </w:rPr>
        <w:t>体罚儿童现象普遍存在，而且校内和家庭体罚是为社会所广泛接受的一种约束孩子行为的手段；</w:t>
      </w:r>
    </w:p>
    <w:p w14:paraId="79753811" w14:textId="77777777" w:rsidR="00033DDA" w:rsidRDefault="00033DDA" w:rsidP="00033DDA">
      <w:pPr>
        <w:pStyle w:val="SingleTxt"/>
      </w:pPr>
      <w:r>
        <w:rPr>
          <w:rFonts w:hint="eastAsia"/>
        </w:rPr>
        <w:tab/>
        <w:t>(f)</w:t>
      </w:r>
      <w:r>
        <w:rPr>
          <w:rFonts w:hint="eastAsia"/>
        </w:rPr>
        <w:tab/>
      </w:r>
      <w:r>
        <w:rPr>
          <w:rFonts w:hint="eastAsia"/>
        </w:rPr>
        <w:t>法院系统内暴力侵害妇女和女童案件严重积压；</w:t>
      </w:r>
    </w:p>
    <w:p w14:paraId="20F4E73A" w14:textId="77777777" w:rsidR="00033DDA" w:rsidRDefault="00033DDA" w:rsidP="00033DDA">
      <w:pPr>
        <w:pStyle w:val="SingleTxt"/>
      </w:pPr>
      <w:r>
        <w:rPr>
          <w:rFonts w:hint="eastAsia"/>
        </w:rPr>
        <w:tab/>
        <w:t>(g)</w:t>
      </w:r>
      <w:r>
        <w:rPr>
          <w:rFonts w:hint="eastAsia"/>
        </w:rPr>
        <w:tab/>
      </w:r>
      <w:r>
        <w:rPr>
          <w:rFonts w:hint="eastAsia"/>
        </w:rPr>
        <w:t>专门面向性别暴力和性暴力受害妇女和女童的国营收容所数量有限；</w:t>
      </w:r>
    </w:p>
    <w:p w14:paraId="6E576A11" w14:textId="77777777" w:rsidR="00033DDA" w:rsidRDefault="00033DDA" w:rsidP="00033DDA">
      <w:pPr>
        <w:pStyle w:val="SingleTxt"/>
      </w:pPr>
      <w:r>
        <w:rPr>
          <w:rFonts w:hint="eastAsia"/>
        </w:rPr>
        <w:tab/>
        <w:t>(h)</w:t>
      </w:r>
      <w:r>
        <w:rPr>
          <w:rFonts w:hint="eastAsia"/>
        </w:rPr>
        <w:tab/>
      </w:r>
      <w:r>
        <w:rPr>
          <w:rFonts w:hint="eastAsia"/>
        </w:rPr>
        <w:t>关于该缔约国暴力侵害妇女和女童案件的调查和起诉以及犯罪人所受制裁的情况，未见按年龄以及受害者与犯罪人之间的关系分列的数据。</w:t>
      </w:r>
    </w:p>
    <w:p w14:paraId="2A8D11C0" w14:textId="77777777" w:rsidR="00033DDA" w:rsidRPr="00DD2CCA" w:rsidRDefault="00033DDA" w:rsidP="00033DDA">
      <w:pPr>
        <w:pStyle w:val="SingleTxt"/>
        <w:rPr>
          <w:rFonts w:ascii="黑体" w:eastAsia="黑体" w:hAnsi="黑体"/>
        </w:rPr>
      </w:pPr>
      <w:r>
        <w:rPr>
          <w:rFonts w:hint="eastAsia"/>
        </w:rPr>
        <w:t>24.</w:t>
      </w:r>
      <w:r>
        <w:rPr>
          <w:rFonts w:hint="eastAsia"/>
        </w:rPr>
        <w:tab/>
      </w:r>
      <w:r w:rsidRPr="00DD2CCA">
        <w:rPr>
          <w:rFonts w:ascii="黑体" w:eastAsia="黑体" w:hAnsi="黑体" w:hint="eastAsia"/>
        </w:rPr>
        <w:t>委员会忆及其第35号一般性建议，另又根据关于消除公共和私营部门针对妇女和女童一切形式的暴力行为的可持续发展目标之具体目标5.2，建议该缔约国：</w:t>
      </w:r>
    </w:p>
    <w:p w14:paraId="00EECB18" w14:textId="5F3E78BC" w:rsidR="00033DDA" w:rsidRDefault="00033DDA" w:rsidP="00033DDA">
      <w:pPr>
        <w:pStyle w:val="SingleTxt"/>
      </w:pPr>
      <w:r>
        <w:rPr>
          <w:rFonts w:hint="eastAsia"/>
        </w:rPr>
        <w:tab/>
        <w:t>(a)</w:t>
      </w:r>
      <w:r>
        <w:rPr>
          <w:rFonts w:hint="eastAsia"/>
        </w:rPr>
        <w:tab/>
      </w:r>
      <w:r w:rsidRPr="00DD2CCA">
        <w:rPr>
          <w:rFonts w:ascii="黑体" w:eastAsia="黑体" w:hAnsi="黑体" w:hint="eastAsia"/>
        </w:rPr>
        <w:t>制定和实施预防和消除基于性别的暴力侵害妇女和女童现象，特别是家庭暴力以及性暴力和强奸的综合措施，评估侵害女同性恋、双性恋、变性妇女和双性人犯罪的报案率，并加强努力转变将性别暴力作为一种文化上可接受的现象加以容忍的社会规范和文化观念；</w:t>
      </w:r>
    </w:p>
    <w:p w14:paraId="63F2111D"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根据委员会第35号一般性建议，加速通过关于性别暴力问题的综合性议案草案与旨在应对性别暴力的国家战略计划草案；</w:t>
      </w:r>
    </w:p>
    <w:p w14:paraId="5887649F"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毫不延迟地通过关于明确将婚内强奸定为刑事犯罪的《性犯罪法》修正案，取消对《性犯罪法》修正案草案对婚内强奸案件申诉时效设定的任何限制，并设立性侵害犯罪者登记册和登记处；</w:t>
      </w:r>
    </w:p>
    <w:p w14:paraId="5D2BF9F5"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从法律上和在实践中禁止对女童的校内和家庭体罚，并加强提高认识方案，以促进非暴力形式的儿童养育和行为约束；</w:t>
      </w:r>
    </w:p>
    <w:p w14:paraId="7B210FCE" w14:textId="77777777" w:rsidR="00033DDA" w:rsidRDefault="00033DDA" w:rsidP="00033DDA">
      <w:pPr>
        <w:pStyle w:val="SingleTxt"/>
      </w:pPr>
      <w:r>
        <w:rPr>
          <w:rFonts w:hint="eastAsia"/>
        </w:rPr>
        <w:tab/>
        <w:t>(e)</w:t>
      </w:r>
      <w:r>
        <w:rPr>
          <w:rFonts w:hint="eastAsia"/>
        </w:rPr>
        <w:tab/>
      </w:r>
      <w:r w:rsidRPr="00DD2CCA">
        <w:rPr>
          <w:rFonts w:ascii="黑体" w:eastAsia="黑体" w:hAnsi="黑体" w:hint="eastAsia"/>
        </w:rPr>
        <w:t>确保基于性别的暴力侵害妇女和女童案件得到有效调查和起诉，并确保在对犯罪人量刑时，做到罪刑相当；</w:t>
      </w:r>
    </w:p>
    <w:p w14:paraId="3E684FF1" w14:textId="77777777" w:rsidR="00033DDA" w:rsidRDefault="00033DDA" w:rsidP="00033DDA">
      <w:pPr>
        <w:pStyle w:val="SingleTxt"/>
      </w:pPr>
      <w:r>
        <w:rPr>
          <w:rFonts w:hint="eastAsia"/>
        </w:rPr>
        <w:tab/>
        <w:t>(f)</w:t>
      </w:r>
      <w:r>
        <w:rPr>
          <w:rFonts w:hint="eastAsia"/>
        </w:rPr>
        <w:tab/>
      </w:r>
      <w:r w:rsidRPr="00DD2CCA">
        <w:rPr>
          <w:rFonts w:ascii="黑体" w:eastAsia="黑体" w:hAnsi="黑体" w:hint="eastAsia"/>
        </w:rPr>
        <w:t>对法官、检察官、律师、警察和其他执法官员开展关于严格执行将基于性别的暴力侵害妇女和女童行为定为刑事犯罪的法律法规以及关于在与此类暴力受害妇女和女童的互动时采用性别敏感方法和程序的强制性能力建设方案；</w:t>
      </w:r>
    </w:p>
    <w:p w14:paraId="42CF9F00" w14:textId="77777777" w:rsidR="00033DDA" w:rsidRDefault="00033DDA" w:rsidP="00033DDA">
      <w:pPr>
        <w:pStyle w:val="SingleTxt"/>
      </w:pPr>
      <w:r>
        <w:rPr>
          <w:rFonts w:hint="eastAsia"/>
        </w:rPr>
        <w:tab/>
        <w:t>(g)</w:t>
      </w:r>
      <w:r>
        <w:rPr>
          <w:rFonts w:hint="eastAsia"/>
        </w:rPr>
        <w:tab/>
      </w:r>
      <w:r w:rsidRPr="00DD2CCA">
        <w:rPr>
          <w:rFonts w:ascii="黑体" w:eastAsia="黑体" w:hAnsi="黑体" w:hint="eastAsia"/>
        </w:rPr>
        <w:t>向遭受暴力侵害的妇女和女童提供适当的援助、保护和康复服务，包括通过扩大现有收容所的容纳力，与向受害者提供住所和康复服务的非政府组织加强合作并促进对这类非政府组织的供资；</w:t>
      </w:r>
    </w:p>
    <w:p w14:paraId="3213A3A9" w14:textId="77777777" w:rsidR="00033DDA" w:rsidRDefault="00033DDA" w:rsidP="00033DDA">
      <w:pPr>
        <w:pStyle w:val="SingleTxt"/>
      </w:pPr>
      <w:r>
        <w:rPr>
          <w:rFonts w:hint="eastAsia"/>
        </w:rPr>
        <w:tab/>
        <w:t>(h)</w:t>
      </w:r>
      <w:r>
        <w:rPr>
          <w:rFonts w:hint="eastAsia"/>
        </w:rPr>
        <w:tab/>
      </w:r>
      <w:r w:rsidRPr="00DD2CCA">
        <w:rPr>
          <w:rFonts w:ascii="黑体" w:eastAsia="黑体" w:hAnsi="黑体" w:hint="eastAsia"/>
        </w:rPr>
        <w:t>收集关于针对妇女和女童的家庭暴力、性暴力和其他形式性别暴力的统计数据，并按年龄以及受害者与犯罪人之间的关系分列。</w:t>
      </w:r>
    </w:p>
    <w:p w14:paraId="367A4A02" w14:textId="7AAABA02"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贩运人口和利用妇女卖淫意图营利</w:t>
      </w:r>
    </w:p>
    <w:p w14:paraId="0C7610BC" w14:textId="02AEC648" w:rsidR="00033DDA" w:rsidRDefault="00033DDA" w:rsidP="00372D63">
      <w:pPr>
        <w:pStyle w:val="SingleTxt"/>
        <w:spacing w:before="120"/>
      </w:pPr>
      <w:r>
        <w:rPr>
          <w:rFonts w:hint="eastAsia"/>
        </w:rPr>
        <w:t>25.</w:t>
      </w:r>
      <w:r>
        <w:rPr>
          <w:rFonts w:hint="eastAsia"/>
        </w:rPr>
        <w:tab/>
      </w:r>
      <w:r>
        <w:rPr>
          <w:rFonts w:hint="eastAsia"/>
        </w:rPr>
        <w:t>委员会欣见，该缔约国为打击贩运人口采取了各种举措和措施，包括成立了部际打击贩运人口委员会和贩运人口问题工作队。但委员会依然感到关切的是，向法院提起诉讼的贩运人口案件数量很少，而且没有关于该缔约国境内贩运妇女和女童犯罪发展趋势和严重程度的研究。</w:t>
      </w:r>
    </w:p>
    <w:p w14:paraId="286CC641" w14:textId="77777777" w:rsidR="00033DDA" w:rsidRPr="00DD2CCA" w:rsidRDefault="00033DDA" w:rsidP="00033DDA">
      <w:pPr>
        <w:pStyle w:val="SingleTxt"/>
        <w:rPr>
          <w:rFonts w:ascii="黑体" w:eastAsia="黑体" w:hAnsi="黑体"/>
        </w:rPr>
      </w:pPr>
      <w:r>
        <w:rPr>
          <w:rFonts w:hint="eastAsia"/>
        </w:rPr>
        <w:t>26.</w:t>
      </w:r>
      <w:r>
        <w:rPr>
          <w:rFonts w:hint="eastAsia"/>
        </w:rPr>
        <w:tab/>
      </w:r>
      <w:r w:rsidRPr="00DD2CCA">
        <w:rPr>
          <w:rFonts w:ascii="黑体" w:eastAsia="黑体" w:hAnsi="黑体" w:hint="eastAsia"/>
        </w:rPr>
        <w:t>委员会建议该缔约国：</w:t>
      </w:r>
    </w:p>
    <w:p w14:paraId="6FFE69CD"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就如何查明人口贩运受害妇女和女童并及早将之转介至适当的社会服务机构按照对性别问题有敏感认识的规程进行处理，开展司法和执法人员、边防警察、社会工作者和保健专业人员能力建设；</w:t>
      </w:r>
    </w:p>
    <w:p w14:paraId="0E2DD489"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加强执行2008年《(预防和打击)贩运人口法》，加大对部际委员会和工作队打击贩运人口方案的财政资源调拨力度，并加速设立处理贩运人口问题秘书处并为之配备训练有素的专业人员，以高效执行这些机构的任务授权；</w:t>
      </w:r>
    </w:p>
    <w:p w14:paraId="0F3F5760"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就当前该缔约国境内贩运妇女和女童犯罪的发展趋势和严重程度开展基线研究。</w:t>
      </w:r>
    </w:p>
    <w:p w14:paraId="0C07BBEB" w14:textId="05F96CD6" w:rsidR="00033DDA" w:rsidRDefault="00033DDA" w:rsidP="00033DDA">
      <w:pPr>
        <w:pStyle w:val="SingleTxt"/>
      </w:pPr>
      <w:r>
        <w:rPr>
          <w:rFonts w:hint="eastAsia"/>
        </w:rPr>
        <w:t>27.</w:t>
      </w:r>
      <w:r>
        <w:rPr>
          <w:rFonts w:hint="eastAsia"/>
        </w:rPr>
        <w:tab/>
      </w:r>
      <w:r>
        <w:rPr>
          <w:rFonts w:hint="eastAsia"/>
        </w:rPr>
        <w:t>委员会依然感到关切的是，《性犯罪和家庭暴力法》将卖淫定为犯罪，未见关于该缔约国境内卖淫现象的严重程度和妇女从事卖淫的普遍性以及因此受影响情况的信息，而且未见关于针对有意弃淫从良的妇女的退出方案的信息。委员会还对从事卖淫和儿童色情活动</w:t>
      </w:r>
      <w:r>
        <w:rPr>
          <w:rFonts w:hint="eastAsia"/>
        </w:rPr>
        <w:t>(</w:t>
      </w:r>
      <w:r>
        <w:rPr>
          <w:rFonts w:hint="eastAsia"/>
        </w:rPr>
        <w:t>包括在旅游行业内</w:t>
      </w:r>
      <w:r>
        <w:rPr>
          <w:rFonts w:hint="eastAsia"/>
        </w:rPr>
        <w:t>)</w:t>
      </w:r>
      <w:r>
        <w:rPr>
          <w:rFonts w:hint="eastAsia"/>
        </w:rPr>
        <w:t>的儿童人数之多感到关切。</w:t>
      </w:r>
    </w:p>
    <w:p w14:paraId="1FC0E922" w14:textId="2DB90EBD" w:rsidR="00033DDA" w:rsidRDefault="00033DDA" w:rsidP="00033DDA">
      <w:pPr>
        <w:pStyle w:val="SingleTxt"/>
      </w:pPr>
      <w:r>
        <w:rPr>
          <w:rFonts w:hint="eastAsia"/>
        </w:rPr>
        <w:t>28.</w:t>
      </w:r>
      <w:r>
        <w:rPr>
          <w:rFonts w:hint="eastAsia"/>
        </w:rPr>
        <w:tab/>
      </w:r>
      <w:r w:rsidRPr="00DD2CCA">
        <w:rPr>
          <w:rFonts w:ascii="黑体" w:eastAsia="黑体" w:hAnsi="黑体" w:hint="eastAsia"/>
        </w:rPr>
        <w:t>委员会重申其先前提出的建议(</w:t>
      </w:r>
      <w:hyperlink r:id="rId27" w:history="1">
        <w:r w:rsidRPr="005F72D3">
          <w:rPr>
            <w:rStyle w:val="ad"/>
            <w:rFonts w:ascii="黑体" w:eastAsia="黑体" w:hAnsi="黑体" w:hint="eastAsia"/>
          </w:rPr>
          <w:t>CEDAW/C/BHS/CO/1-5</w:t>
        </w:r>
      </w:hyperlink>
      <w:r w:rsidRPr="00DD2CCA">
        <w:rPr>
          <w:rFonts w:ascii="黑体" w:eastAsia="黑体" w:hAnsi="黑体" w:hint="eastAsia"/>
        </w:rPr>
        <w:t>，第26段)，并建议该缔约国：</w:t>
      </w:r>
    </w:p>
    <w:p w14:paraId="46BC911F"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将卖淫非刑罪化；</w:t>
      </w:r>
    </w:p>
    <w:p w14:paraId="4B182EF3"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从根源上解决利用妇女和女童卖淫营利的问题，为此应向有可能遭受卖淫剥削的妇女，特别是为养家糊口而被迫卖淫的贫困家庭的女童提供教育和替代创收机会，并为有意弃淫从良的妇女提供退出方案，包括重新融入社会和职业生活战略；</w:t>
      </w:r>
    </w:p>
    <w:p w14:paraId="79CDEE33"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采取一切必要措施，消灭儿童色情活动，包括在旅游行业内，同时提高旅游产业直接从业者对儿童，特别是女童因从事旅游相关活动而有可能遭受商业性性剥削的认识。</w:t>
      </w:r>
    </w:p>
    <w:p w14:paraId="6C381721" w14:textId="4CD0F575"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参与政治和公共生活</w:t>
      </w:r>
    </w:p>
    <w:p w14:paraId="3EDC4FE3" w14:textId="07655E51" w:rsidR="00033DDA" w:rsidRDefault="00033DDA" w:rsidP="00372D63">
      <w:pPr>
        <w:pStyle w:val="SingleTxt"/>
        <w:spacing w:before="120"/>
      </w:pPr>
      <w:r>
        <w:rPr>
          <w:rFonts w:hint="eastAsia"/>
        </w:rPr>
        <w:t>29.</w:t>
      </w:r>
      <w:r>
        <w:rPr>
          <w:rFonts w:hint="eastAsia"/>
        </w:rPr>
        <w:tab/>
      </w:r>
      <w:r>
        <w:rPr>
          <w:rFonts w:hint="eastAsia"/>
        </w:rPr>
        <w:t>委员会依然感到关切的是，妇女政治和公共生活参与程度低，担任决策职位的妇女人数更是少之又少，这在一定程度上要归咎于父权主义态度作祟、政治任命法定配额制或性别均等制等措施缺失、妇女涉足政治网络的机会有限以及关于妇女领导能力和政治技能的能力建设方案不足。</w:t>
      </w:r>
    </w:p>
    <w:p w14:paraId="24F19DE5" w14:textId="0625E1FA" w:rsidR="00033DDA" w:rsidRDefault="00033DDA" w:rsidP="00033DDA">
      <w:pPr>
        <w:pStyle w:val="SingleTxt"/>
      </w:pPr>
      <w:r>
        <w:rPr>
          <w:rFonts w:hint="eastAsia"/>
        </w:rPr>
        <w:t>30.</w:t>
      </w:r>
      <w:r>
        <w:rPr>
          <w:rFonts w:hint="eastAsia"/>
        </w:rPr>
        <w:tab/>
      </w:r>
      <w:r w:rsidRPr="00DD2CCA">
        <w:rPr>
          <w:rFonts w:ascii="黑体" w:eastAsia="黑体" w:hAnsi="黑体" w:hint="eastAsia"/>
        </w:rPr>
        <w:t>委员会根据其关于妇女参与政治和公共生活的第23(1997)号一般性建议，进而忆及其先前提出的建议(</w:t>
      </w:r>
      <w:hyperlink r:id="rId28" w:history="1">
        <w:r w:rsidRPr="005F72D3">
          <w:rPr>
            <w:rStyle w:val="ad"/>
            <w:rFonts w:ascii="黑体" w:eastAsia="黑体" w:hAnsi="黑体" w:hint="eastAsia"/>
          </w:rPr>
          <w:t>CEDAW/C/BHS/CO/1-5</w:t>
        </w:r>
      </w:hyperlink>
      <w:r w:rsidRPr="00DD2CCA">
        <w:rPr>
          <w:rFonts w:ascii="黑体" w:eastAsia="黑体" w:hAnsi="黑体" w:hint="eastAsia"/>
        </w:rPr>
        <w:t>，第28段)，并建议该缔约国：</w:t>
      </w:r>
    </w:p>
    <w:p w14:paraId="64431947"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就加强妇女在各级公共和政治生活中的平等参与确定具体目标和时限，并为实现这些目标创造必要条件，例如实行法定配额制；</w:t>
      </w:r>
    </w:p>
    <w:p w14:paraId="7D2DB6BE"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采取措施确保在政党内部实现法律上和事实上的性别均等，并鼓励妇女以候选人身份参与国家和地方选举；</w:t>
      </w:r>
    </w:p>
    <w:p w14:paraId="5DC8A430" w14:textId="77777777" w:rsidR="00033DDA" w:rsidRPr="00DD2CCA" w:rsidRDefault="00033DDA" w:rsidP="00033DDA">
      <w:pPr>
        <w:pStyle w:val="SingleTxt"/>
        <w:rPr>
          <w:rFonts w:ascii="黑体" w:eastAsia="黑体" w:hAnsi="黑体"/>
        </w:rPr>
      </w:pPr>
      <w:r>
        <w:rPr>
          <w:rFonts w:hint="eastAsia"/>
        </w:rPr>
        <w:tab/>
        <w:t>(c)</w:t>
      </w:r>
      <w:r>
        <w:rPr>
          <w:rFonts w:hint="eastAsia"/>
        </w:rPr>
        <w:tab/>
      </w:r>
      <w:r w:rsidRPr="00DD2CCA">
        <w:rPr>
          <w:rFonts w:ascii="黑体" w:eastAsia="黑体" w:hAnsi="黑体" w:hint="eastAsia"/>
        </w:rPr>
        <w:t>为有</w:t>
      </w:r>
      <w:r w:rsidRPr="00DD2CCA">
        <w:rPr>
          <w:rFonts w:ascii="黑体" w:eastAsia="黑体" w:hAnsi="黑体" w:hint="eastAsia"/>
          <w:spacing w:val="-4"/>
        </w:rPr>
        <w:t>意参与政治生活或谋求公职的妇女提供更多的培训和能力建</w:t>
      </w:r>
      <w:r w:rsidRPr="00DD2CCA">
        <w:rPr>
          <w:rFonts w:ascii="黑体" w:eastAsia="黑体" w:hAnsi="黑体" w:hint="eastAsia"/>
        </w:rPr>
        <w:t>设方案；</w:t>
      </w:r>
    </w:p>
    <w:p w14:paraId="754FA75E"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提高政界人士、媒体、教会领袖和公众的认识，确保妇女在与男子平等的基础上充分、平等、自由和民主地参与政治和公共生活。</w:t>
      </w:r>
    </w:p>
    <w:p w14:paraId="0BD4AA80"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国籍</w:t>
      </w:r>
    </w:p>
    <w:p w14:paraId="789DB2F5" w14:textId="56E0054B" w:rsidR="00033DDA" w:rsidRDefault="00033DDA" w:rsidP="00372D63">
      <w:pPr>
        <w:pStyle w:val="SingleTxt"/>
        <w:spacing w:before="120"/>
      </w:pPr>
      <w:r>
        <w:rPr>
          <w:rFonts w:hint="eastAsia"/>
        </w:rPr>
        <w:t>31.</w:t>
      </w:r>
      <w:r>
        <w:rPr>
          <w:rFonts w:hint="eastAsia"/>
        </w:rPr>
        <w:tab/>
      </w:r>
      <w:r>
        <w:rPr>
          <w:rFonts w:hint="eastAsia"/>
        </w:rPr>
        <w:t>委员会注意到，该缔约国于</w:t>
      </w:r>
      <w:r>
        <w:rPr>
          <w:rFonts w:hint="eastAsia"/>
        </w:rPr>
        <w:t>2017</w:t>
      </w:r>
      <w:r>
        <w:rPr>
          <w:rFonts w:hint="eastAsia"/>
        </w:rPr>
        <w:t>年</w:t>
      </w:r>
      <w:r>
        <w:rPr>
          <w:rFonts w:hint="eastAsia"/>
        </w:rPr>
        <w:t>11</w:t>
      </w:r>
      <w:r>
        <w:rPr>
          <w:rFonts w:hint="eastAsia"/>
        </w:rPr>
        <w:t>月宣布修正《巴哈马国籍法》，以确保巴哈马妇女在将自身国籍传递给子女方面与巴哈马男子享有同等权利。然而，委员会感到遗憾的是，</w:t>
      </w:r>
      <w:r>
        <w:rPr>
          <w:rFonts w:hint="eastAsia"/>
        </w:rPr>
        <w:t>2012</w:t>
      </w:r>
      <w:r>
        <w:rPr>
          <w:rFonts w:hint="eastAsia"/>
        </w:rPr>
        <w:t>年和</w:t>
      </w:r>
      <w:r>
        <w:rPr>
          <w:rFonts w:hint="eastAsia"/>
        </w:rPr>
        <w:t>2016</w:t>
      </w:r>
      <w:r>
        <w:rPr>
          <w:rFonts w:hint="eastAsia"/>
        </w:rPr>
        <w:t>年举行的全民投票未能成功修改《宪法》，以致巴哈马妇女仍无法在与男子平等的基础上将其国籍传递给子女。委员会还感到关切的是，巴哈马境内无国籍儿童，包括无国籍人或国籍不明者的遗孤，无法通过适用血统主义原则或出生地主义原则来取得国籍，而且未见关于该缔约国无国籍妇女和女童的信息或统计数据。</w:t>
      </w:r>
    </w:p>
    <w:p w14:paraId="54E765A0" w14:textId="5EFE5224" w:rsidR="00033DDA" w:rsidRDefault="00033DDA" w:rsidP="00033DDA">
      <w:pPr>
        <w:pStyle w:val="SingleTxt"/>
      </w:pPr>
      <w:r>
        <w:rPr>
          <w:rFonts w:hint="eastAsia"/>
        </w:rPr>
        <w:t>32.</w:t>
      </w:r>
      <w:r>
        <w:rPr>
          <w:rFonts w:hint="eastAsia"/>
        </w:rPr>
        <w:tab/>
      </w:r>
      <w:r w:rsidRPr="00DD2CCA">
        <w:rPr>
          <w:rFonts w:ascii="黑体" w:eastAsia="黑体" w:hAnsi="黑体" w:hint="eastAsia"/>
        </w:rPr>
        <w:t>委员会忆及其先前提出的建议(</w:t>
      </w:r>
      <w:hyperlink r:id="rId29" w:history="1">
        <w:r w:rsidRPr="005F72D3">
          <w:rPr>
            <w:rStyle w:val="ad"/>
            <w:rFonts w:ascii="黑体" w:eastAsia="黑体" w:hAnsi="黑体" w:hint="eastAsia"/>
          </w:rPr>
          <w:t>CEDAW/C/BHS/CO/1-5</w:t>
        </w:r>
      </w:hyperlink>
      <w:r w:rsidRPr="00DD2CCA">
        <w:rPr>
          <w:rFonts w:ascii="黑体" w:eastAsia="黑体" w:hAnsi="黑体" w:hint="eastAsia"/>
        </w:rPr>
        <w:t>，第30段)及其关于妇女的难民地位、庇护、国籍和妇女无国籍问题与性别相关方面的第32(2014)号一般性建议，进而建议该缔约国：</w:t>
      </w:r>
    </w:p>
    <w:p w14:paraId="4C329872"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采取具体措施，提高政界人士和公众对修订《宪法》的必要性的认识，以废除在国籍问题上歧视妇女的规定；</w:t>
      </w:r>
    </w:p>
    <w:p w14:paraId="4C0F27C7"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按照《公约》第九条规定，修订《巴哈马国籍法》(1973年)，以引入关于巴哈马男女在向子女传递公民身份方面权利平等的条款，并采取进一步的立法措施，确保巴哈马妇女能够将其国籍传递给非巴哈马籍配偶；</w:t>
      </w:r>
    </w:p>
    <w:p w14:paraId="7C75D960"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采用无国籍状态确定程序，以查明无国籍妇女和儿童，包括无国籍人或国籍不明者的遗孤，并在该缔约国境内为其提供保护，包括向未满18岁者提供通过简化入籍程序入籍的机会。</w:t>
      </w:r>
    </w:p>
    <w:p w14:paraId="50214125"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教育</w:t>
      </w:r>
    </w:p>
    <w:p w14:paraId="26CCF94A" w14:textId="77777777" w:rsidR="00033DDA" w:rsidRDefault="00033DDA" w:rsidP="00372D63">
      <w:pPr>
        <w:pStyle w:val="SingleTxt"/>
        <w:spacing w:before="120"/>
      </w:pPr>
      <w:r>
        <w:rPr>
          <w:rFonts w:hint="eastAsia"/>
        </w:rPr>
        <w:t>33.</w:t>
      </w:r>
      <w:r>
        <w:rPr>
          <w:rFonts w:hint="eastAsia"/>
        </w:rPr>
        <w:tab/>
      </w:r>
      <w:r>
        <w:rPr>
          <w:rFonts w:hint="eastAsia"/>
        </w:rPr>
        <w:t>委员会赞赏地注意到，</w:t>
      </w:r>
      <w:r>
        <w:rPr>
          <w:rFonts w:hint="eastAsia"/>
        </w:rPr>
        <w:t>2017</w:t>
      </w:r>
      <w:r>
        <w:rPr>
          <w:rFonts w:hint="eastAsia"/>
        </w:rPr>
        <w:t>年，该缔约国在向女童提供受教育机会和重建国家培训机构方面取得了进展。然而，委员会对以下情况感到关切：</w:t>
      </w:r>
    </w:p>
    <w:p w14:paraId="20846559" w14:textId="77777777" w:rsidR="00033DDA" w:rsidRDefault="00033DDA" w:rsidP="00033DDA">
      <w:pPr>
        <w:pStyle w:val="SingleTxt"/>
      </w:pPr>
      <w:r>
        <w:rPr>
          <w:rFonts w:hint="eastAsia"/>
        </w:rPr>
        <w:tab/>
        <w:t>(a)</w:t>
      </w:r>
      <w:r>
        <w:rPr>
          <w:rFonts w:hint="eastAsia"/>
        </w:rPr>
        <w:tab/>
      </w:r>
      <w:r>
        <w:rPr>
          <w:rFonts w:hint="eastAsia"/>
        </w:rPr>
        <w:t>所采取的措施既不足以确保所有女童，特别是外岛女童和包括海地裔女童在内的弱势女童群体都能获得优质教育，亦不足以改善教育质量，特别是公立学校教育质量；</w:t>
      </w:r>
    </w:p>
    <w:p w14:paraId="1230DC87" w14:textId="77777777" w:rsidR="00033DDA" w:rsidRDefault="00033DDA" w:rsidP="00033DDA">
      <w:pPr>
        <w:pStyle w:val="SingleTxt"/>
      </w:pPr>
      <w:r>
        <w:rPr>
          <w:rFonts w:hint="eastAsia"/>
        </w:rPr>
        <w:tab/>
        <w:t>(b)</w:t>
      </w:r>
      <w:r>
        <w:rPr>
          <w:rFonts w:hint="eastAsia"/>
        </w:rPr>
        <w:tab/>
      </w:r>
      <w:r>
        <w:rPr>
          <w:rFonts w:hint="eastAsia"/>
        </w:rPr>
        <w:t>旨</w:t>
      </w:r>
      <w:r w:rsidRPr="00372D63">
        <w:rPr>
          <w:rFonts w:hint="eastAsia"/>
          <w:spacing w:val="-4"/>
        </w:rPr>
        <w:t>在更好地解决性别平等问题的《教育法》修订工作和课程改革一再</w:t>
      </w:r>
      <w:r>
        <w:rPr>
          <w:rFonts w:hint="eastAsia"/>
        </w:rPr>
        <w:t>推迟；</w:t>
      </w:r>
    </w:p>
    <w:p w14:paraId="7788EEAC" w14:textId="77777777" w:rsidR="00033DDA" w:rsidRDefault="00033DDA" w:rsidP="00033DDA">
      <w:pPr>
        <w:pStyle w:val="SingleTxt"/>
      </w:pPr>
      <w:r>
        <w:rPr>
          <w:rFonts w:hint="eastAsia"/>
        </w:rPr>
        <w:tab/>
        <w:t>(c)</w:t>
      </w:r>
      <w:r>
        <w:rPr>
          <w:rFonts w:hint="eastAsia"/>
        </w:rPr>
        <w:tab/>
      </w:r>
      <w:r>
        <w:rPr>
          <w:rFonts w:hint="eastAsia"/>
        </w:rPr>
        <w:t>妇女和女童主要集中在传统上面向女性的研究领域，而且投身科学、技术、工程和数学领域以及参加“技术青年团方案”的妇女和女童人数偏低；</w:t>
      </w:r>
    </w:p>
    <w:p w14:paraId="5B392F33" w14:textId="467746F1" w:rsidR="00033DDA" w:rsidRDefault="00033DDA" w:rsidP="00033DDA">
      <w:pPr>
        <w:pStyle w:val="SingleTxt"/>
      </w:pPr>
      <w:r>
        <w:rPr>
          <w:rFonts w:hint="eastAsia"/>
        </w:rPr>
        <w:tab/>
        <w:t>(d)</w:t>
      </w:r>
      <w:r>
        <w:rPr>
          <w:rFonts w:hint="eastAsia"/>
        </w:rPr>
        <w:tab/>
      </w:r>
      <w:r>
        <w:rPr>
          <w:rFonts w:hint="eastAsia"/>
        </w:rPr>
        <w:t>怀孕女童被安置在由提供继续教育机会基金会开办的特殊学校，以免遭到羞辱，而且未采取切实措施确保她们在分娩后能够重返学校并继续留校就读</w:t>
      </w:r>
      <w:r w:rsidR="00153300">
        <w:rPr>
          <w:rFonts w:hint="eastAsia"/>
        </w:rPr>
        <w:t>；</w:t>
      </w:r>
    </w:p>
    <w:p w14:paraId="3BD494F7" w14:textId="77777777" w:rsidR="00033DDA" w:rsidRDefault="00033DDA" w:rsidP="00033DDA">
      <w:pPr>
        <w:pStyle w:val="SingleTxt"/>
      </w:pPr>
      <w:r>
        <w:rPr>
          <w:rFonts w:hint="eastAsia"/>
        </w:rPr>
        <w:tab/>
        <w:t>(e)</w:t>
      </w:r>
      <w:r>
        <w:rPr>
          <w:rFonts w:hint="eastAsia"/>
        </w:rPr>
        <w:tab/>
      </w:r>
      <w:r>
        <w:rPr>
          <w:rFonts w:hint="eastAsia"/>
        </w:rPr>
        <w:t>残疾女童接受全纳教育的机会有限。</w:t>
      </w:r>
    </w:p>
    <w:p w14:paraId="65638E9C" w14:textId="77777777" w:rsidR="00033DDA" w:rsidRDefault="00033DDA" w:rsidP="00033DDA">
      <w:pPr>
        <w:pStyle w:val="SingleTxt"/>
      </w:pPr>
      <w:r>
        <w:rPr>
          <w:rFonts w:hint="eastAsia"/>
        </w:rPr>
        <w:t>34.</w:t>
      </w:r>
      <w:r>
        <w:rPr>
          <w:rFonts w:hint="eastAsia"/>
        </w:rPr>
        <w:tab/>
      </w:r>
      <w:r w:rsidRPr="00DD2CCA">
        <w:rPr>
          <w:rFonts w:ascii="黑体" w:eastAsia="黑体" w:hAnsi="黑体" w:hint="eastAsia"/>
        </w:rPr>
        <w:t>委员会建议该缔约国：</w:t>
      </w:r>
    </w:p>
    <w:p w14:paraId="3762F06E"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确保外岛女童和包括海地裔女童在内的弱势女童群体能够平等地获得优质的小学和中学教育；</w:t>
      </w:r>
    </w:p>
    <w:p w14:paraId="69AE8C2B"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加快修订《教育法》和推行课程改革，以更好地解决性别平等问题；</w:t>
      </w:r>
    </w:p>
    <w:p w14:paraId="68443026"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消除有碍女童注册攻读诸如科学、技术、工程和数学等非传统教育领域课程的负面陈规定型观念和结构性障碍，并向女童提供关于非传统职业道路的职业咨询；</w:t>
      </w:r>
    </w:p>
    <w:p w14:paraId="1AF81C8A"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通过一项政策，以确保怀孕妇女和女童在怀孕期间能够继续上学，并确保年轻母亲能够在分娩后返校完成学业；</w:t>
      </w:r>
    </w:p>
    <w:p w14:paraId="3B6BA1D7" w14:textId="77777777" w:rsidR="00033DDA" w:rsidRDefault="00033DDA" w:rsidP="00033DDA">
      <w:pPr>
        <w:pStyle w:val="SingleTxt"/>
      </w:pPr>
      <w:r>
        <w:rPr>
          <w:rFonts w:hint="eastAsia"/>
        </w:rPr>
        <w:tab/>
        <w:t>(e)</w:t>
      </w:r>
      <w:r>
        <w:rPr>
          <w:rFonts w:hint="eastAsia"/>
        </w:rPr>
        <w:tab/>
      </w:r>
      <w:r w:rsidRPr="00DD2CCA">
        <w:rPr>
          <w:rFonts w:ascii="黑体" w:eastAsia="黑体" w:hAnsi="黑体" w:hint="eastAsia"/>
        </w:rPr>
        <w:t>采取措施，制定一项面向全体残疾女童的全纳教育战略。</w:t>
      </w:r>
    </w:p>
    <w:p w14:paraId="2B2C886D"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就业</w:t>
      </w:r>
    </w:p>
    <w:p w14:paraId="667A96D6" w14:textId="77777777" w:rsidR="00033DDA" w:rsidRDefault="00033DDA" w:rsidP="00372D63">
      <w:pPr>
        <w:pStyle w:val="SingleTxt"/>
        <w:spacing w:before="120"/>
      </w:pPr>
      <w:r>
        <w:rPr>
          <w:rFonts w:hint="eastAsia"/>
        </w:rPr>
        <w:t>35.</w:t>
      </w:r>
      <w:r>
        <w:rPr>
          <w:rFonts w:hint="eastAsia"/>
        </w:rPr>
        <w:tab/>
      </w:r>
      <w:r>
        <w:rPr>
          <w:rFonts w:hint="eastAsia"/>
        </w:rPr>
        <w:t>委员会感到遗憾的是，该缔约国提供的资料欠充分，委员会无法全面评估该缔约国在就业领域性别平等方面取得的进展。委员会仍然感到关切的是，相关法律法规对“同值工作同等报酬”原则的适用设限，而且与享有产假权利有关的条款未就应享产假权利及相应保护措施作出规定，有违《公约》。委员会对以下情况尤感关切：</w:t>
      </w:r>
    </w:p>
    <w:p w14:paraId="07F97666" w14:textId="77777777" w:rsidR="00033DDA" w:rsidRDefault="00033DDA" w:rsidP="00033DDA">
      <w:pPr>
        <w:pStyle w:val="SingleTxt"/>
      </w:pPr>
      <w:r>
        <w:rPr>
          <w:rFonts w:hint="eastAsia"/>
        </w:rPr>
        <w:tab/>
        <w:t>(a)</w:t>
      </w:r>
      <w:r>
        <w:rPr>
          <w:rFonts w:hint="eastAsia"/>
        </w:rPr>
        <w:tab/>
      </w:r>
      <w:r>
        <w:rPr>
          <w:rFonts w:hint="eastAsia"/>
        </w:rPr>
        <w:t>妇女受教育程度虽有提高，但失业率却依旧极其之高，劳动力市场上依然存在职业隔离现象，而且无论在正规还是非正规经济部门，妇女都集中在低薪岗位；</w:t>
      </w:r>
    </w:p>
    <w:p w14:paraId="083FD4B1" w14:textId="77777777" w:rsidR="00033DDA" w:rsidRDefault="00033DDA" w:rsidP="00033DDA">
      <w:pPr>
        <w:pStyle w:val="SingleTxt"/>
      </w:pPr>
      <w:r>
        <w:rPr>
          <w:rFonts w:hint="eastAsia"/>
        </w:rPr>
        <w:tab/>
        <w:t>(b)</w:t>
      </w:r>
      <w:r>
        <w:rPr>
          <w:rFonts w:hint="eastAsia"/>
        </w:rPr>
        <w:tab/>
      </w:r>
      <w:r>
        <w:rPr>
          <w:rFonts w:hint="eastAsia"/>
        </w:rPr>
        <w:t>妇女承担了大量无报酬和不被承认的工作，但这些工作却不能作为妇女应享退休及其他工作相关福利的资格条件；</w:t>
      </w:r>
    </w:p>
    <w:p w14:paraId="13CF2F2B" w14:textId="27B5D662" w:rsidR="00033DDA" w:rsidRDefault="00033DDA" w:rsidP="00033DDA">
      <w:pPr>
        <w:pStyle w:val="SingleTxt"/>
      </w:pPr>
      <w:r>
        <w:rPr>
          <w:rFonts w:hint="eastAsia"/>
        </w:rPr>
        <w:tab/>
        <w:t>(c)</w:t>
      </w:r>
      <w:r>
        <w:rPr>
          <w:rFonts w:hint="eastAsia"/>
        </w:rPr>
        <w:tab/>
      </w:r>
      <w:r>
        <w:rPr>
          <w:rFonts w:hint="eastAsia"/>
        </w:rPr>
        <w:t>未提供资料说明为落实关于禁止在工作场所对妇女实施性骚扰和暴力侵害的法律规定</w:t>
      </w:r>
      <w:r>
        <w:rPr>
          <w:rFonts w:hint="eastAsia"/>
        </w:rPr>
        <w:t>(</w:t>
      </w:r>
      <w:r>
        <w:rPr>
          <w:rFonts w:hint="eastAsia"/>
        </w:rPr>
        <w:t>包括巴哈马《成文法》第</w:t>
      </w:r>
      <w:r>
        <w:rPr>
          <w:rFonts w:hint="eastAsia"/>
        </w:rPr>
        <w:t>99</w:t>
      </w:r>
      <w:r>
        <w:rPr>
          <w:rFonts w:hint="eastAsia"/>
        </w:rPr>
        <w:t>章和《性犯罪和家庭暴力法》</w:t>
      </w:r>
      <w:r>
        <w:rPr>
          <w:rFonts w:hint="eastAsia"/>
        </w:rPr>
        <w:t>)</w:t>
      </w:r>
      <w:r>
        <w:rPr>
          <w:rFonts w:hint="eastAsia"/>
        </w:rPr>
        <w:t>而出台的切实措施</w:t>
      </w:r>
      <w:r w:rsidR="001A35AC">
        <w:rPr>
          <w:rFonts w:hint="eastAsia"/>
        </w:rPr>
        <w:t>；</w:t>
      </w:r>
    </w:p>
    <w:p w14:paraId="0E514630" w14:textId="4AB3D17C" w:rsidR="00033DDA" w:rsidRDefault="00033DDA" w:rsidP="00033DDA">
      <w:pPr>
        <w:pStyle w:val="SingleTxt"/>
      </w:pPr>
      <w:r>
        <w:rPr>
          <w:rFonts w:hint="eastAsia"/>
        </w:rPr>
        <w:tab/>
        <w:t>(d)</w:t>
      </w:r>
      <w:r>
        <w:rPr>
          <w:rFonts w:hint="eastAsia"/>
        </w:rPr>
        <w:tab/>
      </w:r>
      <w:r>
        <w:rPr>
          <w:rFonts w:hint="eastAsia"/>
        </w:rPr>
        <w:t>残疾妇女参与劳动力市场的机会有限；</w:t>
      </w:r>
    </w:p>
    <w:p w14:paraId="5EFE5070" w14:textId="77777777" w:rsidR="00033DDA" w:rsidRDefault="00033DDA" w:rsidP="00033DDA">
      <w:pPr>
        <w:pStyle w:val="SingleTxt"/>
      </w:pPr>
      <w:r>
        <w:rPr>
          <w:rFonts w:hint="eastAsia"/>
        </w:rPr>
        <w:tab/>
        <w:t>(e)</w:t>
      </w:r>
      <w:r>
        <w:rPr>
          <w:rFonts w:hint="eastAsia"/>
        </w:rPr>
        <w:tab/>
      </w:r>
      <w:r>
        <w:rPr>
          <w:rFonts w:hint="eastAsia"/>
        </w:rPr>
        <w:t>关于就业领域性别不平等程度和家庭工人脆弱处境</w:t>
      </w:r>
      <w:r>
        <w:rPr>
          <w:rFonts w:hint="eastAsia"/>
        </w:rPr>
        <w:t>(</w:t>
      </w:r>
      <w:r>
        <w:rPr>
          <w:rFonts w:hint="eastAsia"/>
        </w:rPr>
        <w:t>其中许多人享受不到适当的社会福利，而且在工作场所易受性骚扰</w:t>
      </w:r>
      <w:r>
        <w:rPr>
          <w:rFonts w:hint="eastAsia"/>
        </w:rPr>
        <w:t>)</w:t>
      </w:r>
      <w:r>
        <w:rPr>
          <w:rFonts w:hint="eastAsia"/>
        </w:rPr>
        <w:t>的资料欠充分。</w:t>
      </w:r>
    </w:p>
    <w:p w14:paraId="5D60D0F2" w14:textId="7F59BC07" w:rsidR="00033DDA" w:rsidRPr="00DD2CCA" w:rsidRDefault="00033DDA" w:rsidP="00033DDA">
      <w:pPr>
        <w:pStyle w:val="SingleTxt"/>
        <w:rPr>
          <w:rFonts w:ascii="黑体" w:eastAsia="黑体" w:hAnsi="黑体"/>
        </w:rPr>
      </w:pPr>
      <w:r>
        <w:rPr>
          <w:rFonts w:hint="eastAsia"/>
        </w:rPr>
        <w:t>36.</w:t>
      </w:r>
      <w:r>
        <w:rPr>
          <w:rFonts w:hint="eastAsia"/>
        </w:rPr>
        <w:tab/>
      </w:r>
      <w:r w:rsidRPr="00DD2CCA">
        <w:rPr>
          <w:rFonts w:ascii="黑体" w:eastAsia="黑体" w:hAnsi="黑体" w:hint="eastAsia"/>
        </w:rPr>
        <w:t>委员会忆及其先前提出的建议(</w:t>
      </w:r>
      <w:hyperlink r:id="rId30" w:history="1">
        <w:r w:rsidRPr="005F72D3">
          <w:rPr>
            <w:rStyle w:val="ad"/>
            <w:rFonts w:ascii="黑体" w:eastAsia="黑体" w:hAnsi="黑体" w:hint="eastAsia"/>
          </w:rPr>
          <w:t>CEDAW/C/BHS/CO/1-5</w:t>
        </w:r>
      </w:hyperlink>
      <w:r w:rsidRPr="00DD2CCA">
        <w:rPr>
          <w:rFonts w:ascii="黑体" w:eastAsia="黑体" w:hAnsi="黑体" w:hint="eastAsia"/>
        </w:rPr>
        <w:t>，第34段)，进而建议该缔约国：</w:t>
      </w:r>
    </w:p>
    <w:p w14:paraId="663CC235"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出台相应的法律法规，保证“同值工作同等报酬”原则在所有工作领域得到适用，并依照《公约》修订关于享有产假权利的条款，保障应享权利及相应保护措施切实到位，特别是分娩后强制性休假六周时间和为亲自哺乳或泵乳而中断工作的权利以及妇女在休产假期间免遭解雇的保护措施；</w:t>
      </w:r>
    </w:p>
    <w:p w14:paraId="43F3537B"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加紧努力为妇女实现经济独立创造有利环境，包括通过提高公共和私营部门雇主和工会对禁止妇女就业歧视的认识，同时通过向妇女提供职业技术培训等手段促进妇女进入正规经济部门就业；</w:t>
      </w:r>
    </w:p>
    <w:p w14:paraId="68D6628F"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确保从事无报酬工作的妇女有资格享有退休及其他工作相关福利，特别是在她们退休以后；</w:t>
      </w:r>
    </w:p>
    <w:p w14:paraId="038FEFBB"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确保有效执行关于保护妇女在工作场所免受性骚扰和暴力侵害的法律规定，包括巴哈马《成文法》第99章和《性犯罪和家庭暴力法》；</w:t>
      </w:r>
    </w:p>
    <w:p w14:paraId="43EC7C00" w14:textId="77777777" w:rsidR="00033DDA" w:rsidRDefault="00033DDA" w:rsidP="00033DDA">
      <w:pPr>
        <w:pStyle w:val="SingleTxt"/>
      </w:pPr>
      <w:r>
        <w:rPr>
          <w:rFonts w:hint="eastAsia"/>
        </w:rPr>
        <w:tab/>
        <w:t>(e)</w:t>
      </w:r>
      <w:r>
        <w:rPr>
          <w:rFonts w:hint="eastAsia"/>
        </w:rPr>
        <w:tab/>
      </w:r>
      <w:r w:rsidRPr="00DD2CCA">
        <w:rPr>
          <w:rFonts w:ascii="黑体" w:eastAsia="黑体" w:hAnsi="黑体" w:hint="eastAsia"/>
        </w:rPr>
        <w:t>采取暂行特别措施，提高残疾妇女劳动力市场参与度；</w:t>
      </w:r>
    </w:p>
    <w:p w14:paraId="625DE623" w14:textId="77777777" w:rsidR="00033DDA" w:rsidRDefault="00033DDA" w:rsidP="00033DDA">
      <w:pPr>
        <w:pStyle w:val="SingleTxt"/>
      </w:pPr>
      <w:r>
        <w:rPr>
          <w:rFonts w:hint="eastAsia"/>
        </w:rPr>
        <w:tab/>
        <w:t>(f)</w:t>
      </w:r>
      <w:r>
        <w:rPr>
          <w:rFonts w:hint="eastAsia"/>
        </w:rPr>
        <w:tab/>
      </w:r>
      <w:r w:rsidRPr="00DD2CCA">
        <w:rPr>
          <w:rFonts w:ascii="黑体" w:eastAsia="黑体" w:hAnsi="黑体" w:hint="eastAsia"/>
        </w:rPr>
        <w:t>通过一项保护家庭工人战略，包括实行劳动监察制度，并批准国际劳工组织关于家庭工人体面劳动的《2011年家庭工人公约》(第189号)。</w:t>
      </w:r>
    </w:p>
    <w:p w14:paraId="4752BA43"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保健</w:t>
      </w:r>
    </w:p>
    <w:p w14:paraId="4BC0653F" w14:textId="77777777" w:rsidR="00033DDA" w:rsidRDefault="00033DDA" w:rsidP="00372D63">
      <w:pPr>
        <w:pStyle w:val="SingleTxt"/>
        <w:spacing w:before="120"/>
      </w:pPr>
      <w:r>
        <w:rPr>
          <w:rFonts w:hint="eastAsia"/>
        </w:rPr>
        <w:t>37.</w:t>
      </w:r>
      <w:r>
        <w:rPr>
          <w:rFonts w:hint="eastAsia"/>
        </w:rPr>
        <w:tab/>
      </w:r>
      <w:r>
        <w:rPr>
          <w:rFonts w:hint="eastAsia"/>
        </w:rPr>
        <w:t>委员会对以下情况感到关切：</w:t>
      </w:r>
    </w:p>
    <w:p w14:paraId="2EF8F19D" w14:textId="6F786A45" w:rsidR="00033DDA" w:rsidRDefault="00033DDA" w:rsidP="00033DDA">
      <w:pPr>
        <w:pStyle w:val="SingleTxt"/>
      </w:pPr>
      <w:r>
        <w:rPr>
          <w:rFonts w:hint="eastAsia"/>
        </w:rPr>
        <w:tab/>
        <w:t>(a)</w:t>
      </w:r>
      <w:r>
        <w:rPr>
          <w:rFonts w:hint="eastAsia"/>
        </w:rPr>
        <w:tab/>
      </w:r>
      <w:r>
        <w:rPr>
          <w:rFonts w:hint="eastAsia"/>
        </w:rPr>
        <w:t>未专门针对男女儿童开展适龄的、全面的性健康和生殖健康及权利</w:t>
      </w:r>
      <w:r>
        <w:rPr>
          <w:rFonts w:hint="eastAsia"/>
        </w:rPr>
        <w:t>(</w:t>
      </w:r>
      <w:r>
        <w:rPr>
          <w:rFonts w:hint="eastAsia"/>
        </w:rPr>
        <w:t>包括负责任的性行为</w:t>
      </w:r>
      <w:r>
        <w:rPr>
          <w:rFonts w:hint="eastAsia"/>
        </w:rPr>
        <w:t>)</w:t>
      </w:r>
      <w:r>
        <w:rPr>
          <w:rFonts w:hint="eastAsia"/>
        </w:rPr>
        <w:t>教育，并且缺乏计划生育服务；</w:t>
      </w:r>
    </w:p>
    <w:p w14:paraId="1F59D1B4" w14:textId="77777777" w:rsidR="00033DDA" w:rsidRDefault="00033DDA" w:rsidP="00033DDA">
      <w:pPr>
        <w:pStyle w:val="SingleTxt"/>
      </w:pPr>
      <w:r>
        <w:rPr>
          <w:rFonts w:hint="eastAsia"/>
        </w:rPr>
        <w:tab/>
        <w:t>(b)</w:t>
      </w:r>
      <w:r>
        <w:rPr>
          <w:rFonts w:hint="eastAsia"/>
        </w:rPr>
        <w:tab/>
      </w:r>
      <w:r>
        <w:rPr>
          <w:rFonts w:hint="eastAsia"/>
        </w:rPr>
        <w:t>性行为合法年龄</w:t>
      </w:r>
      <w:r>
        <w:rPr>
          <w:rFonts w:hint="eastAsia"/>
        </w:rPr>
        <w:t>(16</w:t>
      </w:r>
      <w:r>
        <w:rPr>
          <w:rFonts w:hint="eastAsia"/>
        </w:rPr>
        <w:t>岁</w:t>
      </w:r>
      <w:r>
        <w:rPr>
          <w:rFonts w:hint="eastAsia"/>
        </w:rPr>
        <w:t>)</w:t>
      </w:r>
      <w:r>
        <w:rPr>
          <w:rFonts w:hint="eastAsia"/>
        </w:rPr>
        <w:t>与不经父母同意即可获得避孕药具和其他保健服务的年龄</w:t>
      </w:r>
      <w:r>
        <w:rPr>
          <w:rFonts w:hint="eastAsia"/>
        </w:rPr>
        <w:t>(18</w:t>
      </w:r>
      <w:r>
        <w:rPr>
          <w:rFonts w:hint="eastAsia"/>
        </w:rPr>
        <w:t>岁</w:t>
      </w:r>
      <w:r>
        <w:rPr>
          <w:rFonts w:hint="eastAsia"/>
        </w:rPr>
        <w:t>)</w:t>
      </w:r>
      <w:r>
        <w:rPr>
          <w:rFonts w:hint="eastAsia"/>
        </w:rPr>
        <w:t>不一致；</w:t>
      </w:r>
    </w:p>
    <w:p w14:paraId="53CEACAC" w14:textId="7991CC4E" w:rsidR="00033DDA" w:rsidRDefault="00033DDA" w:rsidP="00033DDA">
      <w:pPr>
        <w:pStyle w:val="SingleTxt"/>
      </w:pPr>
      <w:r>
        <w:rPr>
          <w:rFonts w:hint="eastAsia"/>
        </w:rPr>
        <w:tab/>
        <w:t>(c)</w:t>
      </w:r>
      <w:r>
        <w:rPr>
          <w:rFonts w:hint="eastAsia"/>
        </w:rPr>
        <w:tab/>
      </w:r>
      <w:r>
        <w:rPr>
          <w:rFonts w:hint="eastAsia"/>
        </w:rPr>
        <w:t>合法堕胎严格受限，这可能会迫使妇女寻求不安全和非法的堕胎；</w:t>
      </w:r>
    </w:p>
    <w:p w14:paraId="3AC32ADC" w14:textId="77777777" w:rsidR="00033DDA" w:rsidRDefault="00033DDA" w:rsidP="00033DDA">
      <w:pPr>
        <w:pStyle w:val="SingleTxt"/>
      </w:pPr>
      <w:r>
        <w:rPr>
          <w:rFonts w:hint="eastAsia"/>
        </w:rPr>
        <w:tab/>
        <w:t>(d)</w:t>
      </w:r>
      <w:r>
        <w:rPr>
          <w:rFonts w:hint="eastAsia"/>
        </w:rPr>
        <w:tab/>
      </w:r>
      <w:r>
        <w:rPr>
          <w:rFonts w:hint="eastAsia"/>
        </w:rPr>
        <w:t>孕产妇死亡率高，而且不乏加剧孕产妇死亡率和发病率的因素，包括可能会对孕产妇死亡率产生影响的早孕和不安全堕胎；</w:t>
      </w:r>
    </w:p>
    <w:p w14:paraId="6C5014BC" w14:textId="6957B442" w:rsidR="00033DDA" w:rsidRDefault="00033DDA" w:rsidP="00033DDA">
      <w:pPr>
        <w:pStyle w:val="SingleTxt"/>
      </w:pPr>
      <w:r>
        <w:rPr>
          <w:rFonts w:hint="eastAsia"/>
        </w:rPr>
        <w:tab/>
        <w:t>(e)</w:t>
      </w:r>
      <w:r>
        <w:rPr>
          <w:rFonts w:hint="eastAsia"/>
        </w:rPr>
        <w:tab/>
      </w:r>
      <w:r>
        <w:rPr>
          <w:rFonts w:hint="eastAsia"/>
        </w:rPr>
        <w:t>在新确诊的艾滋病毒</w:t>
      </w:r>
      <w:r>
        <w:rPr>
          <w:rFonts w:hint="eastAsia"/>
        </w:rPr>
        <w:t>/</w:t>
      </w:r>
      <w:r>
        <w:rPr>
          <w:rFonts w:hint="eastAsia"/>
        </w:rPr>
        <w:t>艾滋病病例中，妇女居多；</w:t>
      </w:r>
    </w:p>
    <w:p w14:paraId="57384FD4" w14:textId="77777777" w:rsidR="00033DDA" w:rsidRDefault="00033DDA" w:rsidP="00033DDA">
      <w:pPr>
        <w:pStyle w:val="SingleTxt"/>
      </w:pPr>
      <w:r>
        <w:rPr>
          <w:rFonts w:hint="eastAsia"/>
        </w:rPr>
        <w:tab/>
        <w:t>(f)</w:t>
      </w:r>
      <w:r>
        <w:rPr>
          <w:rFonts w:hint="eastAsia"/>
        </w:rPr>
        <w:tab/>
      </w:r>
      <w:r>
        <w:rPr>
          <w:rFonts w:hint="eastAsia"/>
        </w:rPr>
        <w:t>缺乏专门服务，特别是乳腺癌筛查和治疗以及精神卫生服务，其中外岛尤为严重。</w:t>
      </w:r>
    </w:p>
    <w:p w14:paraId="265B68A2" w14:textId="16CADA1A" w:rsidR="00033DDA" w:rsidRDefault="00033DDA" w:rsidP="00033DDA">
      <w:pPr>
        <w:pStyle w:val="SingleTxt"/>
      </w:pPr>
      <w:r>
        <w:rPr>
          <w:rFonts w:hint="eastAsia"/>
        </w:rPr>
        <w:t>38.</w:t>
      </w:r>
      <w:r>
        <w:rPr>
          <w:rFonts w:hint="eastAsia"/>
        </w:rPr>
        <w:tab/>
      </w:r>
      <w:r w:rsidRPr="00DD2CCA">
        <w:rPr>
          <w:rFonts w:ascii="黑体" w:eastAsia="黑体" w:hAnsi="黑体" w:hint="eastAsia"/>
        </w:rPr>
        <w:t>委员会忆及其先前提出的建议(</w:t>
      </w:r>
      <w:hyperlink r:id="rId31" w:history="1">
        <w:r w:rsidRPr="005F72D3">
          <w:rPr>
            <w:rStyle w:val="ad"/>
            <w:rFonts w:ascii="黑体" w:eastAsia="黑体" w:hAnsi="黑体" w:hint="eastAsia"/>
          </w:rPr>
          <w:t>CEDAW/C/BHS/CO/1-5</w:t>
        </w:r>
      </w:hyperlink>
      <w:r w:rsidRPr="00DD2CCA">
        <w:rPr>
          <w:rFonts w:ascii="黑体" w:eastAsia="黑体" w:hAnsi="黑体" w:hint="eastAsia"/>
        </w:rPr>
        <w:t>，第36段)及其关于妇女与保健的第24(1999)号一般性建议，进而建议该缔约国：</w:t>
      </w:r>
    </w:p>
    <w:p w14:paraId="1BC9E8EB"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将关于性健康和生殖健康及权利、负责任的性行为以及预防早孕和性传播疾病(包括艾滋病毒)的适龄教育纳入学校课程和提高公众认识运动，并对教师和其他专业人员开展关于如何实施这些战略和开展提高认识运动的培训；</w:t>
      </w:r>
    </w:p>
    <w:p w14:paraId="2BF93F96"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确保所有16岁以上的女童和妇女都能够免费且适当地获取避孕药具及性健康和生殖健康服务，包括在外岛；</w:t>
      </w:r>
    </w:p>
    <w:p w14:paraId="14092A85"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将一切情形下的堕胎非刑罪化，将因强奸和乱伦导致怀孕和胎儿存在严重缺陷这几种情形下的堕胎合法化，并为妇女提供获得优质堕胎后护理的渠道，特别是针对不安全堕胎所致并发症的护理；</w:t>
      </w:r>
    </w:p>
    <w:p w14:paraId="3EB0FFAA"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加大努力，通过提供适当的保健服务，包括保健设施和由训练有素人员实施的医疗援助，降低孕产妇高死亡率，消除加剧孕产妇死亡率的因素，诸如早孕和不安全堕胎；</w:t>
      </w:r>
    </w:p>
    <w:p w14:paraId="274D044F" w14:textId="77777777" w:rsidR="00033DDA" w:rsidRDefault="00033DDA" w:rsidP="00033DDA">
      <w:pPr>
        <w:pStyle w:val="SingleTxt"/>
      </w:pPr>
      <w:r>
        <w:rPr>
          <w:rFonts w:hint="eastAsia"/>
        </w:rPr>
        <w:tab/>
        <w:t>(e)</w:t>
      </w:r>
      <w:r>
        <w:rPr>
          <w:rFonts w:hint="eastAsia"/>
        </w:rPr>
        <w:tab/>
      </w:r>
      <w:r w:rsidRPr="00DD2CCA">
        <w:rPr>
          <w:rFonts w:ascii="黑体" w:eastAsia="黑体" w:hAnsi="黑体" w:hint="eastAsia"/>
        </w:rPr>
        <w:t>实施艾滋病毒防治战略，特别是预防政策，并开展基线调查，以查明艾滋病毒的流行情况，特别是在高危人群中，尤其是在25岁以下人群中的流行情况，同时鼓励卖淫妇女使用安全套，并保证她们能够体面地获得适当保健；</w:t>
      </w:r>
    </w:p>
    <w:p w14:paraId="50AB2596" w14:textId="77777777" w:rsidR="00033DDA" w:rsidRPr="00DD2CCA" w:rsidRDefault="00033DDA" w:rsidP="00033DDA">
      <w:pPr>
        <w:pStyle w:val="SingleTxt"/>
        <w:rPr>
          <w:rFonts w:ascii="黑体" w:eastAsia="黑体" w:hAnsi="黑体"/>
        </w:rPr>
      </w:pPr>
      <w:r>
        <w:rPr>
          <w:rFonts w:hint="eastAsia"/>
        </w:rPr>
        <w:tab/>
        <w:t>(f)</w:t>
      </w:r>
      <w:r>
        <w:rPr>
          <w:rFonts w:hint="eastAsia"/>
        </w:rPr>
        <w:tab/>
      </w:r>
      <w:r w:rsidRPr="00DD2CCA">
        <w:rPr>
          <w:rFonts w:ascii="黑体" w:eastAsia="黑体" w:hAnsi="黑体" w:hint="eastAsia"/>
        </w:rPr>
        <w:t>改善妇女在境内获得精神卫生服务和专门乳腺癌诊疗服务的机会，并对包括外岛在内的全国医疗和卫生专业人员开展心理疾病和乳腺癌早期发现培训。</w:t>
      </w:r>
    </w:p>
    <w:p w14:paraId="50CDD1FE"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增强妇女经济权能</w:t>
      </w:r>
    </w:p>
    <w:p w14:paraId="02FDE9B3" w14:textId="77777777" w:rsidR="00033DDA" w:rsidRDefault="00033DDA" w:rsidP="00372D63">
      <w:pPr>
        <w:pStyle w:val="SingleTxt"/>
        <w:spacing w:before="120"/>
      </w:pPr>
      <w:r>
        <w:rPr>
          <w:rFonts w:hint="eastAsia"/>
        </w:rPr>
        <w:t>39.</w:t>
      </w:r>
      <w:r>
        <w:rPr>
          <w:rFonts w:hint="eastAsia"/>
        </w:rPr>
        <w:tab/>
      </w:r>
      <w:r>
        <w:rPr>
          <w:rFonts w:hint="eastAsia"/>
        </w:rPr>
        <w:t>委员会感到关切的是，妇女贫困程度异常之高，而且</w:t>
      </w:r>
      <w:r>
        <w:rPr>
          <w:rFonts w:hint="eastAsia"/>
        </w:rPr>
        <w:t>2015</w:t>
      </w:r>
      <w:r>
        <w:rPr>
          <w:rFonts w:hint="eastAsia"/>
        </w:rPr>
        <w:t>年启动的旨在减少巴哈马贫困线以下人口数量的“振兴、激励、维持和增强权能方案”于</w:t>
      </w:r>
      <w:r>
        <w:rPr>
          <w:rFonts w:hint="eastAsia"/>
        </w:rPr>
        <w:t>2017</w:t>
      </w:r>
      <w:r>
        <w:rPr>
          <w:rFonts w:hint="eastAsia"/>
        </w:rPr>
        <w:t>年暂停实施。委员会还感到关切的是，该缔约国方面就发展战略结构调整的新措施、贸易自由化政策及其对妇女的影响以及旨在减轻包括老年妇女和残疾妇女在内的最弱势妇女群体贫穷状况的方案提供的资料有限。</w:t>
      </w:r>
    </w:p>
    <w:p w14:paraId="61FB2522" w14:textId="77777777" w:rsidR="00033DDA" w:rsidRDefault="00033DDA" w:rsidP="00033DDA">
      <w:pPr>
        <w:pStyle w:val="SingleTxt"/>
      </w:pPr>
      <w:r>
        <w:rPr>
          <w:rFonts w:hint="eastAsia"/>
        </w:rPr>
        <w:t>40.</w:t>
      </w:r>
      <w:r>
        <w:rPr>
          <w:rFonts w:hint="eastAsia"/>
        </w:rPr>
        <w:tab/>
      </w:r>
      <w:r w:rsidRPr="00DD2CCA">
        <w:rPr>
          <w:rFonts w:ascii="黑体" w:eastAsia="黑体" w:hAnsi="黑体" w:hint="eastAsia"/>
        </w:rPr>
        <w:t>委员会建议该缔约国评估“振兴、激励、维持和增强权能方案”实施中断对妇女的影响，并公布评估结果。委员会还建议该缔约国确保有需要的妇女不会因方案实施中断而蒙受任何不利影响，并另行实施一项适当的现金转移方案，重点向包括老年妇女和残疾妇女在内的弱势妇女和女童群体提供援助。委员会又进一步建议该缔约国通过旨在减轻最弱势妇女群体贫穷状况的方案，从性别平等的视角出发去落实结构调整和贸易自由化方面的措施，并评估这些措施对妇女的影响。委员会还建议该缔约国履行其域外义务，确保其财政和税收政策不会对妇女权利和旨在实现男女实质性平等的努力产生不利影响。</w:t>
      </w:r>
    </w:p>
    <w:p w14:paraId="7ACC7087"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农村妇女</w:t>
      </w:r>
    </w:p>
    <w:p w14:paraId="1005E075" w14:textId="77777777" w:rsidR="00033DDA" w:rsidRDefault="00033DDA" w:rsidP="00372D63">
      <w:pPr>
        <w:pStyle w:val="SingleTxt"/>
        <w:spacing w:before="120"/>
      </w:pPr>
      <w:r>
        <w:rPr>
          <w:rFonts w:hint="eastAsia"/>
        </w:rPr>
        <w:t>41.</w:t>
      </w:r>
      <w:r>
        <w:rPr>
          <w:rFonts w:hint="eastAsia"/>
        </w:rPr>
        <w:tab/>
      </w:r>
      <w:r>
        <w:rPr>
          <w:rFonts w:hint="eastAsia"/>
        </w:rPr>
        <w:t>委员会感到关切的是，外岛妇女在获得保健服务和教育</w:t>
      </w:r>
      <w:r>
        <w:rPr>
          <w:rFonts w:hint="eastAsia"/>
        </w:rPr>
        <w:t>(</w:t>
      </w:r>
      <w:r>
        <w:rPr>
          <w:rFonts w:hint="eastAsia"/>
        </w:rPr>
        <w:t>特别是高等教育</w:t>
      </w:r>
      <w:r>
        <w:rPr>
          <w:rFonts w:hint="eastAsia"/>
        </w:rPr>
        <w:t>)</w:t>
      </w:r>
      <w:r>
        <w:rPr>
          <w:rFonts w:hint="eastAsia"/>
        </w:rPr>
        <w:t>以及司法救助、就业、技能发展和培训机会、农业土地管理和创收机会等方面处境不利。</w:t>
      </w:r>
    </w:p>
    <w:p w14:paraId="4C80B442" w14:textId="64AB45C7" w:rsidR="00033DDA" w:rsidRDefault="00033DDA" w:rsidP="00033DDA">
      <w:pPr>
        <w:pStyle w:val="SingleTxt"/>
      </w:pPr>
      <w:r>
        <w:rPr>
          <w:rFonts w:hint="eastAsia"/>
        </w:rPr>
        <w:t>42.</w:t>
      </w:r>
      <w:r>
        <w:rPr>
          <w:rFonts w:hint="eastAsia"/>
        </w:rPr>
        <w:tab/>
      </w:r>
      <w:r w:rsidRPr="00DD2CCA">
        <w:rPr>
          <w:rFonts w:ascii="黑体" w:eastAsia="黑体" w:hAnsi="黑体" w:hint="eastAsia"/>
        </w:rPr>
        <w:t>委员会忆及其关于农村妇女权利的第34(2016)号一般性建议，进而建议该缔约国努力推动外岛妇女参与决策进程，并改善她们获得优质保健、教育、司法救助、就业、技能发展和培训机会、农业土地管理和新的创收机会的渠道。</w:t>
      </w:r>
    </w:p>
    <w:p w14:paraId="009013F5"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弱势妇女群体</w:t>
      </w:r>
    </w:p>
    <w:p w14:paraId="325A5886" w14:textId="77777777" w:rsidR="00033DDA" w:rsidRDefault="00033DDA" w:rsidP="00372D6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pPr>
      <w:r>
        <w:rPr>
          <w:rFonts w:hint="eastAsia"/>
        </w:rPr>
        <w:tab/>
      </w:r>
      <w:r>
        <w:rPr>
          <w:rFonts w:hint="eastAsia"/>
        </w:rPr>
        <w:tab/>
      </w:r>
      <w:r>
        <w:rPr>
          <w:rFonts w:hint="eastAsia"/>
        </w:rPr>
        <w:t>难民妇女、寻求庇护妇女和移民妇女</w:t>
      </w:r>
    </w:p>
    <w:p w14:paraId="4F02E133" w14:textId="19A0E286" w:rsidR="00033DDA" w:rsidRDefault="00033DDA" w:rsidP="00372D63">
      <w:pPr>
        <w:pStyle w:val="SingleTxt"/>
        <w:spacing w:before="120"/>
      </w:pPr>
      <w:r>
        <w:rPr>
          <w:rFonts w:hint="eastAsia"/>
        </w:rPr>
        <w:t>43.</w:t>
      </w:r>
      <w:r>
        <w:rPr>
          <w:rFonts w:hint="eastAsia"/>
        </w:rPr>
        <w:tab/>
      </w:r>
      <w:r>
        <w:rPr>
          <w:rFonts w:hint="eastAsia"/>
        </w:rPr>
        <w:t>委员</w:t>
      </w:r>
      <w:r w:rsidRPr="00B62561">
        <w:rPr>
          <w:rFonts w:hint="eastAsia"/>
          <w:spacing w:val="4"/>
        </w:rPr>
        <w:t>会赞赏地注意到，该缔约国致力于加强保护难民和无国籍人的区域合</w:t>
      </w:r>
      <w:r>
        <w:rPr>
          <w:rFonts w:hint="eastAsia"/>
        </w:rPr>
        <w:t>作，其决心从该国于</w:t>
      </w:r>
      <w:r>
        <w:rPr>
          <w:rFonts w:hint="eastAsia"/>
        </w:rPr>
        <w:t>2017</w:t>
      </w:r>
      <w:r>
        <w:rPr>
          <w:rFonts w:hint="eastAsia"/>
        </w:rPr>
        <w:t>年</w:t>
      </w:r>
      <w:r>
        <w:rPr>
          <w:rFonts w:hint="eastAsia"/>
        </w:rPr>
        <w:t>12</w:t>
      </w:r>
      <w:r>
        <w:rPr>
          <w:rFonts w:hint="eastAsia"/>
        </w:rPr>
        <w:t>月主办加勒比移民磋商会一事中可见一斑。委员会还注意到，现已成立移民问题工作组。然而，委员会对以下情况感到关切：</w:t>
      </w:r>
    </w:p>
    <w:p w14:paraId="3C8642AC" w14:textId="77777777" w:rsidR="00033DDA" w:rsidRDefault="00033DDA" w:rsidP="00033DDA">
      <w:pPr>
        <w:pStyle w:val="SingleTxt"/>
      </w:pPr>
      <w:r>
        <w:rPr>
          <w:rFonts w:hint="eastAsia"/>
        </w:rPr>
        <w:tab/>
        <w:t>(a)</w:t>
      </w:r>
      <w:r>
        <w:rPr>
          <w:rFonts w:hint="eastAsia"/>
        </w:rPr>
        <w:tab/>
      </w:r>
      <w:r>
        <w:rPr>
          <w:rFonts w:hint="eastAsia"/>
        </w:rPr>
        <w:t>缺乏包含性别层面的难民和寻求庇护程序管理法；</w:t>
      </w:r>
    </w:p>
    <w:p w14:paraId="05B89A41" w14:textId="77777777" w:rsidR="00033DDA" w:rsidRDefault="00033DDA" w:rsidP="00033DDA">
      <w:pPr>
        <w:pStyle w:val="SingleTxt"/>
      </w:pPr>
      <w:r>
        <w:rPr>
          <w:rFonts w:hint="eastAsia"/>
        </w:rPr>
        <w:tab/>
        <w:t>(b)</w:t>
      </w:r>
      <w:r>
        <w:rPr>
          <w:rFonts w:hint="eastAsia"/>
        </w:rPr>
        <w:tab/>
      </w:r>
      <w:r>
        <w:rPr>
          <w:rFonts w:hint="eastAsia"/>
        </w:rPr>
        <w:t>寻求庇护妇女</w:t>
      </w:r>
      <w:r>
        <w:rPr>
          <w:rFonts w:hint="eastAsia"/>
        </w:rPr>
        <w:t>(</w:t>
      </w:r>
      <w:r>
        <w:rPr>
          <w:rFonts w:hint="eastAsia"/>
        </w:rPr>
        <w:t>包括有子女者</w:t>
      </w:r>
      <w:r>
        <w:rPr>
          <w:rFonts w:hint="eastAsia"/>
        </w:rPr>
        <w:t>)</w:t>
      </w:r>
      <w:r>
        <w:rPr>
          <w:rFonts w:hint="eastAsia"/>
        </w:rPr>
        <w:t>遭到拘留；</w:t>
      </w:r>
    </w:p>
    <w:p w14:paraId="160253F5" w14:textId="77777777" w:rsidR="00033DDA" w:rsidRDefault="00033DDA" w:rsidP="00033DDA">
      <w:pPr>
        <w:pStyle w:val="SingleTxt"/>
      </w:pPr>
      <w:r>
        <w:rPr>
          <w:rFonts w:hint="eastAsia"/>
        </w:rPr>
        <w:tab/>
        <w:t>(c)</w:t>
      </w:r>
      <w:r>
        <w:rPr>
          <w:rFonts w:hint="eastAsia"/>
        </w:rPr>
        <w:tab/>
      </w:r>
      <w:r>
        <w:rPr>
          <w:rFonts w:hint="eastAsia"/>
        </w:rPr>
        <w:t>缺乏针对境内移民妇女、海地裔妇女、难民妇女和寻求庇护妇女的社会和经济融合方案；</w:t>
      </w:r>
    </w:p>
    <w:p w14:paraId="725B9526" w14:textId="77777777" w:rsidR="00033DDA" w:rsidRDefault="00033DDA" w:rsidP="00033DDA">
      <w:pPr>
        <w:pStyle w:val="SingleTxt"/>
      </w:pPr>
      <w:r>
        <w:rPr>
          <w:rFonts w:hint="eastAsia"/>
        </w:rPr>
        <w:tab/>
        <w:t>(d)</w:t>
      </w:r>
      <w:r>
        <w:rPr>
          <w:rFonts w:hint="eastAsia"/>
        </w:rPr>
        <w:tab/>
      </w:r>
      <w:r>
        <w:rPr>
          <w:rFonts w:hint="eastAsia"/>
        </w:rPr>
        <w:t>没有身份证件或国民护照的寻求庇护妇女、移民妇女和海地裔妇女处境令人忧惧，她们即便在遭遇侵权事件</w:t>
      </w:r>
      <w:r>
        <w:rPr>
          <w:rFonts w:hint="eastAsia"/>
        </w:rPr>
        <w:t>(</w:t>
      </w:r>
      <w:r>
        <w:rPr>
          <w:rFonts w:hint="eastAsia"/>
        </w:rPr>
        <w:t>包括性别暴力</w:t>
      </w:r>
      <w:r>
        <w:rPr>
          <w:rFonts w:hint="eastAsia"/>
        </w:rPr>
        <w:t>)</w:t>
      </w:r>
      <w:r>
        <w:rPr>
          <w:rFonts w:hint="eastAsia"/>
        </w:rPr>
        <w:t>的情况下也不敢向有关部门报案，唯恐被递解出境。</w:t>
      </w:r>
    </w:p>
    <w:p w14:paraId="3E75C705" w14:textId="77777777" w:rsidR="00033DDA" w:rsidRDefault="00033DDA" w:rsidP="00033DDA">
      <w:pPr>
        <w:pStyle w:val="SingleTxt"/>
      </w:pPr>
      <w:r>
        <w:rPr>
          <w:rFonts w:hint="eastAsia"/>
        </w:rPr>
        <w:t>44.</w:t>
      </w:r>
      <w:r>
        <w:rPr>
          <w:rFonts w:hint="eastAsia"/>
        </w:rPr>
        <w:tab/>
      </w:r>
      <w:r w:rsidRPr="00DD2CCA">
        <w:rPr>
          <w:rFonts w:ascii="黑体" w:eastAsia="黑体" w:hAnsi="黑体" w:hint="eastAsia"/>
        </w:rPr>
        <w:t>委员会根据其第32号一般性建议，建议该缔约国：</w:t>
      </w:r>
    </w:p>
    <w:p w14:paraId="4760DA2A"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通过包含性别层面的难民和寻求庇护程序管理法；</w:t>
      </w:r>
    </w:p>
    <w:p w14:paraId="699E64CE" w14:textId="77777777" w:rsidR="00033DDA" w:rsidRPr="00DD2CCA" w:rsidRDefault="00033DDA" w:rsidP="00033DDA">
      <w:pPr>
        <w:pStyle w:val="SingleTxt"/>
        <w:rPr>
          <w:rFonts w:ascii="黑体" w:eastAsia="黑体" w:hAnsi="黑体"/>
        </w:rPr>
      </w:pPr>
      <w:r>
        <w:rPr>
          <w:rFonts w:hint="eastAsia"/>
        </w:rPr>
        <w:tab/>
        <w:t>(b)</w:t>
      </w:r>
      <w:r>
        <w:rPr>
          <w:rFonts w:hint="eastAsia"/>
        </w:rPr>
        <w:tab/>
      </w:r>
      <w:r w:rsidRPr="00DD2CCA">
        <w:rPr>
          <w:rFonts w:ascii="黑体" w:eastAsia="黑体" w:hAnsi="黑体" w:hint="eastAsia"/>
        </w:rPr>
        <w:t>在接收寻求庇护妇女和审查庇护申请时，按照对性别问题有敏感认识的办法行事，以确保这些妇女在被关押期间不受剥削和虐待并能够获得适当的保健及其他服务；</w:t>
      </w:r>
    </w:p>
    <w:p w14:paraId="7C8E3415"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在处理寻求庇护妇女、难民妇女或非正常途径入境妇女及其子女的问题时，采用相对不具胁迫性的替代措施，仅将拘留作为最后手段使用；</w:t>
      </w:r>
    </w:p>
    <w:p w14:paraId="7671167E"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采取措施改善难民妇女、寻求庇护妇女、移民妇女和海地裔妇女的社会和经济状况，以消除她们易受多重和交叉形式歧视和暴力(包括家庭暴力)侵害的脆弱性，并为她们提供获得基本服务的机会，不论其移民地位如何；</w:t>
      </w:r>
    </w:p>
    <w:p w14:paraId="6B78CC31" w14:textId="4C1EF27D" w:rsidR="00033DDA" w:rsidRDefault="00033DDA" w:rsidP="00033DDA">
      <w:pPr>
        <w:pStyle w:val="SingleTxt"/>
      </w:pPr>
      <w:r>
        <w:rPr>
          <w:rFonts w:hint="eastAsia"/>
        </w:rPr>
        <w:tab/>
        <w:t>(e)</w:t>
      </w:r>
      <w:r>
        <w:rPr>
          <w:rFonts w:hint="eastAsia"/>
        </w:rPr>
        <w:tab/>
      </w:r>
      <w:r w:rsidRPr="00DD2CCA">
        <w:rPr>
          <w:rFonts w:ascii="黑体" w:eastAsia="黑体" w:hAnsi="黑体" w:hint="eastAsia"/>
        </w:rPr>
        <w:t>确保在处理妇女和女童庇护申请时，适用对性别问题有敏感认识的办法，并就在该缔约国可经由哪些程序取得合法地位以及申请入籍需要哪些文件向难民妇女、寻求庇护妇女和移民妇女免费提供法律咨询。</w:t>
      </w:r>
    </w:p>
    <w:p w14:paraId="143E6DB6" w14:textId="77777777" w:rsidR="00033DDA" w:rsidRPr="00372D63" w:rsidRDefault="00033DDA" w:rsidP="00372D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72D63">
        <w:rPr>
          <w:rFonts w:hint="eastAsia"/>
        </w:rPr>
        <w:tab/>
      </w:r>
      <w:r w:rsidRPr="00372D63">
        <w:rPr>
          <w:rFonts w:hint="eastAsia"/>
        </w:rPr>
        <w:tab/>
      </w:r>
      <w:r w:rsidRPr="00372D63">
        <w:rPr>
          <w:rFonts w:hint="eastAsia"/>
        </w:rPr>
        <w:t>婚姻和家庭关系</w:t>
      </w:r>
    </w:p>
    <w:p w14:paraId="3A03A6F9" w14:textId="77777777" w:rsidR="00033DDA" w:rsidRDefault="00033DDA" w:rsidP="00372D63">
      <w:pPr>
        <w:pStyle w:val="SingleTxt"/>
        <w:spacing w:before="120"/>
      </w:pPr>
      <w:r>
        <w:rPr>
          <w:rFonts w:hint="eastAsia"/>
        </w:rPr>
        <w:t>45.</w:t>
      </w:r>
      <w:r>
        <w:rPr>
          <w:rFonts w:hint="eastAsia"/>
        </w:rPr>
        <w:tab/>
      </w:r>
      <w:r>
        <w:rPr>
          <w:rFonts w:hint="eastAsia"/>
        </w:rPr>
        <w:t>委员会感到关切的是，《婚姻法》第</w:t>
      </w:r>
      <w:r>
        <w:rPr>
          <w:rFonts w:hint="eastAsia"/>
        </w:rPr>
        <w:t>50</w:t>
      </w:r>
      <w:r>
        <w:rPr>
          <w:rFonts w:hint="eastAsia"/>
        </w:rPr>
        <w:t>条将最低结婚年龄定在</w:t>
      </w:r>
      <w:r>
        <w:rPr>
          <w:rFonts w:hint="eastAsia"/>
        </w:rPr>
        <w:t>15</w:t>
      </w:r>
      <w:r>
        <w:rPr>
          <w:rFonts w:hint="eastAsia"/>
        </w:rPr>
        <w:t>岁，并允许</w:t>
      </w:r>
      <w:r>
        <w:rPr>
          <w:rFonts w:hint="eastAsia"/>
        </w:rPr>
        <w:t>13</w:t>
      </w:r>
      <w:r>
        <w:rPr>
          <w:rFonts w:hint="eastAsia"/>
        </w:rPr>
        <w:t>至</w:t>
      </w:r>
      <w:r>
        <w:rPr>
          <w:rFonts w:hint="eastAsia"/>
        </w:rPr>
        <w:t>15</w:t>
      </w:r>
      <w:r>
        <w:rPr>
          <w:rFonts w:hint="eastAsia"/>
        </w:rPr>
        <w:t>岁儿童在法定例外情形下缔结婚姻。委员会依然感到关切的是，没有关于事实上的结合的法律规定，这可能会导致妇女在结合终了时得不到保护且无补救办法可以诉诸。委员会还感到关切的是，在建立统一法院系统和设立家庭法院方面进展甚微。此外，委员会感到关切的是，受文化因素影响，加之缺乏子女抚养费强制执行机制，母亲，尤其是单身母亲在照管子女方面担负着异常繁重的任务。</w:t>
      </w:r>
    </w:p>
    <w:p w14:paraId="39297FB7" w14:textId="7DA6A15E" w:rsidR="00033DDA" w:rsidRDefault="00033DDA" w:rsidP="00033DDA">
      <w:pPr>
        <w:pStyle w:val="SingleTxt"/>
      </w:pPr>
      <w:r>
        <w:rPr>
          <w:rFonts w:hint="eastAsia"/>
        </w:rPr>
        <w:t>46.</w:t>
      </w:r>
      <w:r>
        <w:rPr>
          <w:rFonts w:hint="eastAsia"/>
        </w:rPr>
        <w:tab/>
      </w:r>
      <w:r w:rsidRPr="00DD2CCA">
        <w:rPr>
          <w:rFonts w:ascii="黑体" w:eastAsia="黑体" w:hAnsi="黑体" w:hint="eastAsia"/>
        </w:rPr>
        <w:t>委员会重申其先前提出的建议(</w:t>
      </w:r>
      <w:hyperlink r:id="rId32" w:history="1">
        <w:r w:rsidRPr="005F72D3">
          <w:rPr>
            <w:rStyle w:val="ad"/>
            <w:rFonts w:ascii="黑体" w:eastAsia="黑体" w:hAnsi="黑体" w:hint="eastAsia"/>
          </w:rPr>
          <w:t>CEDAW/C/BHS/CO/1</w:t>
        </w:r>
        <w:r w:rsidR="001A35AC" w:rsidRPr="005F72D3">
          <w:rPr>
            <w:rStyle w:val="ad"/>
            <w:rFonts w:ascii="黑体" w:eastAsia="黑体" w:hAnsi="黑体"/>
          </w:rPr>
          <w:t>-</w:t>
        </w:r>
        <w:r w:rsidRPr="005F72D3">
          <w:rPr>
            <w:rStyle w:val="ad"/>
            <w:rFonts w:ascii="黑体" w:eastAsia="黑体" w:hAnsi="黑体" w:hint="eastAsia"/>
          </w:rPr>
          <w:t>5</w:t>
        </w:r>
      </w:hyperlink>
      <w:r w:rsidRPr="00DD2CCA">
        <w:rPr>
          <w:rFonts w:ascii="黑体" w:eastAsia="黑体" w:hAnsi="黑体" w:hint="eastAsia"/>
        </w:rPr>
        <w:t>，第38段)，并建议该缔约国：</w:t>
      </w:r>
    </w:p>
    <w:p w14:paraId="0815607B" w14:textId="6767DE83" w:rsidR="00033DDA" w:rsidRDefault="00033DDA" w:rsidP="00033DDA">
      <w:pPr>
        <w:pStyle w:val="SingleTxt"/>
      </w:pPr>
      <w:r>
        <w:rPr>
          <w:rFonts w:hint="eastAsia"/>
        </w:rPr>
        <w:tab/>
        <w:t>(a)</w:t>
      </w:r>
      <w:r>
        <w:rPr>
          <w:rFonts w:hint="eastAsia"/>
        </w:rPr>
        <w:tab/>
      </w:r>
      <w:r w:rsidRPr="00DD2CCA">
        <w:rPr>
          <w:rFonts w:ascii="黑体" w:eastAsia="黑体" w:hAnsi="黑体" w:hint="eastAsia"/>
        </w:rPr>
        <w:t>在法律上硬性规定最低结婚年龄为18岁，并在实践中强制适用此规定，无一例外；</w:t>
      </w:r>
    </w:p>
    <w:p w14:paraId="37230FB9" w14:textId="5FB1D32E" w:rsidR="00033DDA" w:rsidRDefault="00033DDA" w:rsidP="00033DDA">
      <w:pPr>
        <w:pStyle w:val="SingleTxt"/>
      </w:pPr>
      <w:r>
        <w:rPr>
          <w:rFonts w:hint="eastAsia"/>
        </w:rPr>
        <w:tab/>
        <w:t>(b)</w:t>
      </w:r>
      <w:r>
        <w:rPr>
          <w:rFonts w:hint="eastAsia"/>
        </w:rPr>
        <w:tab/>
      </w:r>
      <w:r w:rsidRPr="00DD2CCA">
        <w:rPr>
          <w:rFonts w:ascii="黑体" w:eastAsia="黑体" w:hAnsi="黑体" w:hint="eastAsia"/>
        </w:rPr>
        <w:t>审查关于婚姻和家庭关系</w:t>
      </w:r>
      <w:r w:rsidR="001A35AC" w:rsidRPr="00DD2CCA">
        <w:rPr>
          <w:rFonts w:ascii="黑体" w:eastAsia="黑体" w:hAnsi="黑体" w:hint="eastAsia"/>
        </w:rPr>
        <w:t>的法律制度，以期将现行法律规定推及适用于事实上结合关系中的伴侣；</w:t>
      </w:r>
    </w:p>
    <w:p w14:paraId="571EF928" w14:textId="77777777" w:rsidR="00033DDA" w:rsidRDefault="00033DDA" w:rsidP="00033DDA">
      <w:pPr>
        <w:pStyle w:val="SingleTxt"/>
      </w:pPr>
      <w:r>
        <w:rPr>
          <w:rFonts w:hint="eastAsia"/>
        </w:rPr>
        <w:tab/>
        <w:t>(c)</w:t>
      </w:r>
      <w:r>
        <w:rPr>
          <w:rFonts w:hint="eastAsia"/>
        </w:rPr>
        <w:tab/>
      </w:r>
      <w:r w:rsidRPr="00DD2CCA">
        <w:rPr>
          <w:rFonts w:ascii="黑体" w:eastAsia="黑体" w:hAnsi="黑体" w:hint="eastAsia"/>
        </w:rPr>
        <w:t>根据家庭法院系统委员会的建议，加快建立统一法院系统，并设立家庭法院和推出替代性争议解决支助服务，同时划拨充足的人力、财政和技术资源，以便在明确时限内建立有效运作的统一法院系统；</w:t>
      </w:r>
    </w:p>
    <w:p w14:paraId="5A496246" w14:textId="77777777" w:rsidR="00033DDA" w:rsidRDefault="00033DDA" w:rsidP="00033DDA">
      <w:pPr>
        <w:pStyle w:val="SingleTxt"/>
      </w:pPr>
      <w:r>
        <w:rPr>
          <w:rFonts w:hint="eastAsia"/>
        </w:rPr>
        <w:tab/>
        <w:t>(d)</w:t>
      </w:r>
      <w:r>
        <w:rPr>
          <w:rFonts w:hint="eastAsia"/>
        </w:rPr>
        <w:tab/>
      </w:r>
      <w:r w:rsidRPr="00DD2CCA">
        <w:rPr>
          <w:rFonts w:ascii="黑体" w:eastAsia="黑体" w:hAnsi="黑体" w:hint="eastAsia"/>
        </w:rPr>
        <w:t>加大对父母、家庭和公众的亲职教育力度，以促进父母双方共同承担照顾和抚养子女的责任，审查关于子女抚养问题的法律法规和程序，并立即解决相关挑战，以确保单亲母亲能够及时获得子女抚养费。</w:t>
      </w:r>
    </w:p>
    <w:p w14:paraId="4C4C031A"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气候变化和自然灾害对妇女的影响</w:t>
      </w:r>
    </w:p>
    <w:p w14:paraId="1B1FD6F6" w14:textId="77777777" w:rsidR="00033DDA" w:rsidRDefault="00033DDA" w:rsidP="00614F3F">
      <w:pPr>
        <w:pStyle w:val="SingleTxt"/>
        <w:spacing w:before="120"/>
      </w:pPr>
      <w:r>
        <w:rPr>
          <w:rFonts w:hint="eastAsia"/>
        </w:rPr>
        <w:t>47.</w:t>
      </w:r>
      <w:r>
        <w:rPr>
          <w:rFonts w:hint="eastAsia"/>
        </w:rPr>
        <w:tab/>
      </w:r>
      <w:r>
        <w:rPr>
          <w:rFonts w:hint="eastAsia"/>
        </w:rPr>
        <w:t>委员会赞赏地注意到，国家应急管理局高级管理岗位上不乏妇女的身影，而且在飓风“马修”过后开展了性别平等评估。然而，委员会忆及该缔约国具有易遭重大环境和气候变化以及自然灾害影响的脆弱性。在这方面，委员会关切的是，气候变化和气候相关灾害对妇女的影响尤为严重，而且在减灾、备灾、应灾和灾后恢复工作中虑及妇女，特别是弱势妇女群体的特殊需求而言，尚有更多工作要做。</w:t>
      </w:r>
    </w:p>
    <w:p w14:paraId="2F865F07" w14:textId="77777777" w:rsidR="00033DDA" w:rsidRDefault="00033DDA" w:rsidP="00033DDA">
      <w:pPr>
        <w:pStyle w:val="SingleTxt"/>
      </w:pPr>
      <w:r>
        <w:rPr>
          <w:rFonts w:hint="eastAsia"/>
        </w:rPr>
        <w:t>48.</w:t>
      </w:r>
      <w:r>
        <w:rPr>
          <w:rFonts w:hint="eastAsia"/>
        </w:rPr>
        <w:tab/>
      </w:r>
      <w:r w:rsidRPr="00DD2CCA">
        <w:rPr>
          <w:rFonts w:ascii="黑体" w:eastAsia="黑体" w:hAnsi="黑体" w:hint="eastAsia"/>
        </w:rPr>
        <w:t>委员</w:t>
      </w:r>
      <w:r w:rsidRPr="003D54AE">
        <w:rPr>
          <w:rFonts w:ascii="黑体" w:eastAsia="黑体" w:hAnsi="黑体" w:hint="eastAsia"/>
          <w:spacing w:val="-4"/>
        </w:rPr>
        <w:t>会根据其关于气候变化背景下减少灾害风险所涉性别方面</w:t>
      </w:r>
      <w:r w:rsidRPr="00DD2CCA">
        <w:rPr>
          <w:rFonts w:ascii="黑体" w:eastAsia="黑体" w:hAnsi="黑体" w:hint="eastAsia"/>
        </w:rPr>
        <w:t>的第37(2018)号一般性建议，建议该缔约国：</w:t>
      </w:r>
    </w:p>
    <w:p w14:paraId="50F86A35" w14:textId="77777777" w:rsidR="00033DDA" w:rsidRDefault="00033DDA" w:rsidP="00033DDA">
      <w:pPr>
        <w:pStyle w:val="SingleTxt"/>
      </w:pPr>
      <w:r>
        <w:rPr>
          <w:rFonts w:hint="eastAsia"/>
        </w:rPr>
        <w:tab/>
        <w:t>(a)</w:t>
      </w:r>
      <w:r>
        <w:rPr>
          <w:rFonts w:hint="eastAsia"/>
        </w:rPr>
        <w:tab/>
      </w:r>
      <w:r w:rsidRPr="00DD2CCA">
        <w:rPr>
          <w:rFonts w:ascii="黑体" w:eastAsia="黑体" w:hAnsi="黑体" w:hint="eastAsia"/>
        </w:rPr>
        <w:t>确保妇女代表参与有关制定和实施减少灾害风险、灾后管理和气候变化政策的各级决策进程；</w:t>
      </w:r>
    </w:p>
    <w:p w14:paraId="650F44D9" w14:textId="77777777" w:rsidR="00033DDA" w:rsidRDefault="00033DDA" w:rsidP="00033DDA">
      <w:pPr>
        <w:pStyle w:val="SingleTxt"/>
      </w:pPr>
      <w:r>
        <w:rPr>
          <w:rFonts w:hint="eastAsia"/>
        </w:rPr>
        <w:tab/>
        <w:t>(b)</w:t>
      </w:r>
      <w:r>
        <w:rPr>
          <w:rFonts w:hint="eastAsia"/>
        </w:rPr>
        <w:tab/>
      </w:r>
      <w:r w:rsidRPr="00DD2CCA">
        <w:rPr>
          <w:rFonts w:ascii="黑体" w:eastAsia="黑体" w:hAnsi="黑体" w:hint="eastAsia"/>
        </w:rPr>
        <w:t>确保今后在制定和执行关于减少灾害风险、气候变化以及应对其他紧急情况的政策和方案时，运用在最近几场飓风过后开展的性别平等评估的结果，确保所有政策和方案都建立在全面的性别平等分析基础之上，并确保这些政策和方案考虑到妇女(包括弱势妇女群体)的特殊需求。</w:t>
      </w:r>
    </w:p>
    <w:p w14:paraId="251AD10C" w14:textId="77777777" w:rsidR="001521B9" w:rsidRDefault="001521B9">
      <w:pPr>
        <w:spacing w:line="240" w:lineRule="auto"/>
        <w:jc w:val="left"/>
        <w:rPr>
          <w:rFonts w:eastAsia="黑体"/>
          <w:szCs w:val="21"/>
        </w:rPr>
      </w:pPr>
      <w:r>
        <w:br w:type="page"/>
      </w:r>
    </w:p>
    <w:p w14:paraId="15D1319F" w14:textId="6897DD89"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《公约任择议定书》</w:t>
      </w:r>
    </w:p>
    <w:p w14:paraId="15694CBF" w14:textId="77777777" w:rsidR="00033DDA" w:rsidRDefault="00033DDA" w:rsidP="00614F3F">
      <w:pPr>
        <w:pStyle w:val="SingleTxt"/>
        <w:spacing w:before="120"/>
      </w:pPr>
      <w:r>
        <w:rPr>
          <w:rFonts w:hint="eastAsia"/>
        </w:rPr>
        <w:t>49.</w:t>
      </w:r>
      <w:r>
        <w:rPr>
          <w:rFonts w:hint="eastAsia"/>
        </w:rPr>
        <w:tab/>
      </w:r>
      <w:r w:rsidRPr="00DD2CCA">
        <w:rPr>
          <w:rFonts w:ascii="黑体" w:eastAsia="黑体" w:hAnsi="黑体" w:hint="eastAsia"/>
        </w:rPr>
        <w:t>委员会欣见，该缔约国在对话期间明确保证打算尽快批准《公约任择议定书》。</w:t>
      </w:r>
    </w:p>
    <w:p w14:paraId="03B206C5"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《北京宣言》和《行动纲要》</w:t>
      </w:r>
    </w:p>
    <w:p w14:paraId="5FBA5CB3" w14:textId="77777777" w:rsidR="00033DDA" w:rsidRDefault="00033DDA" w:rsidP="00614F3F">
      <w:pPr>
        <w:pStyle w:val="SingleTxt"/>
        <w:spacing w:before="120"/>
      </w:pPr>
      <w:r>
        <w:rPr>
          <w:rFonts w:hint="eastAsia"/>
        </w:rPr>
        <w:t>50.</w:t>
      </w:r>
      <w:r>
        <w:rPr>
          <w:rFonts w:hint="eastAsia"/>
        </w:rPr>
        <w:tab/>
      </w:r>
      <w:r w:rsidRPr="00DD2CCA">
        <w:rPr>
          <w:rFonts w:ascii="黑体" w:eastAsia="黑体" w:hAnsi="黑体" w:hint="eastAsia"/>
        </w:rPr>
        <w:t>委员会呼吁该缔约国在努力执行《公约》规定时运用《北京宣言》和《行动纲要》。</w:t>
      </w:r>
    </w:p>
    <w:p w14:paraId="0B833485"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传播</w:t>
      </w:r>
    </w:p>
    <w:p w14:paraId="43827E99" w14:textId="77777777" w:rsidR="00033DDA" w:rsidRDefault="00033DDA" w:rsidP="00614F3F">
      <w:pPr>
        <w:pStyle w:val="SingleTxt"/>
        <w:spacing w:before="120"/>
      </w:pPr>
      <w:r>
        <w:rPr>
          <w:rFonts w:hint="eastAsia"/>
        </w:rPr>
        <w:t>51.</w:t>
      </w:r>
      <w:r>
        <w:rPr>
          <w:rFonts w:hint="eastAsia"/>
        </w:rPr>
        <w:tab/>
      </w:r>
      <w:r w:rsidRPr="00DD2CCA">
        <w:rPr>
          <w:rFonts w:ascii="黑体" w:eastAsia="黑体" w:hAnsi="黑体" w:hint="eastAsia"/>
        </w:rPr>
        <w:t>委员会请该缔约国确保以本国官方语言向各级(国家、地区和地方)有关国家机构，特别是向政府、各部委、议会和司法机构及时传播本结论性意见，以便这些意见得到充分落实。</w:t>
      </w:r>
    </w:p>
    <w:p w14:paraId="003F9AD6"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技术援助</w:t>
      </w:r>
    </w:p>
    <w:p w14:paraId="2323C2C2" w14:textId="77777777" w:rsidR="00033DDA" w:rsidRDefault="00033DDA" w:rsidP="00614F3F">
      <w:pPr>
        <w:pStyle w:val="SingleTxt"/>
        <w:spacing w:before="120"/>
      </w:pPr>
      <w:r>
        <w:rPr>
          <w:rFonts w:hint="eastAsia"/>
        </w:rPr>
        <w:t>52.</w:t>
      </w:r>
      <w:r>
        <w:rPr>
          <w:rFonts w:hint="eastAsia"/>
        </w:rPr>
        <w:tab/>
      </w:r>
      <w:r w:rsidRPr="00DD2CCA">
        <w:rPr>
          <w:rFonts w:ascii="黑体" w:eastAsia="黑体" w:hAnsi="黑体" w:hint="eastAsia"/>
        </w:rPr>
        <w:t>委员会建议该缔约国将《公约》的执行与自身发展努力联系起来，并在这方面利用区域或国际技术援助。</w:t>
      </w:r>
    </w:p>
    <w:p w14:paraId="2DF35D1A"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批准其他条约</w:t>
      </w:r>
    </w:p>
    <w:p w14:paraId="6C478163" w14:textId="604E0230" w:rsidR="00033DDA" w:rsidRDefault="00033DDA" w:rsidP="00614F3F">
      <w:pPr>
        <w:pStyle w:val="SingleTxt"/>
        <w:spacing w:before="120"/>
      </w:pPr>
      <w:r>
        <w:rPr>
          <w:rFonts w:hint="eastAsia"/>
        </w:rPr>
        <w:t>53.</w:t>
      </w:r>
      <w:r>
        <w:rPr>
          <w:rFonts w:hint="eastAsia"/>
        </w:rPr>
        <w:tab/>
      </w:r>
      <w:r w:rsidRPr="00DD2CCA">
        <w:rPr>
          <w:rFonts w:ascii="黑体" w:eastAsia="黑体" w:hAnsi="黑体" w:hint="eastAsia"/>
        </w:rPr>
        <w:t>委员会注意到，该缔约国如能加入九项主要国际人权文书，</w:t>
      </w:r>
      <w:r w:rsidR="00D52EFE" w:rsidRPr="00DD2CCA">
        <w:rPr>
          <w:rFonts w:ascii="黑体" w:eastAsia="黑体" w:hAnsi="黑体"/>
        </w:rPr>
        <w:footnoteReference w:id="1"/>
      </w:r>
      <w:r w:rsidR="00D52EFE" w:rsidRPr="00DD2CCA">
        <w:rPr>
          <w:rFonts w:ascii="黑体" w:eastAsia="黑体" w:hAnsi="黑体" w:hint="eastAsia"/>
        </w:rPr>
        <w:t xml:space="preserve"> </w:t>
      </w:r>
      <w:r w:rsidRPr="00DD2CCA">
        <w:rPr>
          <w:rFonts w:ascii="黑体" w:eastAsia="黑体" w:hAnsi="黑体" w:hint="eastAsia"/>
        </w:rPr>
        <w:t>必将有助于促进本国妇女在生活的各个方面享受人权和基本自由。因此，委员会鼓励该缔约国批准其尚未批准加入的《保护所有移徙工人及其家庭成员权利国际公约》和《保护所有人免遭强迫失踪国际公约》。</w:t>
      </w:r>
    </w:p>
    <w:p w14:paraId="0E3BB618"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落实结论性意见的后续行动</w:t>
      </w:r>
    </w:p>
    <w:p w14:paraId="23C56567" w14:textId="16D046F9" w:rsidR="00033DDA" w:rsidRDefault="00033DDA" w:rsidP="00614F3F">
      <w:pPr>
        <w:pStyle w:val="SingleTxt"/>
        <w:spacing w:before="120"/>
      </w:pPr>
      <w:r>
        <w:rPr>
          <w:rFonts w:hint="eastAsia"/>
        </w:rPr>
        <w:t>54.</w:t>
      </w:r>
      <w:r>
        <w:rPr>
          <w:rFonts w:hint="eastAsia"/>
        </w:rPr>
        <w:tab/>
      </w:r>
      <w:r w:rsidRPr="00DD2CCA">
        <w:rPr>
          <w:rFonts w:ascii="黑体" w:eastAsia="黑体" w:hAnsi="黑体" w:hint="eastAsia"/>
        </w:rPr>
        <w:t>委员会请该缔约国在两年内提交书面资料，说明为落实上文第12(a)、16(d)、24(b)和26(b)段所载建议而采取的措施。</w:t>
      </w:r>
    </w:p>
    <w:p w14:paraId="66CFDA1C" w14:textId="77777777" w:rsidR="00033DDA" w:rsidRPr="00614F3F" w:rsidRDefault="00033DDA" w:rsidP="00614F3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614F3F">
        <w:rPr>
          <w:rFonts w:hint="eastAsia"/>
        </w:rPr>
        <w:tab/>
      </w:r>
      <w:r w:rsidRPr="00614F3F">
        <w:rPr>
          <w:rFonts w:hint="eastAsia"/>
        </w:rPr>
        <w:tab/>
      </w:r>
      <w:r w:rsidRPr="00614F3F">
        <w:rPr>
          <w:rFonts w:hint="eastAsia"/>
        </w:rPr>
        <w:t>下一次报告的编写</w:t>
      </w:r>
    </w:p>
    <w:p w14:paraId="4EEF5F21" w14:textId="77777777" w:rsidR="00033DDA" w:rsidRDefault="00033DDA" w:rsidP="00614F3F">
      <w:pPr>
        <w:pStyle w:val="SingleTxt"/>
        <w:spacing w:before="120"/>
      </w:pPr>
      <w:r>
        <w:rPr>
          <w:rFonts w:hint="eastAsia"/>
        </w:rPr>
        <w:t>55.</w:t>
      </w:r>
      <w:r>
        <w:rPr>
          <w:rFonts w:hint="eastAsia"/>
        </w:rPr>
        <w:tab/>
      </w:r>
      <w:r w:rsidRPr="00DD2CCA">
        <w:rPr>
          <w:rFonts w:ascii="黑体" w:eastAsia="黑体" w:hAnsi="黑体" w:hint="eastAsia"/>
        </w:rPr>
        <w:t>委员会请该缔约国于2022年11月提交其第七次定期报告。该报告应按时提交，并涵盖截至提交之时的整个期间。</w:t>
      </w:r>
    </w:p>
    <w:p w14:paraId="37B37E2C" w14:textId="3679F07E" w:rsidR="00B323B9" w:rsidRDefault="00033DDA" w:rsidP="00033DDA">
      <w:pPr>
        <w:pStyle w:val="SingleTxt"/>
      </w:pPr>
      <w:r>
        <w:rPr>
          <w:rFonts w:hint="eastAsia"/>
        </w:rPr>
        <w:t>56.</w:t>
      </w:r>
      <w:r>
        <w:rPr>
          <w:rFonts w:hint="eastAsia"/>
        </w:rPr>
        <w:tab/>
      </w:r>
      <w:r w:rsidRPr="00DD2CCA">
        <w:rPr>
          <w:rFonts w:ascii="黑体" w:eastAsia="黑体" w:hAnsi="黑体" w:hint="eastAsia"/>
        </w:rPr>
        <w:t>委员会请该缔约国遵循“包括共同核心文件和条约专要文件准则在内的根据国际人权条约提交报告的协调准则”(</w:t>
      </w:r>
      <w:hyperlink r:id="rId33" w:history="1">
        <w:r w:rsidRPr="005F72D3">
          <w:rPr>
            <w:rStyle w:val="ad"/>
            <w:rFonts w:ascii="黑体" w:eastAsia="黑体" w:hAnsi="黑体" w:hint="eastAsia"/>
          </w:rPr>
          <w:t>HRI/GEN/2/Rev.6</w:t>
        </w:r>
      </w:hyperlink>
      <w:r w:rsidRPr="00DD2CCA">
        <w:rPr>
          <w:rFonts w:ascii="黑体" w:eastAsia="黑体" w:hAnsi="黑体" w:hint="eastAsia"/>
        </w:rPr>
        <w:t>，第一章)。</w:t>
      </w:r>
    </w:p>
    <w:p w14:paraId="127E334A" w14:textId="60F54ACF" w:rsidR="00B323B9" w:rsidRPr="00033DDA" w:rsidRDefault="00033DDA" w:rsidP="00033DDA">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3D43C0AA" wp14:editId="79B636EB">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A75A4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14:paraId="39863BF0" w14:textId="77777777" w:rsidR="00B323B9" w:rsidRPr="00CC2DD8" w:rsidRDefault="00B323B9" w:rsidP="00CC2DD8">
      <w:pPr>
        <w:pStyle w:val="SingleTxt"/>
      </w:pPr>
    </w:p>
    <w:sectPr w:rsidR="00B323B9" w:rsidRPr="00CC2DD8" w:rsidSect="001C089A">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1T09:20:00Z" w:initials="Start">
    <w:p w14:paraId="59970570" w14:textId="77777777" w:rsidR="00CC2DD8" w:rsidRDefault="00CC2DD8">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NO&gt;&gt;N1837900C&lt;&lt;ODS JOB NO&gt;&gt;</w:t>
      </w:r>
    </w:p>
    <w:p w14:paraId="11B890D4" w14:textId="77777777" w:rsidR="00CC2DD8" w:rsidRDefault="00CC2DD8">
      <w:pPr>
        <w:pStyle w:val="a7"/>
      </w:pPr>
      <w:r>
        <w:t>&lt;&lt;ODS DOC SYMBOL1&gt;&gt;CEDAW/C/BHS/CO/6&lt;&lt;ODS DOC SYMBOL1&gt;&gt;</w:t>
      </w:r>
    </w:p>
    <w:p w14:paraId="7098C125" w14:textId="77777777" w:rsidR="00CC2DD8" w:rsidRDefault="00CC2DD8">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98C12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96D6A" w14:textId="77777777" w:rsidR="00C41791" w:rsidRDefault="00C41791">
      <w:r>
        <w:separator/>
      </w:r>
    </w:p>
  </w:endnote>
  <w:endnote w:type="continuationSeparator" w:id="0">
    <w:p w14:paraId="4989337B" w14:textId="77777777" w:rsidR="00C41791" w:rsidRDefault="00C41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2DD8" w14:paraId="37DA879A" w14:textId="77777777" w:rsidTr="00CC2DD8">
      <w:tc>
        <w:tcPr>
          <w:tcW w:w="4920" w:type="dxa"/>
          <w:shd w:val="clear" w:color="auto" w:fill="auto"/>
        </w:tcPr>
        <w:p w14:paraId="523073BE" w14:textId="3156E298" w:rsidR="00CC2DD8" w:rsidRPr="00CC2DD8" w:rsidRDefault="00CC2DD8" w:rsidP="00CC2DD8">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02BC">
            <w:rPr>
              <w:b w:val="0"/>
              <w:w w:val="103"/>
              <w:sz w:val="14"/>
            </w:rPr>
            <w:t>18-19355</w:t>
          </w:r>
          <w:r>
            <w:rPr>
              <w:b w:val="0"/>
              <w:w w:val="103"/>
              <w:sz w:val="14"/>
            </w:rPr>
            <w:fldChar w:fldCharType="end"/>
          </w:r>
        </w:p>
      </w:tc>
      <w:tc>
        <w:tcPr>
          <w:tcW w:w="4920" w:type="dxa"/>
          <w:shd w:val="clear" w:color="auto" w:fill="auto"/>
        </w:tcPr>
        <w:p w14:paraId="27D52ADF" w14:textId="77777777" w:rsidR="00CC2DD8" w:rsidRPr="00CC2DD8" w:rsidRDefault="00CC2DD8" w:rsidP="00CC2DD8">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90E993" w14:textId="77777777" w:rsidR="00CC2DD8" w:rsidRPr="00CC2DD8" w:rsidRDefault="00CC2DD8" w:rsidP="00CC2DD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2DD8" w14:paraId="63DD81E3" w14:textId="77777777" w:rsidTr="00CC2DD8">
      <w:tc>
        <w:tcPr>
          <w:tcW w:w="4920" w:type="dxa"/>
          <w:shd w:val="clear" w:color="auto" w:fill="auto"/>
        </w:tcPr>
        <w:p w14:paraId="25754FE3" w14:textId="77777777" w:rsidR="00CC2DD8" w:rsidRPr="00CC2DD8" w:rsidRDefault="00CC2DD8" w:rsidP="00CC2DD8">
          <w:pPr>
            <w:pStyle w:val="ac"/>
            <w:jc w:val="right"/>
          </w:pPr>
          <w:r>
            <w:fldChar w:fldCharType="begin"/>
          </w:r>
          <w:r>
            <w:instrText xml:space="preserve"> PAGE  \* Arabic  \* MERGEFORMAT </w:instrText>
          </w:r>
          <w:r>
            <w:fldChar w:fldCharType="separate"/>
          </w:r>
          <w:r>
            <w:t>2</w:t>
          </w:r>
          <w:r>
            <w:fldChar w:fldCharType="end"/>
          </w:r>
          <w:r>
            <w:t>/</w:t>
          </w:r>
          <w:r w:rsidR="00EE68A5">
            <w:fldChar w:fldCharType="begin"/>
          </w:r>
          <w:r w:rsidR="00EE68A5">
            <w:instrText xml:space="preserve"> NUMPAGES  \* Arabic  \* MERGEFORMAT </w:instrText>
          </w:r>
          <w:r w:rsidR="00EE68A5">
            <w:fldChar w:fldCharType="separate"/>
          </w:r>
          <w:r>
            <w:t>3</w:t>
          </w:r>
          <w:r w:rsidR="00EE68A5">
            <w:fldChar w:fldCharType="end"/>
          </w:r>
        </w:p>
      </w:tc>
      <w:tc>
        <w:tcPr>
          <w:tcW w:w="4920" w:type="dxa"/>
          <w:shd w:val="clear" w:color="auto" w:fill="auto"/>
        </w:tcPr>
        <w:p w14:paraId="2086865E" w14:textId="3ED018F4" w:rsidR="00CC2DD8" w:rsidRPr="00CC2DD8" w:rsidRDefault="00CC2DD8" w:rsidP="00CC2DD8">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02BC">
            <w:rPr>
              <w:b w:val="0"/>
              <w:w w:val="103"/>
              <w:sz w:val="14"/>
            </w:rPr>
            <w:t>18-19355</w:t>
          </w:r>
          <w:r>
            <w:rPr>
              <w:b w:val="0"/>
              <w:w w:val="103"/>
              <w:sz w:val="14"/>
            </w:rPr>
            <w:fldChar w:fldCharType="end"/>
          </w:r>
        </w:p>
      </w:tc>
    </w:tr>
  </w:tbl>
  <w:p w14:paraId="43CCD514" w14:textId="77777777" w:rsidR="00CC2DD8" w:rsidRPr="00CC2DD8" w:rsidRDefault="00CC2DD8" w:rsidP="00CC2DD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CC2DD8" w14:paraId="37CDA9E4" w14:textId="77777777" w:rsidTr="00CC2DD8">
      <w:tc>
        <w:tcPr>
          <w:tcW w:w="3744" w:type="dxa"/>
        </w:tcPr>
        <w:p w14:paraId="07E39BD3" w14:textId="5B25BE62" w:rsidR="001C089A" w:rsidRPr="001C089A" w:rsidRDefault="001C089A" w:rsidP="001C089A">
          <w:pPr>
            <w:pStyle w:val="Release"/>
          </w:pPr>
          <w:r w:rsidRPr="001C089A">
            <w:t>18-19355 X (C)    111218    121218</w:t>
          </w:r>
          <w:r w:rsidR="00CC2DD8">
            <w:rPr>
              <w:noProof/>
            </w:rPr>
            <w:drawing>
              <wp:anchor distT="0" distB="0" distL="114300" distR="114300" simplePos="0" relativeHeight="251658240" behindDoc="0" locked="0" layoutInCell="1" allowOverlap="1" wp14:anchorId="2357ACCE" wp14:editId="758D21A4">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BHS/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7D585A19" w14:textId="77777777" w:rsidR="00CC2DD8" w:rsidRPr="00CC2DD8" w:rsidRDefault="00CC2DD8" w:rsidP="00CC2DD8">
          <w:pPr>
            <w:spacing w:before="80" w:line="210" w:lineRule="exact"/>
            <w:rPr>
              <w:rFonts w:ascii="Barcode 3 of 9 by request" w:hAnsi="Barcode 3 of 9 by request"/>
              <w:sz w:val="24"/>
            </w:rPr>
          </w:pPr>
          <w:r>
            <w:rPr>
              <w:rFonts w:ascii="Barcode 3 of 9 by request" w:hAnsi="Barcode 3 of 9 by request"/>
              <w:b/>
              <w:sz w:val="24"/>
            </w:rPr>
            <w:t>*1819355*</w:t>
          </w:r>
        </w:p>
      </w:tc>
      <w:tc>
        <w:tcPr>
          <w:tcW w:w="4920" w:type="dxa"/>
        </w:tcPr>
        <w:p w14:paraId="4185745B" w14:textId="77777777" w:rsidR="00CC2DD8" w:rsidRDefault="00CC2DD8" w:rsidP="00CC2DD8">
          <w:pPr>
            <w:pStyle w:val="ac"/>
            <w:jc w:val="right"/>
            <w:rPr>
              <w:b w:val="0"/>
              <w:sz w:val="21"/>
            </w:rPr>
          </w:pPr>
          <w:r>
            <w:rPr>
              <w:b w:val="0"/>
              <w:sz w:val="21"/>
            </w:rPr>
            <w:drawing>
              <wp:inline distT="0" distB="0" distL="0" distR="0" wp14:anchorId="4250835E" wp14:editId="25CC917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7FB59B5" w14:textId="77777777" w:rsidR="00CC2DD8" w:rsidRPr="00CC2DD8" w:rsidRDefault="00CC2DD8" w:rsidP="00CC2DD8">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C7484" w14:textId="4A0FE6A4" w:rsidR="00C41791" w:rsidRPr="00D52EFE" w:rsidRDefault="00D52EFE" w:rsidP="00D52EFE">
      <w:pPr>
        <w:pStyle w:val="ac"/>
        <w:spacing w:after="80"/>
        <w:ind w:left="792"/>
        <w:rPr>
          <w:sz w:val="16"/>
        </w:rPr>
      </w:pPr>
      <w:r w:rsidRPr="00D52EFE">
        <w:rPr>
          <w:sz w:val="16"/>
        </w:rPr>
        <w:t>__________________</w:t>
      </w:r>
    </w:p>
  </w:footnote>
  <w:footnote w:type="continuationSeparator" w:id="0">
    <w:p w14:paraId="1AE83D68" w14:textId="050A3414" w:rsidR="00C41791" w:rsidRPr="00D52EFE" w:rsidRDefault="00D52EFE" w:rsidP="00D52EFE">
      <w:pPr>
        <w:pStyle w:val="ac"/>
        <w:spacing w:after="80"/>
        <w:ind w:left="792"/>
        <w:rPr>
          <w:sz w:val="16"/>
        </w:rPr>
      </w:pPr>
      <w:r w:rsidRPr="00D52EFE">
        <w:rPr>
          <w:sz w:val="16"/>
        </w:rPr>
        <w:t>__________________</w:t>
      </w:r>
    </w:p>
  </w:footnote>
  <w:footnote w:id="1">
    <w:p w14:paraId="2BB6D6F6" w14:textId="7751D924" w:rsidR="00D52EFE" w:rsidRDefault="00D52EFE" w:rsidP="00D52EF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D52EFE">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C2DD8" w14:paraId="7052792D" w14:textId="77777777" w:rsidTr="00CC2DD8">
      <w:trPr>
        <w:trHeight w:hRule="exact" w:val="864"/>
      </w:trPr>
      <w:tc>
        <w:tcPr>
          <w:tcW w:w="4925" w:type="dxa"/>
          <w:shd w:val="clear" w:color="auto" w:fill="auto"/>
          <w:vAlign w:val="bottom"/>
        </w:tcPr>
        <w:p w14:paraId="2CC7EDC9" w14:textId="4EF4B690" w:rsidR="00CC2DD8" w:rsidRPr="00CC2DD8" w:rsidRDefault="00CC2DD8" w:rsidP="00CC2DD8">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502BC">
            <w:rPr>
              <w:b/>
              <w:sz w:val="17"/>
            </w:rPr>
            <w:t>CEDAW/C/BHS/CO/6</w:t>
          </w:r>
          <w:r>
            <w:rPr>
              <w:b/>
              <w:sz w:val="17"/>
            </w:rPr>
            <w:fldChar w:fldCharType="end"/>
          </w:r>
        </w:p>
      </w:tc>
      <w:tc>
        <w:tcPr>
          <w:tcW w:w="4920" w:type="dxa"/>
          <w:shd w:val="clear" w:color="auto" w:fill="auto"/>
          <w:vAlign w:val="bottom"/>
        </w:tcPr>
        <w:p w14:paraId="0CFA105D" w14:textId="77777777" w:rsidR="00CC2DD8" w:rsidRDefault="00CC2DD8" w:rsidP="00CC2DD8">
          <w:pPr>
            <w:pStyle w:val="ab"/>
          </w:pPr>
        </w:p>
      </w:tc>
    </w:tr>
  </w:tbl>
  <w:p w14:paraId="26FFB8CC" w14:textId="77777777" w:rsidR="00CC2DD8" w:rsidRPr="00CC2DD8" w:rsidRDefault="00CC2DD8" w:rsidP="00CC2DD8">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C2DD8" w14:paraId="1BBAD3D9" w14:textId="77777777" w:rsidTr="00CC2DD8">
      <w:trPr>
        <w:trHeight w:hRule="exact" w:val="864"/>
      </w:trPr>
      <w:tc>
        <w:tcPr>
          <w:tcW w:w="4925" w:type="dxa"/>
          <w:shd w:val="clear" w:color="auto" w:fill="auto"/>
          <w:vAlign w:val="bottom"/>
        </w:tcPr>
        <w:p w14:paraId="1A9E73CD" w14:textId="77777777" w:rsidR="00CC2DD8" w:rsidRDefault="00CC2DD8" w:rsidP="00CC2DD8">
          <w:pPr>
            <w:pStyle w:val="ab"/>
          </w:pPr>
        </w:p>
      </w:tc>
      <w:tc>
        <w:tcPr>
          <w:tcW w:w="4920" w:type="dxa"/>
          <w:shd w:val="clear" w:color="auto" w:fill="auto"/>
          <w:vAlign w:val="bottom"/>
        </w:tcPr>
        <w:p w14:paraId="4BCD3D70" w14:textId="0589246C" w:rsidR="00CC2DD8" w:rsidRPr="00CC2DD8" w:rsidRDefault="00CC2DD8" w:rsidP="00CC2DD8">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502BC">
            <w:rPr>
              <w:b/>
              <w:sz w:val="17"/>
            </w:rPr>
            <w:t>CEDAW/C/BHS/CO/6</w:t>
          </w:r>
          <w:r>
            <w:rPr>
              <w:b/>
              <w:sz w:val="17"/>
            </w:rPr>
            <w:fldChar w:fldCharType="end"/>
          </w:r>
        </w:p>
      </w:tc>
    </w:tr>
  </w:tbl>
  <w:p w14:paraId="695DDD5C" w14:textId="77777777" w:rsidR="00CC2DD8" w:rsidRPr="00CC2DD8" w:rsidRDefault="00CC2DD8" w:rsidP="00CC2DD8">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C2DD8" w14:paraId="7E68E7FE" w14:textId="77777777" w:rsidTr="00CC2DD8">
      <w:trPr>
        <w:trHeight w:hRule="exact" w:val="864"/>
      </w:trPr>
      <w:tc>
        <w:tcPr>
          <w:tcW w:w="1267" w:type="dxa"/>
          <w:tcBorders>
            <w:bottom w:val="single" w:sz="4" w:space="0" w:color="auto"/>
          </w:tcBorders>
          <w:shd w:val="clear" w:color="auto" w:fill="auto"/>
          <w:vAlign w:val="bottom"/>
        </w:tcPr>
        <w:p w14:paraId="2BAC7D81" w14:textId="77777777" w:rsidR="00CC2DD8" w:rsidRDefault="00CC2DD8" w:rsidP="00CC2DD8">
          <w:pPr>
            <w:pStyle w:val="ab"/>
            <w:spacing w:after="120"/>
          </w:pPr>
        </w:p>
      </w:tc>
      <w:tc>
        <w:tcPr>
          <w:tcW w:w="1872" w:type="dxa"/>
          <w:tcBorders>
            <w:bottom w:val="single" w:sz="4" w:space="0" w:color="auto"/>
          </w:tcBorders>
          <w:shd w:val="clear" w:color="auto" w:fill="auto"/>
          <w:vAlign w:val="bottom"/>
        </w:tcPr>
        <w:p w14:paraId="135799E1" w14:textId="77777777" w:rsidR="00CC2DD8" w:rsidRPr="00CC2DD8" w:rsidRDefault="00CC2DD8" w:rsidP="00CC2DD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2B70250" w14:textId="77777777" w:rsidR="00CC2DD8" w:rsidRDefault="00CC2DD8" w:rsidP="00CC2DD8">
          <w:pPr>
            <w:pStyle w:val="ab"/>
            <w:spacing w:after="120"/>
          </w:pPr>
        </w:p>
      </w:tc>
      <w:tc>
        <w:tcPr>
          <w:tcW w:w="6437" w:type="dxa"/>
          <w:gridSpan w:val="3"/>
          <w:tcBorders>
            <w:bottom w:val="single" w:sz="4" w:space="0" w:color="auto"/>
          </w:tcBorders>
          <w:shd w:val="clear" w:color="auto" w:fill="auto"/>
          <w:vAlign w:val="bottom"/>
        </w:tcPr>
        <w:p w14:paraId="61E08C08" w14:textId="77777777" w:rsidR="00CC2DD8" w:rsidRPr="00CC2DD8" w:rsidRDefault="00CC2DD8" w:rsidP="00CC2DD8">
          <w:pPr>
            <w:spacing w:after="80" w:line="240" w:lineRule="auto"/>
            <w:jc w:val="right"/>
            <w:rPr>
              <w:position w:val="-4"/>
            </w:rPr>
          </w:pPr>
          <w:r>
            <w:rPr>
              <w:position w:val="-4"/>
              <w:sz w:val="40"/>
            </w:rPr>
            <w:t>CEDAW</w:t>
          </w:r>
          <w:r>
            <w:rPr>
              <w:position w:val="-4"/>
            </w:rPr>
            <w:t>/C/BHS/CO/6</w:t>
          </w:r>
        </w:p>
      </w:tc>
    </w:tr>
    <w:tr w:rsidR="00CC2DD8" w:rsidRPr="00CC2DD8" w14:paraId="68093C8D" w14:textId="77777777" w:rsidTr="00CC2DD8">
      <w:trPr>
        <w:trHeight w:hRule="exact" w:val="2880"/>
      </w:trPr>
      <w:tc>
        <w:tcPr>
          <w:tcW w:w="1267" w:type="dxa"/>
          <w:tcBorders>
            <w:top w:val="single" w:sz="4" w:space="0" w:color="auto"/>
            <w:bottom w:val="single" w:sz="12" w:space="0" w:color="auto"/>
          </w:tcBorders>
          <w:shd w:val="clear" w:color="auto" w:fill="auto"/>
        </w:tcPr>
        <w:p w14:paraId="1998FA5B" w14:textId="77777777" w:rsidR="00CC2DD8" w:rsidRPr="00CC2DD8" w:rsidRDefault="00CC2DD8" w:rsidP="00CC2DD8">
          <w:pPr>
            <w:pStyle w:val="ab"/>
            <w:spacing w:before="109"/>
            <w:ind w:left="-72"/>
          </w:pPr>
          <w:r>
            <w:t xml:space="preserve"> </w:t>
          </w:r>
          <w:r>
            <w:drawing>
              <wp:inline distT="0" distB="0" distL="0" distR="0" wp14:anchorId="12664EB9" wp14:editId="79E6B91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C92AEF" w14:textId="77777777" w:rsidR="00CC2DD8" w:rsidRPr="00CC2DD8" w:rsidRDefault="00CC2DD8" w:rsidP="00CC2DD8">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C80DD4D" w14:textId="77777777" w:rsidR="00CC2DD8" w:rsidRPr="00CC2DD8" w:rsidRDefault="00CC2DD8" w:rsidP="00CC2DD8">
          <w:pPr>
            <w:pStyle w:val="ab"/>
            <w:spacing w:before="109"/>
          </w:pPr>
        </w:p>
      </w:tc>
      <w:tc>
        <w:tcPr>
          <w:tcW w:w="3080" w:type="dxa"/>
          <w:tcBorders>
            <w:top w:val="single" w:sz="4" w:space="0" w:color="auto"/>
            <w:bottom w:val="single" w:sz="12" w:space="0" w:color="auto"/>
          </w:tcBorders>
          <w:shd w:val="clear" w:color="auto" w:fill="auto"/>
        </w:tcPr>
        <w:p w14:paraId="26B6C1F1" w14:textId="77777777" w:rsidR="00CC2DD8" w:rsidRDefault="00CC2DD8" w:rsidP="00CC2DD8">
          <w:pPr>
            <w:pStyle w:val="Distr"/>
          </w:pPr>
          <w:r>
            <w:t>Distr.: General</w:t>
          </w:r>
        </w:p>
        <w:p w14:paraId="4C3B14D7" w14:textId="77777777" w:rsidR="00CC2DD8" w:rsidRDefault="00CC2DD8" w:rsidP="00CC2DD8">
          <w:pPr>
            <w:pStyle w:val="Publication"/>
          </w:pPr>
          <w:r>
            <w:t>14 November 2018</w:t>
          </w:r>
        </w:p>
        <w:p w14:paraId="119B513A" w14:textId="77777777" w:rsidR="00CC2DD8" w:rsidRDefault="00CC2DD8" w:rsidP="00CC2DD8">
          <w:pPr>
            <w:spacing w:line="240" w:lineRule="exact"/>
          </w:pPr>
          <w:r>
            <w:t>Chinese</w:t>
          </w:r>
        </w:p>
        <w:p w14:paraId="0E87DEBD" w14:textId="77777777" w:rsidR="00CC2DD8" w:rsidRDefault="00CC2DD8" w:rsidP="00CC2DD8">
          <w:pPr>
            <w:pStyle w:val="Original"/>
          </w:pPr>
          <w:r>
            <w:t>Original: English</w:t>
          </w:r>
        </w:p>
        <w:p w14:paraId="0D78A2C6" w14:textId="77777777" w:rsidR="00CC2DD8" w:rsidRPr="00CC2DD8" w:rsidRDefault="00CC2DD8" w:rsidP="00CC2DD8"/>
      </w:tc>
    </w:tr>
  </w:tbl>
  <w:p w14:paraId="4564D705" w14:textId="77777777" w:rsidR="00CC2DD8" w:rsidRPr="00CC2DD8" w:rsidRDefault="00CC2DD8" w:rsidP="00CC2DD8">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5*"/>
    <w:docVar w:name="CreationDt" w:val="11/12/2018 09:19:55"/>
    <w:docVar w:name="DocCategory" w:val="Doc"/>
    <w:docVar w:name="DocType" w:val="Final"/>
    <w:docVar w:name="DutyStation" w:val="New York"/>
    <w:docVar w:name="FooterJN" w:val="18-19355"/>
    <w:docVar w:name="jobn" w:val="18-19355 (C)"/>
    <w:docVar w:name="jobnDT" w:val="18-19355 (C)   111218"/>
    <w:docVar w:name="jobnDTDT" w:val="18-19355 (C)   111218   111218"/>
    <w:docVar w:name="JobNo" w:val="1819355C"/>
    <w:docVar w:name="LocalDrive" w:val="0"/>
    <w:docVar w:name="OandT" w:val="ZAY"/>
    <w:docVar w:name="sss1" w:val="CEDAW/C/BHS/CO/6"/>
    <w:docVar w:name="sss2" w:val="-"/>
    <w:docVar w:name="Symbol1" w:val="CEDAW/C/BHS/CO/6"/>
    <w:docVar w:name="Symbol2" w:val="-"/>
  </w:docVars>
  <w:rsids>
    <w:rsidRoot w:val="00C41791"/>
    <w:rsid w:val="00000689"/>
    <w:rsid w:val="0000347C"/>
    <w:rsid w:val="00003DFD"/>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3DDA"/>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57BE"/>
    <w:rsid w:val="0006608A"/>
    <w:rsid w:val="00066B28"/>
    <w:rsid w:val="00067AEB"/>
    <w:rsid w:val="00070270"/>
    <w:rsid w:val="00070DD0"/>
    <w:rsid w:val="00071193"/>
    <w:rsid w:val="00071F3F"/>
    <w:rsid w:val="0007337D"/>
    <w:rsid w:val="00074771"/>
    <w:rsid w:val="000758DF"/>
    <w:rsid w:val="00076A0C"/>
    <w:rsid w:val="00076EB8"/>
    <w:rsid w:val="000777FC"/>
    <w:rsid w:val="00077AEE"/>
    <w:rsid w:val="00080E97"/>
    <w:rsid w:val="00081CA0"/>
    <w:rsid w:val="000824AD"/>
    <w:rsid w:val="00082CCB"/>
    <w:rsid w:val="00083CAB"/>
    <w:rsid w:val="00084D46"/>
    <w:rsid w:val="000857FE"/>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D6CA7"/>
    <w:rsid w:val="000E240F"/>
    <w:rsid w:val="000E49A4"/>
    <w:rsid w:val="000E4FFB"/>
    <w:rsid w:val="000E536A"/>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1B9"/>
    <w:rsid w:val="00152678"/>
    <w:rsid w:val="00153300"/>
    <w:rsid w:val="00153D29"/>
    <w:rsid w:val="0015414C"/>
    <w:rsid w:val="0015430B"/>
    <w:rsid w:val="0015731C"/>
    <w:rsid w:val="001602C9"/>
    <w:rsid w:val="00161E69"/>
    <w:rsid w:val="00161F54"/>
    <w:rsid w:val="001638D9"/>
    <w:rsid w:val="00164626"/>
    <w:rsid w:val="001704A3"/>
    <w:rsid w:val="00170FBE"/>
    <w:rsid w:val="001720CC"/>
    <w:rsid w:val="00173F4B"/>
    <w:rsid w:val="00174233"/>
    <w:rsid w:val="001746A8"/>
    <w:rsid w:val="0017506F"/>
    <w:rsid w:val="001845DB"/>
    <w:rsid w:val="001873A2"/>
    <w:rsid w:val="001944A4"/>
    <w:rsid w:val="001A35AC"/>
    <w:rsid w:val="001A4A37"/>
    <w:rsid w:val="001B0DFD"/>
    <w:rsid w:val="001B2814"/>
    <w:rsid w:val="001B4F95"/>
    <w:rsid w:val="001B79D0"/>
    <w:rsid w:val="001C089A"/>
    <w:rsid w:val="001C1478"/>
    <w:rsid w:val="001C161F"/>
    <w:rsid w:val="001C1E0E"/>
    <w:rsid w:val="001C3329"/>
    <w:rsid w:val="001C3F7F"/>
    <w:rsid w:val="001C4221"/>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169B3"/>
    <w:rsid w:val="002200D0"/>
    <w:rsid w:val="00221884"/>
    <w:rsid w:val="00223D01"/>
    <w:rsid w:val="002253E5"/>
    <w:rsid w:val="00225709"/>
    <w:rsid w:val="0022603B"/>
    <w:rsid w:val="00230FAB"/>
    <w:rsid w:val="00231575"/>
    <w:rsid w:val="00232F4A"/>
    <w:rsid w:val="0023481A"/>
    <w:rsid w:val="00236C28"/>
    <w:rsid w:val="00241DB7"/>
    <w:rsid w:val="002423D2"/>
    <w:rsid w:val="00245212"/>
    <w:rsid w:val="00247382"/>
    <w:rsid w:val="00251744"/>
    <w:rsid w:val="00251C9A"/>
    <w:rsid w:val="00252E35"/>
    <w:rsid w:val="00254065"/>
    <w:rsid w:val="00254858"/>
    <w:rsid w:val="00254B46"/>
    <w:rsid w:val="00255FC4"/>
    <w:rsid w:val="00257053"/>
    <w:rsid w:val="00260C62"/>
    <w:rsid w:val="00263791"/>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949C5"/>
    <w:rsid w:val="002A4AEF"/>
    <w:rsid w:val="002A5E53"/>
    <w:rsid w:val="002A694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643"/>
    <w:rsid w:val="00301C97"/>
    <w:rsid w:val="003063F6"/>
    <w:rsid w:val="00313030"/>
    <w:rsid w:val="00320C99"/>
    <w:rsid w:val="003274A9"/>
    <w:rsid w:val="00327D8B"/>
    <w:rsid w:val="003305F1"/>
    <w:rsid w:val="00331221"/>
    <w:rsid w:val="003349FB"/>
    <w:rsid w:val="00335BEB"/>
    <w:rsid w:val="003379D1"/>
    <w:rsid w:val="00346223"/>
    <w:rsid w:val="00346C74"/>
    <w:rsid w:val="00350AE6"/>
    <w:rsid w:val="00355510"/>
    <w:rsid w:val="00357AB4"/>
    <w:rsid w:val="0036117F"/>
    <w:rsid w:val="00363610"/>
    <w:rsid w:val="003649EE"/>
    <w:rsid w:val="003662FF"/>
    <w:rsid w:val="00371BC6"/>
    <w:rsid w:val="00372D63"/>
    <w:rsid w:val="00373A15"/>
    <w:rsid w:val="00376C04"/>
    <w:rsid w:val="00381AB0"/>
    <w:rsid w:val="00382EF6"/>
    <w:rsid w:val="00382F93"/>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2C56"/>
    <w:rsid w:val="003D54AE"/>
    <w:rsid w:val="003D5B4D"/>
    <w:rsid w:val="003E4565"/>
    <w:rsid w:val="003E56A2"/>
    <w:rsid w:val="003E5999"/>
    <w:rsid w:val="003E748F"/>
    <w:rsid w:val="003E7612"/>
    <w:rsid w:val="003F0BF4"/>
    <w:rsid w:val="003F3725"/>
    <w:rsid w:val="003F4BD2"/>
    <w:rsid w:val="003F7BF8"/>
    <w:rsid w:val="004044EF"/>
    <w:rsid w:val="00405CAD"/>
    <w:rsid w:val="00405FA1"/>
    <w:rsid w:val="004119A3"/>
    <w:rsid w:val="00413FBC"/>
    <w:rsid w:val="00414423"/>
    <w:rsid w:val="0041733F"/>
    <w:rsid w:val="00420761"/>
    <w:rsid w:val="004320FA"/>
    <w:rsid w:val="0043377F"/>
    <w:rsid w:val="00433853"/>
    <w:rsid w:val="00440B0D"/>
    <w:rsid w:val="004411AD"/>
    <w:rsid w:val="004424EF"/>
    <w:rsid w:val="00443516"/>
    <w:rsid w:val="0045053B"/>
    <w:rsid w:val="00453BB0"/>
    <w:rsid w:val="004546F8"/>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092"/>
    <w:rsid w:val="004B2C67"/>
    <w:rsid w:val="004B2F18"/>
    <w:rsid w:val="004B3E16"/>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066A6"/>
    <w:rsid w:val="00512841"/>
    <w:rsid w:val="005143A1"/>
    <w:rsid w:val="00515657"/>
    <w:rsid w:val="00515859"/>
    <w:rsid w:val="0051592B"/>
    <w:rsid w:val="005162C0"/>
    <w:rsid w:val="00521144"/>
    <w:rsid w:val="00521275"/>
    <w:rsid w:val="0052216F"/>
    <w:rsid w:val="00523247"/>
    <w:rsid w:val="005232CA"/>
    <w:rsid w:val="00523636"/>
    <w:rsid w:val="00530247"/>
    <w:rsid w:val="00530CBB"/>
    <w:rsid w:val="0053111B"/>
    <w:rsid w:val="005335B9"/>
    <w:rsid w:val="00534871"/>
    <w:rsid w:val="00536CCE"/>
    <w:rsid w:val="00537F92"/>
    <w:rsid w:val="00542636"/>
    <w:rsid w:val="00545A99"/>
    <w:rsid w:val="00546CC5"/>
    <w:rsid w:val="00547EC6"/>
    <w:rsid w:val="00552CE5"/>
    <w:rsid w:val="005541E4"/>
    <w:rsid w:val="00554F60"/>
    <w:rsid w:val="005626FF"/>
    <w:rsid w:val="005628D9"/>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9647B"/>
    <w:rsid w:val="00596A1F"/>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1B6D"/>
    <w:rsid w:val="005E6A84"/>
    <w:rsid w:val="005E7CAC"/>
    <w:rsid w:val="005F12F0"/>
    <w:rsid w:val="005F1AAD"/>
    <w:rsid w:val="005F3273"/>
    <w:rsid w:val="005F34A3"/>
    <w:rsid w:val="005F3B2C"/>
    <w:rsid w:val="005F72D3"/>
    <w:rsid w:val="0060128A"/>
    <w:rsid w:val="00601DF9"/>
    <w:rsid w:val="00602C6C"/>
    <w:rsid w:val="006101D0"/>
    <w:rsid w:val="006107DE"/>
    <w:rsid w:val="00610CF2"/>
    <w:rsid w:val="00612F6E"/>
    <w:rsid w:val="00614F3F"/>
    <w:rsid w:val="00615A9C"/>
    <w:rsid w:val="00617802"/>
    <w:rsid w:val="006201CE"/>
    <w:rsid w:val="00632644"/>
    <w:rsid w:val="006328DE"/>
    <w:rsid w:val="006353DE"/>
    <w:rsid w:val="00635513"/>
    <w:rsid w:val="00640671"/>
    <w:rsid w:val="006422A5"/>
    <w:rsid w:val="006432CB"/>
    <w:rsid w:val="006457C9"/>
    <w:rsid w:val="00646B55"/>
    <w:rsid w:val="006479F1"/>
    <w:rsid w:val="00647A37"/>
    <w:rsid w:val="0065055D"/>
    <w:rsid w:val="00650BEE"/>
    <w:rsid w:val="00651B0B"/>
    <w:rsid w:val="006520FA"/>
    <w:rsid w:val="0065377D"/>
    <w:rsid w:val="0065477E"/>
    <w:rsid w:val="00661120"/>
    <w:rsid w:val="00664319"/>
    <w:rsid w:val="006652C2"/>
    <w:rsid w:val="00666F57"/>
    <w:rsid w:val="006740A7"/>
    <w:rsid w:val="00674F77"/>
    <w:rsid w:val="00675F64"/>
    <w:rsid w:val="006767D5"/>
    <w:rsid w:val="00691524"/>
    <w:rsid w:val="006926DF"/>
    <w:rsid w:val="006951BC"/>
    <w:rsid w:val="00696A42"/>
    <w:rsid w:val="00697E61"/>
    <w:rsid w:val="006A2730"/>
    <w:rsid w:val="006A4AAF"/>
    <w:rsid w:val="006A5CFB"/>
    <w:rsid w:val="006A654B"/>
    <w:rsid w:val="006B02CF"/>
    <w:rsid w:val="006B769C"/>
    <w:rsid w:val="006C2998"/>
    <w:rsid w:val="006C3DC0"/>
    <w:rsid w:val="006C4BB3"/>
    <w:rsid w:val="006C7138"/>
    <w:rsid w:val="006D3160"/>
    <w:rsid w:val="006D4068"/>
    <w:rsid w:val="006E0E32"/>
    <w:rsid w:val="006E2924"/>
    <w:rsid w:val="006E45BF"/>
    <w:rsid w:val="006E4E7C"/>
    <w:rsid w:val="006E7A26"/>
    <w:rsid w:val="006F04EF"/>
    <w:rsid w:val="006F1592"/>
    <w:rsid w:val="006F2B3D"/>
    <w:rsid w:val="006F4372"/>
    <w:rsid w:val="006F6408"/>
    <w:rsid w:val="006F6A4F"/>
    <w:rsid w:val="006F761A"/>
    <w:rsid w:val="006F7749"/>
    <w:rsid w:val="007016DF"/>
    <w:rsid w:val="007038D4"/>
    <w:rsid w:val="00704287"/>
    <w:rsid w:val="007052CC"/>
    <w:rsid w:val="007152D1"/>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26C"/>
    <w:rsid w:val="0076514A"/>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17FC9"/>
    <w:rsid w:val="008246FC"/>
    <w:rsid w:val="00824C19"/>
    <w:rsid w:val="00824E08"/>
    <w:rsid w:val="00826250"/>
    <w:rsid w:val="0083056F"/>
    <w:rsid w:val="008343E5"/>
    <w:rsid w:val="008378D1"/>
    <w:rsid w:val="008402E0"/>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3F68"/>
    <w:rsid w:val="00894F49"/>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02BC"/>
    <w:rsid w:val="0095295A"/>
    <w:rsid w:val="00955D86"/>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6FD"/>
    <w:rsid w:val="009C7B18"/>
    <w:rsid w:val="009D00AA"/>
    <w:rsid w:val="009D0B10"/>
    <w:rsid w:val="009D2AC2"/>
    <w:rsid w:val="009E1774"/>
    <w:rsid w:val="009E2668"/>
    <w:rsid w:val="009E40A3"/>
    <w:rsid w:val="009E5C8C"/>
    <w:rsid w:val="009F10B1"/>
    <w:rsid w:val="009F2F21"/>
    <w:rsid w:val="009F3D89"/>
    <w:rsid w:val="009F47E3"/>
    <w:rsid w:val="009F6938"/>
    <w:rsid w:val="00A02611"/>
    <w:rsid w:val="00A033E4"/>
    <w:rsid w:val="00A0537D"/>
    <w:rsid w:val="00A055AB"/>
    <w:rsid w:val="00A05AE9"/>
    <w:rsid w:val="00A065DA"/>
    <w:rsid w:val="00A069AD"/>
    <w:rsid w:val="00A07CEC"/>
    <w:rsid w:val="00A1297E"/>
    <w:rsid w:val="00A139E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47F8"/>
    <w:rsid w:val="00AB5BEE"/>
    <w:rsid w:val="00AB7625"/>
    <w:rsid w:val="00AC0C6C"/>
    <w:rsid w:val="00AC2EAA"/>
    <w:rsid w:val="00AC373F"/>
    <w:rsid w:val="00AC550F"/>
    <w:rsid w:val="00AD4308"/>
    <w:rsid w:val="00AD6611"/>
    <w:rsid w:val="00AE6719"/>
    <w:rsid w:val="00AE6C5D"/>
    <w:rsid w:val="00AE733F"/>
    <w:rsid w:val="00AF021F"/>
    <w:rsid w:val="00AF114B"/>
    <w:rsid w:val="00AF2A33"/>
    <w:rsid w:val="00AF2F27"/>
    <w:rsid w:val="00AF4C2D"/>
    <w:rsid w:val="00AF4FD7"/>
    <w:rsid w:val="00AF51A0"/>
    <w:rsid w:val="00B014C7"/>
    <w:rsid w:val="00B01FB8"/>
    <w:rsid w:val="00B0250B"/>
    <w:rsid w:val="00B02C51"/>
    <w:rsid w:val="00B03EFA"/>
    <w:rsid w:val="00B16036"/>
    <w:rsid w:val="00B16C8C"/>
    <w:rsid w:val="00B171E7"/>
    <w:rsid w:val="00B2046F"/>
    <w:rsid w:val="00B22C2F"/>
    <w:rsid w:val="00B24A9F"/>
    <w:rsid w:val="00B309DD"/>
    <w:rsid w:val="00B31E9D"/>
    <w:rsid w:val="00B323B9"/>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561"/>
    <w:rsid w:val="00B62FDC"/>
    <w:rsid w:val="00B64E8E"/>
    <w:rsid w:val="00B65E8B"/>
    <w:rsid w:val="00B6728D"/>
    <w:rsid w:val="00B677A0"/>
    <w:rsid w:val="00B67C6D"/>
    <w:rsid w:val="00B7141E"/>
    <w:rsid w:val="00B74093"/>
    <w:rsid w:val="00B75C92"/>
    <w:rsid w:val="00B8025A"/>
    <w:rsid w:val="00B827B1"/>
    <w:rsid w:val="00B84DAC"/>
    <w:rsid w:val="00B9116F"/>
    <w:rsid w:val="00B9408D"/>
    <w:rsid w:val="00B94698"/>
    <w:rsid w:val="00B95BF6"/>
    <w:rsid w:val="00B973E5"/>
    <w:rsid w:val="00BA026B"/>
    <w:rsid w:val="00BA228D"/>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2E52"/>
    <w:rsid w:val="00C131AA"/>
    <w:rsid w:val="00C1391A"/>
    <w:rsid w:val="00C14CE6"/>
    <w:rsid w:val="00C15218"/>
    <w:rsid w:val="00C21D51"/>
    <w:rsid w:val="00C22BB2"/>
    <w:rsid w:val="00C22F76"/>
    <w:rsid w:val="00C2725D"/>
    <w:rsid w:val="00C30684"/>
    <w:rsid w:val="00C31771"/>
    <w:rsid w:val="00C31E79"/>
    <w:rsid w:val="00C31EB4"/>
    <w:rsid w:val="00C35D84"/>
    <w:rsid w:val="00C403C9"/>
    <w:rsid w:val="00C41791"/>
    <w:rsid w:val="00C42033"/>
    <w:rsid w:val="00C44227"/>
    <w:rsid w:val="00C457A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862"/>
    <w:rsid w:val="00C966CD"/>
    <w:rsid w:val="00C97C0D"/>
    <w:rsid w:val="00CA0B47"/>
    <w:rsid w:val="00CA2BB0"/>
    <w:rsid w:val="00CA450F"/>
    <w:rsid w:val="00CA4894"/>
    <w:rsid w:val="00CA4BBC"/>
    <w:rsid w:val="00CA7E8C"/>
    <w:rsid w:val="00CB0CDE"/>
    <w:rsid w:val="00CB298A"/>
    <w:rsid w:val="00CB2ADB"/>
    <w:rsid w:val="00CB2B1E"/>
    <w:rsid w:val="00CB2E40"/>
    <w:rsid w:val="00CC053E"/>
    <w:rsid w:val="00CC05C5"/>
    <w:rsid w:val="00CC1E2C"/>
    <w:rsid w:val="00CC213B"/>
    <w:rsid w:val="00CC2DD8"/>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17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2EFE"/>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C7003"/>
    <w:rsid w:val="00DD2CCA"/>
    <w:rsid w:val="00DD3D6B"/>
    <w:rsid w:val="00DD4467"/>
    <w:rsid w:val="00DD5418"/>
    <w:rsid w:val="00DD61C8"/>
    <w:rsid w:val="00DD772B"/>
    <w:rsid w:val="00DE2022"/>
    <w:rsid w:val="00DE2A3B"/>
    <w:rsid w:val="00DE435D"/>
    <w:rsid w:val="00DE4F57"/>
    <w:rsid w:val="00DF0456"/>
    <w:rsid w:val="00DF0C67"/>
    <w:rsid w:val="00DF2A07"/>
    <w:rsid w:val="00DF3770"/>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544"/>
    <w:rsid w:val="00E816C7"/>
    <w:rsid w:val="00E82A4A"/>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6C0"/>
    <w:rsid w:val="00EE0913"/>
    <w:rsid w:val="00EE68A5"/>
    <w:rsid w:val="00EF23C4"/>
    <w:rsid w:val="00EF2DB0"/>
    <w:rsid w:val="00EF2DD4"/>
    <w:rsid w:val="00EF36AA"/>
    <w:rsid w:val="00EF5D84"/>
    <w:rsid w:val="00EF695D"/>
    <w:rsid w:val="00EF6CA2"/>
    <w:rsid w:val="00F01440"/>
    <w:rsid w:val="00F020E7"/>
    <w:rsid w:val="00F03676"/>
    <w:rsid w:val="00F04C64"/>
    <w:rsid w:val="00F057A4"/>
    <w:rsid w:val="00F11510"/>
    <w:rsid w:val="00F13305"/>
    <w:rsid w:val="00F13D73"/>
    <w:rsid w:val="00F1516C"/>
    <w:rsid w:val="00F170F1"/>
    <w:rsid w:val="00F26864"/>
    <w:rsid w:val="00F26F00"/>
    <w:rsid w:val="00F27C37"/>
    <w:rsid w:val="00F32339"/>
    <w:rsid w:val="00F3357B"/>
    <w:rsid w:val="00F3596A"/>
    <w:rsid w:val="00F36446"/>
    <w:rsid w:val="00F40463"/>
    <w:rsid w:val="00F41C56"/>
    <w:rsid w:val="00F44A01"/>
    <w:rsid w:val="00F50336"/>
    <w:rsid w:val="00F50D76"/>
    <w:rsid w:val="00F55E5B"/>
    <w:rsid w:val="00F569BC"/>
    <w:rsid w:val="00F6174D"/>
    <w:rsid w:val="00F62E3F"/>
    <w:rsid w:val="00F66D76"/>
    <w:rsid w:val="00F66E5C"/>
    <w:rsid w:val="00F67F90"/>
    <w:rsid w:val="00F708D7"/>
    <w:rsid w:val="00F7756E"/>
    <w:rsid w:val="00F77B3E"/>
    <w:rsid w:val="00F80132"/>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C6696"/>
    <w:rsid w:val="00FD4C0F"/>
    <w:rsid w:val="00FD594E"/>
    <w:rsid w:val="00FD75B9"/>
    <w:rsid w:val="00FE0315"/>
    <w:rsid w:val="00FE1E08"/>
    <w:rsid w:val="00FE31B8"/>
    <w:rsid w:val="00FE5FE8"/>
    <w:rsid w:val="00FE6AEC"/>
    <w:rsid w:val="00FF0C55"/>
    <w:rsid w:val="00FF2DB4"/>
    <w:rsid w:val="00FF3383"/>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F5D77A"/>
  <w15:chartTrackingRefBased/>
  <w15:docId w15:val="{DB9EB6BB-3318-4A51-84D5-32898C21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szCs w:val="21"/>
    </w:rPr>
  </w:style>
  <w:style w:type="paragraph" w:customStyle="1" w:styleId="H4">
    <w:name w:val="_ H_4"/>
    <w:basedOn w:val="a"/>
    <w:next w:val="SingleTxt"/>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5F72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BHS/CO/6" TargetMode="External"/><Relationship Id="rId26" Type="http://schemas.openxmlformats.org/officeDocument/2006/relationships/hyperlink" Target="https://undocs.org/ch/CEDAW/C/BHS/CO/1" TargetMode="External"/><Relationship Id="rId3" Type="http://schemas.openxmlformats.org/officeDocument/2006/relationships/styles" Target="styles.xml"/><Relationship Id="rId21" Type="http://schemas.openxmlformats.org/officeDocument/2006/relationships/hyperlink" Target="https://undocs.org/ch/CEDAW/C/BHS/CO/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36" TargetMode="External"/><Relationship Id="rId25" Type="http://schemas.openxmlformats.org/officeDocument/2006/relationships/hyperlink" Target="https://undocs.org/ch/CEDAW/C/BHS/CO/1" TargetMode="External"/><Relationship Id="rId33"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SR.1635" TargetMode="External"/><Relationship Id="rId20" Type="http://schemas.openxmlformats.org/officeDocument/2006/relationships/hyperlink" Target="https://undocs.org/ch/CEDAW/C/BHS/Q/6/Add.1" TargetMode="External"/><Relationship Id="rId29" Type="http://schemas.openxmlformats.org/officeDocument/2006/relationships/hyperlink" Target="https://undocs.org/ch/CEDAW/C/BHS/CO/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BHS/CO/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BHS/CO/5" TargetMode="External"/><Relationship Id="rId28" Type="http://schemas.openxmlformats.org/officeDocument/2006/relationships/hyperlink" Target="https://undocs.org/ch/CEDAW/C/BHS/CO/1" TargetMode="External"/><Relationship Id="rId10" Type="http://schemas.openxmlformats.org/officeDocument/2006/relationships/footer" Target="footer1.xml"/><Relationship Id="rId19" Type="http://schemas.openxmlformats.org/officeDocument/2006/relationships/hyperlink" Target="https://undocs.org/ch/CEDAW/C/BHS/Q/6" TargetMode="External"/><Relationship Id="rId31" Type="http://schemas.openxmlformats.org/officeDocument/2006/relationships/hyperlink" Target="https://undocs.org/ch/CEDAW/C/BHS/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BHS/CO/4" TargetMode="External"/><Relationship Id="rId27" Type="http://schemas.openxmlformats.org/officeDocument/2006/relationships/hyperlink" Target="https://undocs.org/ch/CEDAW/C/BHS/CO/1" TargetMode="External"/><Relationship Id="rId30" Type="http://schemas.openxmlformats.org/officeDocument/2006/relationships/hyperlink" Target="https://undocs.org/ch/CEDAW/C/BHS/CO/1"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FD5CA-30DC-4FFC-994B-2F68EB36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2122</Words>
  <Characters>12097</Characters>
  <Application>Microsoft Office Word</Application>
  <DocSecurity>0</DocSecurity>
  <Lines>100</Lines>
  <Paragraphs>28</Paragraphs>
  <ScaleCrop>false</ScaleCrop>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2</cp:revision>
  <cp:lastPrinted>2018-12-11T15:26:00Z</cp:lastPrinted>
  <dcterms:created xsi:type="dcterms:W3CDTF">2018-12-12T17:52:00Z</dcterms:created>
  <dcterms:modified xsi:type="dcterms:W3CDTF">2018-12-12T17:52:00Z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1819355</vt:lpwstr>
  </property>
  <property fmtid="{D5CDD505-2E9C-101B-9397-08002B2CF9AE}" pid="3" name="ODSRefJobNo">
    <vt:lpwstr>1837900C</vt:lpwstr>
  </property>
  <property fmtid="{D5CDD505-2E9C-101B-9397-08002B2CF9AE}" pid="4" name="Symbol1">
    <vt:lpwstr>CEDAW/C/BHS/CO/6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关于巴哈马第六次定期报告的结论性意见*  _x000d_</vt:lpwstr>
  </property>
</Properties>
</file>