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AB5EFE">
        <w:trPr>
          <w:trHeight w:hRule="exact" w:val="851"/>
        </w:trPr>
        <w:tc>
          <w:tcPr>
            <w:tcW w:w="1276" w:type="dxa"/>
            <w:tcBorders>
              <w:bottom w:val="single" w:sz="4" w:space="0" w:color="auto"/>
            </w:tcBorders>
          </w:tcPr>
          <w:p w:rsidR="002E0D40" w:rsidRPr="00DB58B5" w:rsidRDefault="002E0D40" w:rsidP="00AB5EFE"/>
        </w:tc>
        <w:tc>
          <w:tcPr>
            <w:tcW w:w="2268" w:type="dxa"/>
            <w:tcBorders>
              <w:bottom w:val="single" w:sz="4" w:space="0" w:color="auto"/>
            </w:tcBorders>
            <w:vAlign w:val="bottom"/>
          </w:tcPr>
          <w:p w:rsidR="002E0D40" w:rsidRPr="00DB58B5" w:rsidRDefault="002E0D40" w:rsidP="00AB5E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B5B4E" w:rsidP="004A117B">
            <w:pPr>
              <w:jc w:val="right"/>
            </w:pPr>
            <w:r w:rsidRPr="004B5B4E">
              <w:rPr>
                <w:sz w:val="40"/>
              </w:rPr>
              <w:t>CERD</w:t>
            </w:r>
            <w:r w:rsidR="004A117B">
              <w:t>/C/DZA</w:t>
            </w:r>
            <w:r>
              <w:t>/Q/</w:t>
            </w:r>
            <w:r w:rsidR="004A117B">
              <w:t>20-21</w:t>
            </w:r>
          </w:p>
        </w:tc>
      </w:tr>
      <w:tr w:rsidR="002E0D40" w:rsidRPr="00DB58B5" w:rsidTr="00AB5EFE">
        <w:trPr>
          <w:trHeight w:hRule="exact" w:val="2835"/>
        </w:trPr>
        <w:tc>
          <w:tcPr>
            <w:tcW w:w="1276" w:type="dxa"/>
            <w:tcBorders>
              <w:top w:val="single" w:sz="4" w:space="0" w:color="auto"/>
              <w:bottom w:val="single" w:sz="12" w:space="0" w:color="auto"/>
            </w:tcBorders>
          </w:tcPr>
          <w:p w:rsidR="002E0D40" w:rsidRPr="00DB58B5" w:rsidRDefault="000F654A" w:rsidP="00AB5EFE">
            <w:pPr>
              <w:spacing w:before="120"/>
              <w:jc w:val="center"/>
            </w:pPr>
            <w:r>
              <w:rPr>
                <w:noProof/>
                <w:lang w:eastAsia="fr-CH"/>
              </w:rPr>
              <w:drawing>
                <wp:inline distT="0" distB="0" distL="0" distR="0" wp14:anchorId="6E412E78" wp14:editId="55A0A40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E0D40" w:rsidRPr="00740562" w:rsidRDefault="002E0D40" w:rsidP="00AB5EF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4B5B4E" w:rsidP="004B5B4E">
            <w:pPr>
              <w:spacing w:before="240" w:line="240" w:lineRule="exact"/>
            </w:pPr>
            <w:r>
              <w:t>Distr. générale</w:t>
            </w:r>
          </w:p>
          <w:p w:rsidR="004B5B4E" w:rsidRDefault="00745DBE" w:rsidP="004B5B4E">
            <w:pPr>
              <w:spacing w:line="240" w:lineRule="exact"/>
            </w:pPr>
            <w:r>
              <w:t>6</w:t>
            </w:r>
            <w:r w:rsidR="00B92CC7" w:rsidRPr="0064464F">
              <w:t xml:space="preserve"> octobre</w:t>
            </w:r>
            <w:r w:rsidR="004B5B4E">
              <w:t xml:space="preserve"> 2017</w:t>
            </w:r>
          </w:p>
          <w:p w:rsidR="004B5B4E" w:rsidRDefault="004B5B4E" w:rsidP="004B5B4E">
            <w:pPr>
              <w:spacing w:line="240" w:lineRule="exact"/>
            </w:pPr>
          </w:p>
          <w:p w:rsidR="004B5B4E" w:rsidRDefault="004B5B4E" w:rsidP="004B5B4E">
            <w:pPr>
              <w:spacing w:line="240" w:lineRule="exact"/>
            </w:pPr>
            <w:r>
              <w:t>Original : français</w:t>
            </w:r>
          </w:p>
          <w:p w:rsidR="004A117B" w:rsidRPr="00DB58B5" w:rsidRDefault="004A117B" w:rsidP="00C64E5F">
            <w:pPr>
              <w:spacing w:line="240" w:lineRule="exact"/>
            </w:pPr>
            <w:r>
              <w:t xml:space="preserve">Anglais, </w:t>
            </w:r>
            <w:r w:rsidR="00C64E5F">
              <w:t xml:space="preserve">espagnol et </w:t>
            </w:r>
            <w:r>
              <w:t xml:space="preserve">français </w:t>
            </w:r>
            <w:r w:rsidR="00A77D1A">
              <w:t>seulement</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0039E2" w:rsidRPr="0064464F" w:rsidRDefault="004A117B" w:rsidP="000039E2">
      <w:pPr>
        <w:rPr>
          <w:b/>
          <w:lang w:val="fr-FR"/>
        </w:rPr>
      </w:pPr>
      <w:r w:rsidRPr="0064464F">
        <w:rPr>
          <w:b/>
          <w:lang w:val="fr-FR"/>
        </w:rPr>
        <w:t>Quatre-vingt-quatorzième</w:t>
      </w:r>
      <w:r w:rsidR="000039E2" w:rsidRPr="0064464F">
        <w:rPr>
          <w:b/>
          <w:lang w:val="fr-FR"/>
        </w:rPr>
        <w:t xml:space="preserve"> session </w:t>
      </w:r>
    </w:p>
    <w:p w:rsidR="000039E2" w:rsidRPr="0064464F" w:rsidRDefault="004A117B">
      <w:pPr>
        <w:rPr>
          <w:lang w:val="fr-FR"/>
        </w:rPr>
      </w:pPr>
      <w:r w:rsidRPr="0064464F">
        <w:rPr>
          <w:lang w:val="fr-FR"/>
        </w:rPr>
        <w:t>20 novembre</w:t>
      </w:r>
      <w:r w:rsidR="00B92CC7" w:rsidRPr="0064464F">
        <w:rPr>
          <w:lang w:val="fr-FR"/>
        </w:rPr>
        <w:t xml:space="preserve"> </w:t>
      </w:r>
      <w:r w:rsidR="00A77D1A" w:rsidRPr="0064464F">
        <w:rPr>
          <w:lang w:val="fr-FR"/>
        </w:rPr>
        <w:t>-</w:t>
      </w:r>
      <w:r w:rsidRPr="0064464F">
        <w:rPr>
          <w:lang w:val="fr-FR"/>
        </w:rPr>
        <w:t>8</w:t>
      </w:r>
      <w:r w:rsidR="006B3A56" w:rsidRPr="00DC3466">
        <w:rPr>
          <w:lang w:val="fr-FR"/>
        </w:rPr>
        <w:t> </w:t>
      </w:r>
      <w:r w:rsidRPr="0064464F">
        <w:rPr>
          <w:lang w:val="fr-FR"/>
        </w:rPr>
        <w:t>décembre</w:t>
      </w:r>
      <w:r w:rsidR="000039E2" w:rsidRPr="0064464F">
        <w:rPr>
          <w:lang w:val="fr-FR"/>
        </w:rPr>
        <w:t xml:space="preserve"> 2017</w:t>
      </w:r>
    </w:p>
    <w:p w:rsidR="000039E2" w:rsidRPr="0064464F" w:rsidRDefault="000039E2" w:rsidP="000039E2">
      <w:pPr>
        <w:rPr>
          <w:lang w:val="fr-FR"/>
        </w:rPr>
      </w:pPr>
      <w:r w:rsidRPr="0064464F">
        <w:rPr>
          <w:lang w:val="fr-FR"/>
        </w:rPr>
        <w:t>Point 4 de l’ordre du jour provisoire</w:t>
      </w:r>
    </w:p>
    <w:p w:rsidR="000039E2" w:rsidRPr="00E97310" w:rsidRDefault="000039E2" w:rsidP="000039E2">
      <w:pPr>
        <w:rPr>
          <w:b/>
          <w:sz w:val="24"/>
          <w:szCs w:val="24"/>
          <w:lang w:val="fr-FR"/>
        </w:rPr>
      </w:pPr>
      <w:r w:rsidRPr="0064464F">
        <w:rPr>
          <w:b/>
          <w:lang w:val="fr-FR"/>
        </w:rPr>
        <w:t xml:space="preserve">Examen des rapports, observations et renseignements soumis </w:t>
      </w:r>
      <w:r w:rsidRPr="0064464F">
        <w:rPr>
          <w:b/>
          <w:lang w:val="fr-FR"/>
        </w:rPr>
        <w:br/>
        <w:t>par les États parties en application de l’article 9 de la Convention</w:t>
      </w:r>
    </w:p>
    <w:p w:rsidR="000039E2" w:rsidRPr="00C87062" w:rsidRDefault="000039E2" w:rsidP="000039E2">
      <w:pPr>
        <w:pStyle w:val="HChG"/>
        <w:rPr>
          <w:lang w:val="fr-FR"/>
        </w:rPr>
      </w:pPr>
      <w:r w:rsidRPr="00C87062">
        <w:rPr>
          <w:lang w:val="fr-FR"/>
        </w:rPr>
        <w:tab/>
      </w:r>
      <w:r w:rsidRPr="00C87062">
        <w:rPr>
          <w:lang w:val="fr-FR"/>
        </w:rPr>
        <w:tab/>
        <w:t>Liste de thèmes concernant l</w:t>
      </w:r>
      <w:r w:rsidR="004A117B">
        <w:rPr>
          <w:lang w:val="fr-FR"/>
        </w:rPr>
        <w:t xml:space="preserve">e </w:t>
      </w:r>
      <w:r w:rsidR="00C64E5F">
        <w:rPr>
          <w:lang w:val="fr-FR"/>
        </w:rPr>
        <w:t xml:space="preserve">rapport de l’Algérie valant </w:t>
      </w:r>
      <w:r w:rsidR="004A117B">
        <w:rPr>
          <w:lang w:val="fr-FR"/>
        </w:rPr>
        <w:t>vingtième</w:t>
      </w:r>
      <w:r>
        <w:rPr>
          <w:lang w:val="fr-FR"/>
        </w:rPr>
        <w:t xml:space="preserve"> </w:t>
      </w:r>
      <w:r w:rsidR="00C64E5F">
        <w:rPr>
          <w:lang w:val="fr-FR"/>
        </w:rPr>
        <w:t xml:space="preserve">et </w:t>
      </w:r>
      <w:r w:rsidR="004A117B">
        <w:rPr>
          <w:lang w:val="fr-FR"/>
        </w:rPr>
        <w:t>vingt-un</w:t>
      </w:r>
      <w:r>
        <w:rPr>
          <w:lang w:val="fr-FR"/>
        </w:rPr>
        <w:t xml:space="preserve">ième </w:t>
      </w:r>
      <w:r w:rsidRPr="00C87062">
        <w:rPr>
          <w:lang w:val="fr-FR"/>
        </w:rPr>
        <w:t>rapports périodiques</w:t>
      </w:r>
    </w:p>
    <w:p w:rsidR="000039E2" w:rsidRDefault="000039E2" w:rsidP="000039E2">
      <w:pPr>
        <w:pStyle w:val="H1G"/>
        <w:rPr>
          <w:lang w:val="fr-FR"/>
        </w:rPr>
      </w:pPr>
      <w:r w:rsidRPr="00C87062">
        <w:rPr>
          <w:lang w:val="fr-FR"/>
        </w:rPr>
        <w:tab/>
      </w:r>
      <w:r w:rsidRPr="00C87062">
        <w:rPr>
          <w:lang w:val="fr-FR"/>
        </w:rPr>
        <w:tab/>
        <w:t xml:space="preserve">Note du </w:t>
      </w:r>
      <w:r w:rsidR="00C64E5F">
        <w:rPr>
          <w:lang w:val="fr-FR"/>
        </w:rPr>
        <w:t>r</w:t>
      </w:r>
      <w:r w:rsidRPr="00C87062">
        <w:rPr>
          <w:lang w:val="fr-FR"/>
        </w:rPr>
        <w:t xml:space="preserve">apporteur </w:t>
      </w:r>
      <w:r w:rsidR="00C64E5F">
        <w:rPr>
          <w:lang w:val="fr-FR"/>
        </w:rPr>
        <w:t xml:space="preserve">de pays </w:t>
      </w:r>
    </w:p>
    <w:p w:rsidR="00B92CC7" w:rsidRPr="0064464F" w:rsidRDefault="00DC3466" w:rsidP="00DC3466">
      <w:pPr>
        <w:pStyle w:val="SingleTxtG"/>
      </w:pPr>
      <w:r w:rsidRPr="0064464F">
        <w:t>1.</w:t>
      </w:r>
      <w:r w:rsidRPr="0064464F">
        <w:tab/>
      </w:r>
      <w:r w:rsidR="00B92CC7" w:rsidRPr="0064464F">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B92CC7" w:rsidRPr="00B92CC7" w:rsidRDefault="00B92CC7" w:rsidP="00B92CC7">
      <w:pPr>
        <w:pStyle w:val="H23G"/>
      </w:pPr>
      <w:r w:rsidRPr="00B92CC7">
        <w:tab/>
      </w:r>
      <w:r w:rsidRPr="00B92CC7">
        <w:tab/>
        <w:t xml:space="preserve">La Convention dans le droit interne et le cadre institutionnel et politique </w:t>
      </w:r>
      <w:r w:rsidRPr="00B92CC7">
        <w:br/>
        <w:t>de sa mise en œuvre (art. 1, 2, 3, 4 et 6)</w:t>
      </w:r>
    </w:p>
    <w:p w:rsidR="00B92CC7" w:rsidRPr="00B92CC7" w:rsidRDefault="00DC3466" w:rsidP="00DC3466">
      <w:pPr>
        <w:pStyle w:val="SingleTxtG"/>
      </w:pPr>
      <w:r w:rsidRPr="00B92CC7">
        <w:t>2.</w:t>
      </w:r>
      <w:r w:rsidRPr="00B92CC7">
        <w:tab/>
      </w:r>
      <w:r w:rsidR="00B92CC7" w:rsidRPr="00B92CC7">
        <w:t>Harmonisation de la définition de la discrimination raciale dans la Constitution et les autres textes législatifs. Protection contre la discrimination raciale dans l’accès à l’emploi et les conditions de travail.</w:t>
      </w:r>
    </w:p>
    <w:p w:rsidR="00B92CC7" w:rsidRPr="00B92CC7" w:rsidRDefault="00DC3466" w:rsidP="00DC3466">
      <w:pPr>
        <w:pStyle w:val="SingleTxtG"/>
      </w:pPr>
      <w:r w:rsidRPr="00B92CC7">
        <w:t>3.</w:t>
      </w:r>
      <w:r w:rsidRPr="00B92CC7">
        <w:tab/>
      </w:r>
      <w:r w:rsidR="00B92CC7">
        <w:t>C</w:t>
      </w:r>
      <w:r w:rsidR="00B92CC7" w:rsidRPr="00B92CC7">
        <w:t xml:space="preserve">onformité de la législation pénale sur la discrimination raciale avec tous les éléments inscrits à l’article 4 de la Convention. </w:t>
      </w:r>
    </w:p>
    <w:p w:rsidR="00B92CC7" w:rsidRPr="00B92CC7" w:rsidRDefault="00DC3466" w:rsidP="00DC3466">
      <w:pPr>
        <w:pStyle w:val="SingleTxtG"/>
      </w:pPr>
      <w:r w:rsidRPr="00B92CC7">
        <w:t>4.</w:t>
      </w:r>
      <w:r w:rsidRPr="00B92CC7">
        <w:tab/>
      </w:r>
      <w:r w:rsidR="00B92CC7" w:rsidRPr="00B92CC7">
        <w:t xml:space="preserve">Raisons </w:t>
      </w:r>
      <w:r w:rsidR="00F62B55">
        <w:t xml:space="preserve">de </w:t>
      </w:r>
      <w:r w:rsidR="00B92CC7" w:rsidRPr="00B92CC7">
        <w:t>la quasi-absence de plaintes relatives à des actes de discrimination raciale, de poursuites et de condamnations prononcées par les tribunaux ou d’autres organes. Mesures prises pour mettre en place un mécanisme de collecte de ces données.</w:t>
      </w:r>
    </w:p>
    <w:p w:rsidR="00B92CC7" w:rsidRPr="00B92CC7" w:rsidRDefault="00DC3466" w:rsidP="00DC3466">
      <w:pPr>
        <w:pStyle w:val="SingleTxtG"/>
      </w:pPr>
      <w:r w:rsidRPr="00B92CC7">
        <w:t>5.</w:t>
      </w:r>
      <w:r w:rsidRPr="00B92CC7">
        <w:tab/>
      </w:r>
      <w:r w:rsidR="00B92CC7" w:rsidRPr="00B92CC7">
        <w:t xml:space="preserve">Renseignements sur le statut </w:t>
      </w:r>
      <w:r w:rsidR="00B92CC7" w:rsidRPr="0064464F">
        <w:t>d’accréditation du nouveau Conseil national des droits de l’</w:t>
      </w:r>
      <w:r w:rsidR="00082585" w:rsidRPr="0064464F">
        <w:t>h</w:t>
      </w:r>
      <w:r w:rsidR="00B92CC7" w:rsidRPr="0064464F">
        <w:t xml:space="preserve">omme et sa conformité avec </w:t>
      </w:r>
      <w:r w:rsidR="005C057B" w:rsidRPr="0064464F">
        <w:t xml:space="preserve">les Principes </w:t>
      </w:r>
      <w:r w:rsidR="005C057B" w:rsidRPr="0064464F">
        <w:rPr>
          <w:bCs/>
          <w:lang w:val="fr-FR"/>
        </w:rPr>
        <w:t>concernant le statut des institutions nationales pour la promotion et la protection des droits de l’homme (</w:t>
      </w:r>
      <w:r w:rsidR="00B92CC7" w:rsidRPr="0064464F">
        <w:t>Principes de Paris</w:t>
      </w:r>
      <w:r w:rsidR="005C057B" w:rsidRPr="0064464F">
        <w:t>)</w:t>
      </w:r>
      <w:r w:rsidR="00B92CC7" w:rsidRPr="0064464F">
        <w:t>, ses ressources humaines et financières ainsi que les activités menées dans le</w:t>
      </w:r>
      <w:r w:rsidR="00082585" w:rsidRPr="0064464F">
        <w:t>s</w:t>
      </w:r>
      <w:r w:rsidR="00B92CC7" w:rsidRPr="0064464F">
        <w:t xml:space="preserve"> domaine</w:t>
      </w:r>
      <w:r w:rsidR="00082585" w:rsidRPr="0064464F">
        <w:t>s</w:t>
      </w:r>
      <w:r w:rsidR="00B92CC7" w:rsidRPr="0064464F">
        <w:t xml:space="preserve"> de</w:t>
      </w:r>
      <w:r w:rsidR="00B92CC7" w:rsidRPr="00B92CC7">
        <w:t xml:space="preserve"> la prévention et de la lutte contre la discrimination raciale. </w:t>
      </w:r>
    </w:p>
    <w:p w:rsidR="00B92CC7" w:rsidRPr="00B92CC7" w:rsidRDefault="00B92CC7" w:rsidP="00B92CC7">
      <w:pPr>
        <w:pStyle w:val="H23G"/>
        <w:rPr>
          <w:lang w:val="fr-FR"/>
        </w:rPr>
      </w:pPr>
      <w:r w:rsidRPr="00B92CC7">
        <w:tab/>
      </w:r>
      <w:r w:rsidRPr="00B92CC7">
        <w:tab/>
        <w:t>Situation des groupes ethniques (art. </w:t>
      </w:r>
      <w:r w:rsidRPr="00B92CC7">
        <w:rPr>
          <w:lang w:val="fr-FR"/>
        </w:rPr>
        <w:t>1 et 5)</w:t>
      </w:r>
    </w:p>
    <w:p w:rsidR="00B92CC7" w:rsidRPr="00B92CC7" w:rsidRDefault="00DC3466" w:rsidP="00DC3466">
      <w:pPr>
        <w:pStyle w:val="SingleTxtG"/>
      </w:pPr>
      <w:r w:rsidRPr="00B92CC7">
        <w:t>6.</w:t>
      </w:r>
      <w:r w:rsidRPr="00B92CC7">
        <w:tab/>
      </w:r>
      <w:r w:rsidR="00B92CC7" w:rsidRPr="00B92CC7">
        <w:t xml:space="preserve">Composition ethnique de la population de l’État partie et sa répartition géographique, </w:t>
      </w:r>
      <w:r w:rsidR="00884510" w:rsidRPr="00890D02">
        <w:t>y compris des données</w:t>
      </w:r>
      <w:r w:rsidR="00884510">
        <w:t xml:space="preserve"> </w:t>
      </w:r>
      <w:r w:rsidR="00B92CC7" w:rsidRPr="00B92CC7">
        <w:t>ventilée</w:t>
      </w:r>
      <w:r w:rsidR="00890D02">
        <w:t>s</w:t>
      </w:r>
      <w:r w:rsidR="00B92CC7" w:rsidRPr="00B92CC7">
        <w:t xml:space="preserve"> ou </w:t>
      </w:r>
      <w:r w:rsidR="00884510">
        <w:t xml:space="preserve">des </w:t>
      </w:r>
      <w:r w:rsidR="00B92CC7" w:rsidRPr="00B92CC7">
        <w:t>données socio-économiques et culturelles</w:t>
      </w:r>
      <w:r w:rsidR="00884510">
        <w:t>,</w:t>
      </w:r>
      <w:r w:rsidR="00B92CC7" w:rsidRPr="00B92CC7">
        <w:t xml:space="preserve"> ainsi que </w:t>
      </w:r>
      <w:r w:rsidR="00884510">
        <w:t xml:space="preserve">des informations </w:t>
      </w:r>
      <w:r w:rsidR="00B92CC7" w:rsidRPr="00B92CC7">
        <w:t>sur l</w:t>
      </w:r>
      <w:r w:rsidR="00884510">
        <w:t>es</w:t>
      </w:r>
      <w:r w:rsidR="00B92CC7" w:rsidRPr="00B92CC7">
        <w:t xml:space="preserve"> condition</w:t>
      </w:r>
      <w:r w:rsidR="00884510">
        <w:t>s</w:t>
      </w:r>
      <w:r w:rsidR="00B92CC7" w:rsidRPr="00B92CC7">
        <w:t xml:space="preserve"> de vie des différents groupes qui composent la population vivant sur le territoire de l’</w:t>
      </w:r>
      <w:r w:rsidR="00082585">
        <w:t>É</w:t>
      </w:r>
      <w:r w:rsidR="00B92CC7" w:rsidRPr="00B92CC7">
        <w:t xml:space="preserve">tat partie, y compris les non-ressortissants, </w:t>
      </w:r>
      <w:r w:rsidR="00884510">
        <w:t xml:space="preserve">les </w:t>
      </w:r>
      <w:r w:rsidR="00B92CC7" w:rsidRPr="00B92CC7">
        <w:t>r</w:t>
      </w:r>
      <w:r w:rsidR="00884510">
        <w:t>é</w:t>
      </w:r>
      <w:r w:rsidR="00B92CC7" w:rsidRPr="00B92CC7">
        <w:t xml:space="preserve">fugiés, </w:t>
      </w:r>
      <w:r w:rsidR="00884510">
        <w:t xml:space="preserve">les </w:t>
      </w:r>
      <w:r w:rsidR="00B92CC7" w:rsidRPr="00B92CC7">
        <w:t xml:space="preserve">demandeurs d’asile et </w:t>
      </w:r>
      <w:r w:rsidR="00884510">
        <w:t xml:space="preserve">les </w:t>
      </w:r>
      <w:r w:rsidR="00B92CC7" w:rsidRPr="00B92CC7">
        <w:t xml:space="preserve">apatrides. </w:t>
      </w:r>
    </w:p>
    <w:p w:rsidR="00B92CC7" w:rsidRPr="00B92CC7" w:rsidRDefault="00DC3466" w:rsidP="00DC3466">
      <w:pPr>
        <w:pStyle w:val="SingleTxtG"/>
      </w:pPr>
      <w:r w:rsidRPr="00B92CC7">
        <w:t>7.</w:t>
      </w:r>
      <w:r w:rsidRPr="00B92CC7">
        <w:tab/>
      </w:r>
      <w:r w:rsidR="00B92CC7" w:rsidRPr="00B92CC7">
        <w:t xml:space="preserve">Protection des droits des migrants </w:t>
      </w:r>
      <w:r w:rsidR="00B92CC7" w:rsidRPr="00082585">
        <w:t>subsah</w:t>
      </w:r>
      <w:r w:rsidR="00082585" w:rsidRPr="00DC3466">
        <w:t>a</w:t>
      </w:r>
      <w:r w:rsidR="00B92CC7" w:rsidRPr="00082585">
        <w:t>riens</w:t>
      </w:r>
      <w:r w:rsidR="00B92CC7" w:rsidRPr="00B92CC7">
        <w:t>.</w:t>
      </w:r>
    </w:p>
    <w:p w:rsidR="00B92CC7" w:rsidRDefault="00DC3466" w:rsidP="00DC3466">
      <w:pPr>
        <w:pStyle w:val="SingleTxtG"/>
      </w:pPr>
      <w:r>
        <w:lastRenderedPageBreak/>
        <w:t>8.</w:t>
      </w:r>
      <w:r>
        <w:tab/>
      </w:r>
      <w:r w:rsidR="00B92CC7" w:rsidRPr="00B92CC7">
        <w:t>Fonctionnement, ressources humaines et financières</w:t>
      </w:r>
      <w:r w:rsidR="006B3A56">
        <w:t>,</w:t>
      </w:r>
      <w:r w:rsidR="00B92CC7" w:rsidRPr="00B92CC7">
        <w:t xml:space="preserve"> </w:t>
      </w:r>
      <w:r w:rsidR="006B3A56">
        <w:t xml:space="preserve">et </w:t>
      </w:r>
      <w:r w:rsidR="00B92CC7" w:rsidRPr="00B92CC7">
        <w:t xml:space="preserve">activités de </w:t>
      </w:r>
      <w:r w:rsidR="00B92CC7" w:rsidRPr="0064464F">
        <w:t>l’Académie de la langue amazighe.</w:t>
      </w:r>
      <w:r w:rsidR="00B92CC7" w:rsidRPr="00B92CC7">
        <w:t xml:space="preserve"> Effectivité des mesures prises pour promouvoir l’enseignement de la langue amazighe sur le territoire de l’</w:t>
      </w:r>
      <w:r w:rsidR="00082585">
        <w:t>É</w:t>
      </w:r>
      <w:r w:rsidR="00B92CC7" w:rsidRPr="00B92CC7">
        <w:t>tat partie.</w:t>
      </w:r>
    </w:p>
    <w:p w:rsidR="00B92CC7" w:rsidRPr="00B92CC7" w:rsidRDefault="00DC3466" w:rsidP="00DC3466">
      <w:pPr>
        <w:pStyle w:val="SingleTxtG"/>
      </w:pPr>
      <w:r w:rsidRPr="00B92CC7">
        <w:t>9.</w:t>
      </w:r>
      <w:r w:rsidRPr="00B92CC7">
        <w:tab/>
      </w:r>
      <w:r w:rsidR="00B92CC7" w:rsidRPr="00B92CC7">
        <w:t xml:space="preserve">Statistiques sur la représentation des femmes amazighes aux assemblées </w:t>
      </w:r>
      <w:r w:rsidR="00884510" w:rsidRPr="00B92CC7">
        <w:t>élues</w:t>
      </w:r>
      <w:r w:rsidR="00884510">
        <w:t xml:space="preserve"> </w:t>
      </w:r>
      <w:r w:rsidR="00B92CC7" w:rsidRPr="00B92CC7">
        <w:t>et aux postes de décision</w:t>
      </w:r>
      <w:r w:rsidR="006B3A56">
        <w:t> </w:t>
      </w:r>
      <w:r w:rsidR="00B92CC7" w:rsidRPr="00B92CC7">
        <w:t xml:space="preserve">: application effective de la </w:t>
      </w:r>
      <w:r w:rsidR="00884510">
        <w:t>l</w:t>
      </w:r>
      <w:r w:rsidR="00B92CC7" w:rsidRPr="00B92CC7">
        <w:t xml:space="preserve">oi organique </w:t>
      </w:r>
      <w:r w:rsidR="00884510">
        <w:t>n</w:t>
      </w:r>
      <w:r w:rsidR="00884510" w:rsidRPr="00DC3466">
        <w:rPr>
          <w:vertAlign w:val="superscript"/>
        </w:rPr>
        <w:t>o</w:t>
      </w:r>
      <w:r w:rsidR="00884510">
        <w:t> </w:t>
      </w:r>
      <w:r w:rsidR="00B92CC7" w:rsidRPr="00B92CC7">
        <w:t>12-03 du 12</w:t>
      </w:r>
      <w:r w:rsidR="00884510">
        <w:t> </w:t>
      </w:r>
      <w:r w:rsidR="00B92CC7" w:rsidRPr="00B92CC7">
        <w:t>janvier 2012.</w:t>
      </w:r>
    </w:p>
    <w:p w:rsidR="00B92CC7" w:rsidRPr="00B92CC7" w:rsidRDefault="00DC3466" w:rsidP="00DC3466">
      <w:pPr>
        <w:pStyle w:val="SingleTxtG"/>
      </w:pPr>
      <w:r w:rsidRPr="00B92CC7">
        <w:t>10.</w:t>
      </w:r>
      <w:r w:rsidRPr="00B92CC7">
        <w:tab/>
      </w:r>
      <w:r w:rsidR="00B92CC7" w:rsidRPr="00B92CC7">
        <w:t xml:space="preserve">Politiques de réduction </w:t>
      </w:r>
      <w:r w:rsidR="00B92CC7" w:rsidRPr="00890D02">
        <w:t>de</w:t>
      </w:r>
      <w:r w:rsidR="00884510" w:rsidRPr="00890D02">
        <w:t>s</w:t>
      </w:r>
      <w:r w:rsidR="00B92CC7" w:rsidRPr="00890D02">
        <w:t xml:space="preserve"> disparités économiques</w:t>
      </w:r>
      <w:r w:rsidR="00B92CC7" w:rsidRPr="00B92CC7">
        <w:t xml:space="preserve"> entre les régions habitées par les Amazighs et les autres régions du pays. </w:t>
      </w:r>
    </w:p>
    <w:p w:rsidR="00B92CC7" w:rsidRPr="00B92CC7" w:rsidRDefault="00B92CC7" w:rsidP="00B92CC7">
      <w:pPr>
        <w:pStyle w:val="H23G"/>
      </w:pPr>
      <w:r w:rsidRPr="00B92CC7">
        <w:rPr>
          <w:lang w:val="fr-FR"/>
        </w:rPr>
        <w:tab/>
      </w:r>
      <w:r w:rsidRPr="00B92CC7">
        <w:rPr>
          <w:lang w:val="fr-FR"/>
        </w:rPr>
        <w:tab/>
        <w:t xml:space="preserve">Situation des non-ressortissants, notamment les migrants, les réfugiés </w:t>
      </w:r>
      <w:r w:rsidRPr="00B92CC7">
        <w:rPr>
          <w:lang w:val="fr-FR"/>
        </w:rPr>
        <w:br/>
        <w:t>et les demandeurs d’asile (art. 1, 2, 5 et 6)</w:t>
      </w:r>
      <w:r w:rsidRPr="00B92CC7">
        <w:t xml:space="preserve"> </w:t>
      </w:r>
    </w:p>
    <w:p w:rsidR="00B92CC7" w:rsidRPr="00B92CC7" w:rsidRDefault="00DC3466" w:rsidP="00DC3466">
      <w:pPr>
        <w:pStyle w:val="SingleTxtG"/>
      </w:pPr>
      <w:r w:rsidRPr="00B92CC7">
        <w:t>11.</w:t>
      </w:r>
      <w:r w:rsidRPr="00B92CC7">
        <w:tab/>
      </w:r>
      <w:r w:rsidR="00B92CC7" w:rsidRPr="00B92CC7">
        <w:t>Plus d’informations sur le cadre législatif complet relatif aux demandeurs d’asile et aux réfugiés, y compris les procédures d’asile. Statistiques sur le nombre de demandeurs d’asile depuis le dernier examen de l’</w:t>
      </w:r>
      <w:r w:rsidR="00082585">
        <w:t>É</w:t>
      </w:r>
      <w:r w:rsidR="00B92CC7" w:rsidRPr="00B92CC7">
        <w:t xml:space="preserve">tat partie, le nombre de réfugiés et les conditions d’accueil </w:t>
      </w:r>
      <w:r w:rsidR="00B92CC7" w:rsidRPr="00890D02">
        <w:t xml:space="preserve">offertes </w:t>
      </w:r>
      <w:r w:rsidR="00884510" w:rsidRPr="00890D02">
        <w:t xml:space="preserve">à ceux </w:t>
      </w:r>
      <w:r w:rsidR="00B92CC7" w:rsidRPr="00890D02">
        <w:t>provenant</w:t>
      </w:r>
      <w:r w:rsidR="00B92CC7" w:rsidRPr="00B92CC7">
        <w:t xml:space="preserve"> notamment du Moyen-Orient ou d’Afrique </w:t>
      </w:r>
      <w:r w:rsidR="005A2CD7" w:rsidRPr="00B92CC7">
        <w:t>subsaharienne</w:t>
      </w:r>
      <w:r w:rsidR="00B92CC7" w:rsidRPr="00B92CC7">
        <w:t>.</w:t>
      </w:r>
    </w:p>
    <w:p w:rsidR="00B92CC7" w:rsidRPr="00B92CC7" w:rsidRDefault="00DC3466" w:rsidP="00DC3466">
      <w:pPr>
        <w:pStyle w:val="SingleTxtG"/>
      </w:pPr>
      <w:r w:rsidRPr="00B92CC7">
        <w:t>12.</w:t>
      </w:r>
      <w:r w:rsidRPr="00B92CC7">
        <w:tab/>
      </w:r>
      <w:r w:rsidR="00B92CC7" w:rsidRPr="00B92CC7">
        <w:t>Effectivité des dispositifs législatifs et r</w:t>
      </w:r>
      <w:r w:rsidR="00884510">
        <w:t>é</w:t>
      </w:r>
      <w:r w:rsidR="00B92CC7" w:rsidRPr="00B92CC7">
        <w:t xml:space="preserve">glementaires relatifs à la situation des migrants, leurs conditions de vie et leur protection effective contre la discrimination raciale notamment contre la violence </w:t>
      </w:r>
    </w:p>
    <w:p w:rsidR="00B92CC7" w:rsidRPr="00B92CC7" w:rsidRDefault="00DC3466" w:rsidP="00DC3466">
      <w:pPr>
        <w:pStyle w:val="SingleTxtG"/>
      </w:pPr>
      <w:r w:rsidRPr="00B92CC7">
        <w:t>13.</w:t>
      </w:r>
      <w:r w:rsidRPr="00B92CC7">
        <w:tab/>
      </w:r>
      <w:r w:rsidR="00B92CC7" w:rsidRPr="00B92CC7">
        <w:t xml:space="preserve">Ampleur de la traite des personnes, obstacles aux signalements, </w:t>
      </w:r>
      <w:r w:rsidR="00884510">
        <w:t xml:space="preserve">aux </w:t>
      </w:r>
      <w:r w:rsidR="00B92CC7" w:rsidRPr="00B92CC7">
        <w:t xml:space="preserve">plaintes, </w:t>
      </w:r>
      <w:r w:rsidR="00884510">
        <w:t xml:space="preserve">aux </w:t>
      </w:r>
      <w:r w:rsidR="00B92CC7" w:rsidRPr="00B92CC7">
        <w:t xml:space="preserve">poursuites et </w:t>
      </w:r>
      <w:r w:rsidR="00884510">
        <w:t xml:space="preserve">aux </w:t>
      </w:r>
      <w:r w:rsidR="00B92CC7" w:rsidRPr="00B92CC7">
        <w:t>condamnations. Prévention de la traite des êtres humains, soutien aux victimes et poursuites contre les auteurs.</w:t>
      </w:r>
    </w:p>
    <w:p w:rsidR="00B92CC7" w:rsidRPr="00E474B4" w:rsidRDefault="00B92CC7" w:rsidP="00E474B4">
      <w:pPr>
        <w:pStyle w:val="H23G"/>
      </w:pPr>
      <w:r w:rsidRPr="00B92CC7">
        <w:t xml:space="preserve"> </w:t>
      </w:r>
      <w:r w:rsidRPr="00B92CC7">
        <w:tab/>
      </w:r>
      <w:r w:rsidRPr="00B92CC7">
        <w:tab/>
        <w:t>Éducation pour lutter contre les préjugés et promouvoir la compréhension (art. 7)</w:t>
      </w:r>
    </w:p>
    <w:p w:rsidR="001B50C6" w:rsidRDefault="00DC3466" w:rsidP="00DC3466">
      <w:pPr>
        <w:pStyle w:val="SingleTxtG"/>
      </w:pPr>
      <w:r>
        <w:t>14.</w:t>
      </w:r>
      <w:r>
        <w:tab/>
      </w:r>
      <w:r w:rsidR="00B92CC7" w:rsidRPr="00B92CC7">
        <w:t>Sensibilisation de la population à la discrimination raciale et à la tolérance en vue de lutter contre les préjugés ; droits de l’homme et promotion de la compréhension entre différents groupes dans le cursus scolaire et dans les programmes de formation professionnelle.</w:t>
      </w:r>
    </w:p>
    <w:p w:rsidR="00B92CC7" w:rsidRPr="004B5B4E" w:rsidRDefault="00B92CC7" w:rsidP="00B92CC7">
      <w:pPr>
        <w:pStyle w:val="SingleTxtG"/>
        <w:spacing w:before="240" w:after="0"/>
        <w:jc w:val="center"/>
      </w:pPr>
      <w:r>
        <w:rPr>
          <w:u w:val="single"/>
        </w:rPr>
        <w:tab/>
      </w:r>
      <w:r>
        <w:rPr>
          <w:u w:val="single"/>
        </w:rPr>
        <w:tab/>
      </w:r>
      <w:r>
        <w:rPr>
          <w:u w:val="single"/>
        </w:rPr>
        <w:tab/>
      </w:r>
    </w:p>
    <w:sectPr w:rsidR="00B92CC7" w:rsidRPr="004B5B4E" w:rsidSect="00DC346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109" w:rsidRDefault="008E0109"/>
  </w:endnote>
  <w:endnote w:type="continuationSeparator" w:id="0">
    <w:p w:rsidR="008E0109" w:rsidRDefault="008E0109"/>
  </w:endnote>
  <w:endnote w:type="continuationNotice" w:id="1">
    <w:p w:rsidR="008E0109" w:rsidRDefault="008E01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B4E" w:rsidRPr="004B5B4E" w:rsidRDefault="004B5B4E" w:rsidP="004B5B4E">
    <w:pPr>
      <w:pStyle w:val="Pieddepage"/>
      <w:tabs>
        <w:tab w:val="right" w:pos="9638"/>
      </w:tabs>
      <w:rPr>
        <w:sz w:val="18"/>
      </w:rPr>
    </w:pPr>
    <w:r w:rsidRPr="004B5B4E">
      <w:rPr>
        <w:b/>
        <w:sz w:val="18"/>
      </w:rPr>
      <w:fldChar w:fldCharType="begin"/>
    </w:r>
    <w:r w:rsidRPr="004B5B4E">
      <w:rPr>
        <w:b/>
        <w:sz w:val="18"/>
      </w:rPr>
      <w:instrText xml:space="preserve"> PAGE  \* MERGEFORMAT </w:instrText>
    </w:r>
    <w:r w:rsidRPr="004B5B4E">
      <w:rPr>
        <w:b/>
        <w:sz w:val="18"/>
      </w:rPr>
      <w:fldChar w:fldCharType="separate"/>
    </w:r>
    <w:r w:rsidR="00FB0073">
      <w:rPr>
        <w:b/>
        <w:noProof/>
        <w:sz w:val="18"/>
      </w:rPr>
      <w:t>2</w:t>
    </w:r>
    <w:r w:rsidRPr="004B5B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B4E" w:rsidRPr="004B5B4E" w:rsidRDefault="004B5B4E" w:rsidP="004B5B4E">
    <w:pPr>
      <w:pStyle w:val="Pieddepage"/>
      <w:tabs>
        <w:tab w:val="right" w:pos="9638"/>
      </w:tabs>
      <w:rPr>
        <w:b/>
        <w:sz w:val="18"/>
      </w:rPr>
    </w:pPr>
    <w:r>
      <w:tab/>
    </w:r>
    <w:r w:rsidRPr="004B5B4E">
      <w:rPr>
        <w:b/>
        <w:sz w:val="18"/>
      </w:rPr>
      <w:fldChar w:fldCharType="begin"/>
    </w:r>
    <w:r w:rsidRPr="004B5B4E">
      <w:rPr>
        <w:b/>
        <w:sz w:val="18"/>
      </w:rPr>
      <w:instrText xml:space="preserve"> PAGE  \* MERGEFORMAT </w:instrText>
    </w:r>
    <w:r w:rsidRPr="004B5B4E">
      <w:rPr>
        <w:b/>
        <w:sz w:val="18"/>
      </w:rPr>
      <w:fldChar w:fldCharType="separate"/>
    </w:r>
    <w:r w:rsidR="00B92CC7">
      <w:rPr>
        <w:b/>
        <w:noProof/>
        <w:sz w:val="18"/>
      </w:rPr>
      <w:t>3</w:t>
    </w:r>
    <w:r w:rsidRPr="004B5B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ADD" w:rsidRPr="00D72ADD" w:rsidRDefault="00D72ADD">
    <w:pPr>
      <w:pStyle w:val="Pieddepage"/>
      <w:rPr>
        <w:rFonts w:ascii="C39T30Lfz" w:hAnsi="C39T30Lfz"/>
        <w:sz w:val="56"/>
      </w:rPr>
    </w:pPr>
    <w:bookmarkStart w:id="0" w:name="_GoBack"/>
    <w:r>
      <w:rPr>
        <w:noProof/>
        <w:lang w:eastAsia="fr-CH"/>
      </w:rPr>
      <w:drawing>
        <wp:anchor distT="0" distB="0" distL="114300" distR="114300" simplePos="0" relativeHeight="251659776" behindDoc="0" locked="0" layoutInCell="1" allowOverlap="1">
          <wp:simplePos x="0" y="0"/>
          <wp:positionH relativeFrom="column">
            <wp:posOffset>5467350</wp:posOffset>
          </wp:positionH>
          <wp:positionV relativeFrom="paragraph">
            <wp:posOffset>12700</wp:posOffset>
          </wp:positionV>
          <wp:extent cx="638175" cy="638175"/>
          <wp:effectExtent l="0" t="0" r="9525" b="9525"/>
          <wp:wrapNone/>
          <wp:docPr id="3" name="Image 1" descr="https://undocs.org/m2/QRCode.ashx?DS=CERD/C/DZA/Q/20-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ZA/Q/20-2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sz w:val="20"/>
      </w:rPr>
      <w:t>GE.</w:t>
    </w:r>
    <w:r>
      <w:rPr>
        <w:noProof/>
        <w:lang w:eastAsia="fr-CH"/>
      </w:rPr>
      <w:drawing>
        <wp:anchor distT="0" distB="0" distL="114300" distR="114300" simplePos="0" relativeHeight="251657728" behindDoc="0" locked="0" layoutInCell="1" allowOverlap="0" wp14:anchorId="1655F83A" wp14:editId="7B207E31">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w:t>
    </w:r>
    <w:r>
      <w:rPr>
        <w:sz w:val="20"/>
      </w:rPr>
      <w:t>17531</w:t>
    </w:r>
    <w:r>
      <w:rPr>
        <w:sz w:val="20"/>
      </w:rPr>
      <w:t xml:space="preserve">  (F)</w:t>
    </w:r>
    <w:r>
      <w:br/>
    </w:r>
    <w:r w:rsidRPr="00D72ADD">
      <w:rPr>
        <w:rFonts w:ascii="C39T30Lfz" w:hAnsi="C39T30Lfz"/>
        <w:sz w:val="56"/>
      </w:rPr>
      <w:t></w:t>
    </w:r>
    <w:r w:rsidRPr="00D72ADD">
      <w:rPr>
        <w:rFonts w:ascii="C39T30Lfz" w:hAnsi="C39T30Lfz"/>
        <w:sz w:val="56"/>
      </w:rPr>
      <w:t></w:t>
    </w:r>
    <w:r w:rsidRPr="00D72ADD">
      <w:rPr>
        <w:rFonts w:ascii="C39T30Lfz" w:hAnsi="C39T30Lfz"/>
        <w:sz w:val="56"/>
      </w:rPr>
      <w:t></w:t>
    </w:r>
    <w:r w:rsidRPr="00D72ADD">
      <w:rPr>
        <w:rFonts w:ascii="C39T30Lfz" w:hAnsi="C39T30Lfz"/>
        <w:sz w:val="56"/>
      </w:rPr>
      <w:t></w:t>
    </w:r>
    <w:r w:rsidRPr="00D72ADD">
      <w:rPr>
        <w:rFonts w:ascii="C39T30Lfz" w:hAnsi="C39T30Lfz"/>
        <w:sz w:val="56"/>
      </w:rPr>
      <w:t></w:t>
    </w:r>
    <w:r w:rsidRPr="00D72ADD">
      <w:rPr>
        <w:rFonts w:ascii="C39T30Lfz" w:hAnsi="C39T30Lfz"/>
        <w:sz w:val="56"/>
      </w:rPr>
      <w:t></w:t>
    </w:r>
    <w:r w:rsidRPr="00D72ADD">
      <w:rPr>
        <w:rFonts w:ascii="C39T30Lfz" w:hAnsi="C39T30Lfz"/>
        <w:sz w:val="56"/>
      </w:rPr>
      <w:t></w:t>
    </w:r>
    <w:r w:rsidRPr="00D72ADD">
      <w:rPr>
        <w:rFonts w:ascii="C39T30Lfz" w:hAnsi="C39T30Lfz"/>
        <w:sz w:val="56"/>
      </w:rPr>
      <w:t></w:t>
    </w:r>
    <w:r w:rsidRPr="00D72ADD">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109" w:rsidRPr="00D27D5E" w:rsidRDefault="008E0109" w:rsidP="00D27D5E">
      <w:pPr>
        <w:tabs>
          <w:tab w:val="right" w:pos="2155"/>
        </w:tabs>
        <w:spacing w:after="80"/>
        <w:ind w:left="680"/>
        <w:rPr>
          <w:u w:val="single"/>
        </w:rPr>
      </w:pPr>
      <w:r>
        <w:rPr>
          <w:u w:val="single"/>
        </w:rPr>
        <w:tab/>
      </w:r>
    </w:p>
  </w:footnote>
  <w:footnote w:type="continuationSeparator" w:id="0">
    <w:p w:rsidR="008E0109" w:rsidRPr="00AA7FE7" w:rsidRDefault="008E0109" w:rsidP="00AA7FE7">
      <w:pPr>
        <w:tabs>
          <w:tab w:val="right" w:pos="2155"/>
        </w:tabs>
        <w:spacing w:after="80"/>
        <w:ind w:left="680"/>
        <w:rPr>
          <w:u w:val="single"/>
        </w:rPr>
      </w:pPr>
      <w:r w:rsidRPr="00AA7FE7">
        <w:rPr>
          <w:u w:val="single"/>
        </w:rPr>
        <w:tab/>
      </w:r>
    </w:p>
  </w:footnote>
  <w:footnote w:type="continuationNotice" w:id="1">
    <w:p w:rsidR="008E0109" w:rsidRDefault="008E010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B4E" w:rsidRPr="004B5B4E" w:rsidRDefault="008E0109">
    <w:pPr>
      <w:pStyle w:val="En-tte"/>
    </w:pPr>
    <w:fldSimple w:instr=" TITLE  \* MERGEFORMAT ">
      <w:r w:rsidR="00FB0073">
        <w:t>CERD/C/DZA/Q/20-21</w:t>
      </w:r>
    </w:fldSimple>
    <w:r w:rsidR="00B92CC7">
      <w:t>20-21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B4E" w:rsidRPr="004B5B4E" w:rsidRDefault="008E0109" w:rsidP="004B5B4E">
    <w:pPr>
      <w:pStyle w:val="En-tte"/>
      <w:jc w:val="right"/>
    </w:pPr>
    <w:fldSimple w:instr=" TITLE  \* MERGEFORMAT ">
      <w:r w:rsidR="00FB0073">
        <w:t>CERD/C/DZA/Q/20-21</w:t>
      </w:r>
    </w:fldSimple>
    <w:r w:rsidR="00B92CC7">
      <w:t>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ADD" w:rsidRDefault="00D72AD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2393"/>
    <w:multiLevelType w:val="hybridMultilevel"/>
    <w:tmpl w:val="D898F7A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B4E"/>
    <w:rsid w:val="000039E2"/>
    <w:rsid w:val="00016AC5"/>
    <w:rsid w:val="00054609"/>
    <w:rsid w:val="00082585"/>
    <w:rsid w:val="000A6F55"/>
    <w:rsid w:val="000E7579"/>
    <w:rsid w:val="000F41F2"/>
    <w:rsid w:val="000F654A"/>
    <w:rsid w:val="001231AD"/>
    <w:rsid w:val="001450E6"/>
    <w:rsid w:val="00150465"/>
    <w:rsid w:val="00160540"/>
    <w:rsid w:val="00192EEB"/>
    <w:rsid w:val="00197832"/>
    <w:rsid w:val="001A20FB"/>
    <w:rsid w:val="001B3867"/>
    <w:rsid w:val="001B50C6"/>
    <w:rsid w:val="001D72C5"/>
    <w:rsid w:val="001D7F8A"/>
    <w:rsid w:val="001E3FEB"/>
    <w:rsid w:val="001E4A02"/>
    <w:rsid w:val="00204BC1"/>
    <w:rsid w:val="00225A8C"/>
    <w:rsid w:val="002626D4"/>
    <w:rsid w:val="002659F1"/>
    <w:rsid w:val="00265CD7"/>
    <w:rsid w:val="00287E79"/>
    <w:rsid w:val="002928F9"/>
    <w:rsid w:val="002A5D07"/>
    <w:rsid w:val="002D3F03"/>
    <w:rsid w:val="002E0D40"/>
    <w:rsid w:val="002E5B0C"/>
    <w:rsid w:val="00300D06"/>
    <w:rsid w:val="003016B7"/>
    <w:rsid w:val="00343160"/>
    <w:rsid w:val="003515AA"/>
    <w:rsid w:val="00374106"/>
    <w:rsid w:val="003976D5"/>
    <w:rsid w:val="003D6C68"/>
    <w:rsid w:val="004159D0"/>
    <w:rsid w:val="00435DA4"/>
    <w:rsid w:val="00472145"/>
    <w:rsid w:val="004A117B"/>
    <w:rsid w:val="004B5B4E"/>
    <w:rsid w:val="00540389"/>
    <w:rsid w:val="00543D5E"/>
    <w:rsid w:val="00571F41"/>
    <w:rsid w:val="00582840"/>
    <w:rsid w:val="00593658"/>
    <w:rsid w:val="005953BB"/>
    <w:rsid w:val="005A2CD7"/>
    <w:rsid w:val="005C057B"/>
    <w:rsid w:val="005E5D1F"/>
    <w:rsid w:val="005E7E59"/>
    <w:rsid w:val="006034FC"/>
    <w:rsid w:val="00611D43"/>
    <w:rsid w:val="00612D48"/>
    <w:rsid w:val="00616B45"/>
    <w:rsid w:val="00630D9B"/>
    <w:rsid w:val="00631953"/>
    <w:rsid w:val="006439EC"/>
    <w:rsid w:val="0064464F"/>
    <w:rsid w:val="00657120"/>
    <w:rsid w:val="00693E16"/>
    <w:rsid w:val="006B3A56"/>
    <w:rsid w:val="006B4590"/>
    <w:rsid w:val="006C340C"/>
    <w:rsid w:val="006D7B0B"/>
    <w:rsid w:val="006E6AE5"/>
    <w:rsid w:val="006F39E4"/>
    <w:rsid w:val="0070347C"/>
    <w:rsid w:val="00704534"/>
    <w:rsid w:val="007176C1"/>
    <w:rsid w:val="007231EF"/>
    <w:rsid w:val="00745DBE"/>
    <w:rsid w:val="00777F03"/>
    <w:rsid w:val="0078670C"/>
    <w:rsid w:val="007B03E7"/>
    <w:rsid w:val="007D3553"/>
    <w:rsid w:val="007E06A1"/>
    <w:rsid w:val="007F55CB"/>
    <w:rsid w:val="00815144"/>
    <w:rsid w:val="008259FE"/>
    <w:rsid w:val="00844750"/>
    <w:rsid w:val="008476E4"/>
    <w:rsid w:val="00884510"/>
    <w:rsid w:val="00890D02"/>
    <w:rsid w:val="008A5239"/>
    <w:rsid w:val="008B44C4"/>
    <w:rsid w:val="008D2259"/>
    <w:rsid w:val="008E0109"/>
    <w:rsid w:val="008E7FAE"/>
    <w:rsid w:val="00911BF7"/>
    <w:rsid w:val="00977EC8"/>
    <w:rsid w:val="00994C98"/>
    <w:rsid w:val="009C17F5"/>
    <w:rsid w:val="009D3A8C"/>
    <w:rsid w:val="009E7956"/>
    <w:rsid w:val="00A2492E"/>
    <w:rsid w:val="00A30A16"/>
    <w:rsid w:val="00A61F98"/>
    <w:rsid w:val="00A77D1A"/>
    <w:rsid w:val="00A82B6C"/>
    <w:rsid w:val="00AA7FE7"/>
    <w:rsid w:val="00AB3173"/>
    <w:rsid w:val="00AB5EFE"/>
    <w:rsid w:val="00AC01AA"/>
    <w:rsid w:val="00AC67A1"/>
    <w:rsid w:val="00AC7977"/>
    <w:rsid w:val="00AE352C"/>
    <w:rsid w:val="00AF7BCB"/>
    <w:rsid w:val="00B32E2D"/>
    <w:rsid w:val="00B61990"/>
    <w:rsid w:val="00B6669C"/>
    <w:rsid w:val="00B92CC7"/>
    <w:rsid w:val="00BF0556"/>
    <w:rsid w:val="00BF2325"/>
    <w:rsid w:val="00C03431"/>
    <w:rsid w:val="00C261F8"/>
    <w:rsid w:val="00C33100"/>
    <w:rsid w:val="00C64E5F"/>
    <w:rsid w:val="00CD1A71"/>
    <w:rsid w:val="00CD1FBB"/>
    <w:rsid w:val="00D016B5"/>
    <w:rsid w:val="00D034F1"/>
    <w:rsid w:val="00D27D5E"/>
    <w:rsid w:val="00D37345"/>
    <w:rsid w:val="00D455C5"/>
    <w:rsid w:val="00D66CCD"/>
    <w:rsid w:val="00D72ADD"/>
    <w:rsid w:val="00DC156C"/>
    <w:rsid w:val="00DC3466"/>
    <w:rsid w:val="00DE6D90"/>
    <w:rsid w:val="00DF002F"/>
    <w:rsid w:val="00E0244D"/>
    <w:rsid w:val="00E42D5E"/>
    <w:rsid w:val="00E474B4"/>
    <w:rsid w:val="00E81E94"/>
    <w:rsid w:val="00E82607"/>
    <w:rsid w:val="00EA7E5A"/>
    <w:rsid w:val="00EC5A42"/>
    <w:rsid w:val="00F62B55"/>
    <w:rsid w:val="00F63BC6"/>
    <w:rsid w:val="00FA5A79"/>
    <w:rsid w:val="00FB0073"/>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289615B0"/>
  <w15:docId w15:val="{11807B60-2B3A-47D7-96F3-F0A641D39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54A"/>
    <w:pPr>
      <w:suppressAutoHyphens/>
      <w:spacing w:line="240" w:lineRule="atLeast"/>
    </w:pPr>
    <w:rPr>
      <w:lang w:val="fr-CH" w:eastAsia="en-US"/>
    </w:rPr>
  </w:style>
  <w:style w:type="paragraph" w:styleId="Titre1">
    <w:name w:val="heading 1"/>
    <w:aliases w:val="Table_G"/>
    <w:basedOn w:val="SingleTxtG"/>
    <w:next w:val="SingleTxtG"/>
    <w:qFormat/>
    <w:rsid w:val="00D37345"/>
    <w:pPr>
      <w:keepNext/>
      <w:keepLines/>
      <w:spacing w:after="0" w:line="240" w:lineRule="auto"/>
      <w:ind w:right="0"/>
      <w:jc w:val="left"/>
      <w:outlineLvl w:val="0"/>
    </w:pPr>
  </w:style>
  <w:style w:type="paragraph" w:styleId="Titre2">
    <w:name w:val="heading 2"/>
    <w:basedOn w:val="Normal"/>
    <w:next w:val="Normal"/>
    <w:semiHidden/>
    <w:qFormat/>
    <w:rsid w:val="009C17F5"/>
    <w:pPr>
      <w:outlineLvl w:val="1"/>
    </w:pPr>
  </w:style>
  <w:style w:type="paragraph" w:styleId="Titre3">
    <w:name w:val="heading 3"/>
    <w:basedOn w:val="Normal"/>
    <w:next w:val="Normal"/>
    <w:semiHidden/>
    <w:qFormat/>
    <w:rsid w:val="009C17F5"/>
    <w:pPr>
      <w:outlineLvl w:val="2"/>
    </w:pPr>
  </w:style>
  <w:style w:type="paragraph" w:styleId="Titre4">
    <w:name w:val="heading 4"/>
    <w:basedOn w:val="Normal"/>
    <w:next w:val="Normal"/>
    <w:semiHidden/>
    <w:qFormat/>
    <w:rsid w:val="009C17F5"/>
    <w:pPr>
      <w:outlineLvl w:val="3"/>
    </w:pPr>
  </w:style>
  <w:style w:type="paragraph" w:styleId="Titre5">
    <w:name w:val="heading 5"/>
    <w:basedOn w:val="Normal"/>
    <w:next w:val="Normal"/>
    <w:semiHidden/>
    <w:qFormat/>
    <w:rsid w:val="009C17F5"/>
    <w:pPr>
      <w:outlineLvl w:val="4"/>
    </w:pPr>
  </w:style>
  <w:style w:type="paragraph" w:styleId="Titre6">
    <w:name w:val="heading 6"/>
    <w:basedOn w:val="Normal"/>
    <w:next w:val="Normal"/>
    <w:semiHidden/>
    <w:qFormat/>
    <w:rsid w:val="009C17F5"/>
    <w:pPr>
      <w:outlineLvl w:val="5"/>
    </w:pPr>
  </w:style>
  <w:style w:type="paragraph" w:styleId="Titre7">
    <w:name w:val="heading 7"/>
    <w:basedOn w:val="Normal"/>
    <w:next w:val="Normal"/>
    <w:semiHidden/>
    <w:qFormat/>
    <w:rsid w:val="009C17F5"/>
    <w:pPr>
      <w:outlineLvl w:val="6"/>
    </w:pPr>
  </w:style>
  <w:style w:type="paragraph" w:styleId="Titre8">
    <w:name w:val="heading 8"/>
    <w:basedOn w:val="Normal"/>
    <w:next w:val="Normal"/>
    <w:semiHidden/>
    <w:qFormat/>
    <w:rsid w:val="009C17F5"/>
    <w:pPr>
      <w:outlineLvl w:val="7"/>
    </w:pPr>
  </w:style>
  <w:style w:type="paragraph" w:styleId="Titre9">
    <w:name w:val="heading 9"/>
    <w:basedOn w:val="Normal"/>
    <w:next w:val="Normal"/>
    <w:semiHidden/>
    <w:qFormat/>
    <w:rsid w:val="009C17F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qFormat/>
    <w:rsid w:val="009C17F5"/>
    <w:pPr>
      <w:numPr>
        <w:numId w:val="1"/>
      </w:numPr>
      <w:spacing w:after="120"/>
      <w:ind w:right="1134"/>
      <w:jc w:val="both"/>
    </w:pPr>
  </w:style>
  <w:style w:type="paragraph" w:customStyle="1" w:styleId="Bullet2G">
    <w:name w:val="_Bullet 2_G"/>
    <w:basedOn w:val="Normal"/>
    <w:qFormat/>
    <w:rsid w:val="009C17F5"/>
    <w:pPr>
      <w:numPr>
        <w:numId w:val="2"/>
      </w:numPr>
      <w:spacing w:after="120"/>
      <w:ind w:right="1134"/>
      <w:jc w:val="both"/>
    </w:pPr>
  </w:style>
  <w:style w:type="character" w:styleId="Appelnotedebasdep">
    <w:name w:val="footnote reference"/>
    <w:aliases w:val="4_G"/>
    <w:basedOn w:val="Policepardfaut"/>
    <w:qFormat/>
    <w:rsid w:val="009C17F5"/>
    <w:rPr>
      <w:rFonts w:ascii="Times New Roman" w:hAnsi="Times New Roman"/>
      <w:sz w:val="18"/>
      <w:vertAlign w:val="superscript"/>
      <w:lang w:val="fr-CH"/>
    </w:rPr>
  </w:style>
  <w:style w:type="character" w:styleId="Appeldenotedefin">
    <w:name w:val="endnote reference"/>
    <w:aliases w:val="1_G"/>
    <w:basedOn w:val="Appelnotedebasdep"/>
    <w:qFormat/>
    <w:rsid w:val="009C17F5"/>
    <w:rPr>
      <w:rFonts w:ascii="Times New Roman" w:hAnsi="Times New Roman"/>
      <w:sz w:val="18"/>
      <w:vertAlign w:val="superscript"/>
      <w:lang w:val="fr-CH"/>
    </w:rPr>
  </w:style>
  <w:style w:type="paragraph" w:styleId="En-tte">
    <w:name w:val="header"/>
    <w:aliases w:val="6_G"/>
    <w:basedOn w:val="Normal"/>
    <w:next w:val="Normal"/>
    <w:qFormat/>
    <w:rsid w:val="009C17F5"/>
    <w:pPr>
      <w:pBdr>
        <w:bottom w:val="single" w:sz="4" w:space="4" w:color="auto"/>
      </w:pBdr>
      <w:spacing w:line="240" w:lineRule="auto"/>
    </w:pPr>
    <w:rPr>
      <w:b/>
      <w:sz w:val="18"/>
    </w:rPr>
  </w:style>
  <w:style w:type="paragraph" w:styleId="Notedebasdepage">
    <w:name w:val="footnote text"/>
    <w:aliases w:val="5_G"/>
    <w:basedOn w:val="Normal"/>
    <w:qFormat/>
    <w:rsid w:val="00054609"/>
    <w:pPr>
      <w:tabs>
        <w:tab w:val="right" w:pos="1021"/>
      </w:tabs>
      <w:spacing w:line="220" w:lineRule="exact"/>
      <w:ind w:left="1134" w:right="1134" w:hanging="1134"/>
    </w:pPr>
    <w:rPr>
      <w:sz w:val="18"/>
    </w:rPr>
  </w:style>
  <w:style w:type="paragraph" w:styleId="Notedefin">
    <w:name w:val="endnote text"/>
    <w:aliases w:val="2_G"/>
    <w:basedOn w:val="Notedebasdepage"/>
    <w:qFormat/>
    <w:rsid w:val="00054609"/>
  </w:style>
  <w:style w:type="character" w:styleId="Numrodepage">
    <w:name w:val="page number"/>
    <w:aliases w:val="7_G"/>
    <w:basedOn w:val="Policepardfaut"/>
    <w:qFormat/>
    <w:rsid w:val="009C17F5"/>
    <w:rPr>
      <w:rFonts w:ascii="Times New Roman" w:hAnsi="Times New Roman"/>
      <w:b/>
      <w:sz w:val="18"/>
      <w:lang w:val="fr-CH"/>
    </w:rPr>
  </w:style>
  <w:style w:type="paragraph" w:styleId="Pieddepage">
    <w:name w:val="footer"/>
    <w:aliases w:val="3_G"/>
    <w:basedOn w:val="Normal"/>
    <w:next w:val="Normal"/>
    <w:qFormat/>
    <w:rsid w:val="009C17F5"/>
    <w:pPr>
      <w:spacing w:line="240" w:lineRule="auto"/>
    </w:pPr>
    <w:rPr>
      <w:sz w:val="16"/>
    </w:rPr>
  </w:style>
  <w:style w:type="character" w:styleId="Lienhypertexte">
    <w:name w:val="Hyperlink"/>
    <w:basedOn w:val="Policepardfaut"/>
    <w:semiHidden/>
    <w:rsid w:val="00540389"/>
    <w:rPr>
      <w:color w:val="auto"/>
      <w:u w:val="none"/>
    </w:rPr>
  </w:style>
  <w:style w:type="character" w:styleId="Lienhypertextesuivivisit">
    <w:name w:val="FollowedHyperlink"/>
    <w:basedOn w:val="Policepardfaut"/>
    <w:semiHidden/>
    <w:rsid w:val="00540389"/>
    <w:rPr>
      <w:color w:val="auto"/>
      <w:u w:val="none"/>
    </w:rPr>
  </w:style>
  <w:style w:type="table" w:styleId="Grilledutableau">
    <w:name w:val="Table Grid"/>
    <w:basedOn w:val="TableauNormal"/>
    <w:semiHidden/>
    <w:rsid w:val="00204BC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994C98"/>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94C98"/>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1</TotalTime>
  <Pages>2</Pages>
  <Words>712</Words>
  <Characters>3918</Characters>
  <Application>Microsoft Office Word</Application>
  <DocSecurity>0</DocSecurity>
  <Lines>32</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CERD/C/DZA/Q/20-21</vt:lpstr>
      <vt:lpstr>CERD/C/DJI/Q/1-2</vt:lpstr>
    </vt:vector>
  </TitlesOfParts>
  <Company>CSD</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CERD/C/DZA/Q/20-21</dc:title>
  <dc:subject>qrcode</dc:subject>
  <dc:creator>dvx</dc:creator>
  <cp:keywords/>
  <dc:description/>
  <cp:lastModifiedBy>Christine DEVOUASSOUX</cp:lastModifiedBy>
  <cp:revision>3</cp:revision>
  <cp:lastPrinted>2017-10-06T08:40:00Z</cp:lastPrinted>
  <dcterms:created xsi:type="dcterms:W3CDTF">2017-10-06T08:40:00Z</dcterms:created>
  <dcterms:modified xsi:type="dcterms:W3CDTF">2017-10-06T08:41:00Z</dcterms:modified>
</cp:coreProperties>
</file>