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hint="eastAsia"/>
        </w:rPr>
        <w:t>禁止酷刑委员会</w:t>
      </w:r>
    </w:p>
    <w:p w:rsidR="00000000" w:rsidRDefault="00000000">
      <w:pPr>
        <w:rPr>
          <w:rFonts w:hint="eastAsia"/>
        </w:rPr>
      </w:pPr>
      <w:r>
        <w:rPr>
          <w:rFonts w:hint="eastAsia"/>
        </w:rPr>
        <w:t>第三十八届会议</w:t>
      </w:r>
    </w:p>
    <w:p w:rsidR="00000000" w:rsidRDefault="00000000">
      <w:pPr>
        <w:spacing w:after="320"/>
        <w:rPr>
          <w:rFonts w:hint="eastAsia"/>
        </w:rPr>
      </w:pPr>
      <w:r>
        <w:rPr>
          <w:rFonts w:hint="eastAsia"/>
        </w:rPr>
        <w:t>2007</w:t>
      </w:r>
      <w:r>
        <w:rPr>
          <w:rFonts w:hint="eastAsia"/>
        </w:rPr>
        <w:t>年</w:t>
      </w:r>
      <w:r>
        <w:rPr>
          <w:rFonts w:hint="eastAsia"/>
        </w:rPr>
        <w:t>4</w:t>
      </w:r>
      <w:r>
        <w:rPr>
          <w:rFonts w:hint="eastAsia"/>
        </w:rPr>
        <w:t>月</w:t>
      </w:r>
      <w:r>
        <w:rPr>
          <w:rFonts w:hint="eastAsia"/>
        </w:rPr>
        <w:t>30</w:t>
      </w:r>
      <w:r>
        <w:rPr>
          <w:rFonts w:hint="eastAsia"/>
        </w:rPr>
        <w:t>日至</w:t>
      </w:r>
      <w:r>
        <w:rPr>
          <w:rFonts w:hint="eastAsia"/>
        </w:rPr>
        <w:t>5</w:t>
      </w:r>
      <w:r>
        <w:rPr>
          <w:rFonts w:hint="eastAsia"/>
        </w:rPr>
        <w:t>月</w:t>
      </w:r>
      <w:r>
        <w:rPr>
          <w:rFonts w:hint="eastAsia"/>
        </w:rPr>
        <w:t>18</w:t>
      </w:r>
      <w:r>
        <w:rPr>
          <w:rFonts w:hint="eastAsia"/>
        </w:rPr>
        <w:t>日</w:t>
      </w:r>
    </w:p>
    <w:p w:rsidR="00000000" w:rsidRDefault="00000000">
      <w:pPr>
        <w:pStyle w:val="Heading2"/>
        <w:rPr>
          <w:rFonts w:hint="eastAsia"/>
        </w:rPr>
      </w:pPr>
      <w:r>
        <w:rPr>
          <w:rFonts w:hint="eastAsia"/>
        </w:rPr>
        <w:t>审议缔约国根据《公约》第</w:t>
      </w:r>
      <w:r>
        <w:rPr>
          <w:rFonts w:hint="eastAsia"/>
        </w:rPr>
        <w:t>19</w:t>
      </w:r>
      <w:r>
        <w:rPr>
          <w:rFonts w:hint="eastAsia"/>
        </w:rPr>
        <w:t>条提交的报告</w:t>
      </w:r>
    </w:p>
    <w:p w:rsidR="00000000" w:rsidRDefault="00000000">
      <w:pPr>
        <w:pStyle w:val="Heading3"/>
        <w:rPr>
          <w:rFonts w:hint="eastAsia"/>
        </w:rPr>
      </w:pPr>
      <w:r>
        <w:rPr>
          <w:rFonts w:hint="eastAsia"/>
        </w:rPr>
        <w:t>禁止酷刑委员会的结论和建议</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荷</w:t>
      </w:r>
      <w:r>
        <w:rPr>
          <w:rFonts w:ascii="Time New Roman" w:eastAsia="SimHei" w:hAnsi="Time New Roman" w:hint="eastAsia"/>
          <w:u w:val="none"/>
        </w:rPr>
        <w:t xml:space="preserve">  </w:t>
      </w:r>
      <w:r>
        <w:rPr>
          <w:rFonts w:ascii="Time New Roman" w:eastAsia="SimHei" w:hAnsi="Time New Roman" w:hint="eastAsia"/>
          <w:u w:val="none"/>
        </w:rPr>
        <w:t>兰</w:t>
      </w:r>
    </w:p>
    <w:p w:rsidR="00000000" w:rsidRDefault="00000000">
      <w:pPr>
        <w:spacing w:after="320"/>
        <w:rPr>
          <w:rFonts w:hint="eastAsia"/>
        </w:rPr>
      </w:pPr>
      <w:r>
        <w:rPr>
          <w:rFonts w:hint="eastAsia"/>
        </w:rPr>
        <w:tab/>
        <w:t xml:space="preserve">1.  </w:t>
      </w:r>
      <w:r>
        <w:rPr>
          <w:rFonts w:hint="eastAsia"/>
        </w:rPr>
        <w:t>委员会在</w:t>
      </w:r>
      <w:r>
        <w:rPr>
          <w:rFonts w:hint="eastAsia"/>
        </w:rPr>
        <w:t>2007</w:t>
      </w:r>
      <w:r>
        <w:rPr>
          <w:rFonts w:hint="eastAsia"/>
        </w:rPr>
        <w:t>年</w:t>
      </w:r>
      <w:r>
        <w:rPr>
          <w:rFonts w:hint="eastAsia"/>
        </w:rPr>
        <w:t>5</w:t>
      </w:r>
      <w:r>
        <w:rPr>
          <w:rFonts w:hint="eastAsia"/>
        </w:rPr>
        <w:t>月</w:t>
      </w:r>
      <w:r>
        <w:rPr>
          <w:rFonts w:hint="eastAsia"/>
        </w:rPr>
        <w:t>7</w:t>
      </w:r>
      <w:r>
        <w:rPr>
          <w:rFonts w:hint="eastAsia"/>
        </w:rPr>
        <w:t>日和</w:t>
      </w:r>
      <w:r>
        <w:rPr>
          <w:rFonts w:hint="eastAsia"/>
        </w:rPr>
        <w:t>8</w:t>
      </w:r>
      <w:r>
        <w:rPr>
          <w:rFonts w:hint="eastAsia"/>
        </w:rPr>
        <w:t>日举行的第</w:t>
      </w:r>
      <w:r>
        <w:rPr>
          <w:rFonts w:hint="eastAsia"/>
        </w:rPr>
        <w:t>763</w:t>
      </w:r>
      <w:r>
        <w:rPr>
          <w:rFonts w:hint="eastAsia"/>
        </w:rPr>
        <w:t>次和</w:t>
      </w:r>
      <w:r>
        <w:rPr>
          <w:rFonts w:hint="eastAsia"/>
        </w:rPr>
        <w:t>766</w:t>
      </w:r>
      <w:r>
        <w:rPr>
          <w:rFonts w:hint="eastAsia"/>
        </w:rPr>
        <w:t>次会议</w:t>
      </w:r>
      <w:r>
        <w:rPr>
          <w:rFonts w:hint="eastAsia"/>
        </w:rPr>
        <w:t>(CAT/C/SR.763</w:t>
      </w:r>
      <w:r>
        <w:rPr>
          <w:rFonts w:hint="eastAsia"/>
        </w:rPr>
        <w:t>和</w:t>
      </w:r>
      <w:r>
        <w:rPr>
          <w:rFonts w:hint="eastAsia"/>
        </w:rPr>
        <w:t xml:space="preserve">766) </w:t>
      </w:r>
      <w:r>
        <w:rPr>
          <w:rFonts w:hint="eastAsia"/>
        </w:rPr>
        <w:t>上审议了荷兰的第四次定期报告</w:t>
      </w:r>
      <w:r>
        <w:rPr>
          <w:rFonts w:hint="eastAsia"/>
        </w:rPr>
        <w:t>(CAT/C/67/A</w:t>
      </w:r>
      <w:r>
        <w:t>dd.4</w:t>
      </w:r>
      <w:r>
        <w:rPr>
          <w:rFonts w:hint="eastAsia"/>
        </w:rPr>
        <w:t>)</w:t>
      </w:r>
      <w:r>
        <w:rPr>
          <w:rFonts w:hint="eastAsia"/>
        </w:rPr>
        <w:t>，并于</w:t>
      </w:r>
      <w:r>
        <w:rPr>
          <w:rFonts w:hint="eastAsia"/>
        </w:rPr>
        <w:t>2007</w:t>
      </w:r>
      <w:r>
        <w:rPr>
          <w:rFonts w:hint="eastAsia"/>
        </w:rPr>
        <w:t>年</w:t>
      </w:r>
      <w:r>
        <w:rPr>
          <w:rFonts w:hint="eastAsia"/>
        </w:rPr>
        <w:t>5</w:t>
      </w:r>
      <w:r>
        <w:rPr>
          <w:rFonts w:hint="eastAsia"/>
        </w:rPr>
        <w:t>月</w:t>
      </w:r>
      <w:r>
        <w:rPr>
          <w:rFonts w:hint="eastAsia"/>
        </w:rPr>
        <w:t>14</w:t>
      </w:r>
      <w:r>
        <w:rPr>
          <w:rFonts w:hint="eastAsia"/>
        </w:rPr>
        <w:t>日在第</w:t>
      </w:r>
      <w:r>
        <w:rPr>
          <w:rFonts w:hint="eastAsia"/>
        </w:rPr>
        <w:t>774</w:t>
      </w:r>
      <w:r>
        <w:rPr>
          <w:rFonts w:hint="eastAsia"/>
        </w:rPr>
        <w:t>次会议</w:t>
      </w:r>
      <w:r>
        <w:rPr>
          <w:rFonts w:hint="eastAsia"/>
        </w:rPr>
        <w:t>(CAT/C/SR.774)</w:t>
      </w:r>
      <w:r>
        <w:rPr>
          <w:rFonts w:hint="eastAsia"/>
        </w:rPr>
        <w:t>上通过了下述结论和建议。</w:t>
      </w:r>
    </w:p>
    <w:p w:rsidR="00000000" w:rsidRDefault="00000000">
      <w:pPr>
        <w:pStyle w:val="Heading3"/>
        <w:rPr>
          <w:rFonts w:hint="eastAsia"/>
        </w:rPr>
      </w:pPr>
      <w:r>
        <w:rPr>
          <w:rFonts w:hint="eastAsia"/>
          <w:u w:val="none"/>
        </w:rPr>
        <w:t xml:space="preserve">A.  </w:t>
      </w:r>
      <w:r>
        <w:rPr>
          <w:rFonts w:hint="eastAsia"/>
        </w:rPr>
        <w:t>导</w:t>
      </w:r>
      <w:r>
        <w:rPr>
          <w:rFonts w:hint="eastAsia"/>
        </w:rPr>
        <w:t xml:space="preserve">  </w:t>
      </w:r>
      <w:r>
        <w:rPr>
          <w:rFonts w:hint="eastAsia"/>
        </w:rPr>
        <w:t>言</w:t>
      </w:r>
    </w:p>
    <w:p w:rsidR="00000000" w:rsidRDefault="00000000">
      <w:pPr>
        <w:spacing w:after="320"/>
        <w:rPr>
          <w:rFonts w:hint="eastAsia"/>
        </w:rPr>
      </w:pPr>
      <w:r>
        <w:rPr>
          <w:rFonts w:hint="eastAsia"/>
        </w:rPr>
        <w:tab/>
        <w:t xml:space="preserve">2.  </w:t>
      </w:r>
      <w:r>
        <w:rPr>
          <w:rFonts w:hint="eastAsia"/>
        </w:rPr>
        <w:t>委员会欢迎荷兰</w:t>
      </w:r>
      <w:r>
        <w:rPr>
          <w:rFonts w:hint="eastAsia"/>
        </w:rPr>
        <w:t>(</w:t>
      </w:r>
      <w:r>
        <w:rPr>
          <w:rFonts w:hint="eastAsia"/>
        </w:rPr>
        <w:t>荷兰王国欧洲部分和阿鲁巴</w:t>
      </w:r>
      <w:r>
        <w:rPr>
          <w:rFonts w:hint="eastAsia"/>
        </w:rPr>
        <w:t>)</w:t>
      </w:r>
      <w:r>
        <w:rPr>
          <w:rFonts w:hint="eastAsia"/>
        </w:rPr>
        <w:t>提交第四次定期报告及其中的资料。委员会赞赏与缔约国代表团的坦率对话，并欢迎关于问题单的详细书面答复</w:t>
      </w:r>
      <w:r>
        <w:rPr>
          <w:rFonts w:hint="eastAsia"/>
        </w:rPr>
        <w:t>(CAT/C/NET/Q/4/R</w:t>
      </w:r>
      <w:r>
        <w:t>ev.1/Add.1</w:t>
      </w:r>
      <w:r>
        <w:rPr>
          <w:rFonts w:hint="eastAsia"/>
        </w:rPr>
        <w:t>)</w:t>
      </w:r>
      <w:r>
        <w:rPr>
          <w:rFonts w:hint="eastAsia"/>
        </w:rPr>
        <w:t>，包括关于在荷属安第列斯执行公约的详细资料。这便利了代表团与委员会成员之间的讨论。另外，委员会赞赏代表团对报告审议期间提出的问题和表示的关切所作的口头答复。</w:t>
      </w:r>
    </w:p>
    <w:p w:rsidR="00000000" w:rsidRDefault="00000000">
      <w:pPr>
        <w:pStyle w:val="Heading3"/>
        <w:rPr>
          <w:rFonts w:hint="eastAsia"/>
        </w:rPr>
      </w:pPr>
      <w:r>
        <w:rPr>
          <w:rFonts w:hint="eastAsia"/>
          <w:u w:val="none"/>
        </w:rPr>
        <w:t xml:space="preserve">B.  </w:t>
      </w:r>
      <w:r>
        <w:rPr>
          <w:rFonts w:hint="eastAsia"/>
        </w:rPr>
        <w:t>积极方面</w:t>
      </w:r>
    </w:p>
    <w:p w:rsidR="00000000" w:rsidRDefault="00000000">
      <w:pPr>
        <w:rPr>
          <w:rFonts w:hint="eastAsia"/>
        </w:rPr>
      </w:pPr>
      <w:r>
        <w:rPr>
          <w:rFonts w:hint="eastAsia"/>
        </w:rPr>
        <w:tab/>
        <w:t xml:space="preserve">3.  </w:t>
      </w:r>
      <w:r>
        <w:rPr>
          <w:rFonts w:hint="eastAsia"/>
        </w:rPr>
        <w:t>委员会满意地注意到缔约国为在荷兰王国禁止酷刑和保障个人不受酷刑和其他残忍、不人道或有辱人格待遇或处罚正在进行的努力，特别是：</w:t>
      </w:r>
    </w:p>
    <w:p w:rsidR="00000000" w:rsidRDefault="00000000">
      <w:pPr>
        <w:numPr>
          <w:ilvl w:val="0"/>
          <w:numId w:val="107"/>
        </w:numPr>
        <w:rPr>
          <w:rFonts w:hint="eastAsia"/>
        </w:rPr>
      </w:pPr>
      <w:r>
        <w:rPr>
          <w:rFonts w:hint="eastAsia"/>
        </w:rPr>
        <w:t>在荷兰王国欧洲部分的国内法中采纳了酷刑定义；</w:t>
      </w:r>
    </w:p>
    <w:p w:rsidR="00000000" w:rsidRDefault="00000000">
      <w:pPr>
        <w:numPr>
          <w:ilvl w:val="0"/>
          <w:numId w:val="107"/>
        </w:numPr>
        <w:rPr>
          <w:rFonts w:hint="eastAsia"/>
        </w:rPr>
      </w:pPr>
      <w:r>
        <w:rPr>
          <w:rFonts w:hint="eastAsia"/>
        </w:rPr>
        <w:t>2007</w:t>
      </w:r>
      <w:r>
        <w:rPr>
          <w:rFonts w:hint="eastAsia"/>
        </w:rPr>
        <w:t>年</w:t>
      </w:r>
      <w:r>
        <w:rPr>
          <w:rFonts w:hint="eastAsia"/>
        </w:rPr>
        <w:t>4</w:t>
      </w:r>
      <w:r>
        <w:rPr>
          <w:rFonts w:hint="eastAsia"/>
        </w:rPr>
        <w:t>月《荷兰民法》修正案生效，禁止“为教育目的”、包括在家庭中的身心暴力行为；</w:t>
      </w:r>
    </w:p>
    <w:p w:rsidR="00000000" w:rsidRDefault="00000000">
      <w:pPr>
        <w:numPr>
          <w:ilvl w:val="0"/>
          <w:numId w:val="107"/>
        </w:numPr>
        <w:rPr>
          <w:rFonts w:hint="eastAsia"/>
        </w:rPr>
      </w:pPr>
      <w:r>
        <w:rPr>
          <w:rFonts w:hint="eastAsia"/>
        </w:rPr>
        <w:t>2005</w:t>
      </w:r>
      <w:r>
        <w:rPr>
          <w:rFonts w:hint="eastAsia"/>
        </w:rPr>
        <w:t>年</w:t>
      </w:r>
      <w:r>
        <w:rPr>
          <w:rFonts w:hint="eastAsia"/>
        </w:rPr>
        <w:t>1</w:t>
      </w:r>
      <w:r>
        <w:rPr>
          <w:rFonts w:hint="eastAsia"/>
        </w:rPr>
        <w:t>月在荷兰王国的欧洲部分以及</w:t>
      </w:r>
      <w:r>
        <w:rPr>
          <w:rFonts w:hint="eastAsia"/>
        </w:rPr>
        <w:t>2006</w:t>
      </w:r>
      <w:r>
        <w:rPr>
          <w:rFonts w:hint="eastAsia"/>
        </w:rPr>
        <w:t>年</w:t>
      </w:r>
      <w:r>
        <w:rPr>
          <w:rFonts w:hint="eastAsia"/>
        </w:rPr>
        <w:t>5</w:t>
      </w:r>
      <w:r>
        <w:rPr>
          <w:rFonts w:hint="eastAsia"/>
        </w:rPr>
        <w:t>月在阿鲁巴通过了关于人口贩运的新立法；</w:t>
      </w:r>
    </w:p>
    <w:p w:rsidR="00000000" w:rsidRDefault="00000000">
      <w:pPr>
        <w:numPr>
          <w:ilvl w:val="0"/>
          <w:numId w:val="107"/>
        </w:numPr>
      </w:pPr>
      <w:r>
        <w:rPr>
          <w:rFonts w:hint="eastAsia"/>
        </w:rPr>
        <w:t>颁布在阿鲁巴执行《禁止酷刑公约》的国家法令</w:t>
      </w:r>
      <w:r>
        <w:rPr>
          <w:rFonts w:hint="eastAsia"/>
        </w:rPr>
        <w:t>AB1999</w:t>
      </w:r>
      <w:r>
        <w:rPr>
          <w:rFonts w:hint="eastAsia"/>
        </w:rPr>
        <w:t>第</w:t>
      </w:r>
      <w:r>
        <w:rPr>
          <w:rFonts w:hint="eastAsia"/>
        </w:rPr>
        <w:t>8</w:t>
      </w:r>
      <w:r>
        <w:rPr>
          <w:rFonts w:hint="eastAsia"/>
        </w:rPr>
        <w:t>号与</w:t>
      </w:r>
      <w:r>
        <w:rPr>
          <w:rFonts w:hint="eastAsia"/>
        </w:rPr>
        <w:t>2005</w:t>
      </w:r>
      <w:r>
        <w:rPr>
          <w:rFonts w:hint="eastAsia"/>
        </w:rPr>
        <w:t>年</w:t>
      </w:r>
      <w:r>
        <w:rPr>
          <w:rFonts w:hint="eastAsia"/>
        </w:rPr>
        <w:t>12</w:t>
      </w:r>
      <w:r>
        <w:rPr>
          <w:rFonts w:hint="eastAsia"/>
        </w:rPr>
        <w:t>月新的《国家刑事制度法令》</w:t>
      </w:r>
      <w:r>
        <w:rPr>
          <w:rFonts w:hint="eastAsia"/>
        </w:rPr>
        <w:t>AB2005</w:t>
      </w:r>
      <w:r>
        <w:rPr>
          <w:rFonts w:hint="eastAsia"/>
        </w:rPr>
        <w:t>第</w:t>
      </w:r>
      <w:r>
        <w:rPr>
          <w:rFonts w:hint="eastAsia"/>
        </w:rPr>
        <w:t>75</w:t>
      </w:r>
      <w:r>
        <w:rPr>
          <w:rFonts w:hint="eastAsia"/>
        </w:rPr>
        <w:t>号；</w:t>
      </w:r>
    </w:p>
    <w:p w:rsidR="00000000" w:rsidRDefault="00000000">
      <w:pPr>
        <w:numPr>
          <w:ilvl w:val="0"/>
          <w:numId w:val="107"/>
        </w:numPr>
        <w:rPr>
          <w:rFonts w:hint="eastAsia"/>
        </w:rPr>
      </w:pPr>
      <w:r>
        <w:rPr>
          <w:rFonts w:hint="eastAsia"/>
        </w:rPr>
        <w:t>设立内部调查局，受理和调查关于阿鲁巴警官虐待行为的投诉和报告；</w:t>
      </w:r>
    </w:p>
    <w:p w:rsidR="00000000" w:rsidRDefault="00000000">
      <w:pPr>
        <w:numPr>
          <w:ilvl w:val="0"/>
          <w:numId w:val="107"/>
        </w:numPr>
        <w:rPr>
          <w:rFonts w:hint="eastAsia"/>
        </w:rPr>
      </w:pPr>
      <w:r>
        <w:rPr>
          <w:rFonts w:hint="eastAsia"/>
        </w:rPr>
        <w:t>如缔约国所报告的，改善了荷属安第列斯的监狱条件；</w:t>
      </w:r>
    </w:p>
    <w:p w:rsidR="00000000" w:rsidRDefault="00000000">
      <w:pPr>
        <w:numPr>
          <w:ilvl w:val="0"/>
          <w:numId w:val="107"/>
        </w:numPr>
        <w:rPr>
          <w:rFonts w:hint="eastAsia"/>
        </w:rPr>
      </w:pPr>
      <w:r>
        <w:rPr>
          <w:rFonts w:hint="eastAsia"/>
        </w:rPr>
        <w:t>1998</w:t>
      </w:r>
      <w:r>
        <w:rPr>
          <w:rFonts w:hint="eastAsia"/>
        </w:rPr>
        <w:t>年所设特别小组开展的引人瞩目的调查和起诉战争罪和反人类罪工作，以将犯有酷刑行为和战争罪者绳之以法；</w:t>
      </w:r>
    </w:p>
    <w:p w:rsidR="00000000" w:rsidRDefault="00000000">
      <w:pPr>
        <w:numPr>
          <w:ilvl w:val="0"/>
          <w:numId w:val="107"/>
        </w:numPr>
        <w:rPr>
          <w:rFonts w:hint="eastAsia"/>
        </w:rPr>
      </w:pPr>
      <w:r>
        <w:rPr>
          <w:rFonts w:hint="eastAsia"/>
        </w:rPr>
        <w:t>缔约国在使用外交保证方面的谨慎方针及其不实行特别引渡嫌疑犯的政策；</w:t>
      </w:r>
    </w:p>
    <w:p w:rsidR="00000000" w:rsidRDefault="00000000">
      <w:pPr>
        <w:numPr>
          <w:ilvl w:val="0"/>
          <w:numId w:val="107"/>
        </w:numPr>
        <w:rPr>
          <w:rFonts w:hint="eastAsia"/>
        </w:rPr>
      </w:pPr>
      <w:r>
        <w:rPr>
          <w:rFonts w:hint="eastAsia"/>
        </w:rPr>
        <w:t>缔约国对联合国酷刑受害者自愿基金的捐款。</w:t>
      </w:r>
    </w:p>
    <w:p w:rsidR="00000000" w:rsidRDefault="00000000">
      <w:pPr>
        <w:rPr>
          <w:rFonts w:hint="eastAsia"/>
        </w:rPr>
      </w:pPr>
      <w:r>
        <w:rPr>
          <w:rFonts w:hint="eastAsia"/>
        </w:rPr>
        <w:tab/>
        <w:t xml:space="preserve">4.  </w:t>
      </w:r>
      <w:r>
        <w:rPr>
          <w:rFonts w:hint="eastAsia"/>
        </w:rPr>
        <w:t>委员会满意地注意到缔约国于</w:t>
      </w:r>
      <w:r>
        <w:rPr>
          <w:rFonts w:hint="eastAsia"/>
        </w:rPr>
        <w:t>2002</w:t>
      </w:r>
      <w:r>
        <w:rPr>
          <w:rFonts w:hint="eastAsia"/>
        </w:rPr>
        <w:t>年批准了《消除对妇女一切形式歧视公约任择议定书》，于</w:t>
      </w:r>
      <w:r>
        <w:rPr>
          <w:rFonts w:hint="eastAsia"/>
        </w:rPr>
        <w:t>2003</w:t>
      </w:r>
      <w:r>
        <w:rPr>
          <w:rFonts w:hint="eastAsia"/>
        </w:rPr>
        <w:t>年批准了《国际刑事法院罗马规约》以及其执行法令在荷兰生效。</w:t>
      </w:r>
    </w:p>
    <w:p w:rsidR="00000000" w:rsidRDefault="00000000">
      <w:pPr>
        <w:spacing w:after="320"/>
      </w:pPr>
      <w:r>
        <w:rPr>
          <w:rFonts w:hint="eastAsia"/>
        </w:rPr>
        <w:tab/>
        <w:t xml:space="preserve">5.  </w:t>
      </w:r>
      <w:r>
        <w:rPr>
          <w:rFonts w:hint="eastAsia"/>
        </w:rPr>
        <w:t>委员会也欢迎缔约国代表保证在</w:t>
      </w:r>
      <w:r>
        <w:rPr>
          <w:rFonts w:hint="eastAsia"/>
        </w:rPr>
        <w:t>2007</w:t>
      </w:r>
      <w:r>
        <w:rPr>
          <w:rFonts w:hint="eastAsia"/>
        </w:rPr>
        <w:t>年下半年批准《禁止酷刑和其他残忍、不人道或有辱人格的待遇或处罚公约任择议定书》。</w:t>
      </w:r>
    </w:p>
    <w:p w:rsidR="00000000" w:rsidRDefault="00000000">
      <w:pPr>
        <w:pStyle w:val="Heading3"/>
        <w:rPr>
          <w:rFonts w:hint="eastAsia"/>
        </w:rPr>
      </w:pPr>
      <w:r>
        <w:rPr>
          <w:u w:val="none"/>
        </w:rPr>
        <w:br w:type="page"/>
        <w:t xml:space="preserve">C.  </w:t>
      </w:r>
      <w:r>
        <w:rPr>
          <w:rFonts w:hint="eastAsia"/>
        </w:rPr>
        <w:t>关切的主要问题和建议</w:t>
      </w:r>
    </w:p>
    <w:p w:rsidR="00000000" w:rsidRDefault="00000000">
      <w:pPr>
        <w:pStyle w:val="Heading4"/>
        <w:rPr>
          <w:rFonts w:hint="eastAsia"/>
        </w:rPr>
      </w:pPr>
      <w:r>
        <w:rPr>
          <w:rFonts w:hint="eastAsia"/>
        </w:rPr>
        <w:t>基本保障</w:t>
      </w:r>
    </w:p>
    <w:p w:rsidR="00000000" w:rsidRDefault="00000000">
      <w:pPr>
        <w:rPr>
          <w:rFonts w:hint="eastAsia"/>
        </w:rPr>
      </w:pPr>
      <w:r>
        <w:rPr>
          <w:rFonts w:hint="eastAsia"/>
        </w:rPr>
        <w:tab/>
        <w:t xml:space="preserve">6.  </w:t>
      </w:r>
      <w:r>
        <w:rPr>
          <w:rFonts w:hint="eastAsia"/>
        </w:rPr>
        <w:t>尽管缔约国于</w:t>
      </w:r>
      <w:r>
        <w:rPr>
          <w:rFonts w:hint="eastAsia"/>
        </w:rPr>
        <w:t>2006</w:t>
      </w:r>
      <w:r>
        <w:rPr>
          <w:rFonts w:hint="eastAsia"/>
        </w:rPr>
        <w:t>年在王国欧洲部分设立了一个“提高和改进警官和检察官业绩质量的方案”</w:t>
      </w:r>
      <w:r>
        <w:rPr>
          <w:rFonts w:hint="eastAsia"/>
        </w:rPr>
        <w:t>(CAT/C/NET/Q/4/R</w:t>
      </w:r>
      <w:r>
        <w:t>ev.1/Add.1,</w:t>
      </w:r>
      <w:r>
        <w:rPr>
          <w:rFonts w:hint="eastAsia"/>
        </w:rPr>
        <w:t xml:space="preserve"> </w:t>
      </w:r>
      <w:r>
        <w:rPr>
          <w:rFonts w:hint="eastAsia"/>
        </w:rPr>
        <w:t>第</w:t>
      </w:r>
      <w:r>
        <w:rPr>
          <w:rFonts w:hint="eastAsia"/>
        </w:rPr>
        <w:t>50</w:t>
      </w:r>
      <w:r>
        <w:rPr>
          <w:rFonts w:hint="eastAsia"/>
        </w:rPr>
        <w:t>段</w:t>
      </w:r>
      <w:r>
        <w:rPr>
          <w:rFonts w:hint="eastAsia"/>
        </w:rPr>
        <w:t>)</w:t>
      </w:r>
      <w:r>
        <w:rPr>
          <w:rFonts w:hint="eastAsia"/>
        </w:rPr>
        <w:t>，但委员会关切的是，被警察拘押的人在审讯初期得不到法律协助。委员会同样关切的是，在荷属安第列斯，只有经过法官事先批准才允许律师列席审讯。</w:t>
      </w:r>
    </w:p>
    <w:p w:rsidR="00000000" w:rsidRDefault="00000000">
      <w:pPr>
        <w:spacing w:after="240"/>
        <w:ind w:left="1040"/>
        <w:rPr>
          <w:rFonts w:ascii="Time New Roman" w:eastAsia="SimHei" w:hAnsi="Time New Roman"/>
        </w:rPr>
      </w:pPr>
      <w:r>
        <w:rPr>
          <w:rFonts w:ascii="Time New Roman" w:eastAsia="SimHei" w:hAnsi="Time New Roman" w:hint="eastAsia"/>
        </w:rPr>
        <w:tab/>
      </w:r>
      <w:r>
        <w:rPr>
          <w:rFonts w:ascii="Time New Roman" w:eastAsia="SimHei" w:hAnsi="Time New Roman" w:hint="eastAsia"/>
        </w:rPr>
        <w:t>缔约国应当审查其刑法程序，以便作为基本法律保障的“接触律师”对被警察拘押者从其被剥夺自由一开始就予以保证，特别是在没有录像或录音</w:t>
      </w:r>
      <w:r>
        <w:rPr>
          <w:rFonts w:ascii="Time New Roman" w:eastAsia="SimHei" w:hAnsi="Time New Roman" w:hint="eastAsia"/>
          <w:spacing w:val="-50"/>
        </w:rPr>
        <w:t>―</w:t>
      </w:r>
      <w:r>
        <w:rPr>
          <w:rFonts w:ascii="Time New Roman" w:eastAsia="SimHei" w:hAnsi="Time New Roman" w:hint="eastAsia"/>
        </w:rPr>
        <w:t>―绝不能代替律师到场</w:t>
      </w:r>
      <w:r>
        <w:rPr>
          <w:rFonts w:ascii="Time New Roman" w:eastAsia="SimHei" w:hAnsi="Time New Roman" w:hint="eastAsia"/>
          <w:spacing w:val="-50"/>
        </w:rPr>
        <w:t>―</w:t>
      </w:r>
      <w:r>
        <w:rPr>
          <w:rFonts w:ascii="Time New Roman" w:eastAsia="SimHei" w:hAnsi="Time New Roman" w:hint="eastAsia"/>
        </w:rPr>
        <w:t>―时。</w:t>
      </w:r>
    </w:p>
    <w:p w:rsidR="00000000" w:rsidRDefault="00000000">
      <w:pPr>
        <w:pStyle w:val="Heading4"/>
        <w:rPr>
          <w:rFonts w:hint="eastAsia"/>
        </w:rPr>
      </w:pPr>
      <w:r>
        <w:rPr>
          <w:rFonts w:hint="eastAsia"/>
        </w:rPr>
        <w:t>不驱回</w:t>
      </w:r>
    </w:p>
    <w:p w:rsidR="00000000" w:rsidRDefault="00000000">
      <w:pPr>
        <w:rPr>
          <w:rFonts w:hint="eastAsia"/>
        </w:rPr>
      </w:pPr>
      <w:r>
        <w:tab/>
        <w:t xml:space="preserve">7.  </w:t>
      </w:r>
      <w:r>
        <w:rPr>
          <w:rFonts w:hint="eastAsia"/>
        </w:rPr>
        <w:t>委员会关切的是，在荷兰王国欧洲部分庇护申请者根据</w:t>
      </w:r>
      <w:r>
        <w:rPr>
          <w:rFonts w:hint="eastAsia"/>
        </w:rPr>
        <w:t>2000</w:t>
      </w:r>
      <w:r>
        <w:rPr>
          <w:rFonts w:hint="eastAsia"/>
        </w:rPr>
        <w:t>年《外侨法》加急程序为申请提供证明材料所面临的困难，这有可能违反《公约》第</w:t>
      </w:r>
      <w:r>
        <w:rPr>
          <w:rFonts w:hint="eastAsia"/>
        </w:rPr>
        <w:t>3</w:t>
      </w:r>
      <w:r>
        <w:rPr>
          <w:rFonts w:hint="eastAsia"/>
        </w:rPr>
        <w:t>条所规定的不驱回原则。委员会特别关切的是：</w:t>
      </w:r>
    </w:p>
    <w:p w:rsidR="00000000" w:rsidRDefault="00000000">
      <w:pPr>
        <w:numPr>
          <w:ilvl w:val="0"/>
          <w:numId w:val="108"/>
        </w:numPr>
        <w:rPr>
          <w:rFonts w:hint="eastAsia"/>
        </w:rPr>
      </w:pPr>
      <w:r>
        <w:rPr>
          <w:rFonts w:hint="eastAsia"/>
        </w:rPr>
        <w:t>48</w:t>
      </w:r>
      <w:r>
        <w:rPr>
          <w:rFonts w:hint="eastAsia"/>
        </w:rPr>
        <w:t>小时的加急程序有可能使庇护申请者，特别是儿童、无证件申请者和其他弱势者，无法为其申请适当提供证明材料；</w:t>
      </w:r>
    </w:p>
    <w:p w:rsidR="00000000" w:rsidRDefault="00000000">
      <w:pPr>
        <w:numPr>
          <w:ilvl w:val="0"/>
          <w:numId w:val="108"/>
        </w:numPr>
        <w:rPr>
          <w:rFonts w:hint="eastAsia"/>
        </w:rPr>
      </w:pPr>
      <w:r>
        <w:rPr>
          <w:rFonts w:hint="eastAsia"/>
        </w:rPr>
        <w:t>据称，从首次面试提交报告到移民和归化局做出决定，提供法律协助的时间只有</w:t>
      </w:r>
      <w:r>
        <w:rPr>
          <w:rFonts w:hint="eastAsia"/>
        </w:rPr>
        <w:t>5</w:t>
      </w:r>
      <w:r>
        <w:rPr>
          <w:rFonts w:hint="eastAsia"/>
        </w:rPr>
        <w:t>个小时，而且庇护申请者在整个过程中可能无法得到同一律师的协助；</w:t>
      </w:r>
    </w:p>
    <w:p w:rsidR="00000000" w:rsidRDefault="00000000">
      <w:pPr>
        <w:numPr>
          <w:ilvl w:val="0"/>
          <w:numId w:val="108"/>
        </w:numPr>
        <w:rPr>
          <w:rFonts w:hint="eastAsia"/>
        </w:rPr>
      </w:pPr>
      <w:r>
        <w:rPr>
          <w:rFonts w:hint="eastAsia"/>
        </w:rPr>
        <w:t>加急程序要求庇护申请者提交“理应拥有”的证明文件，在举证责任上留下很大的任意裁量余地；</w:t>
      </w:r>
    </w:p>
    <w:p w:rsidR="00000000" w:rsidRDefault="00000000">
      <w:pPr>
        <w:numPr>
          <w:ilvl w:val="0"/>
          <w:numId w:val="108"/>
        </w:numPr>
        <w:rPr>
          <w:rFonts w:hint="eastAsia"/>
        </w:rPr>
      </w:pPr>
      <w:r>
        <w:rPr>
          <w:rFonts w:hint="eastAsia"/>
        </w:rPr>
        <w:t>上诉程序仅规定对被拒申请进行“略作复查”，并限制提交新文件和资料的可能。</w:t>
      </w:r>
    </w:p>
    <w:p w:rsidR="00000000" w:rsidRDefault="00000000">
      <w:pPr>
        <w:ind w:left="1040"/>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rPr>
        <w:t>委员会注意到缔约国打算修订加急程序，尽管如此，缔约国在审查该程序时应考虑以下问题：</w:t>
      </w:r>
    </w:p>
    <w:p w:rsidR="00000000" w:rsidRDefault="00000000">
      <w:pPr>
        <w:numPr>
          <w:ilvl w:val="1"/>
          <w:numId w:val="108"/>
        </w:numPr>
        <w:ind w:left="2571"/>
        <w:rPr>
          <w:rFonts w:ascii="Time New Roman" w:eastAsia="SimHei" w:hAnsi="Time New Roman" w:hint="eastAsia"/>
        </w:rPr>
      </w:pPr>
      <w:r>
        <w:rPr>
          <w:rFonts w:ascii="Time New Roman" w:eastAsia="SimHei" w:hAnsi="Time New Roman" w:hint="eastAsia"/>
        </w:rPr>
        <w:br w:type="page"/>
      </w:r>
      <w:r>
        <w:rPr>
          <w:rFonts w:ascii="Time New Roman" w:eastAsia="SimHei" w:hAnsi="Time New Roman" w:hint="eastAsia"/>
        </w:rPr>
        <w:t>应当以那些需要国际保护者不面临遭受酷刑风险的方式处理全部庇护申请者的申请，特别是儿童、无证件申请者和其他弱势者。这可能要求缔约国为那些根据加急或正常程序可处理或可不处理的案件制定标准；</w:t>
      </w:r>
    </w:p>
    <w:p w:rsidR="00000000" w:rsidRDefault="00000000">
      <w:pPr>
        <w:numPr>
          <w:ilvl w:val="1"/>
          <w:numId w:val="108"/>
        </w:numPr>
        <w:ind w:left="2571"/>
        <w:rPr>
          <w:rFonts w:ascii="Time New Roman" w:eastAsia="SimHei" w:hAnsi="Time New Roman" w:hint="eastAsia"/>
        </w:rPr>
      </w:pPr>
      <w:r>
        <w:rPr>
          <w:rFonts w:ascii="Time New Roman" w:eastAsia="SimHei" w:hAnsi="Time New Roman" w:hint="eastAsia"/>
        </w:rPr>
        <w:t>所有庇护申请者都能够得到适当法律援助，并可从首次面试的准备到审理程序的结束酌情得到同一律师的协助；</w:t>
      </w:r>
    </w:p>
    <w:p w:rsidR="00000000" w:rsidRDefault="00000000">
      <w:pPr>
        <w:numPr>
          <w:ilvl w:val="1"/>
          <w:numId w:val="108"/>
        </w:numPr>
        <w:ind w:left="2571"/>
        <w:rPr>
          <w:rFonts w:ascii="Time New Roman" w:eastAsia="SimHei" w:hAnsi="Time New Roman" w:hint="eastAsia"/>
        </w:rPr>
      </w:pPr>
      <w:r>
        <w:rPr>
          <w:rFonts w:ascii="Time New Roman" w:eastAsia="SimHei" w:hAnsi="Time New Roman" w:hint="eastAsia"/>
        </w:rPr>
        <w:t>澄清关于庇护被要求提交的证明文件的程序；</w:t>
      </w:r>
    </w:p>
    <w:p w:rsidR="00000000" w:rsidRDefault="00000000">
      <w:pPr>
        <w:numPr>
          <w:ilvl w:val="1"/>
          <w:numId w:val="108"/>
        </w:numPr>
        <w:ind w:left="2571"/>
      </w:pPr>
      <w:r>
        <w:rPr>
          <w:rFonts w:ascii="Time New Roman" w:eastAsia="SimHei" w:hAnsi="Time New Roman" w:hint="eastAsia"/>
        </w:rPr>
        <w:t>上诉程序规定恰当地审查被拒申请，允许庇护申请者提供那些首次提交时以合理努力无法得到的事实和文件。</w:t>
      </w:r>
    </w:p>
    <w:p w:rsidR="00000000" w:rsidRDefault="00000000">
      <w:pPr>
        <w:rPr>
          <w:rFonts w:hint="eastAsia"/>
        </w:rPr>
      </w:pPr>
      <w:r>
        <w:tab/>
        <w:t xml:space="preserve">8.  </w:t>
      </w:r>
      <w:r>
        <w:rPr>
          <w:rFonts w:hint="eastAsia"/>
        </w:rPr>
        <w:t>委员会关切地注意到，在荷兰庇护审理程序中没有例行考虑医疗诊断，没有鼓励适用《伊斯坦布尔议定书》。</w:t>
      </w:r>
    </w:p>
    <w:p w:rsidR="00000000" w:rsidRDefault="00000000">
      <w:pPr>
        <w:spacing w:after="240"/>
        <w:ind w:left="1040"/>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rPr>
        <w:t>缔约国应当重新考虑有关医疗诊断作用的立场以及将医疗诊断纳入庇护审理程序。委员会也鼓励在庇护审理程序中适用《伊斯坦布尔议定书》，以及培训有关人员使用这一手册。</w:t>
      </w:r>
    </w:p>
    <w:p w:rsidR="00000000" w:rsidRDefault="00000000">
      <w:pPr>
        <w:pStyle w:val="Heading4"/>
      </w:pPr>
      <w:r>
        <w:rPr>
          <w:rFonts w:hint="eastAsia"/>
        </w:rPr>
        <w:t>无人陪伴儿童和年轻庇护申请者</w:t>
      </w:r>
    </w:p>
    <w:p w:rsidR="00000000" w:rsidRDefault="00000000">
      <w:pPr>
        <w:rPr>
          <w:spacing w:val="8"/>
        </w:rPr>
      </w:pPr>
      <w:r>
        <w:rPr>
          <w:spacing w:val="8"/>
        </w:rPr>
        <w:tab/>
        <w:t xml:space="preserve">9.  </w:t>
      </w:r>
      <w:r>
        <w:rPr>
          <w:rFonts w:hint="eastAsia"/>
          <w:spacing w:val="8"/>
        </w:rPr>
        <w:t>尽管考虑到缔约国解释说只有年龄可疑时，在荷兰王国欧洲部分才将无人陪伴儿童难民申请者置于拘留中心，但委员会对年轻难民申请者的状况依然关切。</w:t>
      </w:r>
    </w:p>
    <w:p w:rsidR="00000000" w:rsidRDefault="00000000">
      <w:pPr>
        <w:spacing w:after="240"/>
        <w:ind w:left="1040"/>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rPr>
        <w:t>缔约国应当采取措施，确保在将无人陪伴儿童因年龄无法确定而予以拘押之前应当进行核查。缔约国应当特别注意年轻庇护申请者的状况，拘押应仅作为最后措施才加以使用。缔约国应当为等待驱逐的年轻遣返者提供适当住房和教育</w:t>
      </w:r>
      <w:r>
        <w:rPr>
          <w:rFonts w:ascii="Time New Roman" w:eastAsia="SimHei" w:hAnsi="Time New Roman" w:hint="eastAsia"/>
        </w:rPr>
        <w:t>(</w:t>
      </w:r>
      <w:r>
        <w:rPr>
          <w:rFonts w:ascii="Time New Roman" w:eastAsia="SimHei" w:hAnsi="Time New Roman" w:hint="eastAsia"/>
          <w:b/>
        </w:rPr>
        <w:t>CRC</w:t>
      </w:r>
      <w:r>
        <w:rPr>
          <w:rFonts w:ascii="Time New Roman" w:eastAsia="SimHei" w:hAnsi="Time New Roman" w:hint="eastAsia"/>
        </w:rPr>
        <w:t>/</w:t>
      </w:r>
      <w:r>
        <w:rPr>
          <w:rFonts w:ascii="Time New Roman" w:eastAsia="SimHei" w:hAnsi="Time New Roman" w:hint="eastAsia"/>
          <w:b/>
        </w:rPr>
        <w:t>C</w:t>
      </w:r>
      <w:r>
        <w:rPr>
          <w:rFonts w:ascii="Time New Roman" w:eastAsia="SimHei" w:hAnsi="Time New Roman" w:hint="eastAsia"/>
        </w:rPr>
        <w:t>/</w:t>
      </w:r>
      <w:r>
        <w:rPr>
          <w:rFonts w:ascii="Time New Roman" w:eastAsia="SimHei" w:hAnsi="Time New Roman" w:hint="eastAsia"/>
          <w:b/>
        </w:rPr>
        <w:t>15</w:t>
      </w:r>
      <w:r>
        <w:rPr>
          <w:rFonts w:ascii="Time New Roman" w:eastAsia="SimHei" w:hAnsi="Time New Roman" w:hint="eastAsia"/>
        </w:rPr>
        <w:t>/</w:t>
      </w:r>
      <w:r>
        <w:rPr>
          <w:rFonts w:ascii="Time New Roman" w:eastAsia="SimHei" w:hAnsi="Time New Roman" w:hint="eastAsia"/>
          <w:b/>
        </w:rPr>
        <w:t>A</w:t>
      </w:r>
      <w:r>
        <w:rPr>
          <w:rFonts w:ascii="Time New Roman" w:eastAsia="SimHei" w:hAnsi="Time New Roman"/>
          <w:b/>
        </w:rPr>
        <w:t>dd</w:t>
      </w:r>
      <w:r>
        <w:rPr>
          <w:rFonts w:ascii="Time New Roman" w:eastAsia="SimHei" w:hAnsi="Time New Roman"/>
        </w:rPr>
        <w:t>.</w:t>
      </w:r>
      <w:r>
        <w:rPr>
          <w:rFonts w:ascii="Time New Roman" w:eastAsia="SimHei" w:hAnsi="Time New Roman"/>
          <w:b/>
        </w:rPr>
        <w:t>2</w:t>
      </w:r>
      <w:r>
        <w:rPr>
          <w:rFonts w:ascii="Time New Roman" w:eastAsia="SimHei" w:hAnsi="Time New Roman" w:hint="eastAsia"/>
          <w:b/>
        </w:rPr>
        <w:t xml:space="preserve">27, </w:t>
      </w:r>
      <w:r>
        <w:rPr>
          <w:rFonts w:ascii="Time New Roman" w:eastAsia="SimHei" w:hAnsi="Time New Roman" w:hint="eastAsia"/>
        </w:rPr>
        <w:t>第</w:t>
      </w:r>
      <w:r>
        <w:rPr>
          <w:rFonts w:ascii="Time New Roman" w:eastAsia="SimHei" w:hAnsi="Time New Roman" w:hint="eastAsia"/>
          <w:b/>
        </w:rPr>
        <w:t>54</w:t>
      </w:r>
      <w:r>
        <w:rPr>
          <w:rFonts w:ascii="Time New Roman" w:eastAsia="SimHei" w:hAnsi="Time New Roman" w:hint="eastAsia"/>
        </w:rPr>
        <w:t>段</w:t>
      </w:r>
      <w:r>
        <w:rPr>
          <w:rFonts w:ascii="Time New Roman" w:eastAsia="SimHei" w:hAnsi="Time New Roman" w:hint="eastAsia"/>
        </w:rPr>
        <w:t>(</w:t>
      </w:r>
      <w:r>
        <w:rPr>
          <w:rFonts w:ascii="Time New Roman" w:eastAsia="SimHei" w:hAnsi="Time New Roman"/>
          <w:b/>
        </w:rPr>
        <w:t>d</w:t>
      </w:r>
      <w:r>
        <w:rPr>
          <w:rFonts w:ascii="Time New Roman" w:eastAsia="SimHei" w:hAnsi="Time New Roman" w:hint="eastAsia"/>
        </w:rPr>
        <w:t>))</w:t>
      </w:r>
      <w:r>
        <w:rPr>
          <w:rFonts w:ascii="Time New Roman" w:eastAsia="SimHei" w:hAnsi="Time New Roman" w:hint="eastAsia"/>
        </w:rPr>
        <w:t>。</w:t>
      </w:r>
    </w:p>
    <w:p w:rsidR="00000000" w:rsidRDefault="00000000">
      <w:pPr>
        <w:pStyle w:val="Heading4"/>
        <w:rPr>
          <w:rFonts w:hint="eastAsia"/>
        </w:rPr>
      </w:pPr>
      <w:r>
        <w:rPr>
          <w:rFonts w:hint="eastAsia"/>
        </w:rPr>
        <w:t>审前拘押</w:t>
      </w:r>
    </w:p>
    <w:p w:rsidR="00000000" w:rsidRDefault="00000000">
      <w:r>
        <w:rPr>
          <w:rFonts w:hint="eastAsia"/>
        </w:rPr>
        <w:tab/>
        <w:t xml:space="preserve">10.  </w:t>
      </w:r>
      <w:r>
        <w:rPr>
          <w:rFonts w:hint="eastAsia"/>
        </w:rPr>
        <w:t>委员会对审前拘押时间过长、以及在阿鲁巴和荷属安第列斯的未定罪被拘押者人数很多表示关切。</w:t>
      </w:r>
    </w:p>
    <w:p w:rsidR="00000000" w:rsidRDefault="00000000">
      <w:pPr>
        <w:spacing w:after="240"/>
        <w:ind w:left="1040"/>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rPr>
        <w:t>缔约国应当采取适当措施，减少审前拘押期以及未定罪被拘押者的人数，并应当考虑替代措施，限制使用预防性拘押。</w:t>
      </w:r>
    </w:p>
    <w:p w:rsidR="00000000" w:rsidRDefault="00000000">
      <w:pPr>
        <w:pStyle w:val="Heading4"/>
        <w:rPr>
          <w:rFonts w:hint="eastAsia"/>
        </w:rPr>
      </w:pPr>
      <w:r>
        <w:rPr>
          <w:rFonts w:hint="eastAsia"/>
        </w:rPr>
        <w:t>被捕、被关押和服刑者的拘押和待遇</w:t>
      </w:r>
    </w:p>
    <w:p w:rsidR="00000000" w:rsidRDefault="00000000">
      <w:pPr>
        <w:rPr>
          <w:rFonts w:hint="eastAsia"/>
        </w:rPr>
      </w:pPr>
      <w:r>
        <w:rPr>
          <w:rFonts w:hint="eastAsia"/>
        </w:rPr>
        <w:tab/>
        <w:t xml:space="preserve">11.  </w:t>
      </w:r>
      <w:r>
        <w:rPr>
          <w:rFonts w:hint="eastAsia"/>
        </w:rPr>
        <w:t>尽管承认缔约国努力为</w:t>
      </w:r>
      <w:r>
        <w:rPr>
          <w:rFonts w:hint="eastAsia"/>
        </w:rPr>
        <w:t>15</w:t>
      </w:r>
      <w:r>
        <w:rPr>
          <w:rFonts w:hint="eastAsia"/>
        </w:rPr>
        <w:t>岁以下少年提供了适当居住设施，并继续努力改善荷属安第列斯的监狱条件，但委员会感到关切的是：</w:t>
      </w:r>
    </w:p>
    <w:p w:rsidR="00000000" w:rsidRDefault="00000000">
      <w:pPr>
        <w:numPr>
          <w:ilvl w:val="0"/>
          <w:numId w:val="109"/>
        </w:numPr>
        <w:rPr>
          <w:rFonts w:hint="eastAsia"/>
        </w:rPr>
      </w:pPr>
      <w:r>
        <w:rPr>
          <w:rFonts w:hint="eastAsia"/>
        </w:rPr>
        <w:t>没有为</w:t>
      </w:r>
      <w:r>
        <w:rPr>
          <w:rFonts w:hint="eastAsia"/>
        </w:rPr>
        <w:t>16-18</w:t>
      </w:r>
      <w:r>
        <w:rPr>
          <w:rFonts w:hint="eastAsia"/>
        </w:rPr>
        <w:t>岁犯罪者提供单独囚室，目前与成人犯或处于心理观察的囚犯一起关押；</w:t>
      </w:r>
    </w:p>
    <w:p w:rsidR="00000000" w:rsidRDefault="00000000">
      <w:pPr>
        <w:numPr>
          <w:ilvl w:val="0"/>
          <w:numId w:val="109"/>
        </w:numPr>
        <w:rPr>
          <w:rFonts w:hint="eastAsia"/>
        </w:rPr>
      </w:pPr>
      <w:r>
        <w:rPr>
          <w:rFonts w:hint="eastAsia"/>
        </w:rPr>
        <w:t>据报导，缺少关于少年囚犯的教育方案；</w:t>
      </w:r>
    </w:p>
    <w:p w:rsidR="00000000" w:rsidRDefault="00000000">
      <w:pPr>
        <w:numPr>
          <w:ilvl w:val="0"/>
          <w:numId w:val="109"/>
        </w:numPr>
        <w:rPr>
          <w:rFonts w:hint="eastAsia"/>
          <w:spacing w:val="2"/>
        </w:rPr>
      </w:pPr>
      <w:r>
        <w:rPr>
          <w:rFonts w:hint="eastAsia"/>
          <w:spacing w:val="2"/>
        </w:rPr>
        <w:t>分类工作和囚室安排迟缓，目前不分年龄、刑期或法律地位而关押囚犯；</w:t>
      </w:r>
    </w:p>
    <w:p w:rsidR="00000000" w:rsidRDefault="00000000">
      <w:pPr>
        <w:ind w:left="1040"/>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rPr>
        <w:t>缔约国应当采取措施：</w:t>
      </w:r>
    </w:p>
    <w:p w:rsidR="00000000" w:rsidRDefault="00000000">
      <w:pPr>
        <w:numPr>
          <w:ilvl w:val="0"/>
          <w:numId w:val="110"/>
        </w:numPr>
        <w:ind w:left="2571"/>
        <w:rPr>
          <w:rFonts w:ascii="Time New Roman" w:eastAsia="SimHei" w:hAnsi="Time New Roman" w:hint="eastAsia"/>
        </w:rPr>
      </w:pPr>
      <w:r>
        <w:rPr>
          <w:rFonts w:ascii="Time New Roman" w:eastAsia="SimHei" w:hAnsi="Time New Roman" w:hint="eastAsia"/>
        </w:rPr>
        <w:t>尽快确保少年犯与成年犯分开；</w:t>
      </w:r>
    </w:p>
    <w:p w:rsidR="00000000" w:rsidRDefault="00000000">
      <w:pPr>
        <w:numPr>
          <w:ilvl w:val="0"/>
          <w:numId w:val="110"/>
        </w:numPr>
        <w:ind w:left="2571"/>
        <w:rPr>
          <w:rFonts w:ascii="Time New Roman" w:eastAsia="SimHei" w:hAnsi="Time New Roman" w:hint="eastAsia"/>
        </w:rPr>
      </w:pPr>
      <w:r>
        <w:rPr>
          <w:rFonts w:ascii="Time New Roman" w:eastAsia="SimHei" w:hAnsi="Time New Roman" w:hint="eastAsia"/>
        </w:rPr>
        <w:t>提供教育和培训方案，帮助少年犯重返社会；</w:t>
      </w:r>
    </w:p>
    <w:p w:rsidR="00000000" w:rsidRDefault="00000000">
      <w:pPr>
        <w:numPr>
          <w:ilvl w:val="0"/>
          <w:numId w:val="110"/>
        </w:numPr>
        <w:spacing w:after="240"/>
        <w:ind w:left="2571"/>
        <w:rPr>
          <w:rFonts w:ascii="Time New Roman" w:eastAsia="SimHei" w:hAnsi="Time New Roman" w:hint="eastAsia"/>
        </w:rPr>
      </w:pPr>
      <w:r>
        <w:rPr>
          <w:rFonts w:ascii="Time New Roman" w:eastAsia="SimHei" w:hAnsi="Time New Roman" w:hint="eastAsia"/>
        </w:rPr>
        <w:t>采取迅速行动，执行囚犯的新分类和囚室安排。</w:t>
      </w:r>
    </w:p>
    <w:p w:rsidR="00000000" w:rsidRDefault="00000000">
      <w:pPr>
        <w:pStyle w:val="Heading4"/>
        <w:rPr>
          <w:rFonts w:hint="eastAsia"/>
        </w:rPr>
      </w:pPr>
      <w:r>
        <w:rPr>
          <w:rFonts w:hint="eastAsia"/>
        </w:rPr>
        <w:t>投诉权</w:t>
      </w:r>
    </w:p>
    <w:p w:rsidR="00000000" w:rsidRDefault="00000000">
      <w:pPr>
        <w:rPr>
          <w:rFonts w:hint="eastAsia"/>
        </w:rPr>
      </w:pPr>
      <w:r>
        <w:rPr>
          <w:rFonts w:hint="eastAsia"/>
        </w:rPr>
        <w:tab/>
        <w:t xml:space="preserve">12.  </w:t>
      </w:r>
      <w:r>
        <w:rPr>
          <w:rFonts w:hint="eastAsia"/>
        </w:rPr>
        <w:t>委员会关切的是，缔约国称阿鲁巴监狱发生的性侵犯或攻击的信息很少上传到监狱当局，受害者由于隐私的原因不可能提出投诉。</w:t>
      </w:r>
    </w:p>
    <w:p w:rsidR="00000000" w:rsidRDefault="00000000">
      <w:pPr>
        <w:spacing w:after="240"/>
        <w:ind w:left="1040"/>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rPr>
        <w:t>缔约国应当采取具体机制，受理性侵犯的投诉，并确保受害者的隐私，保护受害者和证人不因投诉而受到虐待或恫吓</w:t>
      </w:r>
      <w:r>
        <w:rPr>
          <w:rFonts w:ascii="Time New Roman" w:eastAsia="SimHei" w:hAnsi="Time New Roman" w:hint="eastAsia"/>
        </w:rPr>
        <w:t>(</w:t>
      </w:r>
      <w:r>
        <w:rPr>
          <w:rFonts w:ascii="Time New Roman" w:eastAsia="SimHei" w:hAnsi="Time New Roman" w:hint="eastAsia"/>
        </w:rPr>
        <w:t>第</w:t>
      </w:r>
      <w:r>
        <w:rPr>
          <w:rFonts w:ascii="Time New Roman" w:eastAsia="SimHei" w:hAnsi="Time New Roman" w:hint="eastAsia"/>
          <w:b/>
        </w:rPr>
        <w:t>13</w:t>
      </w:r>
      <w:r>
        <w:rPr>
          <w:rFonts w:ascii="Time New Roman" w:eastAsia="SimHei" w:hAnsi="Time New Roman" w:hint="eastAsia"/>
        </w:rPr>
        <w:t>条</w:t>
      </w:r>
      <w:r>
        <w:rPr>
          <w:rFonts w:ascii="Time New Roman" w:eastAsia="SimHei" w:hAnsi="Time New Roman" w:hint="eastAsia"/>
        </w:rPr>
        <w:t>)</w:t>
      </w:r>
      <w:r>
        <w:rPr>
          <w:rFonts w:ascii="Time New Roman" w:eastAsia="SimHei" w:hAnsi="Time New Roman" w:hint="eastAsia"/>
        </w:rPr>
        <w:t>。</w:t>
      </w:r>
    </w:p>
    <w:p w:rsidR="00000000" w:rsidRDefault="00000000">
      <w:pPr>
        <w:pStyle w:val="Heading4"/>
        <w:rPr>
          <w:rFonts w:hint="eastAsia"/>
        </w:rPr>
      </w:pPr>
      <w:r>
        <w:rPr>
          <w:rFonts w:hint="eastAsia"/>
        </w:rPr>
        <w:t>及时和公正的调查</w:t>
      </w:r>
    </w:p>
    <w:p w:rsidR="00000000" w:rsidRDefault="00000000">
      <w:pPr>
        <w:rPr>
          <w:rFonts w:hint="eastAsia"/>
        </w:rPr>
      </w:pPr>
      <w:r>
        <w:rPr>
          <w:rFonts w:hint="eastAsia"/>
        </w:rPr>
        <w:tab/>
        <w:t xml:space="preserve">13.  </w:t>
      </w:r>
      <w:r>
        <w:rPr>
          <w:rFonts w:hint="eastAsia"/>
        </w:rPr>
        <w:t>委员会对阿鲁巴执法官员实施的攻击案件数量表示关切。它也关切</w:t>
      </w:r>
      <w:r>
        <w:rPr>
          <w:rFonts w:hint="eastAsia"/>
          <w:spacing w:val="-50"/>
        </w:rPr>
        <w:t>―</w:t>
      </w:r>
      <w:r>
        <w:rPr>
          <w:rFonts w:hint="eastAsia"/>
        </w:rPr>
        <w:t>―如缔约国所报告的</w:t>
      </w:r>
      <w:r>
        <w:rPr>
          <w:rFonts w:hint="eastAsia"/>
          <w:spacing w:val="-50"/>
        </w:rPr>
        <w:t>―</w:t>
      </w:r>
      <w:r>
        <w:rPr>
          <w:rFonts w:hint="eastAsia"/>
        </w:rPr>
        <w:t>―从</w:t>
      </w:r>
      <w:r>
        <w:rPr>
          <w:rFonts w:hint="eastAsia"/>
        </w:rPr>
        <w:t>2005</w:t>
      </w:r>
      <w:r>
        <w:rPr>
          <w:rFonts w:hint="eastAsia"/>
        </w:rPr>
        <w:t>年</w:t>
      </w:r>
      <w:r>
        <w:rPr>
          <w:rFonts w:hint="eastAsia"/>
        </w:rPr>
        <w:t>9</w:t>
      </w:r>
      <w:r>
        <w:rPr>
          <w:rFonts w:hint="eastAsia"/>
        </w:rPr>
        <w:t>月</w:t>
      </w:r>
      <w:r>
        <w:rPr>
          <w:rFonts w:hint="eastAsia"/>
        </w:rPr>
        <w:t>1</w:t>
      </w:r>
      <w:r>
        <w:rPr>
          <w:rFonts w:hint="eastAsia"/>
        </w:rPr>
        <w:t>日至</w:t>
      </w:r>
      <w:r>
        <w:rPr>
          <w:rFonts w:hint="eastAsia"/>
        </w:rPr>
        <w:t>2007</w:t>
      </w:r>
      <w:r>
        <w:rPr>
          <w:rFonts w:hint="eastAsia"/>
        </w:rPr>
        <w:t>年</w:t>
      </w:r>
      <w:r>
        <w:rPr>
          <w:rFonts w:hint="eastAsia"/>
        </w:rPr>
        <w:t>3</w:t>
      </w:r>
      <w:r>
        <w:rPr>
          <w:rFonts w:hint="eastAsia"/>
        </w:rPr>
        <w:t>月</w:t>
      </w:r>
      <w:r>
        <w:rPr>
          <w:rFonts w:hint="eastAsia"/>
        </w:rPr>
        <w:t>21</w:t>
      </w:r>
      <w:r>
        <w:rPr>
          <w:rFonts w:hint="eastAsia"/>
        </w:rPr>
        <w:t>日向内部调查局提出的关于攻击和其他犯罪的投诉在内的</w:t>
      </w:r>
      <w:r>
        <w:rPr>
          <w:rFonts w:hint="eastAsia"/>
        </w:rPr>
        <w:t>49</w:t>
      </w:r>
      <w:r>
        <w:rPr>
          <w:rFonts w:hint="eastAsia"/>
        </w:rPr>
        <w:t>起案件中仅有两起被法院受理，但因证据不足而未能定罪。</w:t>
      </w:r>
    </w:p>
    <w:p w:rsidR="00000000" w:rsidRDefault="00000000">
      <w:pPr>
        <w:spacing w:after="240"/>
        <w:ind w:left="1040"/>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rPr>
        <w:t>缔约国应当采取一切适当措施，向警方和监狱官员发出关于不容忍酷刑、暴力和虐待的明确信息。同样，缔约国应当履行其及时、公正和彻底调查一切投诉的义务，确保罪犯受到应有的惩罚。缔约国也应当确保采取有效措施，保障那些声称受执法官员攻击者不因报案而受到恫吓和可能的报复。</w:t>
      </w:r>
    </w:p>
    <w:p w:rsidR="00000000" w:rsidRDefault="00000000">
      <w:pPr>
        <w:pStyle w:val="Heading4"/>
        <w:rPr>
          <w:rFonts w:hint="eastAsia"/>
        </w:rPr>
      </w:pPr>
      <w:r>
        <w:rPr>
          <w:rFonts w:hint="eastAsia"/>
        </w:rPr>
        <w:t>关于禁止酷刑的教育</w:t>
      </w:r>
    </w:p>
    <w:p w:rsidR="00000000" w:rsidRDefault="00000000">
      <w:pPr>
        <w:rPr>
          <w:rFonts w:hint="eastAsia"/>
        </w:rPr>
      </w:pPr>
      <w:r>
        <w:rPr>
          <w:rFonts w:hint="eastAsia"/>
        </w:rPr>
        <w:tab/>
        <w:t xml:space="preserve">14.  </w:t>
      </w:r>
      <w:r>
        <w:rPr>
          <w:rFonts w:hint="eastAsia"/>
        </w:rPr>
        <w:t>尽管注意到在王国三个地区有不同的警方和监狱官员培训方案，涵盖了人权和被拘押者权利、包括禁止酷刑，但委员会遗憾的是没有关于培训效果及其在减少酷刑、暴力和虐待事件方面效力的资料。</w:t>
      </w:r>
    </w:p>
    <w:p w:rsidR="00000000" w:rsidRDefault="00000000">
      <w:pPr>
        <w:spacing w:after="240"/>
        <w:ind w:left="1040"/>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rPr>
        <w:t>缔约国应当确保通过教育方案，使执法官员和司法官员充分了解《公约》规定。另外，缔约国应当制定和执行一种方法，评估这些培训方案对酷刑、暴力和虐待事件发生情况的效果和影响。</w:t>
      </w:r>
    </w:p>
    <w:p w:rsidR="00000000" w:rsidRDefault="00000000">
      <w:pPr>
        <w:pStyle w:val="Heading4"/>
        <w:rPr>
          <w:rFonts w:hint="eastAsia"/>
        </w:rPr>
      </w:pPr>
      <w:r>
        <w:rPr>
          <w:rFonts w:hint="eastAsia"/>
        </w:rPr>
        <w:t>人口贩运</w:t>
      </w:r>
    </w:p>
    <w:p w:rsidR="00000000" w:rsidRDefault="00000000">
      <w:pPr>
        <w:rPr>
          <w:rFonts w:hint="eastAsia"/>
        </w:rPr>
      </w:pPr>
      <w:r>
        <w:rPr>
          <w:rFonts w:hint="eastAsia"/>
        </w:rPr>
        <w:tab/>
        <w:t xml:space="preserve">15.  </w:t>
      </w:r>
      <w:r>
        <w:rPr>
          <w:rFonts w:hint="eastAsia"/>
        </w:rPr>
        <w:t>委员会尽管赞赏地注意到最近在阿鲁巴对人口贩运的刑事定罪以及缔约国起诉贩运者的国内工作，但依然对阿鲁巴有效防止人口贩运与起诉贩运者现行机制的实践和缺少资料表示关切。</w:t>
      </w:r>
    </w:p>
    <w:p w:rsidR="00000000" w:rsidRDefault="00000000">
      <w:pPr>
        <w:ind w:left="1040"/>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rPr>
        <w:t>缔约国应当加强国际合作机制，打击人口贩运，根据法律起诉犯罪者并对一切受害者提供充分保护和补救。</w:t>
      </w:r>
    </w:p>
    <w:p w:rsidR="00000000" w:rsidRDefault="00000000">
      <w:pPr>
        <w:rPr>
          <w:rFonts w:hint="eastAsia"/>
        </w:rPr>
      </w:pPr>
      <w:r>
        <w:rPr>
          <w:rFonts w:hint="eastAsia"/>
        </w:rPr>
        <w:tab/>
        <w:t xml:space="preserve">16.  </w:t>
      </w:r>
      <w:r>
        <w:rPr>
          <w:rFonts w:hint="eastAsia"/>
        </w:rPr>
        <w:t>委员会建议，为了更清楚地了解禁止酷刑的状况，缔约国应当在今后报告中系统地纳入以年龄、性别和族裔分类的数据，说明：</w:t>
      </w:r>
    </w:p>
    <w:p w:rsidR="00000000" w:rsidRDefault="00000000">
      <w:pPr>
        <w:numPr>
          <w:ilvl w:val="0"/>
          <w:numId w:val="111"/>
        </w:numPr>
        <w:rPr>
          <w:rFonts w:hint="eastAsia"/>
        </w:rPr>
      </w:pPr>
      <w:r>
        <w:rPr>
          <w:rFonts w:hint="eastAsia"/>
        </w:rPr>
        <w:t>根据正常和加急程序分别登记的庇护申请数量与申请已处理的数量；</w:t>
      </w:r>
    </w:p>
    <w:p w:rsidR="00000000" w:rsidRDefault="00000000">
      <w:pPr>
        <w:numPr>
          <w:ilvl w:val="0"/>
          <w:numId w:val="111"/>
        </w:numPr>
        <w:rPr>
          <w:rFonts w:hint="eastAsia"/>
        </w:rPr>
      </w:pPr>
      <w:r>
        <w:rPr>
          <w:rFonts w:hint="eastAsia"/>
        </w:rPr>
        <w:t>接受的申请数量；</w:t>
      </w:r>
    </w:p>
    <w:p w:rsidR="00000000" w:rsidRDefault="00000000">
      <w:pPr>
        <w:numPr>
          <w:ilvl w:val="0"/>
          <w:numId w:val="111"/>
        </w:numPr>
        <w:rPr>
          <w:rFonts w:hint="eastAsia"/>
        </w:rPr>
      </w:pPr>
      <w:r>
        <w:rPr>
          <w:rFonts w:hint="eastAsia"/>
        </w:rPr>
        <w:t>根据他们遭受过酷刑或者如果返回原籍国可能遭受酷刑而接受的庇护申请者的申请数量，以及根据性侵犯批准庇护的数据；</w:t>
      </w:r>
    </w:p>
    <w:p w:rsidR="00000000" w:rsidRDefault="00000000">
      <w:pPr>
        <w:numPr>
          <w:ilvl w:val="0"/>
          <w:numId w:val="111"/>
        </w:numPr>
        <w:rPr>
          <w:rFonts w:hint="eastAsia"/>
        </w:rPr>
      </w:pPr>
      <w:r>
        <w:rPr>
          <w:rFonts w:hint="eastAsia"/>
        </w:rPr>
        <w:t>驱回或驱逐案件的数量。</w:t>
      </w:r>
    </w:p>
    <w:p w:rsidR="00000000" w:rsidRDefault="00000000">
      <w:pPr>
        <w:rPr>
          <w:rFonts w:hint="eastAsia"/>
        </w:rPr>
      </w:pPr>
      <w:r>
        <w:rPr>
          <w:rFonts w:hint="eastAsia"/>
        </w:rPr>
        <w:tab/>
        <w:t xml:space="preserve">17.  </w:t>
      </w:r>
      <w:r>
        <w:rPr>
          <w:rFonts w:hint="eastAsia"/>
        </w:rPr>
        <w:t>委员会请缔约国在下次定期报告中，以罪行、族裔、年龄和性别分类，提供关于指称由执法官员实施酷刑和虐待的投诉及其相关的调查、起诉、刑事或纪律制裁的详细统计数据。报告也应当包括以罪行、族裔、年龄和性别分类的关于审前拘押和被定罪囚犯的统计数据。</w:t>
      </w:r>
    </w:p>
    <w:p w:rsidR="00000000" w:rsidRDefault="00000000">
      <w:pPr>
        <w:rPr>
          <w:rFonts w:ascii="Time New Roman" w:eastAsia="SimHei" w:hAnsi="Time New Roman"/>
        </w:rPr>
      </w:pPr>
      <w:r>
        <w:rPr>
          <w:rFonts w:hint="eastAsia"/>
        </w:rPr>
        <w:tab/>
        <w:t xml:space="preserve">18.  </w:t>
      </w:r>
      <w:r>
        <w:rPr>
          <w:rFonts w:hint="eastAsia"/>
        </w:rPr>
        <w:t>委员会请缔约国</w:t>
      </w:r>
      <w:r>
        <w:rPr>
          <w:rFonts w:ascii="Time New Roman" w:eastAsia="SimHei" w:hAnsi="Time New Roman" w:hint="eastAsia"/>
        </w:rPr>
        <w:t>根据人权条约机构第五次委员会间会议最近批准的国际人权条约下报告编写统一准则中的核心文件要求</w:t>
      </w:r>
      <w:r>
        <w:rPr>
          <w:rFonts w:ascii="Time New Roman" w:eastAsia="SimHei" w:hAnsi="Time New Roman" w:hint="eastAsia"/>
        </w:rPr>
        <w:t>(</w:t>
      </w:r>
      <w:r>
        <w:rPr>
          <w:rFonts w:ascii="Time New Roman" w:eastAsia="SimHei" w:hAnsi="Time New Roman" w:hint="eastAsia"/>
          <w:b/>
        </w:rPr>
        <w:t>HRI</w:t>
      </w:r>
      <w:r>
        <w:rPr>
          <w:rFonts w:ascii="Time New Roman" w:eastAsia="SimHei" w:hAnsi="Time New Roman" w:hint="eastAsia"/>
        </w:rPr>
        <w:t>/</w:t>
      </w:r>
      <w:r>
        <w:rPr>
          <w:rFonts w:ascii="Time New Roman" w:eastAsia="SimHei" w:hAnsi="Time New Roman" w:hint="eastAsia"/>
          <w:b/>
        </w:rPr>
        <w:t>MC</w:t>
      </w:r>
      <w:r>
        <w:rPr>
          <w:rFonts w:ascii="Time New Roman" w:eastAsia="SimHei" w:hAnsi="Time New Roman" w:hint="eastAsia"/>
        </w:rPr>
        <w:t>/</w:t>
      </w:r>
      <w:r>
        <w:rPr>
          <w:rFonts w:ascii="Time New Roman" w:eastAsia="SimHei" w:hAnsi="Time New Roman" w:hint="eastAsia"/>
          <w:b/>
        </w:rPr>
        <w:t>2006</w:t>
      </w:r>
      <w:r>
        <w:rPr>
          <w:rFonts w:ascii="Time New Roman" w:eastAsia="SimHei" w:hAnsi="Time New Roman" w:hint="eastAsia"/>
        </w:rPr>
        <w:t>/</w:t>
      </w:r>
      <w:r>
        <w:rPr>
          <w:rFonts w:ascii="Time New Roman" w:eastAsia="SimHei" w:hAnsi="Time New Roman" w:hint="eastAsia"/>
          <w:b/>
        </w:rPr>
        <w:t>3</w:t>
      </w:r>
      <w:r>
        <w:rPr>
          <w:rFonts w:ascii="Time New Roman" w:eastAsia="SimHei" w:hAnsi="Time New Roman" w:hint="eastAsia"/>
        </w:rPr>
        <w:t>和</w:t>
      </w:r>
      <w:r>
        <w:rPr>
          <w:rFonts w:ascii="Time New Roman" w:eastAsia="SimHei" w:hAnsi="Time New Roman" w:hint="eastAsia"/>
          <w:b/>
        </w:rPr>
        <w:t>C</w:t>
      </w:r>
      <w:r>
        <w:rPr>
          <w:rFonts w:ascii="Time New Roman" w:eastAsia="SimHei" w:hAnsi="Time New Roman"/>
          <w:b/>
        </w:rPr>
        <w:t>orr</w:t>
      </w:r>
      <w:r>
        <w:rPr>
          <w:rFonts w:ascii="Time New Roman" w:eastAsia="SimHei" w:hAnsi="Time New Roman"/>
        </w:rPr>
        <w:t>.</w:t>
      </w:r>
      <w:r>
        <w:rPr>
          <w:rFonts w:ascii="Time New Roman" w:eastAsia="SimHei" w:hAnsi="Time New Roman"/>
          <w:b/>
        </w:rPr>
        <w:t>1</w:t>
      </w:r>
      <w:r>
        <w:rPr>
          <w:rFonts w:ascii="Time New Roman" w:eastAsia="SimHei" w:hAnsi="Time New Roman"/>
        </w:rPr>
        <w:t>)</w:t>
      </w:r>
      <w:r>
        <w:rPr>
          <w:rFonts w:ascii="Time New Roman" w:eastAsia="SimHei" w:hAnsi="Time New Roman" w:hint="eastAsia"/>
        </w:rPr>
        <w:t>而提交核心文件。</w:t>
      </w:r>
    </w:p>
    <w:p w:rsidR="00000000" w:rsidRDefault="00000000">
      <w:pPr>
        <w:rPr>
          <w:rFonts w:hint="eastAsia"/>
        </w:rPr>
      </w:pPr>
      <w:r>
        <w:tab/>
        <w:t xml:space="preserve">19.  </w:t>
      </w:r>
      <w:r>
        <w:rPr>
          <w:rFonts w:hint="eastAsia"/>
        </w:rPr>
        <w:t>委员会请缔约国在一年内提交关于对上述第</w:t>
      </w:r>
      <w:r>
        <w:rPr>
          <w:rFonts w:hint="eastAsia"/>
        </w:rPr>
        <w:t>11</w:t>
      </w:r>
      <w:r>
        <w:rPr>
          <w:rFonts w:hint="eastAsia"/>
        </w:rPr>
        <w:t>段和</w:t>
      </w:r>
      <w:r>
        <w:rPr>
          <w:rFonts w:hint="eastAsia"/>
        </w:rPr>
        <w:t>12</w:t>
      </w:r>
      <w:r>
        <w:rPr>
          <w:rFonts w:hint="eastAsia"/>
        </w:rPr>
        <w:t>段所载委员会建议所采取的对应措施的资料。</w:t>
      </w:r>
    </w:p>
    <w:p w:rsidR="00000000" w:rsidRDefault="00000000">
      <w:pPr>
        <w:rPr>
          <w:rFonts w:hint="eastAsia"/>
        </w:rPr>
      </w:pPr>
      <w:r>
        <w:rPr>
          <w:rFonts w:hint="eastAsia"/>
        </w:rPr>
        <w:tab/>
        <w:t xml:space="preserve">20.  </w:t>
      </w:r>
      <w:r>
        <w:rPr>
          <w:rFonts w:hint="eastAsia"/>
        </w:rPr>
        <w:t>鼓励缔约国以适当语言，通过官方网站向媒体和非政府组织广泛传播向委员会提交的报告以及委员会的结论和建议。</w:t>
      </w:r>
    </w:p>
    <w:p w:rsidR="00000000" w:rsidRDefault="00000000">
      <w:pPr>
        <w:rPr>
          <w:rFonts w:hint="eastAsia"/>
        </w:rPr>
      </w:pPr>
      <w:r>
        <w:rPr>
          <w:rFonts w:hint="eastAsia"/>
        </w:rPr>
        <w:tab/>
        <w:t xml:space="preserve">21.  </w:t>
      </w:r>
      <w:r>
        <w:rPr>
          <w:rFonts w:hint="eastAsia"/>
        </w:rPr>
        <w:t>请缔约国在</w:t>
      </w:r>
      <w:r>
        <w:rPr>
          <w:rFonts w:hint="eastAsia"/>
        </w:rPr>
        <w:t>2011</w:t>
      </w:r>
      <w:r>
        <w:rPr>
          <w:rFonts w:hint="eastAsia"/>
        </w:rPr>
        <w:t>年</w:t>
      </w:r>
      <w:r>
        <w:rPr>
          <w:rFonts w:hint="eastAsia"/>
        </w:rPr>
        <w:t>6</w:t>
      </w:r>
      <w:r>
        <w:rPr>
          <w:rFonts w:hint="eastAsia"/>
        </w:rPr>
        <w:t>月</w:t>
      </w:r>
      <w:r>
        <w:rPr>
          <w:rFonts w:hint="eastAsia"/>
        </w:rPr>
        <w:t>30</w:t>
      </w:r>
      <w:r>
        <w:rPr>
          <w:rFonts w:hint="eastAsia"/>
        </w:rPr>
        <w:t>日之前提交涵盖荷兰王国所有部分的第六次定期报告，特别是关于荷属安第列斯的更详细和全面的资料。</w:t>
      </w:r>
    </w:p>
    <w:p w:rsidR="00000000" w:rsidRDefault="00000000"/>
    <w:p w:rsidR="00000000" w:rsidRDefault="00000000"/>
    <w:p w:rsidR="00000000" w:rsidRDefault="00000000">
      <w:pPr>
        <w:jc w:val="center"/>
      </w:pPr>
      <w:r>
        <w:t>--  --  --  --  --</w:t>
      </w:r>
    </w:p>
    <w:sectPr w:rsidR="00000000">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07-43357 (C)</w:t>
          </w:r>
        </w:p>
      </w:tc>
      <w:tc>
        <w:tcPr>
          <w:tcW w:w="1050" w:type="dxa"/>
        </w:tcPr>
        <w:p w:rsidR="00000000" w:rsidRDefault="00000000">
          <w:pPr>
            <w:pStyle w:val="Footer"/>
          </w:pPr>
          <w:r>
            <w:t>200807</w:t>
          </w:r>
        </w:p>
      </w:tc>
      <w:tc>
        <w:tcPr>
          <w:tcW w:w="6061" w:type="dxa"/>
        </w:tcPr>
        <w:p w:rsidR="00000000" w:rsidRDefault="00000000">
          <w:pPr>
            <w:pStyle w:val="Footer"/>
          </w:pPr>
          <w:r>
            <w:t>220807</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CAT/C/NET/CO/4</w:t>
    </w:r>
  </w:p>
  <w:p w:rsidR="00000000" w:rsidRDefault="00000000">
    <w:pPr>
      <w:pStyle w:val="Header"/>
      <w:rPr>
        <w:rStyle w:val="PageNumber"/>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rPr>
        <w:rStyle w:val="PageNumber"/>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r>
    <w:r>
      <w:tab/>
      <w:t>CAT/C/NET/CO/4</w:t>
    </w:r>
  </w:p>
  <w:p w:rsidR="00000000" w:rsidRDefault="00000000">
    <w:pPr>
      <w:pStyle w:val="Header"/>
      <w:rPr>
        <w:rStyle w:val="PageNumber"/>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rPr>
        <w:rStyle w:val="PageNumber"/>
      </w:rPr>
    </w:pPr>
  </w:p>
  <w:p w:rsidR="00000000" w:rsidRDefault="00000000">
    <w:pPr>
      <w:pStyle w:val="Header"/>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5305"/>
      <w:gridCol w:w="2534"/>
    </w:tblGrid>
    <w:tr w:rsidR="00000000">
      <w:tblPrEx>
        <w:tblCellMar>
          <w:top w:w="0" w:type="dxa"/>
          <w:bottom w:w="0" w:type="dxa"/>
        </w:tblCellMar>
      </w:tblPrEx>
      <w:tc>
        <w:tcPr>
          <w:tcW w:w="1625" w:type="dxa"/>
          <w:tcBorders>
            <w:top w:val="nil"/>
            <w:left w:val="nil"/>
            <w:bottom w:val="single" w:sz="4" w:space="0" w:color="auto"/>
            <w:right w:val="nil"/>
          </w:tcBorders>
          <w:vAlign w:val="center"/>
        </w:tcPr>
        <w:p w:rsidR="00000000" w:rsidRDefault="00000000">
          <w:pPr>
            <w:pStyle w:val="1L"/>
            <w:framePr w:w="0" w:hRule="auto" w:hSpace="0" w:wrap="auto" w:vAnchor="margin" w:hAnchor="text" w:yAlign="inline"/>
            <w:rPr>
              <w:rFonts w:ascii="Time New Roman" w:hAnsi="Time New Roman"/>
              <w:b/>
            </w:rPr>
          </w:pPr>
          <w:r>
            <w:rPr>
              <w:rFonts w:hint="eastAsia"/>
            </w:rPr>
            <w:t>联合国</w:t>
          </w:r>
        </w:p>
      </w:tc>
      <w:tc>
        <w:tcPr>
          <w:tcW w:w="5305" w:type="dxa"/>
          <w:tcBorders>
            <w:top w:val="nil"/>
            <w:left w:val="nil"/>
            <w:bottom w:val="single" w:sz="4" w:space="0" w:color="auto"/>
            <w:right w:val="nil"/>
          </w:tcBorders>
        </w:tcPr>
        <w:p w:rsidR="00000000" w:rsidRDefault="00000000">
          <w:pPr>
            <w:pStyle w:val="1L"/>
            <w:framePr w:w="0" w:hRule="auto" w:hSpace="0" w:wrap="auto" w:vAnchor="margin" w:hAnchor="text" w:yAlign="inline"/>
          </w:pPr>
        </w:p>
      </w:tc>
      <w:tc>
        <w:tcPr>
          <w:tcW w:w="2534" w:type="dxa"/>
          <w:tcBorders>
            <w:top w:val="nil"/>
            <w:left w:val="nil"/>
            <w:bottom w:val="single" w:sz="4" w:space="0" w:color="auto"/>
            <w:right w:val="nil"/>
          </w:tcBorders>
          <w:vAlign w:val="bottom"/>
        </w:tcPr>
        <w:p w:rsidR="00000000" w:rsidRDefault="00000000">
          <w:pPr>
            <w:pStyle w:val="1R1"/>
            <w:jc w:val="right"/>
            <w:rPr>
              <w:rFonts w:ascii="Arial" w:hAnsi="Arial" w:cs="Arial"/>
              <w:b w:val="0"/>
              <w:sz w:val="72"/>
            </w:rPr>
          </w:pPr>
          <w:r>
            <w:rPr>
              <w:rFonts w:ascii="Arial" w:hAnsi="Arial" w:cs="Arial"/>
              <w:sz w:val="72"/>
            </w:rPr>
            <w:t>CAT</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Start w:id="8" w:name="_MON_1238937859"/>
    <w:bookmarkStart w:id="9" w:name="_MON_1238938415"/>
    <w:bookmarkEnd w:id="0"/>
    <w:bookmarkEnd w:id="1"/>
    <w:bookmarkEnd w:id="2"/>
    <w:bookmarkEnd w:id="3"/>
    <w:bookmarkEnd w:id="4"/>
    <w:bookmarkEnd w:id="5"/>
    <w:bookmarkEnd w:id="6"/>
    <w:bookmarkEnd w:id="7"/>
    <w:bookmarkEnd w:id="8"/>
    <w:bookmarkEnd w:id="9"/>
    <w:tr w:rsidR="00000000">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6016697" r:id="rId2"/>
            </w:object>
          </w:r>
        </w:p>
      </w:tc>
      <w:tc>
        <w:tcPr>
          <w:tcW w:w="5305" w:type="dxa"/>
          <w:tcBorders>
            <w:top w:val="single" w:sz="4" w:space="0" w:color="auto"/>
            <w:left w:val="nil"/>
            <w:bottom w:val="single" w:sz="36" w:space="0" w:color="auto"/>
            <w:right w:val="nil"/>
          </w:tcBorders>
        </w:tcPr>
        <w:p w:rsidR="00000000" w:rsidRDefault="00000000">
          <w:pPr>
            <w:pStyle w:val="1m1"/>
            <w:spacing w:line="312" w:lineRule="auto"/>
            <w:rPr>
              <w:rFonts w:ascii="Time New Roman" w:hAnsi="Time New Roman"/>
              <w:spacing w:val="0"/>
              <w:sz w:val="24"/>
            </w:rPr>
          </w:pPr>
        </w:p>
        <w:p w:rsidR="00000000" w:rsidRDefault="00000000">
          <w:pPr>
            <w:pStyle w:val="1m1"/>
            <w:spacing w:line="312" w:lineRule="auto"/>
            <w:rPr>
              <w:rFonts w:ascii="Time New Roman" w:hAnsi="Time New Roman"/>
              <w:spacing w:val="-4"/>
              <w:sz w:val="32"/>
            </w:rPr>
          </w:pPr>
          <w:r>
            <w:rPr>
              <w:rFonts w:ascii="Time New Roman" w:hAnsi="Time New Roman" w:hint="eastAsia"/>
              <w:spacing w:val="-4"/>
              <w:sz w:val="32"/>
            </w:rPr>
            <w:t>禁止酷刑和其他残忍、不人道</w:t>
          </w:r>
        </w:p>
        <w:p w:rsidR="00000000" w:rsidRDefault="00000000">
          <w:pPr>
            <w:pStyle w:val="1m1"/>
            <w:spacing w:line="312" w:lineRule="auto"/>
            <w:rPr>
              <w:rFonts w:ascii="Time New Roman" w:hAnsi="Time New Roman"/>
              <w:spacing w:val="-4"/>
              <w:sz w:val="32"/>
            </w:rPr>
          </w:pPr>
          <w:r>
            <w:rPr>
              <w:rFonts w:ascii="Time New Roman" w:hAnsi="Time New Roman" w:hint="eastAsia"/>
              <w:spacing w:val="-4"/>
              <w:sz w:val="32"/>
            </w:rPr>
            <w:t>或有辱人格的待遇或处罚公约</w:t>
          </w:r>
        </w:p>
        <w:p w:rsidR="00000000" w:rsidRDefault="00000000">
          <w:pPr>
            <w:pStyle w:val="1m1"/>
            <w:spacing w:before="360" w:line="312" w:lineRule="auto"/>
            <w:rPr>
              <w:spacing w:val="0"/>
              <w:sz w:val="32"/>
            </w:rPr>
          </w:pPr>
        </w:p>
      </w:tc>
      <w:tc>
        <w:tcPr>
          <w:tcW w:w="2534" w:type="dxa"/>
          <w:tcBorders>
            <w:top w:val="single" w:sz="4" w:space="0" w:color="auto"/>
            <w:left w:val="nil"/>
            <w:bottom w:val="single" w:sz="36" w:space="0" w:color="auto"/>
            <w:right w:val="nil"/>
          </w:tcBorders>
        </w:tcPr>
        <w:p w:rsidR="00000000" w:rsidRDefault="00000000">
          <w:pPr>
            <w:pStyle w:val="Header"/>
            <w:rPr>
              <w:sz w:val="28"/>
              <w:lang w:eastAsia="zh-CN"/>
            </w:rPr>
          </w:pPr>
        </w:p>
        <w:p w:rsidR="00000000" w:rsidRDefault="00000000">
          <w:pPr>
            <w:pStyle w:val="Header"/>
          </w:pPr>
          <w:r>
            <w:t>Distr.</w:t>
          </w:r>
        </w:p>
        <w:p w:rsidR="00000000" w:rsidRDefault="00000000">
          <w:pPr>
            <w:pStyle w:val="Header"/>
          </w:pPr>
          <w:r>
            <w:t>GENERAL</w:t>
          </w:r>
        </w:p>
        <w:p w:rsidR="00000000" w:rsidRDefault="00000000">
          <w:pPr>
            <w:pStyle w:val="Header"/>
            <w:rPr>
              <w:sz w:val="12"/>
            </w:rPr>
          </w:pPr>
        </w:p>
        <w:p w:rsidR="00000000" w:rsidRDefault="00000000">
          <w:pPr>
            <w:pStyle w:val="Header"/>
          </w:pPr>
          <w:r>
            <w:t>CAT/C/NET/CO/4</w:t>
          </w:r>
        </w:p>
        <w:p w:rsidR="00000000" w:rsidRDefault="00000000">
          <w:pPr>
            <w:pStyle w:val="Header"/>
          </w:pPr>
          <w:r>
            <w:t>3 August 2007</w:t>
          </w:r>
        </w:p>
        <w:p w:rsidR="00000000" w:rsidRDefault="00000000">
          <w:pPr>
            <w:pStyle w:val="Header"/>
            <w:rPr>
              <w:sz w:val="12"/>
            </w:rPr>
          </w:pPr>
        </w:p>
        <w:p w:rsidR="00000000" w:rsidRDefault="00000000">
          <w:pPr>
            <w:pStyle w:val="Header"/>
          </w:pPr>
          <w:r>
            <w:t>CHINESE</w:t>
          </w:r>
        </w:p>
        <w:p w:rsidR="00000000" w:rsidRDefault="00000000">
          <w:pPr>
            <w:pStyle w:val="Header"/>
            <w:tabs>
              <w:tab w:val="clear" w:pos="992"/>
              <w:tab w:val="left" w:pos="993"/>
            </w:tabs>
          </w:pPr>
          <w:r>
            <w:t>Original:</w:t>
          </w:r>
          <w:r>
            <w:tab/>
            <w:t>ENGLISH</w:t>
          </w:r>
        </w:p>
        <w:p w:rsidR="00000000" w:rsidRDefault="00000000">
          <w:pPr>
            <w:pStyle w:val="Header"/>
            <w:tabs>
              <w:tab w:val="clear" w:pos="992"/>
              <w:tab w:val="left" w:pos="993"/>
            </w:tabs>
          </w:pPr>
        </w:p>
        <w:p w:rsidR="00000000" w:rsidRDefault="00000000">
          <w:pPr>
            <w:pStyle w:val="Header"/>
          </w:pPr>
        </w:p>
      </w:tc>
    </w:tr>
    <w:tr w:rsidR="00000000">
      <w:tblPrEx>
        <w:tblCellMar>
          <w:top w:w="0" w:type="dxa"/>
          <w:bottom w:w="0" w:type="dxa"/>
        </w:tblCellMar>
      </w:tblPrEx>
      <w:trPr>
        <w:trHeight w:val="264"/>
      </w:trPr>
      <w:tc>
        <w:tcPr>
          <w:tcW w:w="1625" w:type="dxa"/>
          <w:tcBorders>
            <w:top w:val="single" w:sz="36" w:space="0" w:color="auto"/>
            <w:left w:val="nil"/>
            <w:bottom w:val="nil"/>
            <w:right w:val="nil"/>
          </w:tcBorders>
          <w:noWrap/>
        </w:tcPr>
        <w:p w:rsidR="00000000" w:rsidRDefault="00000000">
          <w:pPr>
            <w:rPr>
              <w:sz w:val="16"/>
            </w:rPr>
          </w:pPr>
        </w:p>
      </w:tc>
      <w:tc>
        <w:tcPr>
          <w:tcW w:w="5305" w:type="dxa"/>
          <w:tcBorders>
            <w:top w:val="single" w:sz="36" w:space="0" w:color="auto"/>
            <w:left w:val="nil"/>
            <w:bottom w:val="nil"/>
            <w:right w:val="nil"/>
          </w:tcBorders>
          <w:noWrap/>
        </w:tcPr>
        <w:p w:rsidR="00000000" w:rsidRDefault="00000000">
          <w:pPr>
            <w:pStyle w:val="1m1"/>
            <w:spacing w:line="240" w:lineRule="auto"/>
            <w:rPr>
              <w:rFonts w:hint="eastAsia"/>
              <w:sz w:val="16"/>
            </w:rPr>
          </w:pPr>
        </w:p>
      </w:tc>
      <w:tc>
        <w:tcPr>
          <w:tcW w:w="2534" w:type="dxa"/>
          <w:tcBorders>
            <w:top w:val="single" w:sz="36" w:space="0" w:color="auto"/>
            <w:left w:val="nil"/>
            <w:bottom w:val="nil"/>
            <w:right w:val="nil"/>
          </w:tcBorders>
          <w:noWrap/>
        </w:tcPr>
        <w:p w:rsidR="00000000" w:rsidRDefault="00000000">
          <w:pPr>
            <w:rPr>
              <w:sz w:val="16"/>
            </w:rPr>
          </w:pPr>
        </w:p>
      </w:tc>
    </w:tr>
  </w:tbl>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2">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
    <w:nsid w:val="08B8339E"/>
    <w:multiLevelType w:val="hybridMultilevel"/>
    <w:tmpl w:val="DF10FAAA"/>
    <w:lvl w:ilvl="0" w:tplc="80523CF8">
      <w:start w:val="1"/>
      <w:numFmt w:val="lowerLetter"/>
      <w:lvlRestart w:val="0"/>
      <w:lvlText w:val="(%1)"/>
      <w:lvlJc w:val="right"/>
      <w:pPr>
        <w:tabs>
          <w:tab w:val="num" w:pos="1531"/>
        </w:tabs>
        <w:ind w:left="1531" w:hanging="17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09140562"/>
    <w:multiLevelType w:val="singleLevel"/>
    <w:tmpl w:val="82686F16"/>
    <w:lvl w:ilvl="0">
      <w:start w:val="1"/>
      <w:numFmt w:val="lowerLetter"/>
      <w:lvlText w:val="(%1)"/>
      <w:lvlJc w:val="left"/>
      <w:pPr>
        <w:tabs>
          <w:tab w:val="num" w:pos="1531"/>
        </w:tabs>
        <w:ind w:left="1531" w:hanging="510"/>
      </w:pPr>
      <w:rPr>
        <w:rFonts w:hint="eastAsia"/>
      </w:rPr>
    </w:lvl>
  </w:abstractNum>
  <w:abstractNum w:abstractNumId="5">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6">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9">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
    <w:nsid w:val="10677FF5"/>
    <w:multiLevelType w:val="hybridMultilevel"/>
    <w:tmpl w:val="74D227F6"/>
    <w:lvl w:ilvl="0" w:tplc="80523CF8">
      <w:start w:val="1"/>
      <w:numFmt w:val="lowerLetter"/>
      <w:lvlRestart w:val="0"/>
      <w:lvlText w:val="(%1)"/>
      <w:lvlJc w:val="right"/>
      <w:pPr>
        <w:tabs>
          <w:tab w:val="num" w:pos="1531"/>
        </w:tabs>
        <w:ind w:left="1531" w:hanging="170"/>
      </w:pPr>
    </w:lvl>
    <w:lvl w:ilvl="1" w:tplc="80523CF8">
      <w:start w:val="1"/>
      <w:numFmt w:val="lowerLetter"/>
      <w:lvlRestart w:val="0"/>
      <w:lvlText w:val="(%2)"/>
      <w:lvlJc w:val="right"/>
      <w:pPr>
        <w:tabs>
          <w:tab w:val="num" w:pos="1531"/>
        </w:tabs>
        <w:ind w:left="1531" w:hanging="17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14">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15">
    <w:nsid w:val="158657E3"/>
    <w:multiLevelType w:val="hybridMultilevel"/>
    <w:tmpl w:val="F1003A0E"/>
    <w:lvl w:ilvl="0" w:tplc="80523CF8">
      <w:start w:val="1"/>
      <w:numFmt w:val="lowerLetter"/>
      <w:lvlRestart w:val="0"/>
      <w:lvlText w:val="(%1)"/>
      <w:lvlJc w:val="right"/>
      <w:pPr>
        <w:tabs>
          <w:tab w:val="num" w:pos="1531"/>
        </w:tabs>
        <w:ind w:left="1531" w:hanging="17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7">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8">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19">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20">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1">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22">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23">
    <w:nsid w:val="22E44274"/>
    <w:multiLevelType w:val="hybridMultilevel"/>
    <w:tmpl w:val="E132C74E"/>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2"/>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25">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6">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7">
    <w:nsid w:val="32D95CC5"/>
    <w:multiLevelType w:val="singleLevel"/>
    <w:tmpl w:val="B4A25A9E"/>
    <w:lvl w:ilvl="0">
      <w:start w:val="1"/>
      <w:numFmt w:val="lowerLetter"/>
      <w:lvlText w:val="(%1)"/>
      <w:legacy w:legacy="1" w:legacySpace="0" w:legacyIndent="425"/>
      <w:lvlJc w:val="left"/>
      <w:pPr>
        <w:ind w:left="1446" w:hanging="425"/>
      </w:pPr>
    </w:lvl>
  </w:abstractNum>
  <w:abstractNum w:abstractNumId="28">
    <w:nsid w:val="33BF5892"/>
    <w:multiLevelType w:val="singleLevel"/>
    <w:tmpl w:val="C86ED9F2"/>
    <w:lvl w:ilvl="0">
      <w:start w:val="1"/>
      <w:numFmt w:val="chineseCountingThousand"/>
      <w:lvlText w:val="(%1)"/>
      <w:lvlJc w:val="left"/>
      <w:pPr>
        <w:tabs>
          <w:tab w:val="num" w:pos="1021"/>
        </w:tabs>
        <w:ind w:left="1021" w:hanging="511"/>
      </w:pPr>
      <w:rPr>
        <w:rFonts w:hint="eastAsia"/>
        <w:sz w:val="21"/>
      </w:rPr>
    </w:lvl>
  </w:abstractNum>
  <w:abstractNum w:abstractNumId="29">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30">
    <w:nsid w:val="35165C84"/>
    <w:multiLevelType w:val="hybridMultilevel"/>
    <w:tmpl w:val="E5B4ECDE"/>
    <w:lvl w:ilvl="0" w:tplc="80523CF8">
      <w:start w:val="1"/>
      <w:numFmt w:val="lowerLetter"/>
      <w:lvlRestart w:val="0"/>
      <w:lvlText w:val="(%1)"/>
      <w:lvlJc w:val="right"/>
      <w:pPr>
        <w:tabs>
          <w:tab w:val="num" w:pos="1531"/>
        </w:tabs>
        <w:ind w:left="1531" w:hanging="17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2">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33">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34">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35">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36">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37">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8">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39">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40">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41">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2">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3">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4">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5">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46">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47">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48">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9">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50">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51">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52">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53">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54">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55">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6">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57">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58">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9">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0">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1">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62">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63">
    <w:nsid w:val="5F520E6F"/>
    <w:multiLevelType w:val="hybridMultilevel"/>
    <w:tmpl w:val="CEAC461E"/>
    <w:lvl w:ilvl="0" w:tplc="80523CF8">
      <w:start w:val="1"/>
      <w:numFmt w:val="lowerLetter"/>
      <w:lvlRestart w:val="0"/>
      <w:lvlText w:val="(%1)"/>
      <w:lvlJc w:val="right"/>
      <w:pPr>
        <w:tabs>
          <w:tab w:val="num" w:pos="1531"/>
        </w:tabs>
        <w:ind w:left="1531" w:hanging="17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4">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5">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66">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67">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68">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9">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70">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71">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2">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3">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4">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5">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6">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77">
    <w:nsid w:val="77350EFD"/>
    <w:multiLevelType w:val="hybridMultilevel"/>
    <w:tmpl w:val="67E8A7A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9">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80">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81">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82">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3">
    <w:nsid w:val="7E8035EA"/>
    <w:multiLevelType w:val="singleLevel"/>
    <w:tmpl w:val="B4A25A9E"/>
    <w:lvl w:ilvl="0">
      <w:start w:val="1"/>
      <w:numFmt w:val="lowerLetter"/>
      <w:lvlText w:val="(%1)"/>
      <w:legacy w:legacy="1" w:legacySpace="0" w:legacyIndent="425"/>
      <w:lvlJc w:val="left"/>
      <w:pPr>
        <w:ind w:left="1446" w:hanging="425"/>
      </w:pPr>
    </w:lvl>
  </w:abstractNum>
  <w:num w:numId="1">
    <w:abstractNumId w:val="27"/>
  </w:num>
  <w:num w:numId="2">
    <w:abstractNumId w:val="28"/>
  </w:num>
  <w:num w:numId="3">
    <w:abstractNumId w:val="50"/>
  </w:num>
  <w:num w:numId="4">
    <w:abstractNumId w:val="33"/>
  </w:num>
  <w:num w:numId="5">
    <w:abstractNumId w:val="78"/>
  </w:num>
  <w:num w:numId="6">
    <w:abstractNumId w:val="0"/>
  </w:num>
  <w:num w:numId="7">
    <w:abstractNumId w:val="43"/>
  </w:num>
  <w:num w:numId="8">
    <w:abstractNumId w:val="25"/>
  </w:num>
  <w:num w:numId="9">
    <w:abstractNumId w:val="9"/>
  </w:num>
  <w:num w:numId="10">
    <w:abstractNumId w:val="16"/>
  </w:num>
  <w:num w:numId="11">
    <w:abstractNumId w:val="72"/>
  </w:num>
  <w:num w:numId="12">
    <w:abstractNumId w:val="19"/>
  </w:num>
  <w:num w:numId="13">
    <w:abstractNumId w:val="76"/>
  </w:num>
  <w:num w:numId="14">
    <w:abstractNumId w:val="47"/>
  </w:num>
  <w:num w:numId="15">
    <w:abstractNumId w:val="51"/>
  </w:num>
  <w:num w:numId="16">
    <w:abstractNumId w:val="5"/>
  </w:num>
  <w:num w:numId="17">
    <w:abstractNumId w:val="82"/>
  </w:num>
  <w:num w:numId="18">
    <w:abstractNumId w:val="71"/>
  </w:num>
  <w:num w:numId="19">
    <w:abstractNumId w:val="68"/>
  </w:num>
  <w:num w:numId="20">
    <w:abstractNumId w:val="7"/>
  </w:num>
  <w:num w:numId="21">
    <w:abstractNumId w:val="49"/>
  </w:num>
  <w:num w:numId="22">
    <w:abstractNumId w:val="53"/>
  </w:num>
  <w:num w:numId="23">
    <w:abstractNumId w:val="80"/>
  </w:num>
  <w:num w:numId="24">
    <w:abstractNumId w:val="61"/>
  </w:num>
  <w:num w:numId="25">
    <w:abstractNumId w:val="59"/>
  </w:num>
  <w:num w:numId="26">
    <w:abstractNumId w:val="42"/>
  </w:num>
  <w:num w:numId="27">
    <w:abstractNumId w:val="11"/>
  </w:num>
  <w:num w:numId="28">
    <w:abstractNumId w:val="8"/>
  </w:num>
  <w:num w:numId="29">
    <w:abstractNumId w:val="83"/>
  </w:num>
  <w:num w:numId="30">
    <w:abstractNumId w:val="1"/>
  </w:num>
  <w:num w:numId="31">
    <w:abstractNumId w:val="18"/>
  </w:num>
  <w:num w:numId="32">
    <w:abstractNumId w:val="50"/>
  </w:num>
  <w:num w:numId="33">
    <w:abstractNumId w:val="33"/>
  </w:num>
  <w:num w:numId="34">
    <w:abstractNumId w:val="75"/>
  </w:num>
  <w:num w:numId="35">
    <w:abstractNumId w:val="26"/>
  </w:num>
  <w:num w:numId="36">
    <w:abstractNumId w:val="67"/>
  </w:num>
  <w:num w:numId="37">
    <w:abstractNumId w:val="66"/>
  </w:num>
  <w:num w:numId="38">
    <w:abstractNumId w:val="34"/>
  </w:num>
  <w:num w:numId="39">
    <w:abstractNumId w:val="54"/>
  </w:num>
  <w:num w:numId="40">
    <w:abstractNumId w:val="58"/>
  </w:num>
  <w:num w:numId="41">
    <w:abstractNumId w:val="73"/>
  </w:num>
  <w:num w:numId="42">
    <w:abstractNumId w:val="6"/>
  </w:num>
  <w:num w:numId="43">
    <w:abstractNumId w:val="31"/>
  </w:num>
  <w:num w:numId="44">
    <w:abstractNumId w:val="33"/>
  </w:num>
  <w:num w:numId="45">
    <w:abstractNumId w:val="50"/>
  </w:num>
  <w:num w:numId="46">
    <w:abstractNumId w:val="33"/>
  </w:num>
  <w:num w:numId="47">
    <w:abstractNumId w:val="33"/>
  </w:num>
  <w:num w:numId="48">
    <w:abstractNumId w:val="50"/>
  </w:num>
  <w:num w:numId="49">
    <w:abstractNumId w:val="50"/>
  </w:num>
  <w:num w:numId="50">
    <w:abstractNumId w:val="33"/>
  </w:num>
  <w:num w:numId="51">
    <w:abstractNumId w:val="50"/>
  </w:num>
  <w:num w:numId="52">
    <w:abstractNumId w:val="33"/>
  </w:num>
  <w:num w:numId="53">
    <w:abstractNumId w:val="33"/>
  </w:num>
  <w:num w:numId="54">
    <w:abstractNumId w:val="50"/>
  </w:num>
  <w:num w:numId="55">
    <w:abstractNumId w:val="33"/>
  </w:num>
  <w:num w:numId="56">
    <w:abstractNumId w:val="50"/>
  </w:num>
  <w:num w:numId="57">
    <w:abstractNumId w:val="33"/>
  </w:num>
  <w:num w:numId="58">
    <w:abstractNumId w:val="50"/>
  </w:num>
  <w:num w:numId="59">
    <w:abstractNumId w:val="81"/>
  </w:num>
  <w:num w:numId="60">
    <w:abstractNumId w:val="57"/>
  </w:num>
  <w:num w:numId="61">
    <w:abstractNumId w:val="69"/>
  </w:num>
  <w:num w:numId="62">
    <w:abstractNumId w:val="24"/>
  </w:num>
  <w:num w:numId="63">
    <w:abstractNumId w:val="32"/>
  </w:num>
  <w:num w:numId="64">
    <w:abstractNumId w:val="14"/>
  </w:num>
  <w:num w:numId="65">
    <w:abstractNumId w:val="62"/>
  </w:num>
  <w:num w:numId="66">
    <w:abstractNumId w:val="55"/>
  </w:num>
  <w:num w:numId="67">
    <w:abstractNumId w:val="37"/>
  </w:num>
  <w:num w:numId="68">
    <w:abstractNumId w:val="17"/>
  </w:num>
  <w:num w:numId="69">
    <w:abstractNumId w:val="56"/>
  </w:num>
  <w:num w:numId="70">
    <w:abstractNumId w:val="13"/>
  </w:num>
  <w:num w:numId="71">
    <w:abstractNumId w:val="36"/>
  </w:num>
  <w:num w:numId="72">
    <w:abstractNumId w:val="45"/>
  </w:num>
  <w:num w:numId="73">
    <w:abstractNumId w:val="79"/>
  </w:num>
  <w:num w:numId="74">
    <w:abstractNumId w:val="52"/>
  </w:num>
  <w:num w:numId="75">
    <w:abstractNumId w:val="38"/>
  </w:num>
  <w:num w:numId="76">
    <w:abstractNumId w:val="29"/>
  </w:num>
  <w:num w:numId="77">
    <w:abstractNumId w:val="4"/>
  </w:num>
  <w:num w:numId="78">
    <w:abstractNumId w:val="4"/>
  </w:num>
  <w:num w:numId="79">
    <w:abstractNumId w:val="33"/>
  </w:num>
  <w:num w:numId="80">
    <w:abstractNumId w:val="4"/>
  </w:num>
  <w:num w:numId="81">
    <w:abstractNumId w:val="50"/>
  </w:num>
  <w:num w:numId="82">
    <w:abstractNumId w:val="33"/>
  </w:num>
  <w:num w:numId="83">
    <w:abstractNumId w:val="46"/>
  </w:num>
  <w:num w:numId="84">
    <w:abstractNumId w:val="21"/>
  </w:num>
  <w:num w:numId="85">
    <w:abstractNumId w:val="65"/>
  </w:num>
  <w:num w:numId="86">
    <w:abstractNumId w:val="64"/>
  </w:num>
  <w:num w:numId="87">
    <w:abstractNumId w:val="2"/>
  </w:num>
  <w:num w:numId="88">
    <w:abstractNumId w:val="48"/>
  </w:num>
  <w:num w:numId="89">
    <w:abstractNumId w:val="20"/>
  </w:num>
  <w:num w:numId="90">
    <w:abstractNumId w:val="44"/>
  </w:num>
  <w:num w:numId="91">
    <w:abstractNumId w:val="10"/>
  </w:num>
  <w:num w:numId="92">
    <w:abstractNumId w:val="60"/>
  </w:num>
  <w:num w:numId="93">
    <w:abstractNumId w:val="41"/>
  </w:num>
  <w:num w:numId="94">
    <w:abstractNumId w:val="74"/>
  </w:num>
  <w:num w:numId="95">
    <w:abstractNumId w:val="70"/>
  </w:num>
  <w:num w:numId="96">
    <w:abstractNumId w:val="22"/>
  </w:num>
  <w:num w:numId="97">
    <w:abstractNumId w:val="39"/>
  </w:num>
  <w:num w:numId="98">
    <w:abstractNumId w:val="40"/>
  </w:num>
  <w:num w:numId="99">
    <w:abstractNumId w:val="23"/>
  </w:num>
  <w:num w:numId="100">
    <w:abstractNumId w:val="77"/>
  </w:num>
  <w:num w:numId="101">
    <w:abstractNumId w:val="77"/>
  </w:num>
  <w:num w:numId="102">
    <w:abstractNumId w:val="23"/>
  </w:num>
  <w:num w:numId="103">
    <w:abstractNumId w:val="23"/>
  </w:num>
  <w:num w:numId="104">
    <w:abstractNumId w:val="77"/>
  </w:num>
  <w:num w:numId="105">
    <w:abstractNumId w:val="23"/>
  </w:num>
  <w:num w:numId="106">
    <w:abstractNumId w:val="35"/>
  </w:num>
  <w:num w:numId="107">
    <w:abstractNumId w:val="3"/>
  </w:num>
  <w:num w:numId="108">
    <w:abstractNumId w:val="12"/>
  </w:num>
  <w:num w:numId="109">
    <w:abstractNumId w:val="15"/>
  </w:num>
  <w:num w:numId="110">
    <w:abstractNumId w:val="63"/>
  </w:num>
  <w:num w:numId="11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semiHidden/>
    <w:pPr>
      <w:overflowPunct/>
      <w:spacing w:line="240" w:lineRule="auto"/>
      <w:jc w:val="left"/>
    </w:pPr>
    <w:rPr>
      <w:rFonts w:eastAsia="KaiTi_GB2312"/>
      <w:spacing w:val="0"/>
      <w:lang w:val="en-GB" w:eastAsia="en-US"/>
    </w:rPr>
  </w:style>
  <w:style w:type="character" w:styleId="PageNumber">
    <w:name w:val="page number"/>
    <w:semiHidden/>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semiHidden/>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81"/>
      </w:numPr>
      <w:tabs>
        <w:tab w:val="clear" w:pos="510"/>
      </w:tabs>
    </w:pPr>
  </w:style>
  <w:style w:type="paragraph" w:customStyle="1" w:styleId="a">
    <w:name w:val="悬挂符号●"/>
    <w:basedOn w:val="Normal"/>
    <w:pPr>
      <w:numPr>
        <w:numId w:val="8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semiHidden/>
    <w:pPr>
      <w:widowControl w:val="0"/>
    </w:pPr>
    <w:rPr>
      <w:snapToGrid/>
    </w:rPr>
  </w:style>
  <w:style w:type="paragraph" w:customStyle="1" w:styleId="ac">
    <w:name w:val="表中文字"/>
    <w:basedOn w:val="Normal"/>
    <w:pPr>
      <w:spacing w:line="320" w:lineRule="exact"/>
    </w:pPr>
    <w:rPr>
      <w:spacing w:val="0"/>
      <w:sz w:val="21"/>
    </w:rPr>
  </w:style>
  <w:style w:type="paragraph" w:customStyle="1" w:styleId="ad">
    <w:name w:val="正文缩进"/>
    <w:basedOn w:val="Normal"/>
    <w:pPr>
      <w:ind w:left="1021" w:firstLine="510"/>
    </w:pPr>
  </w:style>
  <w:style w:type="paragraph" w:customStyle="1" w:styleId="ae">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f">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106"/>
      </w:numPr>
      <w:tabs>
        <w:tab w:val="clear" w:pos="360"/>
        <w:tab w:val="left" w:pos="737"/>
      </w:tabs>
      <w:overflowPunct/>
      <w:adjustRightInd/>
      <w:snapToGrid/>
      <w:spacing w:after="240" w:line="240" w:lineRule="auto"/>
      <w:jc w:val="left"/>
    </w:pPr>
    <w:rPr>
      <w:rFonts w:eastAsia="PMingLiU"/>
      <w:snapToGrid/>
      <w:spacing w:val="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7</Pages>
  <Words>546</Words>
  <Characters>3116</Characters>
  <Application>Microsoft Office Word</Application>
  <DocSecurity>4</DocSecurity>
  <Lines>25</Lines>
  <Paragraphs>6</Paragraphs>
  <ScaleCrop>false</ScaleCrop>
  <HeadingPairs>
    <vt:vector size="2" baseType="variant">
      <vt:variant>
        <vt:lpstr>题目</vt:lpstr>
      </vt:variant>
      <vt:variant>
        <vt:i4>1</vt:i4>
      </vt:variant>
    </vt:vector>
  </HeadingPairs>
  <TitlesOfParts>
    <vt:vector size="1" baseType="lpstr">
      <vt:lpstr>E.dot</vt:lpstr>
    </vt:vector>
  </TitlesOfParts>
  <Company>TPS_CHI</Company>
  <LinksUpToDate>false</LinksUpToDate>
  <CharactersWithSpaces>3826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JI</dc:creator>
  <cp:keywords/>
  <dc:description/>
  <cp:lastModifiedBy>TIAN</cp:lastModifiedBy>
  <cp:revision>2</cp:revision>
  <cp:lastPrinted>2007-08-22T09:13:00Z</cp:lastPrinted>
  <dcterms:created xsi:type="dcterms:W3CDTF">2007-08-22T09:22:00Z</dcterms:created>
  <dcterms:modified xsi:type="dcterms:W3CDTF">2007-08-22T09:22:00Z</dcterms:modified>
</cp:coreProperties>
</file>