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81C20" w:rsidP="00681C20">
            <w:pPr>
              <w:bidi w:val="0"/>
              <w:spacing w:after="20"/>
              <w:jc w:val="left"/>
              <w:rPr>
                <w:szCs w:val="20"/>
              </w:rPr>
            </w:pPr>
            <w:r w:rsidRPr="00681C20">
              <w:rPr>
                <w:sz w:val="40"/>
                <w:szCs w:val="20"/>
              </w:rPr>
              <w:t>CRPD</w:t>
            </w:r>
            <w:r>
              <w:rPr>
                <w:szCs w:val="20"/>
              </w:rPr>
              <w:t>/C/CHN</w:t>
            </w:r>
            <w:r w:rsidR="003847C7">
              <w:rPr>
                <w:szCs w:val="20"/>
              </w:rPr>
              <w:t>-MAC/1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681C20" w:rsidRDefault="00681C20" w:rsidP="00681C20">
            <w:pPr>
              <w:bidi w:val="0"/>
              <w:spacing w:before="240"/>
              <w:jc w:val="left"/>
            </w:pPr>
            <w:r>
              <w:t>Distr.: General</w:t>
            </w:r>
          </w:p>
          <w:p w:rsidR="00681C20" w:rsidRDefault="00681C20" w:rsidP="00681C20">
            <w:pPr>
              <w:bidi w:val="0"/>
              <w:jc w:val="left"/>
            </w:pPr>
            <w:r>
              <w:t>8 February 2010</w:t>
            </w:r>
          </w:p>
          <w:p w:rsidR="00681C20" w:rsidRDefault="00681C20" w:rsidP="00681C20">
            <w:pPr>
              <w:bidi w:val="0"/>
              <w:jc w:val="left"/>
            </w:pPr>
            <w:r>
              <w:t>Arabic</w:t>
            </w:r>
          </w:p>
          <w:p w:rsidR="00257225" w:rsidRPr="008B4BC6" w:rsidRDefault="00681C20" w:rsidP="00681C20">
            <w:pPr>
              <w:bidi w:val="0"/>
              <w:jc w:val="left"/>
            </w:pPr>
            <w:r>
              <w:t>Original: Chinese and English</w:t>
            </w:r>
          </w:p>
        </w:tc>
      </w:tr>
    </w:tbl>
    <w:p w:rsidR="008B4BC6" w:rsidRPr="00681C20" w:rsidRDefault="00681C20" w:rsidP="00681C20">
      <w:pPr>
        <w:spacing w:before="120" w:line="380" w:lineRule="exact"/>
        <w:rPr>
          <w:rFonts w:hint="cs"/>
          <w:b/>
          <w:bCs/>
          <w:sz w:val="36"/>
          <w:szCs w:val="36"/>
          <w:rtl/>
        </w:rPr>
      </w:pPr>
      <w:r w:rsidRPr="00681C20">
        <w:rPr>
          <w:rFonts w:hint="cs"/>
          <w:b/>
          <w:bCs/>
          <w:sz w:val="36"/>
          <w:szCs w:val="36"/>
          <w:rtl/>
        </w:rPr>
        <w:t>اللجنة المعنية بحقوق الأشخاص ذوي الإعاقة</w:t>
      </w:r>
    </w:p>
    <w:p w:rsidR="00681C20" w:rsidRPr="003A699A" w:rsidRDefault="00681C20" w:rsidP="00594EFE">
      <w:pPr>
        <w:pStyle w:val="HMGA"/>
        <w:spacing w:before="600"/>
        <w:rPr>
          <w:rFonts w:hint="cs"/>
          <w:rtl/>
        </w:rPr>
      </w:pPr>
      <w:r>
        <w:rPr>
          <w:rFonts w:hint="cs"/>
          <w:rtl/>
        </w:rPr>
        <w:tab/>
      </w:r>
      <w:r>
        <w:rPr>
          <w:rFonts w:hint="cs"/>
          <w:rtl/>
        </w:rPr>
        <w:tab/>
      </w:r>
      <w:r w:rsidRPr="003A699A">
        <w:rPr>
          <w:rFonts w:hint="cs"/>
          <w:rtl/>
        </w:rPr>
        <w:t>تنفيذ اتفاقية حقوق الأشخاص ذوي الإعاقة</w:t>
      </w:r>
    </w:p>
    <w:p w:rsidR="00681C20" w:rsidRPr="00594EFE" w:rsidRDefault="00681C20" w:rsidP="00681C20">
      <w:pPr>
        <w:pStyle w:val="HChGA"/>
        <w:rPr>
          <w:rFonts w:hint="cs"/>
          <w:spacing w:val="2"/>
          <w:rtl/>
        </w:rPr>
      </w:pPr>
      <w:r w:rsidRPr="00594EFE">
        <w:rPr>
          <w:rFonts w:hint="cs"/>
          <w:spacing w:val="2"/>
          <w:rtl/>
        </w:rPr>
        <w:tab/>
      </w:r>
      <w:r w:rsidRPr="00594EFE">
        <w:rPr>
          <w:rFonts w:hint="cs"/>
          <w:spacing w:val="2"/>
          <w:rtl/>
        </w:rPr>
        <w:tab/>
        <w:t>التقارير الأولية المقدمة من الدول الأطراف بموجب المادة 35 من الاتفاقية</w:t>
      </w:r>
    </w:p>
    <w:p w:rsidR="00681C20" w:rsidRPr="00681C20" w:rsidRDefault="00681C20" w:rsidP="00681C20">
      <w:pPr>
        <w:pStyle w:val="H23GA"/>
        <w:rPr>
          <w:rFonts w:hint="cs"/>
          <w:rtl/>
        </w:rPr>
      </w:pPr>
      <w:r>
        <w:rPr>
          <w:rFonts w:hint="cs"/>
          <w:rtl/>
        </w:rPr>
        <w:tab/>
      </w:r>
      <w:r>
        <w:rPr>
          <w:rFonts w:hint="cs"/>
          <w:rtl/>
        </w:rPr>
        <w:tab/>
        <w:t>إضافة</w:t>
      </w:r>
    </w:p>
    <w:p w:rsidR="00681C20" w:rsidRPr="001722C3" w:rsidRDefault="00681C20" w:rsidP="00681C20">
      <w:pPr>
        <w:pStyle w:val="HMGA"/>
        <w:rPr>
          <w:rFonts w:hint="cs"/>
          <w:rtl/>
        </w:rPr>
      </w:pPr>
      <w:r>
        <w:rPr>
          <w:rFonts w:hint="cs"/>
          <w:rtl/>
        </w:rPr>
        <w:tab/>
      </w:r>
      <w:r>
        <w:rPr>
          <w:rFonts w:hint="cs"/>
          <w:rtl/>
        </w:rPr>
        <w:tab/>
        <w:t>ماكاو، الصين</w:t>
      </w:r>
      <w:r w:rsidRPr="00A07B27">
        <w:rPr>
          <w:rStyle w:val="FootnoteReference"/>
          <w:sz w:val="20"/>
          <w:vertAlign w:val="baseline"/>
          <w:rtl/>
        </w:rPr>
        <w:footnoteReference w:customMarkFollows="1" w:id="1"/>
        <w:t>*</w:t>
      </w:r>
      <w:r>
        <w:rPr>
          <w:rFonts w:hint="cs"/>
          <w:sz w:val="20"/>
          <w:vertAlign w:val="superscript"/>
          <w:rtl/>
        </w:rPr>
        <w:t xml:space="preserve"> </w:t>
      </w:r>
      <w:r w:rsidRPr="001722C3">
        <w:rPr>
          <w:rFonts w:hint="cs"/>
          <w:sz w:val="28"/>
          <w:szCs w:val="28"/>
          <w:rtl/>
        </w:rPr>
        <w:t>**</w:t>
      </w:r>
    </w:p>
    <w:p w:rsidR="00681C20" w:rsidRDefault="00681C20" w:rsidP="00681C20">
      <w:pPr>
        <w:pStyle w:val="SingleTxtGA"/>
        <w:jc w:val="right"/>
        <w:rPr>
          <w:rtl/>
        </w:rPr>
      </w:pPr>
      <w:r w:rsidRPr="0007011F">
        <w:rPr>
          <w:rFonts w:hint="cs"/>
          <w:rtl/>
        </w:rPr>
        <w:t>[</w:t>
      </w:r>
      <w:r>
        <w:rPr>
          <w:rFonts w:hint="cs"/>
          <w:rtl/>
        </w:rPr>
        <w:t>30 آب/أغسطس 2010</w:t>
      </w:r>
      <w:r w:rsidRPr="0007011F">
        <w:rPr>
          <w:rFonts w:hint="cs"/>
          <w:rtl/>
        </w:rPr>
        <w:t>]</w:t>
      </w:r>
    </w:p>
    <w:p w:rsidR="00681C20" w:rsidRPr="00681C20" w:rsidRDefault="00681C20" w:rsidP="00681C20">
      <w:pPr>
        <w:pStyle w:val="HChGA"/>
        <w:spacing w:before="120"/>
        <w:ind w:hanging="862"/>
        <w:rPr>
          <w:rFonts w:hint="cs"/>
          <w:rtl/>
        </w:rPr>
      </w:pPr>
      <w:r>
        <w:rPr>
          <w:rtl/>
          <w:lang w:val="en-GB" w:bidi="ar-TN"/>
        </w:rPr>
        <w:br w:type="page"/>
      </w:r>
      <w:r w:rsidRPr="00681C20">
        <w:rPr>
          <w:rFonts w:hint="cs"/>
          <w:rtl/>
        </w:rPr>
        <w:t>أولاً</w:t>
      </w:r>
      <w:r>
        <w:rPr>
          <w:rFonts w:hint="cs"/>
          <w:rtl/>
        </w:rPr>
        <w:t xml:space="preserve"> -</w:t>
      </w:r>
      <w:r w:rsidRPr="00681C20">
        <w:rPr>
          <w:rFonts w:hint="cs"/>
          <w:rtl/>
        </w:rPr>
        <w:tab/>
        <w:t>مقدمة</w:t>
      </w:r>
    </w:p>
    <w:p w:rsidR="00681C20" w:rsidRDefault="00681C20" w:rsidP="00681C20">
      <w:pPr>
        <w:pStyle w:val="SingleTxtGA"/>
        <w:rPr>
          <w:rFonts w:hint="cs"/>
          <w:rtl/>
          <w:lang w:val="en-GB"/>
        </w:rPr>
      </w:pPr>
      <w:r>
        <w:rPr>
          <w:rFonts w:hint="cs"/>
          <w:rtl/>
          <w:lang w:val="en-GB" w:bidi="ar-TN"/>
        </w:rPr>
        <w:t>1-</w:t>
      </w:r>
      <w:r>
        <w:rPr>
          <w:rFonts w:hint="cs"/>
          <w:rtl/>
          <w:lang w:val="en-GB" w:bidi="ar-TN"/>
        </w:rPr>
        <w:tab/>
        <w:t xml:space="preserve">يتضمن هذا الجزء الثالث </w:t>
      </w:r>
      <w:r>
        <w:rPr>
          <w:rFonts w:hint="cs"/>
          <w:rtl/>
          <w:lang w:val="en-GB"/>
        </w:rPr>
        <w:t xml:space="preserve">من هذا التقرير الأولي المقدم من جمهورية الصين الشعبية بموجب المادة 35(1) من اتفاقية حقوق الأشخاص ذوي الإعاقة (الاتفاقية) معلومات عن تنفيذ الاتفاقية في </w:t>
      </w:r>
      <w:r w:rsidRPr="00B72D0B">
        <w:rPr>
          <w:rtl/>
          <w:lang w:val="en-GB"/>
        </w:rPr>
        <w:t>منطقة ماكاو الإدارية الخاصة</w:t>
      </w:r>
      <w:r>
        <w:rPr>
          <w:rFonts w:hint="cs"/>
          <w:rtl/>
          <w:lang w:val="en-GB"/>
        </w:rPr>
        <w:t xml:space="preserve"> (منطقة ماكاو) التابعة لها.</w:t>
      </w:r>
    </w:p>
    <w:p w:rsidR="00681C20" w:rsidRDefault="00681C20" w:rsidP="00681C20">
      <w:pPr>
        <w:pStyle w:val="SingleTxtGA"/>
        <w:rPr>
          <w:rFonts w:hint="cs"/>
          <w:rtl/>
          <w:lang w:val="en-GB" w:bidi="ar-TN"/>
        </w:rPr>
      </w:pPr>
      <w:r>
        <w:rPr>
          <w:rFonts w:hint="cs"/>
          <w:rtl/>
          <w:lang w:val="en-GB" w:bidi="ar-TN"/>
        </w:rPr>
        <w:t>2-</w:t>
      </w:r>
      <w:r>
        <w:rPr>
          <w:rFonts w:hint="cs"/>
          <w:rtl/>
          <w:lang w:val="en-GB" w:bidi="ar-TN"/>
        </w:rPr>
        <w:tab/>
        <w:t>في 1 آب/أغسطس 2008، قامت الصين لدى إيداع صك تصديقها بإبلاغ الوديع بأن الاتفاقية ستنطبق على منطقة ماكاو دون إبداء أي تحفظ أو الإدلاء بإعلان فيما يتعلق بهذه المنطقة. ومن ثم، فوفقاً للمادة 45(2) من الاتفاقية، دخلت الاتفاقية حيز النفاذ بالنسبة للصين، بما فيها منطقة ماكاو، في 31 آب/أغسطس 2008. وهكذا، يشمل هذا الجزء من التقرير الفترة من دخول الاتفاقية حيز النفاذ إلى أيار/مايو 2010؛ غير أن البيانات الإحصائية ستقدَّم، متى تسنى ذلك، عن فترة السنوات الأربع الأخيرة.</w:t>
      </w:r>
    </w:p>
    <w:p w:rsidR="00681C20" w:rsidRDefault="00681C20" w:rsidP="00681C20">
      <w:pPr>
        <w:pStyle w:val="SingleTxtGA"/>
        <w:rPr>
          <w:rFonts w:hint="cs"/>
          <w:rtl/>
          <w:lang w:val="en-GB"/>
        </w:rPr>
      </w:pPr>
      <w:r>
        <w:rPr>
          <w:rFonts w:hint="cs"/>
          <w:rtl/>
          <w:lang w:val="en-GB" w:bidi="ar-TN"/>
        </w:rPr>
        <w:t>3-</w:t>
      </w:r>
      <w:r>
        <w:rPr>
          <w:rFonts w:hint="cs"/>
          <w:rtl/>
          <w:lang w:val="en-GB" w:bidi="ar-TN"/>
        </w:rPr>
        <w:tab/>
        <w:t xml:space="preserve">وأعد هذا الجزء من التقرير وفقاً للمبادئ التوجيهية التي اعتمدتها اللجنة المعنية بحقوق الأشخاص ذوي الإعاقة </w:t>
      </w:r>
      <w:r>
        <w:rPr>
          <w:rFonts w:hint="cs"/>
          <w:rtl/>
          <w:lang w:val="en-GB"/>
        </w:rPr>
        <w:t>(</w:t>
      </w:r>
      <w:r w:rsidRPr="003C7B96">
        <w:rPr>
          <w:lang w:val="en-GB"/>
        </w:rPr>
        <w:t>CRPD/C/2/3</w:t>
      </w:r>
      <w:r>
        <w:rPr>
          <w:rFonts w:hint="cs"/>
          <w:rtl/>
          <w:lang w:val="en-GB"/>
        </w:rPr>
        <w:t xml:space="preserve">، 18 تشرين الثاني/نوفمبر 2009)، والمبادئ </w:t>
      </w:r>
      <w:r w:rsidRPr="003C7B96">
        <w:rPr>
          <w:rFonts w:hint="cs"/>
          <w:rtl/>
          <w:lang w:val="en-GB"/>
        </w:rPr>
        <w:t>التوجيهية المتعلقة بشكل ومحتوى التقارير</w:t>
      </w:r>
      <w:r>
        <w:rPr>
          <w:rFonts w:hint="cs"/>
          <w:rtl/>
          <w:lang w:val="en-GB"/>
        </w:rPr>
        <w:t xml:space="preserve"> (</w:t>
      </w:r>
      <w:r w:rsidRPr="003C7B96">
        <w:rPr>
          <w:lang w:val="en-GB"/>
        </w:rPr>
        <w:t>HRI/GEN/2/Rev.6</w:t>
      </w:r>
      <w:r>
        <w:rPr>
          <w:rFonts w:hint="cs"/>
          <w:rtl/>
          <w:lang w:val="en-GB"/>
        </w:rPr>
        <w:t>، 3 حزيران/يونيه 2009) استناداً إلى المعلومات المقدمة من الإدارات الحكومية في منطقة ماكاو فضلا عن الكيانات المختصة الأخرى في المنطقة، مثل اللجان المعنية بحقوق إنسان خاصة، ولا سيما لجنة شؤون إعادة التأهيل، والمنظمات غير الحكومية المشاركة في تنفيذ الاتفاقية.</w:t>
      </w:r>
    </w:p>
    <w:p w:rsidR="00681C20" w:rsidRDefault="00681C20" w:rsidP="00681C20">
      <w:pPr>
        <w:pStyle w:val="SingleTxtGA"/>
        <w:rPr>
          <w:rFonts w:hint="cs"/>
          <w:rtl/>
          <w:lang w:val="en-GB"/>
        </w:rPr>
      </w:pPr>
      <w:r>
        <w:rPr>
          <w:rFonts w:hint="cs"/>
          <w:rtl/>
          <w:lang w:val="en-GB"/>
        </w:rPr>
        <w:t>4-</w:t>
      </w:r>
      <w:r>
        <w:rPr>
          <w:rFonts w:hint="cs"/>
          <w:rtl/>
          <w:lang w:val="en-GB"/>
        </w:rPr>
        <w:tab/>
        <w:t>ويشار، متى كان ذلك ملائماً، إلى الجوانب الهامة من الجزأين ذوي الصلة فيما يتعلق بمنطقة ماكاو من التقارير الأخيرة المتعلقة بمعاهدات حقوق الإنسان والجزء الثالث من الوثيقة الأساسية للصين (</w:t>
      </w:r>
      <w:r w:rsidRPr="00656C31">
        <w:rPr>
          <w:lang w:val="en-GB"/>
        </w:rPr>
        <w:t>HRI/CORE/1/Add.21/Rev.3</w:t>
      </w:r>
      <w:r>
        <w:rPr>
          <w:rFonts w:hint="cs"/>
          <w:rtl/>
          <w:lang w:val="en-GB"/>
        </w:rPr>
        <w:t xml:space="preserve">)، بصيغتها المعدلة مؤخراً، التي تظل محتوياتها دون تغيير ما لم تقدَّم ملاحظات مختلفة </w:t>
      </w:r>
      <w:r w:rsidR="009E3E8F">
        <w:rPr>
          <w:rFonts w:hint="cs"/>
          <w:rtl/>
          <w:lang w:val="en-GB"/>
        </w:rPr>
        <w:t xml:space="preserve">معه </w:t>
      </w:r>
      <w:r>
        <w:rPr>
          <w:rFonts w:hint="cs"/>
          <w:rtl/>
          <w:lang w:val="en-GB"/>
        </w:rPr>
        <w:t>في هذا التقرير.</w:t>
      </w:r>
    </w:p>
    <w:p w:rsidR="00681C20" w:rsidRPr="00681C20" w:rsidRDefault="00681C20" w:rsidP="00681C20">
      <w:pPr>
        <w:pStyle w:val="SingleTxtGA"/>
        <w:rPr>
          <w:rFonts w:hint="cs"/>
          <w:spacing w:val="-2"/>
          <w:rtl/>
          <w:lang w:val="en-GB"/>
        </w:rPr>
      </w:pPr>
      <w:r w:rsidRPr="00681C20">
        <w:rPr>
          <w:rFonts w:hint="cs"/>
          <w:spacing w:val="-2"/>
          <w:rtl/>
          <w:lang w:val="en-GB"/>
        </w:rPr>
        <w:t>5-</w:t>
      </w:r>
      <w:r w:rsidRPr="00681C20">
        <w:rPr>
          <w:rFonts w:hint="cs"/>
          <w:spacing w:val="-2"/>
          <w:rtl/>
          <w:lang w:val="en-GB"/>
        </w:rPr>
        <w:tab/>
        <w:t xml:space="preserve">وفيما يتعلق بالوضع القانوني للاتفاقية في منطقة ماكاو، ينبغي التذكير بأن النظام القانوني للمنطقة هو نظام القانون المدني. ويشكل القانون الدولي والقانون المحلي الساريان جزءاً </w:t>
      </w:r>
      <w:r w:rsidRPr="00681C20">
        <w:rPr>
          <w:spacing w:val="-2"/>
          <w:rtl/>
          <w:lang w:val="en-GB"/>
        </w:rPr>
        <w:t xml:space="preserve">من ذات النظام القانوني العام </w:t>
      </w:r>
      <w:r w:rsidRPr="00681C20">
        <w:rPr>
          <w:rFonts w:hint="cs"/>
          <w:spacing w:val="-2"/>
          <w:rtl/>
          <w:lang w:val="en-GB"/>
        </w:rPr>
        <w:t>الساري</w:t>
      </w:r>
      <w:r w:rsidRPr="00681C20">
        <w:rPr>
          <w:spacing w:val="-2"/>
          <w:rtl/>
          <w:lang w:val="en-GB"/>
        </w:rPr>
        <w:t xml:space="preserve"> في نفس الوقت</w:t>
      </w:r>
      <w:r w:rsidRPr="00681C20">
        <w:rPr>
          <w:rFonts w:hint="cs"/>
          <w:spacing w:val="-2"/>
          <w:rtl/>
          <w:lang w:val="en-GB"/>
        </w:rPr>
        <w:t xml:space="preserve">. وبمجرد نشر معاهدة دولية في </w:t>
      </w:r>
      <w:r w:rsidRPr="00681C20">
        <w:rPr>
          <w:rFonts w:hint="cs"/>
          <w:i/>
          <w:iCs/>
          <w:spacing w:val="-2"/>
          <w:rtl/>
          <w:lang w:val="en-GB"/>
        </w:rPr>
        <w:t>الجريدة الرسمية</w:t>
      </w:r>
      <w:r w:rsidRPr="00681C20">
        <w:rPr>
          <w:rFonts w:hint="cs"/>
          <w:spacing w:val="-2"/>
          <w:rtl/>
          <w:lang w:val="en-GB"/>
        </w:rPr>
        <w:t xml:space="preserve"> لمنطقة ماكاو، تصبح هذه المعاهدة تلقائياً جزءاً من النظام القانوني للمنطقة. وفي حالة وجود تعارض، تكون الغلبة للقانون الدولي الواجب التطبيق على القانون العام. ويمكن الاحتجاج به أمام أي سلطات قضائية وإدارية </w:t>
      </w:r>
      <w:r w:rsidRPr="00681C20">
        <w:rPr>
          <w:spacing w:val="-2"/>
          <w:rtl/>
          <w:lang w:val="en-GB"/>
        </w:rPr>
        <w:t>بنفس الطريقة تماماً التي تُنفَّذ بها القوانين الأخرى</w:t>
      </w:r>
      <w:r w:rsidRPr="00681C20">
        <w:rPr>
          <w:rFonts w:hint="cs"/>
          <w:spacing w:val="-2"/>
          <w:rtl/>
          <w:lang w:val="en-GB"/>
        </w:rPr>
        <w:t>. وسبل الانتصاف المتاحة، قضائية أكانت أم شبه قضائية أم غير قضائية، واحدة.</w:t>
      </w:r>
    </w:p>
    <w:p w:rsidR="00681C20" w:rsidRDefault="00681C20" w:rsidP="00681C20">
      <w:pPr>
        <w:pStyle w:val="SingleTxtGA"/>
        <w:rPr>
          <w:rFonts w:hint="cs"/>
          <w:rtl/>
        </w:rPr>
      </w:pPr>
      <w:r>
        <w:rPr>
          <w:rFonts w:hint="cs"/>
          <w:rtl/>
          <w:lang w:val="en-GB"/>
        </w:rPr>
        <w:t>6-</w:t>
      </w:r>
      <w:r>
        <w:rPr>
          <w:rFonts w:hint="cs"/>
          <w:rtl/>
          <w:lang w:val="en-GB"/>
        </w:rPr>
        <w:tab/>
        <w:t xml:space="preserve">وقد نُشرت الاتفاقية في </w:t>
      </w:r>
      <w:r>
        <w:rPr>
          <w:rFonts w:hint="cs"/>
          <w:i/>
          <w:iCs/>
          <w:rtl/>
          <w:lang w:val="en-GB"/>
        </w:rPr>
        <w:t>الجريدة الرسمية</w:t>
      </w:r>
      <w:r>
        <w:rPr>
          <w:rFonts w:hint="cs"/>
          <w:rtl/>
        </w:rPr>
        <w:t xml:space="preserve"> لمنطقة ماكاو، السلسلة الثانية، العدد 9، </w:t>
      </w:r>
      <w:r>
        <w:rPr>
          <w:rtl/>
        </w:rPr>
        <w:br/>
      </w:r>
      <w:r>
        <w:rPr>
          <w:rFonts w:hint="cs"/>
          <w:rtl/>
        </w:rPr>
        <w:t>يوم 6 آذار/مارس 2009، بنصها الصيني ذي الحجية، بالاقتران مع ترجمتها البرتغالية، أي بكلتا اللغتين الرسميتين للمنطقة.</w:t>
      </w:r>
    </w:p>
    <w:p w:rsidR="00681C20" w:rsidRPr="00FE761F" w:rsidRDefault="00681C20" w:rsidP="00681C20">
      <w:pPr>
        <w:pStyle w:val="HChGA"/>
        <w:spacing w:before="120"/>
        <w:rPr>
          <w:rFonts w:hint="cs"/>
          <w:rtl/>
          <w:lang w:val="en-GB" w:bidi="ar-TN"/>
        </w:rPr>
      </w:pPr>
      <w:r>
        <w:rPr>
          <w:rFonts w:hint="cs"/>
          <w:rtl/>
          <w:lang w:val="en-GB" w:bidi="ar-TN"/>
        </w:rPr>
        <w:tab/>
      </w:r>
      <w:r w:rsidRPr="00FE761F">
        <w:rPr>
          <w:rFonts w:hint="cs"/>
          <w:rtl/>
          <w:lang w:val="en-GB" w:bidi="ar-TN"/>
        </w:rPr>
        <w:t>ثانياً</w:t>
      </w:r>
      <w:r>
        <w:rPr>
          <w:rFonts w:hint="cs"/>
          <w:rtl/>
          <w:lang w:val="en-GB" w:bidi="ar-TN"/>
        </w:rPr>
        <w:t xml:space="preserve"> </w:t>
      </w:r>
      <w:r w:rsidRPr="00FE761F">
        <w:rPr>
          <w:rFonts w:hint="cs"/>
          <w:rtl/>
          <w:lang w:val="en-GB" w:bidi="ar-TN"/>
        </w:rPr>
        <w:t>-</w:t>
      </w:r>
      <w:r>
        <w:rPr>
          <w:rFonts w:hint="cs"/>
          <w:rtl/>
          <w:lang w:val="en-GB" w:bidi="ar-TN"/>
        </w:rPr>
        <w:tab/>
      </w:r>
      <w:r w:rsidRPr="00FE761F">
        <w:rPr>
          <w:rFonts w:hint="cs"/>
          <w:rtl/>
          <w:lang w:val="en-GB" w:bidi="ar-TN"/>
        </w:rPr>
        <w:t>تنفيذ الأحكام العامة للاتفاقية (المواد 1-4)</w:t>
      </w:r>
    </w:p>
    <w:p w:rsidR="00681C20" w:rsidRDefault="00681C20" w:rsidP="00681C20">
      <w:pPr>
        <w:pStyle w:val="H1GA"/>
        <w:rPr>
          <w:rFonts w:hint="cs"/>
          <w:rtl/>
          <w:lang w:val="en-GB" w:bidi="ar-TN"/>
        </w:rPr>
      </w:pPr>
      <w:r>
        <w:rPr>
          <w:rFonts w:hint="cs"/>
          <w:rtl/>
          <w:lang w:val="en-GB" w:bidi="ar-TN"/>
        </w:rPr>
        <w:tab/>
        <w:t>ألف -</w:t>
      </w:r>
      <w:r>
        <w:rPr>
          <w:rFonts w:hint="cs"/>
          <w:rtl/>
          <w:lang w:val="en-GB" w:bidi="ar-TN"/>
        </w:rPr>
        <w:tab/>
        <w:t>الحماية الدستورية الخاصة</w:t>
      </w:r>
    </w:p>
    <w:p w:rsidR="00681C20" w:rsidRPr="000A0280" w:rsidRDefault="00681C20" w:rsidP="00681C20">
      <w:pPr>
        <w:pStyle w:val="SingleTxtGA"/>
        <w:rPr>
          <w:rFonts w:hint="cs"/>
          <w:rtl/>
          <w:lang w:val="en-GB"/>
        </w:rPr>
      </w:pPr>
      <w:r>
        <w:rPr>
          <w:rFonts w:hint="cs"/>
          <w:rtl/>
          <w:lang w:val="en-GB"/>
        </w:rPr>
        <w:t>7-</w:t>
      </w:r>
      <w:r>
        <w:rPr>
          <w:rFonts w:hint="cs"/>
          <w:rtl/>
          <w:lang w:val="en-GB"/>
        </w:rPr>
        <w:tab/>
        <w:t xml:space="preserve">تصان الحقوق والحريات الأساسية على أعلى مستوى بموجب القانون الأساسي لمنطقة ماكاو الذي له قيمة دستورية، ولا يمكن لأي قانون آخر لمنطقة ماكاو أن يخالفه. كما أن القانون الأساسي يعترف صراحةً بالحاجة إلى توفير الحماية الخاصة للأشخاص ذوي الإعاقة، بأسلوب يتيح تمييزاً إيجابياً فيما يتصل بهم. وبالفعل، فإن </w:t>
      </w:r>
      <w:r w:rsidRPr="003544EA">
        <w:rPr>
          <w:rtl/>
          <w:lang w:val="en-GB"/>
        </w:rPr>
        <w:t>حرمة كرامة الإنسان</w:t>
      </w:r>
      <w:r>
        <w:rPr>
          <w:rFonts w:hint="cs"/>
          <w:rtl/>
          <w:lang w:val="en-GB"/>
        </w:rPr>
        <w:t xml:space="preserve"> متأصلة في الجملة الأولى من المادة 30، وإلى جانب المادة 25 التي تكفل الحقين في المساواة وعدم التمييز، فإن الفقرة 3 من المادة 38 تنص صراحة على </w:t>
      </w:r>
      <w:r w:rsidRPr="00475DED">
        <w:rPr>
          <w:rFonts w:hint="cs"/>
          <w:i/>
          <w:iCs/>
          <w:rtl/>
          <w:lang w:val="en-GB"/>
        </w:rPr>
        <w:t xml:space="preserve">"(...) ضرورة رعاية المعوقين وحمايتهم </w:t>
      </w:r>
      <w:r>
        <w:rPr>
          <w:rFonts w:hint="cs"/>
          <w:i/>
          <w:iCs/>
          <w:rtl/>
          <w:lang w:val="en-GB"/>
        </w:rPr>
        <w:t xml:space="preserve">في </w:t>
      </w:r>
      <w:r w:rsidRPr="00475DED">
        <w:rPr>
          <w:rFonts w:hint="cs"/>
          <w:i/>
          <w:iCs/>
          <w:rtl/>
          <w:lang w:val="en-GB"/>
        </w:rPr>
        <w:t>منطقة ماكاو"</w:t>
      </w:r>
      <w:r>
        <w:rPr>
          <w:rFonts w:hint="cs"/>
          <w:rtl/>
          <w:lang w:val="en-GB"/>
        </w:rPr>
        <w:t>.</w:t>
      </w:r>
    </w:p>
    <w:p w:rsidR="00681C20" w:rsidRDefault="00681C20" w:rsidP="00681C20">
      <w:pPr>
        <w:pStyle w:val="H1GA"/>
        <w:rPr>
          <w:rFonts w:hint="cs"/>
          <w:rtl/>
          <w:lang w:val="en-GB" w:bidi="ar-TN"/>
        </w:rPr>
      </w:pPr>
      <w:r>
        <w:rPr>
          <w:rFonts w:hint="cs"/>
          <w:rtl/>
          <w:lang w:val="en-GB" w:bidi="ar-TN"/>
        </w:rPr>
        <w:tab/>
        <w:t>باء -</w:t>
      </w:r>
      <w:r>
        <w:rPr>
          <w:rFonts w:hint="cs"/>
          <w:rtl/>
          <w:lang w:val="en-GB" w:bidi="ar-TN"/>
        </w:rPr>
        <w:tab/>
        <w:t>الحماية بموجب القانون العام</w:t>
      </w:r>
    </w:p>
    <w:p w:rsidR="00681C20" w:rsidRPr="009C37F8" w:rsidRDefault="00681C20" w:rsidP="00681C20">
      <w:pPr>
        <w:pStyle w:val="H23GA"/>
        <w:rPr>
          <w:rFonts w:hint="cs"/>
          <w:rtl/>
        </w:rPr>
      </w:pPr>
      <w:r>
        <w:rPr>
          <w:rFonts w:hint="cs"/>
          <w:rtl/>
        </w:rPr>
        <w:tab/>
      </w:r>
      <w:r w:rsidRPr="009C37F8">
        <w:rPr>
          <w:rFonts w:hint="cs"/>
          <w:rtl/>
        </w:rPr>
        <w:t>1-</w:t>
      </w:r>
      <w:r w:rsidRPr="009C37F8">
        <w:rPr>
          <w:rFonts w:hint="cs"/>
          <w:rtl/>
        </w:rPr>
        <w:tab/>
        <w:t>نظام الحماية</w:t>
      </w:r>
    </w:p>
    <w:p w:rsidR="00681C20" w:rsidRDefault="00681C20" w:rsidP="00681C20">
      <w:pPr>
        <w:pStyle w:val="SingleTxtGA"/>
        <w:rPr>
          <w:rFonts w:hint="cs"/>
          <w:rtl/>
          <w:lang w:val="en-GB"/>
        </w:rPr>
      </w:pPr>
      <w:r>
        <w:rPr>
          <w:rFonts w:hint="cs"/>
          <w:rtl/>
          <w:lang w:val="en-GB"/>
        </w:rPr>
        <w:t>8-</w:t>
      </w:r>
      <w:r>
        <w:rPr>
          <w:rFonts w:hint="cs"/>
          <w:rtl/>
          <w:lang w:val="en-GB"/>
        </w:rPr>
        <w:tab/>
        <w:t>تعتبر الحقوق الأساسية أيضاً مبادئ عامة للقانون يرتكز عليها النظام القانوني لمنطقة ماكاو بأسره.</w:t>
      </w:r>
    </w:p>
    <w:p w:rsidR="00681C20" w:rsidRDefault="00681C20" w:rsidP="00681C20">
      <w:pPr>
        <w:pStyle w:val="SingleTxtGA"/>
        <w:rPr>
          <w:rFonts w:hint="cs"/>
          <w:rtl/>
          <w:lang w:val="en-GB"/>
        </w:rPr>
      </w:pPr>
      <w:r>
        <w:rPr>
          <w:rFonts w:hint="cs"/>
          <w:rtl/>
          <w:lang w:val="en-GB"/>
        </w:rPr>
        <w:t>9-</w:t>
      </w:r>
      <w:r>
        <w:rPr>
          <w:rFonts w:hint="cs"/>
          <w:rtl/>
          <w:lang w:val="en-GB"/>
        </w:rPr>
        <w:tab/>
        <w:t>وعلاوة على ذلك، تحدد الحقوق الأساسية التي لا تنفصل عن الجوانب الشخصية وكذلك الحقوق "الشخصية" من خلال القانون المدني. وهذه الحقوق المعترف بها لجميع الأشخاص الطبيعيين دون تمييز بوصفها قاعدة عامة لا يمكن التخلي عنها (القيود الطوعية على الحقوق التي لا يمكن التفريط فيها باطلة وكأنها لم تكن) وبعضها غير قابل للتصرف، تخضع لحماية تكميلية خاصة لا تقتصر على انتهاكها الفعلي والتي تشمل التهديد بانتهاكها. وهي ملزمة لجميع السلطات، ويمكن الاحتجاج بها مباشرة (المواد من 63 إلى 82 من القانون المدني لماكاو).</w:t>
      </w:r>
    </w:p>
    <w:p w:rsidR="00681C20" w:rsidRDefault="00681C20" w:rsidP="00681C20">
      <w:pPr>
        <w:pStyle w:val="SingleTxtGA"/>
        <w:rPr>
          <w:rFonts w:hint="cs"/>
          <w:rtl/>
          <w:lang w:val="en-GB"/>
        </w:rPr>
      </w:pPr>
      <w:r>
        <w:rPr>
          <w:rFonts w:hint="cs"/>
          <w:rtl/>
          <w:lang w:val="en-GB"/>
        </w:rPr>
        <w:t>10-</w:t>
      </w:r>
      <w:r>
        <w:rPr>
          <w:rFonts w:hint="cs"/>
          <w:rtl/>
          <w:lang w:val="en-GB"/>
        </w:rPr>
        <w:tab/>
        <w:t xml:space="preserve">وعلى مستوى القانون العام، تُكفل حماية الأشخاص ذوي الإعاقة بموجب القوانين، عامةً كانت أم خاصة. ولا يوجد نظام انتصاف منفصل ينطبق في حد ذاته على الأشخاص ذوي الإعاقة عندما تُنتهك حقوقهم. فيجوز لأي شخص يرى أن حقوقه انتُهكت أن يرفع المسألة إلى الجمعية التشريعية أو إلى </w:t>
      </w:r>
      <w:r>
        <w:rPr>
          <w:rFonts w:hint="cs"/>
          <w:i/>
          <w:iCs/>
          <w:rtl/>
          <w:lang w:val="en-GB"/>
        </w:rPr>
        <w:t>ديوان</w:t>
      </w:r>
      <w:r w:rsidRPr="001D1C4E">
        <w:rPr>
          <w:rFonts w:hint="cs"/>
          <w:i/>
          <w:iCs/>
          <w:rtl/>
          <w:lang w:val="en-GB"/>
        </w:rPr>
        <w:t xml:space="preserve"> المظالم</w:t>
      </w:r>
      <w:r>
        <w:rPr>
          <w:rFonts w:hint="cs"/>
          <w:rtl/>
          <w:lang w:val="en-GB"/>
        </w:rPr>
        <w:t xml:space="preserve"> من خلال التماس أو شكوى، أو أمام سلطة إدارية أو محكمة من خلال دعوى إدارية أو مدنية أو جنائية أو فيما يتصل بهذه الدعوى.</w:t>
      </w:r>
    </w:p>
    <w:p w:rsidR="00681C20" w:rsidRDefault="00CF2184" w:rsidP="00681C20">
      <w:pPr>
        <w:pStyle w:val="H23GA"/>
        <w:keepNext/>
        <w:rPr>
          <w:rFonts w:hint="cs"/>
          <w:rtl/>
          <w:lang w:val="en-GB"/>
        </w:rPr>
      </w:pPr>
      <w:r>
        <w:rPr>
          <w:rFonts w:hint="cs"/>
          <w:rtl/>
          <w:lang w:val="en-GB"/>
        </w:rPr>
        <w:tab/>
      </w:r>
      <w:r w:rsidR="00681C20">
        <w:rPr>
          <w:rFonts w:hint="cs"/>
          <w:rtl/>
          <w:lang w:val="en-GB"/>
        </w:rPr>
        <w:t>2-</w:t>
      </w:r>
      <w:r w:rsidR="00681C20">
        <w:rPr>
          <w:rFonts w:hint="cs"/>
          <w:rtl/>
          <w:lang w:val="en-GB"/>
        </w:rPr>
        <w:tab/>
        <w:t>السياسة العامة والتعاريف</w:t>
      </w:r>
    </w:p>
    <w:p w:rsidR="00681C20" w:rsidRDefault="00681C20" w:rsidP="00681C20">
      <w:pPr>
        <w:pStyle w:val="SingleTxtGA"/>
        <w:rPr>
          <w:rFonts w:hint="cs"/>
          <w:rtl/>
          <w:lang w:val="en-GB"/>
        </w:rPr>
      </w:pPr>
      <w:r>
        <w:rPr>
          <w:rFonts w:hint="cs"/>
          <w:rtl/>
          <w:lang w:val="en-GB"/>
        </w:rPr>
        <w:t>11-</w:t>
      </w:r>
      <w:r>
        <w:rPr>
          <w:rFonts w:hint="cs"/>
          <w:rtl/>
          <w:lang w:val="en-GB"/>
        </w:rPr>
        <w:tab/>
        <w:t xml:space="preserve">في سياق الحماية، يكتسي المرسوم بقانون </w:t>
      </w:r>
      <w:r>
        <w:rPr>
          <w:rtl/>
          <w:lang w:val="en-GB"/>
        </w:rPr>
        <w:t xml:space="preserve">33/99/م </w:t>
      </w:r>
      <w:r>
        <w:rPr>
          <w:rFonts w:hint="cs"/>
          <w:rtl/>
          <w:lang w:val="en-GB"/>
        </w:rPr>
        <w:t>الصادر في 19 تموز/</w:t>
      </w:r>
      <w:r w:rsidR="00CF2184">
        <w:rPr>
          <w:rFonts w:hint="cs"/>
          <w:rtl/>
          <w:lang w:val="en-GB"/>
        </w:rPr>
        <w:t>يوليه</w:t>
      </w:r>
      <w:r>
        <w:rPr>
          <w:rFonts w:hint="cs"/>
          <w:rtl/>
          <w:lang w:val="en-GB"/>
        </w:rPr>
        <w:t xml:space="preserve"> أهمية خاصة حيث إنه يحدد أساس السياسة العامة المتعلقة بالوقاية من الإعاقة والعلاج وإعادة التأهيل والمشاركة الاجتماعية وإدماج الأشخاص ذوي الإعاقة (سياسة إعادة التأهيل). وتتمثل أهداف هذه السياسة العامة في كفالة ممارسة الأشخاص ذوي الإعاقة لحقوقهم وحرياتهم بالكامل وبفعالية من حيث عدم التمييز والمساواة مع الآخرين، لمنحهم كل ما يمكن منحه من استقلال ولتعزيز قبولهم اجتماعياً في ظل احترام الكرامة الإنسانية.</w:t>
      </w:r>
    </w:p>
    <w:p w:rsidR="00681C20" w:rsidRDefault="00681C20" w:rsidP="00681C20">
      <w:pPr>
        <w:pStyle w:val="SingleTxtGA"/>
        <w:rPr>
          <w:rFonts w:hint="cs"/>
          <w:rtl/>
          <w:lang w:val="en-GB"/>
        </w:rPr>
      </w:pPr>
      <w:r>
        <w:rPr>
          <w:rFonts w:hint="cs"/>
          <w:rtl/>
          <w:lang w:val="en-GB"/>
        </w:rPr>
        <w:t>12-</w:t>
      </w:r>
      <w:r>
        <w:rPr>
          <w:rFonts w:hint="cs"/>
          <w:rtl/>
          <w:lang w:val="en-GB"/>
        </w:rPr>
        <w:tab/>
        <w:t>ومن أجل هذا، وبافتراض أن إصلاح الإعاقة أو الحد منها وإعادة قدرات الشخص ذي الإعاقة وطاقاته وتنميتها وتعزيزها والتصدي للحواجز الاجتماعية التي تستبعدهم عملياً تشكل أعمالا</w:t>
      </w:r>
      <w:r w:rsidR="009E3E8F">
        <w:rPr>
          <w:rFonts w:hint="cs"/>
          <w:rtl/>
          <w:lang w:val="en-GB"/>
        </w:rPr>
        <w:t>ً</w:t>
      </w:r>
      <w:r>
        <w:rPr>
          <w:rFonts w:hint="cs"/>
          <w:rtl/>
          <w:lang w:val="en-GB"/>
        </w:rPr>
        <w:t xml:space="preserve"> تتصل ب</w:t>
      </w:r>
      <w:r w:rsidRPr="00A84951">
        <w:rPr>
          <w:rtl/>
          <w:lang w:val="en-GB"/>
        </w:rPr>
        <w:t>جميع مجالات الحياة</w:t>
      </w:r>
      <w:r>
        <w:rPr>
          <w:rFonts w:hint="cs"/>
          <w:rtl/>
          <w:lang w:val="en-GB"/>
        </w:rPr>
        <w:t xml:space="preserve">، يرسي المرسوم بقانون </w:t>
      </w:r>
      <w:r>
        <w:rPr>
          <w:rtl/>
          <w:lang w:val="en-GB"/>
        </w:rPr>
        <w:t xml:space="preserve">33/99/م </w:t>
      </w:r>
      <w:r>
        <w:rPr>
          <w:rFonts w:hint="cs"/>
          <w:rtl/>
          <w:lang w:val="en-GB"/>
        </w:rPr>
        <w:t>مجموعة من المبادئ العامة والأهداف والحقوق والمسؤوليات وتدابير الدعم الموجهة نحو الأشخاص ذوي الإعاقة وكذلك إلى الكيانات الحكومية والمنظمات غير الحكومية المختصة التي تعمل في ميدان الإعاقة، تغطي جميع مجالات النشاط.</w:t>
      </w:r>
    </w:p>
    <w:p w:rsidR="00681C20" w:rsidRDefault="00681C20" w:rsidP="00CF2184">
      <w:pPr>
        <w:pStyle w:val="SingleTxtGA"/>
        <w:rPr>
          <w:rFonts w:hint="cs"/>
          <w:rtl/>
          <w:lang w:val="en-GB"/>
        </w:rPr>
      </w:pPr>
      <w:r>
        <w:rPr>
          <w:rFonts w:hint="cs"/>
          <w:rtl/>
          <w:lang w:val="en-GB"/>
        </w:rPr>
        <w:t>13-</w:t>
      </w:r>
      <w:r>
        <w:rPr>
          <w:rFonts w:hint="cs"/>
          <w:rtl/>
          <w:lang w:val="en-GB"/>
        </w:rPr>
        <w:tab/>
        <w:t xml:space="preserve">وتصور المادة 2(1) من المرسوم بقانون المذكور مفهوم الشخص ذي الإعاقة بأنه شخص </w:t>
      </w:r>
      <w:r w:rsidR="00CF2184">
        <w:rPr>
          <w:rFonts w:hint="cs"/>
          <w:rtl/>
          <w:lang w:val="en-GB"/>
        </w:rPr>
        <w:t xml:space="preserve">يعاني من فقدان أو تشوه خلقي أو مكتسب للبنية أو الوظيفة النفسية أو الفكرية أو البدنية أو التشريحية قد يحد من قدراته، ويعرضه لضعف يعيق </w:t>
      </w:r>
      <w:r>
        <w:rPr>
          <w:rFonts w:hint="cs"/>
          <w:rtl/>
          <w:lang w:val="en-GB"/>
        </w:rPr>
        <w:t>مشاركته في الأنشطة العادية</w:t>
      </w:r>
      <w:r w:rsidR="00CF2184">
        <w:rPr>
          <w:rFonts w:hint="cs"/>
          <w:rtl/>
          <w:lang w:val="en-GB"/>
        </w:rPr>
        <w:t>،</w:t>
      </w:r>
      <w:r>
        <w:rPr>
          <w:rFonts w:hint="cs"/>
          <w:rtl/>
          <w:lang w:val="en-GB"/>
        </w:rPr>
        <w:t xml:space="preserve"> مع مراعاة ال</w:t>
      </w:r>
      <w:r w:rsidR="00CF2184">
        <w:rPr>
          <w:rFonts w:hint="cs"/>
          <w:rtl/>
          <w:lang w:val="en-GB"/>
        </w:rPr>
        <w:t xml:space="preserve">سن </w:t>
      </w:r>
      <w:r>
        <w:rPr>
          <w:rFonts w:hint="cs"/>
          <w:rtl/>
          <w:lang w:val="en-GB"/>
        </w:rPr>
        <w:t xml:space="preserve">ونوع الجنس والمؤشرات الاجتماعية الرئيسية. ومن ناحية أخرى، تنص المادة 2(2) على أن التعرف على حالة الإعاقة يتم على أساس تشخيص مبكر ذي طابع متعدد التخصصات، وهذا يعني أنه يجب تجديد كل من مفهوم الشخص ذي الإعاقة وطريقة تحديد حالة إعاقته في حد ذاتها بطريقة </w:t>
      </w:r>
      <w:r w:rsidR="00CF2184">
        <w:rPr>
          <w:rFonts w:hint="cs"/>
          <w:rtl/>
          <w:lang w:val="en-GB"/>
        </w:rPr>
        <w:t>متطورة</w:t>
      </w:r>
      <w:r>
        <w:rPr>
          <w:rFonts w:hint="cs"/>
          <w:rtl/>
          <w:lang w:val="en-GB"/>
        </w:rPr>
        <w:t>.</w:t>
      </w:r>
    </w:p>
    <w:p w:rsidR="00681C20" w:rsidRDefault="00681C20" w:rsidP="00681C20">
      <w:pPr>
        <w:pStyle w:val="SingleTxtGA"/>
        <w:rPr>
          <w:rFonts w:hint="cs"/>
          <w:rtl/>
          <w:lang w:val="en-GB"/>
        </w:rPr>
      </w:pPr>
      <w:r>
        <w:rPr>
          <w:rFonts w:hint="cs"/>
          <w:rtl/>
          <w:lang w:val="en-GB"/>
        </w:rPr>
        <w:t>14-</w:t>
      </w:r>
      <w:r>
        <w:rPr>
          <w:rFonts w:hint="cs"/>
          <w:rtl/>
          <w:lang w:val="en-GB"/>
        </w:rPr>
        <w:tab/>
        <w:t xml:space="preserve">وبالمثل، تتضمن المادة 3 مفهوماً دينامياً لإعادة التأهيل بوصفها عملية شاملة ومستمرة لإصلاح الإعاقة أو الحد منها وإعادة قدرات الأشخاص ذوي الإعاقة وطاقاتهم أو تنميتها أو تعزيزها بغية تحسين استقلاليتهم </w:t>
      </w:r>
      <w:r w:rsidRPr="00F766E5">
        <w:rPr>
          <w:rtl/>
          <w:lang w:val="en-GB"/>
        </w:rPr>
        <w:t xml:space="preserve">وإدماجهم ومشاركتهم بصورة كاملة </w:t>
      </w:r>
      <w:r>
        <w:rPr>
          <w:rFonts w:hint="cs"/>
          <w:rtl/>
          <w:lang w:val="en-GB"/>
        </w:rPr>
        <w:t>في المجتمع.</w:t>
      </w:r>
    </w:p>
    <w:p w:rsidR="00681C20" w:rsidRDefault="00681C20" w:rsidP="00CF2184">
      <w:pPr>
        <w:pStyle w:val="SingleTxtGA"/>
        <w:rPr>
          <w:rFonts w:hint="cs"/>
          <w:rtl/>
          <w:lang w:val="en-GB"/>
        </w:rPr>
      </w:pPr>
      <w:r>
        <w:rPr>
          <w:rFonts w:hint="cs"/>
          <w:rtl/>
          <w:lang w:val="en-GB"/>
        </w:rPr>
        <w:t>15-</w:t>
      </w:r>
      <w:r>
        <w:rPr>
          <w:rFonts w:hint="cs"/>
          <w:rtl/>
          <w:lang w:val="en-GB"/>
        </w:rPr>
        <w:tab/>
        <w:t xml:space="preserve">وليس لبعض تعاريف الاتفاقية مقابل دقيق في مرسوم القانون هذا. ومع ذلك، فبمجرد نفاذ الاتفاقية تصبح هذه التعاريف مندرجة ضمن النظام القانوني لمنطقة ماكاو، ويفرض هذا المعيار التشغيلي الذي يحرك التنفيذ العملي لجميع القوانين في ميدان الإعاقة. </w:t>
      </w:r>
      <w:r w:rsidR="00CF2184">
        <w:rPr>
          <w:rFonts w:hint="cs"/>
          <w:rtl/>
          <w:lang w:val="en-GB"/>
        </w:rPr>
        <w:t xml:space="preserve">غير أنه لتحسين </w:t>
      </w:r>
      <w:r>
        <w:rPr>
          <w:rFonts w:hint="cs"/>
          <w:rtl/>
          <w:lang w:val="en-GB"/>
        </w:rPr>
        <w:t>تنفيذ الاتفاقية، أجريت دراسة شاملة بشأن التشريع الداخلي ولا تزال قيد الإنجاز.</w:t>
      </w:r>
    </w:p>
    <w:p w:rsidR="00681C20" w:rsidRDefault="00CF2184" w:rsidP="00CF2184">
      <w:pPr>
        <w:pStyle w:val="H1GA"/>
        <w:spacing w:before="120"/>
        <w:rPr>
          <w:rFonts w:hint="cs"/>
          <w:rtl/>
          <w:lang w:val="en-GB" w:bidi="ar-TN"/>
        </w:rPr>
      </w:pPr>
      <w:r>
        <w:rPr>
          <w:rFonts w:hint="cs"/>
          <w:rtl/>
          <w:lang w:val="en-GB" w:bidi="ar-TN"/>
        </w:rPr>
        <w:tab/>
      </w:r>
      <w:r w:rsidR="00681C20">
        <w:rPr>
          <w:rFonts w:hint="cs"/>
          <w:rtl/>
          <w:lang w:val="en-GB" w:bidi="ar-TN"/>
        </w:rPr>
        <w:t>جيم</w:t>
      </w:r>
      <w:r>
        <w:rPr>
          <w:rFonts w:hint="cs"/>
          <w:rtl/>
          <w:lang w:val="en-GB" w:bidi="ar-TN"/>
        </w:rPr>
        <w:t xml:space="preserve"> </w:t>
      </w:r>
      <w:r w:rsidR="00681C20">
        <w:rPr>
          <w:rFonts w:hint="cs"/>
          <w:rtl/>
          <w:lang w:val="en-GB" w:bidi="ar-TN"/>
        </w:rPr>
        <w:t>-</w:t>
      </w:r>
      <w:r w:rsidR="00681C20">
        <w:rPr>
          <w:rFonts w:hint="cs"/>
          <w:rtl/>
          <w:lang w:val="en-GB" w:bidi="ar-TN"/>
        </w:rPr>
        <w:tab/>
        <w:t>الكيانات المختصة في منطقة ماكاو وتنسيقها مع المجتمع</w:t>
      </w:r>
    </w:p>
    <w:p w:rsidR="00681C20" w:rsidRPr="00CF2184" w:rsidRDefault="00681C20" w:rsidP="00CF2184">
      <w:pPr>
        <w:pStyle w:val="SingleTxtGA"/>
        <w:rPr>
          <w:rFonts w:hint="cs"/>
          <w:spacing w:val="-2"/>
          <w:rtl/>
          <w:lang w:val="en-GB"/>
        </w:rPr>
      </w:pPr>
      <w:r w:rsidRPr="00CF2184">
        <w:rPr>
          <w:rFonts w:hint="cs"/>
          <w:spacing w:val="-2"/>
          <w:rtl/>
          <w:lang w:val="en-GB"/>
        </w:rPr>
        <w:t>16-</w:t>
      </w:r>
      <w:r w:rsidRPr="00CF2184">
        <w:rPr>
          <w:rFonts w:hint="cs"/>
          <w:spacing w:val="-2"/>
          <w:rtl/>
          <w:lang w:val="en-GB"/>
        </w:rPr>
        <w:tab/>
        <w:t xml:space="preserve">تقع المسؤولية عن تنفيذ سياسة إعادة التأهيل في المقام الأول على عاتق حكومة منطقة ماكاو بالتشارك مع الأسر والمنظمات غير الحكومية المختصة. وتشمل هذه الشراكة، التي ينص عليها القانون، تدخُّل المنظمات غير الحكومية على كل من مستوى رسم السياسات وتنفيذها (المادتان 5(ز) و17 من المرسوم بقانون </w:t>
      </w:r>
      <w:r w:rsidRPr="00CF2184">
        <w:rPr>
          <w:spacing w:val="-2"/>
          <w:rtl/>
          <w:lang w:val="en-GB"/>
        </w:rPr>
        <w:t xml:space="preserve">33/99/م </w:t>
      </w:r>
      <w:r w:rsidRPr="00CF2184">
        <w:rPr>
          <w:rFonts w:hint="cs"/>
          <w:spacing w:val="-2"/>
          <w:rtl/>
          <w:lang w:val="en-GB"/>
        </w:rPr>
        <w:t xml:space="preserve">المذكور والمادة 11 من القانون </w:t>
      </w:r>
      <w:r w:rsidRPr="00CF2184">
        <w:rPr>
          <w:spacing w:val="-2"/>
          <w:rtl/>
          <w:lang w:val="en-GB"/>
        </w:rPr>
        <w:t>6/94/</w:t>
      </w:r>
      <w:r w:rsidR="00CF2184">
        <w:rPr>
          <w:rFonts w:hint="cs"/>
          <w:spacing w:val="-2"/>
          <w:rtl/>
          <w:lang w:val="en-GB"/>
        </w:rPr>
        <w:t>م</w:t>
      </w:r>
      <w:r w:rsidRPr="00CF2184">
        <w:rPr>
          <w:spacing w:val="-2"/>
          <w:rtl/>
          <w:lang w:val="en-GB"/>
        </w:rPr>
        <w:t xml:space="preserve"> </w:t>
      </w:r>
      <w:r w:rsidRPr="00CF2184">
        <w:rPr>
          <w:rFonts w:hint="cs"/>
          <w:spacing w:val="-2"/>
          <w:rtl/>
          <w:lang w:val="en-GB"/>
        </w:rPr>
        <w:t xml:space="preserve">الصادر في 1 آب/أغسطس، بشأن الإطار القانوني </w:t>
      </w:r>
      <w:r w:rsidRPr="00CF2184">
        <w:rPr>
          <w:spacing w:val="-2"/>
          <w:rtl/>
          <w:lang w:val="en-GB"/>
        </w:rPr>
        <w:t>للسياسة المتعلقة بالأسرة</w:t>
      </w:r>
      <w:r w:rsidRPr="00CF2184">
        <w:rPr>
          <w:rFonts w:hint="cs"/>
          <w:spacing w:val="-2"/>
          <w:rtl/>
          <w:lang w:val="en-GB"/>
        </w:rPr>
        <w:t>).</w:t>
      </w:r>
    </w:p>
    <w:p w:rsidR="00681C20" w:rsidRDefault="00681C20" w:rsidP="00681C20">
      <w:pPr>
        <w:pStyle w:val="SingleTxtGA"/>
        <w:rPr>
          <w:rFonts w:hint="cs"/>
          <w:rtl/>
          <w:lang w:val="en-GB"/>
        </w:rPr>
      </w:pPr>
      <w:r>
        <w:rPr>
          <w:rFonts w:hint="cs"/>
          <w:rtl/>
          <w:lang w:val="en-GB"/>
        </w:rPr>
        <w:t>17-</w:t>
      </w:r>
      <w:r>
        <w:rPr>
          <w:rFonts w:hint="cs"/>
          <w:rtl/>
          <w:lang w:val="en-GB"/>
        </w:rPr>
        <w:tab/>
        <w:t xml:space="preserve">وفي داخل حكومة منطقة ماكاو، يكون </w:t>
      </w:r>
      <w:r w:rsidRPr="0005316A">
        <w:rPr>
          <w:rtl/>
          <w:lang w:val="en-GB"/>
        </w:rPr>
        <w:t>المدير التنفيذي الأول</w:t>
      </w:r>
      <w:r>
        <w:rPr>
          <w:rFonts w:hint="cs"/>
          <w:rtl/>
          <w:lang w:val="en-GB"/>
        </w:rPr>
        <w:t xml:space="preserve"> ووزير الشؤون الاجتماعية والثقافية هما الكيانان الرئيسيان المخولان سلطة التصرف بشأن المسائل التي تنظمها الاتفاقية. وتشكل شعبة إعادة التأهيل التابعة لمكتب الرعاية الاجتماعية، تحت إشراف الوزير، الهيكل الدائم المسؤول عن تنسيق سياسة إعادة التأهيل وإقامة الصلة بها. أما مكتب شؤون العمل الخاضع لوزير الاقتصاد والمالية، فهو مسؤول عن التدابير المتعلقة بالعمالة. ووزير النقل والأشغال العامة مسؤول عن الجوانب المتصلة بإزالة الموانع المادية وتوفير المكان المناسب فيما يتعلق بوسائل النقل. وأخيراً، تقع صياغة التشريع ونشر القانون ضمن اختصاص وزير الإدارة والعدل.</w:t>
      </w:r>
    </w:p>
    <w:p w:rsidR="00681C20" w:rsidRDefault="00681C20" w:rsidP="00681C20">
      <w:pPr>
        <w:pStyle w:val="SingleTxtGA"/>
        <w:rPr>
          <w:rFonts w:hint="cs"/>
          <w:rtl/>
          <w:lang w:val="en-GB"/>
        </w:rPr>
      </w:pPr>
      <w:r>
        <w:rPr>
          <w:rFonts w:hint="cs"/>
          <w:rtl/>
          <w:lang w:val="en-GB"/>
        </w:rPr>
        <w:t>18-</w:t>
      </w:r>
      <w:r>
        <w:rPr>
          <w:rFonts w:hint="cs"/>
          <w:rtl/>
          <w:lang w:val="en-GB"/>
        </w:rPr>
        <w:tab/>
        <w:t xml:space="preserve">وتتولى أيضا متابعةَ سياسة إعادة التأهيل هيئةٌ استشارية حكومية، هي </w:t>
      </w:r>
      <w:r>
        <w:rPr>
          <w:rFonts w:hint="cs"/>
          <w:i/>
          <w:iCs/>
          <w:rtl/>
          <w:lang w:val="en-GB"/>
        </w:rPr>
        <w:t>مجلس الرعاية الاجتماعية</w:t>
      </w:r>
      <w:r>
        <w:rPr>
          <w:rFonts w:hint="cs"/>
          <w:rtl/>
          <w:lang w:val="en-GB"/>
        </w:rPr>
        <w:t xml:space="preserve">، يرأسها وزير الشؤون الاجتماعية والثقافة، وتضم </w:t>
      </w:r>
      <w:r w:rsidRPr="00037BEB">
        <w:rPr>
          <w:rtl/>
          <w:lang w:val="en-GB"/>
        </w:rPr>
        <w:t>النائب العام</w:t>
      </w:r>
      <w:r>
        <w:rPr>
          <w:rFonts w:hint="cs"/>
          <w:rtl/>
          <w:lang w:val="en-GB"/>
        </w:rPr>
        <w:t xml:space="preserve">، ومديري عدة إدارات حكومية فضلا عن 5 أفراد مشهود لهم بالجدارة و10 ممثلين عن المنظمات غير الحكومية العاملة في ميدان الرعاية الاجتماعية. وأنشئت مؤخراً هيئة استشارية مستقلة أكثر تخصصاً، هي </w:t>
      </w:r>
      <w:r>
        <w:rPr>
          <w:rFonts w:hint="cs"/>
          <w:i/>
          <w:iCs/>
          <w:rtl/>
          <w:lang w:val="en-GB"/>
        </w:rPr>
        <w:t>لجنة شؤون إعادة التأهيل</w:t>
      </w:r>
      <w:r>
        <w:rPr>
          <w:rFonts w:hint="cs"/>
          <w:rtl/>
          <w:lang w:val="en-GB"/>
        </w:rPr>
        <w:t xml:space="preserve">، وهي ذات طابع متعدد التخصصات وتشكيل مماثل، ولكن مع زيادة تمثيل المنظمات غير الحكومية (حتى 15 شخصاً). وتتمثل ولايتها في مساعدة الحكومة في رسم السياسات المتعلقة بالوقاية من الإعاقة وإعادة التأهيل والإدماج الاجتماعي للأشخاص ذوي الإعاقة، وتنفيذ هذه السياسات وتنسيقها والإشراف عليها بأسلوب يكفل لهم المساواة في الحقوق ويؤكد قيمتهم وكرامتهم ويزيل العقبات وكذلك يمنع التمييز (قرار المدير التنفيذي الأول </w:t>
      </w:r>
      <w:r>
        <w:rPr>
          <w:rtl/>
          <w:lang w:val="en-GB"/>
        </w:rPr>
        <w:t>239/2008</w:t>
      </w:r>
      <w:r>
        <w:rPr>
          <w:rFonts w:hint="cs"/>
          <w:rtl/>
          <w:lang w:val="en-GB"/>
        </w:rPr>
        <w:t xml:space="preserve"> الصادر في 1 أيلول/سبتمبر).</w:t>
      </w:r>
    </w:p>
    <w:p w:rsidR="00681C20" w:rsidRPr="001D4837" w:rsidRDefault="00CF2184" w:rsidP="00681C20">
      <w:pPr>
        <w:pStyle w:val="H1GA"/>
        <w:rPr>
          <w:rFonts w:hint="cs"/>
          <w:rtl/>
          <w:lang w:val="en-GB" w:bidi="ar-TN"/>
        </w:rPr>
      </w:pPr>
      <w:r>
        <w:rPr>
          <w:rFonts w:hint="cs"/>
          <w:rtl/>
          <w:lang w:val="en-GB" w:bidi="ar-TN"/>
        </w:rPr>
        <w:tab/>
      </w:r>
      <w:r w:rsidR="00681C20">
        <w:rPr>
          <w:rFonts w:hint="cs"/>
          <w:rtl/>
          <w:lang w:val="en-GB" w:bidi="ar-TN"/>
        </w:rPr>
        <w:t>دال</w:t>
      </w:r>
      <w:r>
        <w:rPr>
          <w:rFonts w:hint="cs"/>
          <w:rtl/>
          <w:lang w:val="en-GB" w:bidi="ar-TN"/>
        </w:rPr>
        <w:t xml:space="preserve"> </w:t>
      </w:r>
      <w:r w:rsidR="00681C20">
        <w:rPr>
          <w:rFonts w:hint="cs"/>
          <w:rtl/>
          <w:lang w:val="en-GB" w:bidi="ar-TN"/>
        </w:rPr>
        <w:t>-</w:t>
      </w:r>
      <w:r w:rsidR="00681C20">
        <w:rPr>
          <w:rFonts w:hint="cs"/>
          <w:rtl/>
          <w:lang w:val="en-GB" w:bidi="ar-TN"/>
        </w:rPr>
        <w:tab/>
        <w:t xml:space="preserve">الصعوبات المتصلة بواقع الحال </w:t>
      </w:r>
      <w:r w:rsidR="00681C20" w:rsidRPr="001D4837">
        <w:rPr>
          <w:rFonts w:hint="cs"/>
          <w:rtl/>
          <w:lang w:val="en-GB" w:bidi="ar-TN"/>
        </w:rPr>
        <w:t>في منطقة ماكاو</w:t>
      </w:r>
    </w:p>
    <w:p w:rsidR="00681C20" w:rsidRDefault="00681C20" w:rsidP="00681C20">
      <w:pPr>
        <w:pStyle w:val="SingleTxtGA"/>
        <w:rPr>
          <w:rFonts w:hint="cs"/>
          <w:rtl/>
        </w:rPr>
      </w:pPr>
      <w:r>
        <w:rPr>
          <w:rFonts w:hint="cs"/>
          <w:rtl/>
        </w:rPr>
        <w:t>19-</w:t>
      </w:r>
      <w:r>
        <w:rPr>
          <w:rFonts w:hint="cs"/>
          <w:rtl/>
        </w:rPr>
        <w:tab/>
        <w:t xml:space="preserve">لا توجد في الوقت الراهن إحصاءات شاملة ومحدثة تتعلق بالإعاقة. فالبيانات المتعلقة بالإعاقة لم تُجمع في الواقع إلا من أجل تعداد سنة 2001 والتعداد الجزئي لسنة 2006. وسيجري التعداد الجديد في العام المقبل. وستُجمع المعلومات الإحصائية المتصلة بالإعاقة بالاستناد إلى أسس عدة، وبخاصة </w:t>
      </w:r>
      <w:r>
        <w:rPr>
          <w:rFonts w:hint="cs"/>
          <w:i/>
          <w:iCs/>
          <w:rtl/>
        </w:rPr>
        <w:t>المبادئ والتوصيات المتعلقة بالمراجعة 1 لتعدادات السكان والمساكن التي أصدرتها الشعبة الإحصائية في الأمم المتحدة، و</w:t>
      </w:r>
      <w:r w:rsidRPr="00351A8C">
        <w:rPr>
          <w:i/>
          <w:iCs/>
          <w:rtl/>
        </w:rPr>
        <w:t>التصنيف الدولي الجديد لتأدية الوظائف والإعاقة والصحة</w:t>
      </w:r>
      <w:r>
        <w:rPr>
          <w:rFonts w:hint="cs"/>
          <w:i/>
          <w:iCs/>
          <w:rtl/>
        </w:rPr>
        <w:t xml:space="preserve"> الذي أعدته منظمة الصحة العالمية</w:t>
      </w:r>
      <w:r>
        <w:rPr>
          <w:rFonts w:hint="cs"/>
          <w:rtl/>
        </w:rPr>
        <w:t>. ولمزيد من التفاصيل عن البيانات المتاحة عن الإعاقة، يرجى الرجوع إلى الفقرات 12-16 من تحديث الجزء الثالث من الوثيقة الأساسية للصين.</w:t>
      </w:r>
    </w:p>
    <w:p w:rsidR="00681C20" w:rsidRPr="009F6112" w:rsidRDefault="00CF2184" w:rsidP="00681C20">
      <w:pPr>
        <w:pStyle w:val="HChGA"/>
        <w:spacing w:before="120"/>
        <w:rPr>
          <w:rFonts w:hint="cs"/>
          <w:rtl/>
          <w:lang w:val="en-GB" w:bidi="ar-TN"/>
        </w:rPr>
      </w:pPr>
      <w:r>
        <w:rPr>
          <w:rFonts w:hint="cs"/>
          <w:rtl/>
          <w:lang w:val="en-GB" w:bidi="ar-TN"/>
        </w:rPr>
        <w:tab/>
      </w:r>
      <w:r w:rsidR="00681C20" w:rsidRPr="009F6112">
        <w:rPr>
          <w:rFonts w:hint="cs"/>
          <w:rtl/>
          <w:lang w:val="en-GB" w:bidi="ar-TN"/>
        </w:rPr>
        <w:t>ثالثاً</w:t>
      </w:r>
      <w:r>
        <w:rPr>
          <w:rFonts w:hint="cs"/>
          <w:rtl/>
          <w:lang w:val="en-GB" w:bidi="ar-TN"/>
        </w:rPr>
        <w:t xml:space="preserve"> </w:t>
      </w:r>
      <w:r w:rsidR="00681C20" w:rsidRPr="009F6112">
        <w:rPr>
          <w:rFonts w:hint="cs"/>
          <w:rtl/>
          <w:lang w:val="en-GB" w:bidi="ar-TN"/>
        </w:rPr>
        <w:t>-</w:t>
      </w:r>
      <w:r w:rsidR="00681C20" w:rsidRPr="009F6112">
        <w:rPr>
          <w:rFonts w:hint="cs"/>
          <w:rtl/>
          <w:lang w:val="en-GB" w:bidi="ar-TN"/>
        </w:rPr>
        <w:tab/>
      </w:r>
      <w:r w:rsidR="00681C20">
        <w:rPr>
          <w:rFonts w:hint="cs"/>
          <w:rtl/>
          <w:lang w:val="en-GB" w:bidi="ar-TN"/>
        </w:rPr>
        <w:t>إعمال</w:t>
      </w:r>
      <w:r w:rsidR="00681C20" w:rsidRPr="009F6112">
        <w:rPr>
          <w:rFonts w:hint="cs"/>
          <w:rtl/>
          <w:lang w:val="en-GB" w:bidi="ar-TN"/>
        </w:rPr>
        <w:t xml:space="preserve"> حقوق محددة</w:t>
      </w:r>
    </w:p>
    <w:p w:rsidR="00681C20" w:rsidRPr="009F6112" w:rsidRDefault="00CF2184" w:rsidP="00CF2184">
      <w:pPr>
        <w:pStyle w:val="H1GA"/>
        <w:jc w:val="left"/>
        <w:rPr>
          <w:rFonts w:hint="cs"/>
          <w:rtl/>
        </w:rPr>
      </w:pPr>
      <w:r>
        <w:rPr>
          <w:rFonts w:hint="cs"/>
          <w:rtl/>
        </w:rPr>
        <w:tab/>
      </w:r>
      <w:r>
        <w:rPr>
          <w:rFonts w:hint="cs"/>
          <w:rtl/>
        </w:rPr>
        <w:tab/>
      </w:r>
      <w:r w:rsidR="00681C20" w:rsidRPr="009F6112">
        <w:rPr>
          <w:rFonts w:hint="cs"/>
          <w:rtl/>
        </w:rPr>
        <w:t>المادة 5</w:t>
      </w:r>
      <w:r w:rsidR="00681C20" w:rsidRPr="009F6112">
        <w:rPr>
          <w:rFonts w:hint="cs"/>
          <w:rtl/>
        </w:rPr>
        <w:br/>
        <w:t>(المساواة وعدم التمييز)</w:t>
      </w:r>
    </w:p>
    <w:p w:rsidR="00681C20" w:rsidRDefault="00681C20" w:rsidP="00681C20">
      <w:pPr>
        <w:pStyle w:val="SingleTxtGA"/>
        <w:rPr>
          <w:rFonts w:hint="cs"/>
          <w:rtl/>
        </w:rPr>
      </w:pPr>
      <w:r>
        <w:rPr>
          <w:rFonts w:hint="cs"/>
          <w:rtl/>
        </w:rPr>
        <w:t>20-</w:t>
      </w:r>
      <w:r>
        <w:rPr>
          <w:rFonts w:hint="cs"/>
          <w:rtl/>
        </w:rPr>
        <w:tab/>
        <w:t>كما أُشير إلى ذلك، تقع المساواة وعدم التمييز في صلب النظام القانوني الشامل لمنطقة ماكاو. فدون إخلال بالحالات التي يُسمح فيها بالتمييز الإيجابي، تُحظر إجراءات التمييز أياً كان نوعها وهي غير مشروعة، بل وقد تشكل جرائم جنائية (يرجى الرجوع أيضاً إلى الفقرات من 77 إلى 99 وما بعدها من تحديث الجزء الثالث من وثيقة الصين الأساسية).</w:t>
      </w:r>
    </w:p>
    <w:p w:rsidR="00681C20" w:rsidRDefault="00681C20" w:rsidP="00681C20">
      <w:pPr>
        <w:pStyle w:val="SingleTxtGA"/>
        <w:rPr>
          <w:rFonts w:hint="cs"/>
          <w:rtl/>
        </w:rPr>
      </w:pPr>
      <w:r w:rsidRPr="00CF2184">
        <w:rPr>
          <w:rFonts w:hint="cs"/>
          <w:spacing w:val="-2"/>
          <w:rtl/>
        </w:rPr>
        <w:t>21-</w:t>
      </w:r>
      <w:r w:rsidRPr="00CF2184">
        <w:rPr>
          <w:rFonts w:hint="cs"/>
          <w:spacing w:val="-2"/>
          <w:rtl/>
        </w:rPr>
        <w:tab/>
        <w:t xml:space="preserve">وتعزز القوانين الأساسية المساواة إما بطريقة إيجابية أو بوسائل تقمع السلوكيات أو الإجراءات التمييزية. ومن الأمثلة على الحالة الأولى المثل المذكور في المرسوم بقانون </w:t>
      </w:r>
      <w:r w:rsidRPr="00CF2184">
        <w:rPr>
          <w:spacing w:val="-2"/>
          <w:rtl/>
          <w:lang w:val="en-GB"/>
        </w:rPr>
        <w:t>33/99/م</w:t>
      </w:r>
      <w:r>
        <w:rPr>
          <w:rtl/>
          <w:lang w:val="en-GB"/>
        </w:rPr>
        <w:t xml:space="preserve"> </w:t>
      </w:r>
      <w:r>
        <w:rPr>
          <w:rFonts w:hint="cs"/>
          <w:rtl/>
          <w:lang w:val="en-GB"/>
        </w:rPr>
        <w:t xml:space="preserve">الذي تنص المادة 4 منه صراحةً على أن الشخص ذا الإعاقة له ما لجميع الأشخاص الآخرين من ذات الحقوق وعليه ما عليهم من ذات الواجبات في ظل ظروف المساواة الكاملة باستثناء ممارسة أو مراعاة تلك التي يعجز عنها. وبالمثل، تنص المادة 5(د) من هذا المرسوم المتعلقة بالمبادئ العامة لهذه السياسة </w:t>
      </w:r>
      <w:r>
        <w:rPr>
          <w:rFonts w:hint="cs"/>
          <w:rtl/>
        </w:rPr>
        <w:t>على أنه يجب القضاء على التمييز وعلى أنه ينبغي أن يسهُل تدريجياً على الجميع الوصول الكامل إلى البيئة المادية والخدمات الاجتماعية والصحية والتعليم والعمل والحياة الثقافية والاجتماعية.</w:t>
      </w:r>
    </w:p>
    <w:p w:rsidR="00681C20" w:rsidRDefault="00681C20" w:rsidP="00681C20">
      <w:pPr>
        <w:pStyle w:val="SingleTxtGA"/>
        <w:rPr>
          <w:rFonts w:hint="cs"/>
          <w:rtl/>
        </w:rPr>
      </w:pPr>
      <w:r>
        <w:rPr>
          <w:rFonts w:hint="cs"/>
          <w:rtl/>
        </w:rPr>
        <w:t>22-</w:t>
      </w:r>
      <w:r>
        <w:rPr>
          <w:rFonts w:hint="cs"/>
          <w:rtl/>
        </w:rPr>
        <w:tab/>
        <w:t>وتؤكد عدة قوانين أخرى مجدداً تأكيدا ً صريحاً على الحق في المساواة وعدم التمييز. وفي القوانين الأحدث، أُضيفت إشارة إلى التمييز الإيجابي على الأحكام المتصلة بالحق في المساواة أو أُدرجت أحكام خاصة لتيسير ممارسة المعوقين للحقوق.</w:t>
      </w:r>
    </w:p>
    <w:p w:rsidR="00681C20" w:rsidRDefault="00681C20" w:rsidP="00681C20">
      <w:pPr>
        <w:pStyle w:val="SingleTxtGA"/>
        <w:rPr>
          <w:rFonts w:hint="cs"/>
          <w:rtl/>
        </w:rPr>
      </w:pPr>
      <w:r>
        <w:rPr>
          <w:rFonts w:hint="cs"/>
          <w:rtl/>
        </w:rPr>
        <w:t>23-</w:t>
      </w:r>
      <w:r>
        <w:rPr>
          <w:rFonts w:hint="cs"/>
          <w:rtl/>
        </w:rPr>
        <w:tab/>
        <w:t>وعلى الرغم من أن الأشخاص ذوي الإعاقة في منطقة ماكاو متساوون تماماً أمام القانون وبموجبه، فلا تزال الاختلالات موجودة في الواقع العملي. وتبحث سلطات المنطقة وتنظر في إيجاد سبل أخرى للتقدم بسرعة أكبر على مسار تحقيق المساواة للجميع.</w:t>
      </w:r>
    </w:p>
    <w:p w:rsidR="00681C20" w:rsidRDefault="00CF2184" w:rsidP="00CF2184">
      <w:pPr>
        <w:pStyle w:val="H1GA"/>
        <w:jc w:val="left"/>
        <w:rPr>
          <w:rFonts w:hint="cs"/>
          <w:rtl/>
        </w:rPr>
      </w:pPr>
      <w:r>
        <w:rPr>
          <w:rFonts w:hint="cs"/>
          <w:rtl/>
        </w:rPr>
        <w:tab/>
      </w:r>
      <w:r>
        <w:rPr>
          <w:rFonts w:hint="cs"/>
          <w:rtl/>
        </w:rPr>
        <w:tab/>
      </w:r>
      <w:r w:rsidR="00681C20">
        <w:rPr>
          <w:rFonts w:hint="cs"/>
          <w:rtl/>
        </w:rPr>
        <w:t>المادتان 6 و7</w:t>
      </w:r>
      <w:r w:rsidR="00681C20">
        <w:rPr>
          <w:rtl/>
        </w:rPr>
        <w:br/>
      </w:r>
      <w:r w:rsidR="00681C20">
        <w:rPr>
          <w:rFonts w:hint="cs"/>
          <w:rtl/>
        </w:rPr>
        <w:t>(النساء والأطفال ذوو الإعاقة)</w:t>
      </w:r>
    </w:p>
    <w:p w:rsidR="00681C20" w:rsidRDefault="00681C20" w:rsidP="00681C20">
      <w:pPr>
        <w:pStyle w:val="SingleTxtGA"/>
        <w:rPr>
          <w:rFonts w:hint="cs"/>
          <w:rtl/>
        </w:rPr>
      </w:pPr>
      <w:r>
        <w:rPr>
          <w:rFonts w:hint="cs"/>
          <w:rtl/>
        </w:rPr>
        <w:t>24-</w:t>
      </w:r>
      <w:r>
        <w:rPr>
          <w:rFonts w:hint="cs"/>
          <w:rtl/>
        </w:rPr>
        <w:tab/>
        <w:t xml:space="preserve">فيما يتعلق بالنساء والأطفال ذوي الإعاقة، ينبغي ملاحظة أن المادة 38 من القانون الأساسي المشار إليها تنص أيضاً على توفير حماية خاصة لحقوق المرأة ومصالحها المشروعة (الفقرة 2)، معترفةً بأن التفرقة في المعاملة ضرورية لتحقيق المساواة الحقيقية، وتنص كذلك على توفير رعاية وحماية خاصتين للأطفال (الفقرة 3). وبالمثل، فيما يتعلق بالأطفال ذوي الإعاقة، يجدر بالإشارة أن المادة 8(4) من القانون </w:t>
      </w:r>
      <w:r>
        <w:rPr>
          <w:rtl/>
          <w:lang w:val="en-GB"/>
        </w:rPr>
        <w:t xml:space="preserve">6/94/م </w:t>
      </w:r>
      <w:r>
        <w:rPr>
          <w:rFonts w:hint="cs"/>
          <w:rtl/>
          <w:lang w:val="en-GB"/>
        </w:rPr>
        <w:t xml:space="preserve">المشار إليه تنص على أنه ينبغي تقديم مساعدة خاصة </w:t>
      </w:r>
      <w:r>
        <w:rPr>
          <w:rFonts w:hint="cs"/>
          <w:rtl/>
        </w:rPr>
        <w:t>إليهم بحيث يتسنى تهيئة الظروف المناسبة لهم دعماً لنموهم.</w:t>
      </w:r>
    </w:p>
    <w:p w:rsidR="00681C20" w:rsidRDefault="00681C20" w:rsidP="00681C20">
      <w:pPr>
        <w:pStyle w:val="SingleTxtGA"/>
        <w:rPr>
          <w:rFonts w:hint="cs"/>
          <w:rtl/>
        </w:rPr>
      </w:pPr>
      <w:r>
        <w:rPr>
          <w:rFonts w:hint="cs"/>
          <w:rtl/>
        </w:rPr>
        <w:t>25-</w:t>
      </w:r>
      <w:r>
        <w:rPr>
          <w:rFonts w:hint="cs"/>
          <w:rtl/>
        </w:rPr>
        <w:tab/>
        <w:t>ومن الناحية القانونية، لا توجد قيود جنسانية أياً كانت ولا قيود تمييزية تتعلق بالأطفال في حد ذاتهم. فالأطفال يتمتعون بأهلية قانونية متضائلة ويخضعون لمسؤولية والديهم. ومع ذلك، يجب دائماً مراعاة مبدأ مصالح الطفل الفضلى الذي ترتكز عليه جميع التشريعات المتعلقة بالقصَّر. ويعترف القانون للأطفال بالحق في أن يُستمع إليهم في المسائل المهمة المتعلقة بحياتهم. ويولى الاهتمام الواجب لآرائهم وفقا لعمرهم ومدى نضجهم.</w:t>
      </w:r>
    </w:p>
    <w:p w:rsidR="00681C20" w:rsidRDefault="00CF2184" w:rsidP="00CF2184">
      <w:pPr>
        <w:pStyle w:val="H1GA"/>
        <w:jc w:val="left"/>
        <w:rPr>
          <w:rFonts w:hint="cs"/>
          <w:rtl/>
        </w:rPr>
      </w:pPr>
      <w:r>
        <w:rPr>
          <w:rFonts w:hint="cs"/>
          <w:rtl/>
        </w:rPr>
        <w:tab/>
      </w:r>
      <w:r>
        <w:rPr>
          <w:rFonts w:hint="cs"/>
          <w:rtl/>
        </w:rPr>
        <w:tab/>
      </w:r>
      <w:r w:rsidR="00681C20">
        <w:rPr>
          <w:rFonts w:hint="cs"/>
          <w:rtl/>
        </w:rPr>
        <w:t>المادة 8</w:t>
      </w:r>
      <w:r w:rsidR="00681C20">
        <w:rPr>
          <w:rFonts w:hint="cs"/>
          <w:rtl/>
        </w:rPr>
        <w:br/>
        <w:t>(</w:t>
      </w:r>
      <w:r w:rsidR="00681C20">
        <w:rPr>
          <w:szCs w:val="30"/>
          <w:rtl/>
        </w:rPr>
        <w:t>إ</w:t>
      </w:r>
      <w:r w:rsidR="00681C20">
        <w:rPr>
          <w:rFonts w:hint="cs"/>
          <w:szCs w:val="30"/>
          <w:rtl/>
        </w:rPr>
        <w:t>ز</w:t>
      </w:r>
      <w:r w:rsidR="00681C20" w:rsidRPr="00580653">
        <w:rPr>
          <w:szCs w:val="30"/>
          <w:rtl/>
        </w:rPr>
        <w:t>كاء الوعي</w:t>
      </w:r>
      <w:r w:rsidR="00681C20">
        <w:rPr>
          <w:rFonts w:hint="cs"/>
          <w:rtl/>
        </w:rPr>
        <w:t>)</w:t>
      </w:r>
    </w:p>
    <w:p w:rsidR="00681C20" w:rsidRDefault="00681C20" w:rsidP="00681C20">
      <w:pPr>
        <w:pStyle w:val="SingleTxtGA"/>
        <w:rPr>
          <w:rFonts w:hint="cs"/>
          <w:rtl/>
        </w:rPr>
      </w:pPr>
      <w:r>
        <w:rPr>
          <w:rFonts w:hint="cs"/>
          <w:rtl/>
        </w:rPr>
        <w:t>26-</w:t>
      </w:r>
      <w:r>
        <w:rPr>
          <w:rFonts w:hint="cs"/>
          <w:rtl/>
        </w:rPr>
        <w:tab/>
        <w:t>نشر مكتب الرعاية الاجتماعية كتيباً يتضمن نص الاتفاقية ووزعه على الجمهور بالمجان. كما نُشرت بعض المقالات التي توضح حقوق الأشخاص ذوي الإعاقة، والتي تفسر كذلك الجرائم المرتبطة بها. وستسمر حملات التوعية.</w:t>
      </w:r>
    </w:p>
    <w:p w:rsidR="00681C20" w:rsidRDefault="00681C20" w:rsidP="00681C20">
      <w:pPr>
        <w:pStyle w:val="SingleTxtGA"/>
        <w:rPr>
          <w:rFonts w:hint="cs"/>
          <w:rtl/>
        </w:rPr>
      </w:pPr>
      <w:r>
        <w:rPr>
          <w:rFonts w:hint="cs"/>
          <w:rtl/>
        </w:rPr>
        <w:t>27-</w:t>
      </w:r>
      <w:r>
        <w:rPr>
          <w:rFonts w:hint="cs"/>
          <w:rtl/>
        </w:rPr>
        <w:tab/>
        <w:t xml:space="preserve">وفيما بين عامي 2006 و2009، قدم مكتب الرعاية الاجتماعية إعانات أو </w:t>
      </w:r>
      <w:r w:rsidR="00CF2184">
        <w:rPr>
          <w:rFonts w:hint="cs"/>
          <w:rtl/>
        </w:rPr>
        <w:t xml:space="preserve">       </w:t>
      </w:r>
      <w:r>
        <w:rPr>
          <w:rFonts w:hint="cs"/>
          <w:rtl/>
        </w:rPr>
        <w:t>موَّل 19 نشاطاً ترويجياً، ومعسكراً حياتياً، ومنافسة أعدتها منظمات غير حكومية متنوعة لمساعدة الأشخاص ذوي الإعاقة على الاندماج في المجتمع ولإزكاء الوعي فيما يتصل بالأشخاص ذوي الإعاقة وكرامتهم وحقوقهم واحتياجاتهم. وعلاوة على ذلك، تُعقد سنوياً سلسلة من الأنشطة للاحتفال باليوم العالمي لإعادة التأهيل، من أجل تهيئة الفرص أمام الجمهور للاتصال بالأشخاص ذوي الإعاقة ومعرفة المزيد عنهم، مما يقضي على أشكال القولبة النمطية/التحيز ضدهم وييسر إقامة مجتمع متكامل ومنسجم.</w:t>
      </w:r>
    </w:p>
    <w:p w:rsidR="00681C20" w:rsidRDefault="00681C20" w:rsidP="00681C20">
      <w:pPr>
        <w:pStyle w:val="SingleTxtGA"/>
        <w:rPr>
          <w:rFonts w:hint="cs"/>
          <w:rtl/>
        </w:rPr>
      </w:pPr>
      <w:r>
        <w:rPr>
          <w:rFonts w:hint="cs"/>
          <w:rtl/>
        </w:rPr>
        <w:t>28-</w:t>
      </w:r>
      <w:r>
        <w:rPr>
          <w:rFonts w:hint="cs"/>
          <w:rtl/>
        </w:rPr>
        <w:tab/>
        <w:t>وينفذ مكتب الرعاية الاجتماعية أيضاً، بالاقتران مع مكتب الشؤون القانونية، برامج للتربية القومية في المدارس الابتدائية والثانوية. ويجري تعريف التلاميذ تدريجاً من خلال دروس وألعاب وبرامج دينامية بمفاهيم حقوق الإنسان ومفاهيم مكافحة التحيز، فضلاً عن مسائل أخرى تتعلق بالحقوق الأساسية. وموضوع التربية القومية مدرج في المنهج. وتنظم المدارس، كممارسة شائعة، مجموعات الاهتمام الاجتماعي للتلاميذ بوصفها واحداً من الأنشطة الخارجة عن المنهج تشجيعاً لحصولهم على معرفة ورؤية أفضل للمسائل المتعلقة بحقوق الإنسان بهدف التصدي للظلم الاجتماعي أو التمييز.</w:t>
      </w:r>
    </w:p>
    <w:p w:rsidR="00681C20" w:rsidRDefault="00CF2184" w:rsidP="00CF2184">
      <w:pPr>
        <w:pStyle w:val="H1GA"/>
        <w:spacing w:before="120"/>
        <w:jc w:val="left"/>
        <w:rPr>
          <w:rFonts w:hint="cs"/>
          <w:rtl/>
        </w:rPr>
      </w:pPr>
      <w:r>
        <w:rPr>
          <w:rFonts w:hint="cs"/>
          <w:rtl/>
        </w:rPr>
        <w:tab/>
      </w:r>
      <w:r>
        <w:rPr>
          <w:rFonts w:hint="cs"/>
          <w:rtl/>
        </w:rPr>
        <w:tab/>
      </w:r>
      <w:r w:rsidR="00681C20">
        <w:rPr>
          <w:rFonts w:hint="cs"/>
          <w:rtl/>
        </w:rPr>
        <w:t>المادة 9 (</w:t>
      </w:r>
      <w:r w:rsidR="00681C20" w:rsidRPr="00D33F1B">
        <w:rPr>
          <w:rtl/>
        </w:rPr>
        <w:t>إمكانية الوصول</w:t>
      </w:r>
      <w:r w:rsidR="00681C20">
        <w:rPr>
          <w:rFonts w:hint="cs"/>
          <w:rtl/>
        </w:rPr>
        <w:t>)</w:t>
      </w:r>
      <w:r w:rsidR="00681C20">
        <w:rPr>
          <w:rtl/>
        </w:rPr>
        <w:br/>
      </w:r>
      <w:r w:rsidR="00681C20">
        <w:rPr>
          <w:rFonts w:hint="cs"/>
          <w:rtl/>
        </w:rPr>
        <w:t>والمادة 20 (</w:t>
      </w:r>
      <w:r w:rsidR="00681C20" w:rsidRPr="00D33F1B">
        <w:rPr>
          <w:rtl/>
        </w:rPr>
        <w:t>التنقل الشخصي</w:t>
      </w:r>
      <w:r w:rsidR="00681C20">
        <w:rPr>
          <w:rFonts w:hint="cs"/>
          <w:rtl/>
        </w:rPr>
        <w:t>)</w:t>
      </w:r>
    </w:p>
    <w:p w:rsidR="00681C20" w:rsidRDefault="00681C20" w:rsidP="00681C20">
      <w:pPr>
        <w:pStyle w:val="SingleTxtGA"/>
        <w:rPr>
          <w:rFonts w:hint="cs"/>
          <w:rtl/>
        </w:rPr>
      </w:pPr>
      <w:r>
        <w:rPr>
          <w:rFonts w:hint="cs"/>
          <w:rtl/>
        </w:rPr>
        <w:t>29-</w:t>
      </w:r>
      <w:r>
        <w:rPr>
          <w:rFonts w:hint="cs"/>
          <w:rtl/>
        </w:rPr>
        <w:tab/>
        <w:t xml:space="preserve">تنص المادة 13 من المرسوم بقانون </w:t>
      </w:r>
      <w:r>
        <w:rPr>
          <w:rtl/>
          <w:lang w:val="en-GB"/>
        </w:rPr>
        <w:t xml:space="preserve">33/99/م </w:t>
      </w:r>
      <w:r>
        <w:rPr>
          <w:rFonts w:hint="cs"/>
          <w:rtl/>
        </w:rPr>
        <w:t>المشار إليه على أن إمكانية الوصول والتنقل تتضمن تدابير وتقنيات تهدف إلى منح الأشخاص ذوي الإعاقة المزيد من الاستقلالية وتتيح لهم المشاركة الكاملة في الحياة التعليمية والمهنية والاجتماعية، بأسلوب يشمل أي وضع ينشأ عن التنقل الوظيفي ووسائل النقل وكذلك أي من حواجز البيئة المادية.</w:t>
      </w:r>
    </w:p>
    <w:p w:rsidR="00681C20" w:rsidRDefault="00681C20" w:rsidP="00681C20">
      <w:pPr>
        <w:pStyle w:val="SingleTxtGA"/>
        <w:rPr>
          <w:rFonts w:hint="cs"/>
          <w:rtl/>
          <w:lang w:val="en-GB"/>
        </w:rPr>
      </w:pPr>
      <w:r>
        <w:rPr>
          <w:rFonts w:hint="cs"/>
          <w:rtl/>
        </w:rPr>
        <w:t>30-</w:t>
      </w:r>
      <w:r>
        <w:rPr>
          <w:rFonts w:hint="cs"/>
          <w:rtl/>
        </w:rPr>
        <w:tab/>
        <w:t xml:space="preserve">ولتحسين مشاركة الأشخاص ذوي الإعاقة في جميع جوانب الحياة، وبخاصة </w:t>
      </w:r>
      <w:r w:rsidR="00CF2184">
        <w:rPr>
          <w:rFonts w:hint="cs"/>
          <w:rtl/>
        </w:rPr>
        <w:t xml:space="preserve">        </w:t>
      </w:r>
      <w:r>
        <w:rPr>
          <w:rFonts w:hint="cs"/>
          <w:rtl/>
        </w:rPr>
        <w:t xml:space="preserve">فيما يتعلق بالإعاقة، يرسي القانون </w:t>
      </w:r>
      <w:r>
        <w:rPr>
          <w:rtl/>
          <w:lang w:val="en-GB"/>
        </w:rPr>
        <w:t>9/83/م</w:t>
      </w:r>
      <w:r>
        <w:rPr>
          <w:rFonts w:hint="cs"/>
          <w:rtl/>
          <w:lang w:val="en-GB"/>
        </w:rPr>
        <w:t>،</w:t>
      </w:r>
      <w:r>
        <w:rPr>
          <w:rtl/>
          <w:lang w:val="en-GB"/>
        </w:rPr>
        <w:t xml:space="preserve"> </w:t>
      </w:r>
      <w:r>
        <w:rPr>
          <w:rFonts w:hint="cs"/>
          <w:rtl/>
          <w:lang w:val="en-GB"/>
        </w:rPr>
        <w:t xml:space="preserve">الصادر في 3 تشرين الأول/أكتوبر، بشأن إزالة الحواجز المعمارية، سلسلة من القواعد والاشتراطات التقنية الواجبة التطبيق على جميع المباني التي من المقرر أن تشيدها الكيانات الحكومية أو أن تشيَّد من أجلها، بما في ذلك المؤسسات الحكومية وجهات تقديم الخدمات العامة، والمباني والمرافق العامة أو المفتوحة للجمهور كالمتاحف والمكتبات والمسارح ودور السينما، ومرافق عقد المؤتمرات، والكنائس، والمستشفيات، والمدارس، والمحاكم، ومكاتب الاتصالات والبريد، والمصارف، والفنادق، والمطاعم والمنشآت المماثلة، والمتاجر، وأحواض السباحة، والمراحيض العامة، وساحات الانتظار، والأرصفة، وما إلى ذلك. ثم أُكمل هذا القانون بالقرار </w:t>
      </w:r>
      <w:r w:rsidRPr="002468AE">
        <w:t>27/83/ECT</w:t>
      </w:r>
      <w:r>
        <w:rPr>
          <w:rFonts w:hint="cs"/>
          <w:rtl/>
        </w:rPr>
        <w:t xml:space="preserve">، الصادر في 5 تشرين الثاني/نوفمبر، بشأن الخطوط التوجيهية لتنفيذه. وعلاوة على ذلك، فإن اشتراطات </w:t>
      </w:r>
      <w:r>
        <w:rPr>
          <w:rFonts w:hint="cs"/>
          <w:rtl/>
          <w:lang w:val="en-GB"/>
        </w:rPr>
        <w:t>الخلو من الحواجز إلزاميةٌ في المزادات الحكومية المتعلقة بجميع الأشغال العامة أو الخدمات. ثم إنه يمكن منح إعانات حكومية للقضاء على الحواجز المعمارية بغية تيسير الاندماج الاجتماعي والمهني للأشخاص ذوي الإعاقة العاطلين عن العمل (المادة 5 من قرار المدير التنفيذي</w:t>
      </w:r>
      <w:r w:rsidR="00CF2184">
        <w:rPr>
          <w:rFonts w:hint="cs"/>
          <w:rtl/>
          <w:lang w:val="en-GB"/>
        </w:rPr>
        <w:t xml:space="preserve">        </w:t>
      </w:r>
      <w:r>
        <w:rPr>
          <w:rFonts w:hint="cs"/>
          <w:rtl/>
          <w:lang w:val="en-GB"/>
        </w:rPr>
        <w:t xml:space="preserve"> الأول </w:t>
      </w:r>
      <w:r w:rsidRPr="000C66A0">
        <w:rPr>
          <w:rtl/>
          <w:lang w:val="en-GB"/>
        </w:rPr>
        <w:t>199/2000</w:t>
      </w:r>
      <w:r>
        <w:rPr>
          <w:rFonts w:hint="cs"/>
          <w:rtl/>
          <w:lang w:val="en-GB"/>
        </w:rPr>
        <w:t>،</w:t>
      </w:r>
      <w:r w:rsidRPr="000C66A0">
        <w:rPr>
          <w:rtl/>
          <w:lang w:val="en-GB"/>
        </w:rPr>
        <w:t xml:space="preserve"> </w:t>
      </w:r>
      <w:r>
        <w:rPr>
          <w:rFonts w:hint="cs"/>
          <w:rtl/>
          <w:lang w:val="en-GB"/>
        </w:rPr>
        <w:t>الصادر في 16 تشرين الأول/أكتوبر).</w:t>
      </w:r>
    </w:p>
    <w:p w:rsidR="00681C20" w:rsidRDefault="00681C20" w:rsidP="00681C20">
      <w:pPr>
        <w:pStyle w:val="SingleTxtGA"/>
        <w:rPr>
          <w:rFonts w:hint="cs"/>
          <w:rtl/>
          <w:lang w:val="en-GB"/>
        </w:rPr>
      </w:pPr>
      <w:r>
        <w:rPr>
          <w:rFonts w:hint="cs"/>
          <w:rtl/>
          <w:lang w:val="en-GB"/>
        </w:rPr>
        <w:t>31-</w:t>
      </w:r>
      <w:r>
        <w:rPr>
          <w:rFonts w:hint="cs"/>
          <w:rtl/>
          <w:lang w:val="en-GB"/>
        </w:rPr>
        <w:tab/>
        <w:t>وينبغي التشديد على أن الأماكن الرئيسية المفتوحة أمام الجمهور مجهزة بمراحيض خالية من الحواجز، ومصاعد، وممرات منحدرة انحداراً طفيفاً، وإمكانية الوصول باستخدام الكراسي ذات العجلات، وطرقات أوسع مصممة للأشخاص ذوي الإعاقة. وبالإضافة إلى ذلك، استُحدثت مصاعد مصممة خصيصاً لاحتياجاتهم في معظم كباري المشاة. وتتضمن هذه التصميمات مفاتيح ضغط مكتوباً عليها بطريقة بريل لبيان رقم الطابق والتعليمات، ولوحات مفاتيح موضوعة في أماكن مناسبة لمستخدمي الكراسي ذات العجلات، وإشارات صوتية. ووضعت للأشخاص ذوي الإعاقات البصرية ممرات توجيه باللمس لتوجيه المكفوفين على الأرصفة في المناطق الكثيفة السكان، مما يوفر ممرات آمنة ويمكن التعويل عليها. وعلاوة على ذلك، وبعد التماس آراء المنظمات غير الحكومية المختصة، بدأ تركيب إشارات مرور صوتية تدريجياً منذ عام 2009. ولا تقتصر هذه المعدات على إصدار أصوات، وإنما هي أيضاً مجهزة بمكوّن يصدر ذبذبات يمكنه الإشارة إلى الاتجاه الصحيح لعبور الطريق.</w:t>
      </w:r>
    </w:p>
    <w:p w:rsidR="00681C20" w:rsidRDefault="00681C20" w:rsidP="00681C20">
      <w:pPr>
        <w:pStyle w:val="SingleTxtGA"/>
        <w:rPr>
          <w:rFonts w:hint="cs"/>
          <w:rtl/>
          <w:lang w:val="en-GB"/>
        </w:rPr>
      </w:pPr>
      <w:r>
        <w:rPr>
          <w:rFonts w:hint="cs"/>
          <w:rtl/>
          <w:lang w:val="en-GB"/>
        </w:rPr>
        <w:t>32-</w:t>
      </w:r>
      <w:r>
        <w:rPr>
          <w:rFonts w:hint="cs"/>
          <w:rtl/>
          <w:lang w:val="en-GB"/>
        </w:rPr>
        <w:tab/>
        <w:t>وفيما يتعلق بالنقل، يقدم مكتب الرعاية الاجتماعية إعانات لإعادة تأهيل الحافلات وسيارات الإسعاف لتوفير خدمات النقل والمرافقة للأشخاص ذوي الاحتياجات الخاصة، بمن في ذلك ذوو الإعاقة. ويقدَّم تدريب مهني للموظفين المتعاملين مع الجمهور لتحسين جودة الخدمات. ويوجد في الوقت الراهن 6 من هذه الحافلات وسيارتا إسعاف.</w:t>
      </w:r>
    </w:p>
    <w:p w:rsidR="00681C20" w:rsidRDefault="00681C20" w:rsidP="00681C20">
      <w:pPr>
        <w:pStyle w:val="SingleTxtGA"/>
        <w:rPr>
          <w:rFonts w:hint="cs"/>
          <w:rtl/>
          <w:lang w:val="en-GB"/>
        </w:rPr>
      </w:pPr>
      <w:r>
        <w:rPr>
          <w:rFonts w:hint="cs"/>
          <w:rtl/>
          <w:lang w:val="en-GB"/>
        </w:rPr>
        <w:t>33</w:t>
      </w:r>
      <w:r w:rsidRPr="00CF2184">
        <w:rPr>
          <w:rFonts w:hint="cs"/>
          <w:spacing w:val="-2"/>
          <w:rtl/>
          <w:lang w:val="en-GB"/>
        </w:rPr>
        <w:t>-</w:t>
      </w:r>
      <w:r w:rsidRPr="00CF2184">
        <w:rPr>
          <w:rFonts w:hint="cs"/>
          <w:spacing w:val="-2"/>
          <w:rtl/>
          <w:lang w:val="en-GB"/>
        </w:rPr>
        <w:tab/>
        <w:t>ولتسهيل انتقال الأشخاص ذوي الإعاقة أيضاً، تخصَّص في خدمات الحافلات مقاعد قريبة من الأبواب بصورة إلزامية لفئات معينة من الأشخاص بمن فيهم ذوو الإعاقة. وفيما يتعلق</w:t>
      </w:r>
      <w:r>
        <w:rPr>
          <w:rFonts w:hint="cs"/>
          <w:rtl/>
          <w:lang w:val="en-GB"/>
        </w:rPr>
        <w:t xml:space="preserve"> بخدمات سيارات الأجرة، فإن سيارات الأجرة ملزمة بأن تقل كلاب القيادة الخاصة بالركاب المكفوفين بالمجان. كما أن سائقي سيارات الأجرة ملزمون بمساعدة الركاب الذين يحتاجون إلى رعاية خاصة لدخول المركبة أو الخروج منها ومساعدة الركاب في وضع حقائبهم، بما في ذلك الكراسي ذات العجلات، داخل حقيبة السيارة. ويخضع انتهاك الأحكام المذكورة لدفع غرامة.</w:t>
      </w:r>
    </w:p>
    <w:p w:rsidR="00681C20" w:rsidRDefault="00681C20" w:rsidP="00681C20">
      <w:pPr>
        <w:pStyle w:val="SingleTxtGA"/>
        <w:rPr>
          <w:rFonts w:hint="cs"/>
          <w:rtl/>
          <w:lang w:val="en-GB"/>
        </w:rPr>
      </w:pPr>
      <w:r>
        <w:rPr>
          <w:rFonts w:hint="cs"/>
          <w:rtl/>
          <w:lang w:val="en-GB"/>
        </w:rPr>
        <w:t>34-</w:t>
      </w:r>
      <w:r>
        <w:rPr>
          <w:rFonts w:hint="cs"/>
          <w:rtl/>
          <w:lang w:val="en-GB"/>
        </w:rPr>
        <w:tab/>
        <w:t>ومن ناحية أخرى، يجب أن تخصص مواقف السيارات العامة عدداً من أماكن الانتظار للأشخاص ذوي الإعاقة. ويُشترط أيضاً تخصيص أماكن انتظار مجانية حول أماكن عملهم وإقامتهم على أقصى مدى ممكن. وتتجاوز الأماكن المخصصة للأشخاص ذوي الإعاقة حالياً الطلب الفعلي.</w:t>
      </w:r>
    </w:p>
    <w:p w:rsidR="00681C20" w:rsidRDefault="006164BD" w:rsidP="006164BD">
      <w:pPr>
        <w:pStyle w:val="H1GA"/>
        <w:jc w:val="left"/>
        <w:rPr>
          <w:rFonts w:hint="cs"/>
          <w:rtl/>
          <w:lang w:val="en-GB"/>
        </w:rPr>
      </w:pPr>
      <w:r>
        <w:rPr>
          <w:rFonts w:hint="cs"/>
          <w:rtl/>
          <w:lang w:val="en-GB"/>
        </w:rPr>
        <w:tab/>
      </w:r>
      <w:r>
        <w:rPr>
          <w:rFonts w:hint="cs"/>
          <w:rtl/>
          <w:lang w:val="en-GB"/>
        </w:rPr>
        <w:tab/>
      </w:r>
      <w:r w:rsidR="00681C20">
        <w:rPr>
          <w:rFonts w:hint="cs"/>
          <w:rtl/>
          <w:lang w:val="en-GB"/>
        </w:rPr>
        <w:t>المادة 10</w:t>
      </w:r>
      <w:r w:rsidR="00681C20">
        <w:rPr>
          <w:rFonts w:hint="cs"/>
          <w:rtl/>
          <w:lang w:val="en-GB"/>
        </w:rPr>
        <w:br/>
        <w:t>(الحق في الحياة)</w:t>
      </w:r>
    </w:p>
    <w:p w:rsidR="00681C20" w:rsidRDefault="00681C20" w:rsidP="00681C20">
      <w:pPr>
        <w:pStyle w:val="SingleTxtGA"/>
        <w:rPr>
          <w:rFonts w:hint="cs"/>
          <w:rtl/>
          <w:lang w:val="en-GB"/>
        </w:rPr>
      </w:pPr>
      <w:r>
        <w:rPr>
          <w:rFonts w:hint="cs"/>
          <w:rtl/>
          <w:lang w:val="en-GB"/>
        </w:rPr>
        <w:t>35-</w:t>
      </w:r>
      <w:r>
        <w:rPr>
          <w:rFonts w:hint="cs"/>
          <w:rtl/>
          <w:lang w:val="en-GB"/>
        </w:rPr>
        <w:tab/>
        <w:t xml:space="preserve">لجميع الأشخاص الحق الأصيل في الحياة، وهو حق غير قابل للتصرف ولا يمكن التخلي عنه (المادة 70 من القانون المدني). ولا يوجد في النظام القانوني لمنطقة ماكاو </w:t>
      </w:r>
      <w:r w:rsidR="006164BD">
        <w:rPr>
          <w:rFonts w:hint="cs"/>
          <w:rtl/>
          <w:lang w:val="en-GB"/>
        </w:rPr>
        <w:t xml:space="preserve">           </w:t>
      </w:r>
      <w:r>
        <w:rPr>
          <w:rFonts w:hint="cs"/>
          <w:rtl/>
          <w:lang w:val="en-GB"/>
        </w:rPr>
        <w:t>لا عقوبة إعدام ولا سجن مدى الحياة.</w:t>
      </w:r>
    </w:p>
    <w:p w:rsidR="00681C20" w:rsidRDefault="00681C20" w:rsidP="00681C20">
      <w:pPr>
        <w:pStyle w:val="SingleTxtGA"/>
        <w:rPr>
          <w:rFonts w:hint="cs"/>
          <w:rtl/>
          <w:lang w:val="en-GB"/>
        </w:rPr>
      </w:pPr>
      <w:r>
        <w:rPr>
          <w:rFonts w:hint="cs"/>
          <w:rtl/>
          <w:lang w:val="en-GB"/>
        </w:rPr>
        <w:t>36-</w:t>
      </w:r>
      <w:r>
        <w:rPr>
          <w:rFonts w:hint="cs"/>
          <w:rtl/>
          <w:lang w:val="en-GB"/>
        </w:rPr>
        <w:tab/>
        <w:t xml:space="preserve">وينص القانون على الجرائم ضد الحياة والأجنة ويعاقب عليها. وعلى الرغم من أن الانتحار ليس جريمة (وإنما مجرد فعل مدني محرَّم)، فإن التحريض على الانتحار أو المساعدة عليه أو الترويج له يشكل جريمة ضد الحياة. ويشكل القتل الرحيم الذي يُعتبر قتل خطأ، والإجهاض، حتى لو كان طوعياً، جريمتين جنائيتين أيضاً. وبالرغم من ذلك، يصنف القانون أنواعاً معينة بالقتل الخطأ كالقتل بدافع التعاطف أو فقدان الأمل أو لسبب اجتماعي أو أخلاقي آخر، والقتل الخطأ بطريقة معينة بناء على طلب الضحية (المواد 130، و132، و133 من القانون الجنائي). وبالمثل، لا يعاقب القانون على الإجهاض بالموافقة تحت ظروف معينة مذكورة صراحةً في القانون (المادة 3 من المرسوم بقانون </w:t>
      </w:r>
      <w:r>
        <w:rPr>
          <w:rtl/>
          <w:lang w:val="en-GB"/>
        </w:rPr>
        <w:t xml:space="preserve">59/95/م </w:t>
      </w:r>
      <w:r>
        <w:rPr>
          <w:rFonts w:hint="cs"/>
          <w:rtl/>
          <w:lang w:val="en-GB"/>
        </w:rPr>
        <w:t xml:space="preserve">الصادر في 27 تشرين الثاني/نوفمبر، بصيغته المعدلة بالقانون </w:t>
      </w:r>
      <w:r w:rsidRPr="006418B2">
        <w:rPr>
          <w:rtl/>
          <w:lang w:val="en-GB"/>
        </w:rPr>
        <w:t>10/2004</w:t>
      </w:r>
      <w:r>
        <w:rPr>
          <w:rFonts w:hint="cs"/>
          <w:rtl/>
          <w:lang w:val="en-GB"/>
        </w:rPr>
        <w:t>،</w:t>
      </w:r>
      <w:r w:rsidRPr="006418B2">
        <w:rPr>
          <w:rtl/>
          <w:lang w:val="en-GB"/>
        </w:rPr>
        <w:t xml:space="preserve"> </w:t>
      </w:r>
      <w:r>
        <w:rPr>
          <w:rFonts w:hint="cs"/>
          <w:rtl/>
          <w:lang w:val="en-GB"/>
        </w:rPr>
        <w:t>الصادر في 22 تشرين الثاني/نوفمبر، بشأن قواعد وقف الحمل الإرادي).</w:t>
      </w:r>
    </w:p>
    <w:p w:rsidR="00681C20" w:rsidRDefault="00681C20" w:rsidP="00681C20">
      <w:pPr>
        <w:pStyle w:val="SingleTxtGA"/>
        <w:rPr>
          <w:rFonts w:hint="cs"/>
          <w:rtl/>
          <w:lang w:val="en-GB"/>
        </w:rPr>
      </w:pPr>
      <w:r>
        <w:rPr>
          <w:rFonts w:hint="cs"/>
          <w:rtl/>
          <w:lang w:val="en-GB"/>
        </w:rPr>
        <w:t>37-</w:t>
      </w:r>
      <w:r>
        <w:rPr>
          <w:rFonts w:hint="cs"/>
          <w:rtl/>
          <w:lang w:val="en-GB"/>
        </w:rPr>
        <w:tab/>
        <w:t>وينبغي الإشارة إلى أنه من بين الجرائم ضد الحياة، تشير جريمة التعريض أو التخلي بصفة خاصة إلى جملة فئات من بينها الأشخاص ذوو الإعاقة. وتتراوح العقوبات بين السجن لمدة سنة واحدة و15 سنة (المادة 135 من القانون الجنائي).</w:t>
      </w:r>
    </w:p>
    <w:p w:rsidR="00681C20" w:rsidRDefault="00A524C5" w:rsidP="00A524C5">
      <w:pPr>
        <w:pStyle w:val="H1GA"/>
        <w:jc w:val="left"/>
        <w:rPr>
          <w:rFonts w:hint="cs"/>
          <w:rtl/>
          <w:lang w:val="en-GB"/>
        </w:rPr>
      </w:pPr>
      <w:r>
        <w:rPr>
          <w:rFonts w:hint="cs"/>
          <w:rtl/>
          <w:lang w:val="en-GB"/>
        </w:rPr>
        <w:tab/>
      </w:r>
      <w:r>
        <w:rPr>
          <w:rFonts w:hint="cs"/>
          <w:rtl/>
          <w:lang w:val="en-GB"/>
        </w:rPr>
        <w:tab/>
      </w:r>
      <w:r w:rsidR="00681C20">
        <w:rPr>
          <w:rFonts w:hint="cs"/>
          <w:rtl/>
          <w:lang w:val="en-GB"/>
        </w:rPr>
        <w:t>المادة 11</w:t>
      </w:r>
      <w:r w:rsidR="00681C20">
        <w:rPr>
          <w:rFonts w:hint="cs"/>
          <w:rtl/>
          <w:lang w:val="en-GB"/>
        </w:rPr>
        <w:br/>
        <w:t>(</w:t>
      </w:r>
      <w:r w:rsidR="00681C20" w:rsidRPr="00996677">
        <w:rPr>
          <w:rtl/>
          <w:lang w:val="en-GB"/>
        </w:rPr>
        <w:t>حالات الخطر والطوارئ الإنسانية</w:t>
      </w:r>
      <w:r w:rsidR="00681C20">
        <w:rPr>
          <w:rFonts w:hint="cs"/>
          <w:rtl/>
          <w:lang w:val="en-GB"/>
        </w:rPr>
        <w:t>)</w:t>
      </w:r>
    </w:p>
    <w:p w:rsidR="00681C20" w:rsidRDefault="00681C20" w:rsidP="00681C20">
      <w:pPr>
        <w:pStyle w:val="SingleTxtGA"/>
        <w:rPr>
          <w:rFonts w:hint="cs"/>
          <w:rtl/>
          <w:lang w:val="en-GB"/>
        </w:rPr>
      </w:pPr>
      <w:r>
        <w:rPr>
          <w:rFonts w:hint="cs"/>
          <w:rtl/>
          <w:lang w:val="en-GB"/>
        </w:rPr>
        <w:t>38-</w:t>
      </w:r>
      <w:r>
        <w:rPr>
          <w:rFonts w:hint="cs"/>
          <w:rtl/>
          <w:lang w:val="en-GB"/>
        </w:rPr>
        <w:tab/>
        <w:t xml:space="preserve">ينص القانون الأساسي، في المادة 14، على أن تكون </w:t>
      </w:r>
      <w:r w:rsidRPr="005F0ED3">
        <w:rPr>
          <w:rtl/>
          <w:lang w:val="en-GB"/>
        </w:rPr>
        <w:t>الحكومة الشعبية المركزية</w:t>
      </w:r>
      <w:r>
        <w:rPr>
          <w:rFonts w:hint="cs"/>
          <w:rtl/>
          <w:lang w:val="en-GB"/>
        </w:rPr>
        <w:t xml:space="preserve"> لمنطقة ماكاو مسؤولة عن الدفاع عن المنطقة وأن تكون حكومة المنطقة مسؤولة عن الحفاظ على النظام العام في المنطقة. كما أنه ينص في المادة 18 على أنه في حالة ما إذا قررت اللجنة الدائمة للكونغرس الشعبي الوطني إعلان حالة الحرب أو إذا قررت بسبب وجود اضطراب داخل منطقة ماكاو يهدد الوحدة الوطنية أو الأمن القومي ويخرج عن سيطرة حكومة المنطقة أن المنطقة تمر بحالة طوارئ، يجوز للحكومة الشعبية المركزية أن تأمر بتطبيق القوانين ذات الصلة في المنطقة.</w:t>
      </w:r>
    </w:p>
    <w:p w:rsidR="00681C20" w:rsidRDefault="00681C20" w:rsidP="00681C20">
      <w:pPr>
        <w:pStyle w:val="SingleTxtGA"/>
        <w:rPr>
          <w:rFonts w:hint="cs"/>
          <w:rtl/>
          <w:lang w:val="en-GB"/>
        </w:rPr>
      </w:pPr>
      <w:r>
        <w:rPr>
          <w:rFonts w:hint="cs"/>
          <w:rtl/>
          <w:lang w:val="en-GB"/>
        </w:rPr>
        <w:t>39-</w:t>
      </w:r>
      <w:r>
        <w:rPr>
          <w:rFonts w:hint="cs"/>
          <w:rtl/>
          <w:lang w:val="en-GB"/>
        </w:rPr>
        <w:tab/>
        <w:t>ومن ناحية أخرى، فإن الصكوك الإنسانية الدولية ومعاهدات حقوق الإنسان الرئيسية نافذة في منطقة ماكاو (لمزيد من التفاصيل، يرجى الرجوع إلى الفقرات من 72 إلى 78 من تحديث الجزء الثالث من وثيقة الصين الأساسية). وعلى الرغم من نظام الاستقبال، فإن تنفيذها يتطلب عادةً اعتماد تشريعات داخلية. وتلك هي حال القانون 1/2004، الصادر في 23 شباط/فبراير، بشأن إجراءات الاعتراف بحق اللجوء وفقدانه. فبموجب هذا القانون يقوم المدير التنفيذي الأول في الحالات الخاصة التي يتعرّض فيها الحفاظ على الأمن العام في المنطقة للخطر، مثل التدفقات الكبيرة للاجئين، بتحديد التدابير الواجب تطبيقها متى لزم الأمر وبمساعدة الحكومة الشعبية المركزية وإذنها بعد التشاور مع اللجنة المعنية باللاجئين ومجلس الأمن التابع لمنطقة ماكاو وممثل مفوضية الأمم المتحدة السامية لشؤون اللاجئين. وبموجب هذا القانون، تُكفل حماية خاصة للأشخاص الذين يلتمسون اللجوء والعاجزين قانوناً بسبب الإعاقة الذهنية أو الذين يعتبرون، لأي سبب آخر، معرضين على نحو خاص. وبالإضافة إلى ذلك، وبطريقة عامة أكثر، ينص القانون على أن توفَّر لجميع الأشخاص الذين يلتمسون اللجوء أو الذين مُنحوا هذا الوضع والذين يجدون أنفسهم في وضع اقتصادي أو اجتماعي سيء، وكذلك أفراد أسرهم، رعايةٌ خاصة ودعم خاص بما في ذلك المعونة المالية عن طريق مكتب الرعاية الاجتماعية.</w:t>
      </w:r>
    </w:p>
    <w:p w:rsidR="00681C20" w:rsidRDefault="00681C20" w:rsidP="00681C20">
      <w:pPr>
        <w:pStyle w:val="SingleTxtGA"/>
        <w:rPr>
          <w:rFonts w:hint="cs"/>
          <w:rtl/>
          <w:lang w:val="en-GB"/>
        </w:rPr>
      </w:pPr>
      <w:r>
        <w:rPr>
          <w:rFonts w:hint="cs"/>
          <w:rtl/>
          <w:lang w:val="en-GB"/>
        </w:rPr>
        <w:t>40</w:t>
      </w:r>
      <w:r w:rsidRPr="00A524C5">
        <w:rPr>
          <w:rFonts w:hint="cs"/>
          <w:spacing w:val="-2"/>
          <w:rtl/>
          <w:lang w:val="en-GB"/>
        </w:rPr>
        <w:t>-</w:t>
      </w:r>
      <w:r w:rsidRPr="00A524C5">
        <w:rPr>
          <w:rFonts w:hint="cs"/>
          <w:spacing w:val="-2"/>
          <w:rtl/>
          <w:lang w:val="en-GB"/>
        </w:rPr>
        <w:tab/>
        <w:t xml:space="preserve">وينبغي القول إن القانون المتعلق بالحماية المدنية والقانون المتعلق بالأمن الداخلي لمنطقة ماكاو، أي المرسوم بقانون </w:t>
      </w:r>
      <w:r w:rsidRPr="00A524C5">
        <w:rPr>
          <w:spacing w:val="-2"/>
          <w:rtl/>
          <w:lang w:val="en-GB"/>
        </w:rPr>
        <w:t xml:space="preserve">72/92/م </w:t>
      </w:r>
      <w:r w:rsidRPr="00A524C5">
        <w:rPr>
          <w:rFonts w:hint="cs"/>
          <w:spacing w:val="-2"/>
          <w:rtl/>
          <w:lang w:val="en-GB"/>
        </w:rPr>
        <w:t>الصادر في 28 أيلول/سبتمبر، والقانون 9/2002</w:t>
      </w:r>
      <w:r>
        <w:rPr>
          <w:rFonts w:hint="cs"/>
          <w:rtl/>
          <w:lang w:val="en-GB"/>
        </w:rPr>
        <w:t xml:space="preserve"> الصادر في 9 كانون الأول/ديسمبر على التوالي، يتضمنان عدة قواعد تتصل باحترام الحقوق الأساسية والحريات التي يمكن تقييدها مؤقتاً في حالات الكوارث الطبيعية أو حالات الطوارئ الأخرى الناجمة عن تهديد خطير بحدوث اضطراب يهدد الأمن الداخلي لمنطقة ماكاو. ولا يمكن أن تكون هذه القيود تمييزية لكونها تخضع لحدود صارمة تنص عليها </w:t>
      </w:r>
      <w:r w:rsidR="00A524C5">
        <w:rPr>
          <w:rFonts w:hint="cs"/>
          <w:rtl/>
          <w:lang w:val="en-GB"/>
        </w:rPr>
        <w:t xml:space="preserve">       </w:t>
      </w:r>
      <w:r>
        <w:rPr>
          <w:rFonts w:hint="cs"/>
          <w:rtl/>
          <w:lang w:val="en-GB"/>
        </w:rPr>
        <w:t>المادة 40 من القانون الأساسي وهذين القانونين.</w:t>
      </w:r>
    </w:p>
    <w:p w:rsidR="00681C20" w:rsidRPr="00A524C5" w:rsidRDefault="00A524C5" w:rsidP="00A524C5">
      <w:pPr>
        <w:pStyle w:val="H1GA"/>
        <w:jc w:val="left"/>
        <w:rPr>
          <w:rFonts w:hint="cs"/>
          <w:spacing w:val="-2"/>
          <w:rtl/>
          <w:lang w:val="en-GB"/>
        </w:rPr>
      </w:pPr>
      <w:r>
        <w:rPr>
          <w:rFonts w:hint="cs"/>
          <w:rtl/>
          <w:lang w:val="en-GB"/>
        </w:rPr>
        <w:tab/>
      </w:r>
      <w:r>
        <w:rPr>
          <w:rFonts w:hint="cs"/>
          <w:rtl/>
          <w:lang w:val="en-GB"/>
        </w:rPr>
        <w:tab/>
      </w:r>
      <w:r w:rsidR="00681C20">
        <w:rPr>
          <w:rFonts w:hint="cs"/>
          <w:rtl/>
          <w:lang w:val="en-GB"/>
        </w:rPr>
        <w:t>المادة 12</w:t>
      </w:r>
      <w:r w:rsidR="00681C20">
        <w:rPr>
          <w:rFonts w:hint="cs"/>
          <w:rtl/>
          <w:lang w:val="en-GB"/>
        </w:rPr>
        <w:br/>
      </w:r>
      <w:r w:rsidR="00681C20" w:rsidRPr="00A524C5">
        <w:rPr>
          <w:rFonts w:hint="cs"/>
          <w:spacing w:val="-2"/>
          <w:rtl/>
          <w:lang w:val="en-GB"/>
        </w:rPr>
        <w:t>(</w:t>
      </w:r>
      <w:r w:rsidR="00681C20" w:rsidRPr="00A524C5">
        <w:rPr>
          <w:spacing w:val="-2"/>
          <w:rtl/>
          <w:lang w:val="en-GB"/>
        </w:rPr>
        <w:t xml:space="preserve">الاعتراف بالأشخاص ذوي الإعاقة على قدم المساواة مع </w:t>
      </w:r>
      <w:r w:rsidR="00681C20" w:rsidRPr="00A524C5">
        <w:rPr>
          <w:rFonts w:hint="cs"/>
          <w:spacing w:val="-2"/>
          <w:rtl/>
          <w:lang w:val="en-GB"/>
        </w:rPr>
        <w:t>ال</w:t>
      </w:r>
      <w:r w:rsidR="00681C20" w:rsidRPr="00A524C5">
        <w:rPr>
          <w:spacing w:val="-2"/>
          <w:rtl/>
          <w:lang w:val="en-GB"/>
        </w:rPr>
        <w:t>آخرين أمام القانون</w:t>
      </w:r>
      <w:r w:rsidR="00681C20" w:rsidRPr="00A524C5">
        <w:rPr>
          <w:rFonts w:hint="cs"/>
          <w:spacing w:val="-2"/>
          <w:rtl/>
          <w:lang w:val="en-GB"/>
        </w:rPr>
        <w:t>)</w:t>
      </w:r>
    </w:p>
    <w:p w:rsidR="00681C20" w:rsidRDefault="00681C20" w:rsidP="00681C20">
      <w:pPr>
        <w:pStyle w:val="SingleTxtGA"/>
        <w:rPr>
          <w:rFonts w:hint="cs"/>
          <w:rtl/>
          <w:lang w:val="en-GB"/>
        </w:rPr>
      </w:pPr>
      <w:r>
        <w:rPr>
          <w:rFonts w:hint="cs"/>
          <w:rtl/>
          <w:lang w:val="en-GB"/>
        </w:rPr>
        <w:t>41-</w:t>
      </w:r>
      <w:r>
        <w:rPr>
          <w:rFonts w:hint="cs"/>
          <w:rtl/>
          <w:lang w:val="en-GB"/>
        </w:rPr>
        <w:tab/>
      </w:r>
      <w:r w:rsidRPr="00D243EC">
        <w:rPr>
          <w:rtl/>
          <w:lang w:val="en-GB"/>
        </w:rPr>
        <w:t>لجميع الأشخاص الطبيعيين، الشخصية القانونية والأهلية القانونية لمجرد كونهم أفراداً</w:t>
      </w:r>
      <w:r>
        <w:rPr>
          <w:rFonts w:hint="cs"/>
          <w:rtl/>
          <w:lang w:val="en-GB"/>
        </w:rPr>
        <w:t>. و</w:t>
      </w:r>
      <w:r w:rsidRPr="00D243EC">
        <w:rPr>
          <w:rtl/>
          <w:lang w:val="en-GB"/>
        </w:rPr>
        <w:t>تكتسب الشخصية القانونية بالمولد التام والحياة ولا تنتهي إلا بالوفاة</w:t>
      </w:r>
      <w:r>
        <w:rPr>
          <w:rFonts w:hint="cs"/>
          <w:rtl/>
          <w:lang w:val="en-GB"/>
        </w:rPr>
        <w:t xml:space="preserve">. </w:t>
      </w:r>
      <w:r w:rsidRPr="00D243EC">
        <w:rPr>
          <w:rtl/>
          <w:lang w:val="en-GB"/>
        </w:rPr>
        <w:t>ولا ي</w:t>
      </w:r>
      <w:r>
        <w:rPr>
          <w:rFonts w:hint="cs"/>
          <w:rtl/>
          <w:lang w:val="en-GB"/>
        </w:rPr>
        <w:t>ُ</w:t>
      </w:r>
      <w:r w:rsidRPr="00D243EC">
        <w:rPr>
          <w:rtl/>
          <w:lang w:val="en-GB"/>
        </w:rPr>
        <w:t>سمح لأي شخص بالتنازل كلياً أو جزئياً عن</w:t>
      </w:r>
      <w:r>
        <w:rPr>
          <w:rFonts w:hint="cs"/>
          <w:rtl/>
          <w:lang w:val="en-GB"/>
        </w:rPr>
        <w:t xml:space="preserve"> شخصيته القانونية أو</w:t>
      </w:r>
      <w:r w:rsidRPr="00D243EC">
        <w:rPr>
          <w:rtl/>
          <w:lang w:val="en-GB"/>
        </w:rPr>
        <w:t xml:space="preserve"> أهليته القانونية</w:t>
      </w:r>
      <w:r>
        <w:rPr>
          <w:rFonts w:hint="cs"/>
          <w:rtl/>
          <w:lang w:val="en-GB"/>
        </w:rPr>
        <w:t>. وينص القانون صراحةً على القيود المفروضة على الأهلية، وهي تستند إلى وقائع موضوعية. ولمزيد من الإيضاح، فبخلاف القصَّر، لا يجوز أن يُعتبر "غير قادر" أو "محروماً من الأهلية" إلا العاجزين عن إدارة شؤون أنفسهم أو ممتلكاتهم. ويعامَل هؤلاء الأشخاص، من الناحية القانونية، معاملة القصَّر (المواد من 63 إلى 67، و122، و123، و135، و137 من القانون المدني).</w:t>
      </w:r>
    </w:p>
    <w:p w:rsidR="00681C20" w:rsidRDefault="00A524C5" w:rsidP="00A524C5">
      <w:pPr>
        <w:pStyle w:val="H1GA"/>
        <w:jc w:val="left"/>
        <w:rPr>
          <w:rFonts w:hint="cs"/>
          <w:rtl/>
          <w:lang w:val="en-GB"/>
        </w:rPr>
      </w:pPr>
      <w:r>
        <w:rPr>
          <w:rFonts w:hint="cs"/>
          <w:rtl/>
          <w:lang w:val="en-GB"/>
        </w:rPr>
        <w:tab/>
      </w:r>
      <w:r>
        <w:rPr>
          <w:rFonts w:hint="cs"/>
          <w:rtl/>
          <w:lang w:val="en-GB"/>
        </w:rPr>
        <w:tab/>
      </w:r>
      <w:r w:rsidR="00681C20">
        <w:rPr>
          <w:rFonts w:hint="cs"/>
          <w:rtl/>
          <w:lang w:val="en-GB"/>
        </w:rPr>
        <w:t>المادة 13</w:t>
      </w:r>
      <w:r w:rsidR="00681C20">
        <w:rPr>
          <w:rFonts w:hint="cs"/>
          <w:rtl/>
          <w:lang w:val="en-GB"/>
        </w:rPr>
        <w:br/>
        <w:t>(</w:t>
      </w:r>
      <w:r w:rsidR="00681C20" w:rsidRPr="00A671D9">
        <w:rPr>
          <w:rtl/>
          <w:lang w:val="en-GB"/>
        </w:rPr>
        <w:t>إمكانية اللجوء إلى القضاء</w:t>
      </w:r>
      <w:r w:rsidR="00681C20">
        <w:rPr>
          <w:rFonts w:hint="cs"/>
          <w:rtl/>
          <w:lang w:val="en-GB"/>
        </w:rPr>
        <w:t>)</w:t>
      </w:r>
    </w:p>
    <w:p w:rsidR="00681C20" w:rsidRDefault="00681C20" w:rsidP="00681C20">
      <w:pPr>
        <w:pStyle w:val="SingleTxtGA"/>
        <w:rPr>
          <w:rFonts w:hint="cs"/>
          <w:rtl/>
          <w:lang w:val="en-GB"/>
        </w:rPr>
      </w:pPr>
      <w:r>
        <w:rPr>
          <w:rFonts w:hint="cs"/>
          <w:rtl/>
          <w:lang w:val="en-GB"/>
        </w:rPr>
        <w:t>42-</w:t>
      </w:r>
      <w:r>
        <w:rPr>
          <w:rFonts w:hint="cs"/>
          <w:rtl/>
          <w:lang w:val="en-GB"/>
        </w:rPr>
        <w:tab/>
        <w:t>ترسخ المادة 36 من القانون الأساسي الحق في اللجوء إلى القانون واللجوء إلى المحاكم وإلى مساعدة المحامين لحماية الحقوق والمصالح القانونية، والحق في سبل الانتصاف القانونية فضلا عن الحق في رفع دعاوى قضائية أمام المحاكم ضد أفعال السلطات التنفيذية وموظفيها. وتعيد المادة 6 من القانون 9/1999 الصادر في 20 كانون الأول/ديسمبر، بصيغته المعدلة بالقانون 9/2009 الصادر في 25 أيار/مايو، بشأن أساس التنظيم القضائي، التأكيد على هذه الحقوق. ولا يمكن إنكار العدالة بسبب عدم كفاية الإمكانات المالية. ويشمل اللجوء إلى القضاء والمحاكم المعلومات القانونية والاستشارات القانونية والمساعدة القانونية وسبل الانتصاف القضائية المنصوص عليها في القانون 21/88/م الصادر في 15 آب/أغسطس بصيغته المعدلة بالقانون 1/2009 الصادر في 29 كانون الثاني/يناير.</w:t>
      </w:r>
    </w:p>
    <w:p w:rsidR="00681C20" w:rsidRDefault="00681C20" w:rsidP="00681C20">
      <w:pPr>
        <w:pStyle w:val="SingleTxtGA"/>
        <w:rPr>
          <w:rFonts w:hint="cs"/>
          <w:rtl/>
          <w:lang w:val="en-GB"/>
        </w:rPr>
      </w:pPr>
      <w:r>
        <w:rPr>
          <w:rFonts w:hint="cs"/>
          <w:rtl/>
          <w:lang w:val="en-GB"/>
        </w:rPr>
        <w:t>43-</w:t>
      </w:r>
      <w:r>
        <w:rPr>
          <w:rFonts w:hint="cs"/>
          <w:rtl/>
          <w:lang w:val="en-GB"/>
        </w:rPr>
        <w:tab/>
        <w:t>ولضمان مشاركة الأشخاص ذوي الإعاقة في إجراءات المحاكم أو إجراءات الشرطة، تتاح لهم أجهزة مساعدة (مثل الكراسي ذات العجلات والأسرّة وسيارات الإسعاف) أو مساعدة من الأخصائيين، فضلاً عن مترجمين فوريين مناسبين لمساعدة الأشخاص ذوي الإعاقات الحسية إذا لزم الأمر. وعلاوة على ذلك، يجوز للمحكمة أن تسمح بتنفيذ الأعمال الإجرائية خارج المحكمة أو باستخدام وسائل الاتصالات بدلاً من المثول أمام المحكمة</w:t>
      </w:r>
      <w:r w:rsidR="00A524C5">
        <w:rPr>
          <w:rFonts w:hint="cs"/>
          <w:rtl/>
          <w:lang w:val="en-GB"/>
        </w:rPr>
        <w:t xml:space="preserve">        </w:t>
      </w:r>
      <w:r>
        <w:rPr>
          <w:rFonts w:hint="cs"/>
          <w:rtl/>
          <w:lang w:val="en-GB"/>
        </w:rPr>
        <w:t xml:space="preserve"> (المواد 91، و482، و528، و540، و542 من قانون الإجراءات المدنية لماكاو).</w:t>
      </w:r>
    </w:p>
    <w:p w:rsidR="00681C20" w:rsidRDefault="00A524C5" w:rsidP="00A524C5">
      <w:pPr>
        <w:pStyle w:val="H1GA"/>
        <w:spacing w:before="120"/>
        <w:jc w:val="left"/>
        <w:rPr>
          <w:rFonts w:hint="cs"/>
          <w:rtl/>
          <w:lang w:val="en-GB"/>
        </w:rPr>
      </w:pPr>
      <w:r>
        <w:rPr>
          <w:rFonts w:hint="cs"/>
          <w:rtl/>
          <w:lang w:val="en-GB"/>
        </w:rPr>
        <w:tab/>
      </w:r>
      <w:r>
        <w:rPr>
          <w:rFonts w:hint="cs"/>
          <w:rtl/>
          <w:lang w:val="en-GB"/>
        </w:rPr>
        <w:tab/>
      </w:r>
      <w:r w:rsidR="00681C20">
        <w:rPr>
          <w:rFonts w:hint="cs"/>
          <w:rtl/>
          <w:lang w:val="en-GB"/>
        </w:rPr>
        <w:t>المادة 14</w:t>
      </w:r>
      <w:r w:rsidR="00681C20">
        <w:rPr>
          <w:rFonts w:hint="cs"/>
          <w:rtl/>
          <w:lang w:val="en-GB"/>
        </w:rPr>
        <w:br/>
        <w:t>(</w:t>
      </w:r>
      <w:r w:rsidR="00681C20" w:rsidRPr="0001596C">
        <w:rPr>
          <w:rtl/>
          <w:lang w:val="en-GB"/>
        </w:rPr>
        <w:t>حرية الشخص وأمنه‏</w:t>
      </w:r>
      <w:r w:rsidR="00681C20">
        <w:rPr>
          <w:rFonts w:hint="cs"/>
          <w:rtl/>
          <w:lang w:val="en-GB"/>
        </w:rPr>
        <w:t>)</w:t>
      </w:r>
    </w:p>
    <w:p w:rsidR="00681C20" w:rsidRDefault="00681C20" w:rsidP="00681C20">
      <w:pPr>
        <w:pStyle w:val="SingleTxtGA"/>
        <w:rPr>
          <w:rFonts w:hint="cs"/>
          <w:rtl/>
          <w:lang w:val="en-GB"/>
        </w:rPr>
      </w:pPr>
      <w:r>
        <w:rPr>
          <w:rFonts w:hint="cs"/>
          <w:rtl/>
          <w:lang w:val="en-GB"/>
        </w:rPr>
        <w:t>44-</w:t>
      </w:r>
      <w:r>
        <w:rPr>
          <w:rFonts w:hint="cs"/>
          <w:rtl/>
          <w:lang w:val="en-GB"/>
        </w:rPr>
        <w:tab/>
        <w:t xml:space="preserve">تكفل المادة 28 من القانون الأساسي على نطاق واسع جداً عدم جواز انتهاك الحق في الحرية (أي الحق في عدم الخضوع لاعتقال أو احتجاز أو سجن تعسفي أو غير قانوني، وكذلك، في حال حدوث ذلك، الحق في </w:t>
      </w:r>
      <w:r w:rsidRPr="0001596C">
        <w:rPr>
          <w:rtl/>
          <w:lang w:val="en-GB"/>
        </w:rPr>
        <w:t xml:space="preserve">تقديم طلـب إلى المحكمة </w:t>
      </w:r>
      <w:r>
        <w:rPr>
          <w:rFonts w:hint="cs"/>
          <w:rtl/>
          <w:lang w:val="en-GB"/>
        </w:rPr>
        <w:t>لكي</w:t>
      </w:r>
      <w:r w:rsidRPr="0001596C">
        <w:rPr>
          <w:rtl/>
          <w:lang w:val="en-GB"/>
        </w:rPr>
        <w:t xml:space="preserve"> تصدر أمراً بالإحضار أمام المحكمة</w:t>
      </w:r>
      <w:r>
        <w:rPr>
          <w:rFonts w:hint="cs"/>
          <w:rtl/>
          <w:lang w:val="en-GB"/>
        </w:rPr>
        <w:t xml:space="preserve">، فضلاً عن حظر </w:t>
      </w:r>
      <w:r w:rsidRPr="0001596C">
        <w:rPr>
          <w:rtl/>
          <w:lang w:val="en-GB"/>
        </w:rPr>
        <w:t>التفتيش غير القانوني لجسد الشخص أو حرمانه من حريته أو تقييدها</w:t>
      </w:r>
      <w:r>
        <w:rPr>
          <w:rFonts w:hint="cs"/>
          <w:rtl/>
          <w:lang w:val="en-GB"/>
        </w:rPr>
        <w:t xml:space="preserve">، والتعذيب أو المعاملة اللاإنسانية). وتنص المادة 29 من القانون الأساسي بدورها على </w:t>
      </w:r>
      <w:r w:rsidRPr="008D43DF">
        <w:rPr>
          <w:rFonts w:hint="cs"/>
          <w:i/>
          <w:iCs/>
          <w:rtl/>
          <w:lang w:val="en-GB"/>
        </w:rPr>
        <w:t>"</w:t>
      </w:r>
      <w:r w:rsidRPr="008437B4">
        <w:rPr>
          <w:rFonts w:hint="cs"/>
          <w:i/>
          <w:iCs/>
          <w:rtl/>
          <w:lang w:val="en-GB"/>
        </w:rPr>
        <w:t>ألا يعاقَب سكان ماكاو بموجب القانون ما لم تشكل أفعالهم جريمة، ويعاقَبون عليها كما هو منصوص على ذلك صراحةً في القانون آنذاك. وعندما يُتهم سكان ماكاو ب</w:t>
      </w:r>
      <w:r>
        <w:rPr>
          <w:rFonts w:hint="cs"/>
          <w:i/>
          <w:iCs/>
          <w:rtl/>
          <w:lang w:val="en-GB"/>
        </w:rPr>
        <w:t>جريمة</w:t>
      </w:r>
      <w:r w:rsidRPr="008437B4">
        <w:rPr>
          <w:rFonts w:hint="cs"/>
          <w:i/>
          <w:iCs/>
          <w:rtl/>
          <w:lang w:val="en-GB"/>
        </w:rPr>
        <w:t xml:space="preserve">، فإنهم يتمتعون بالحق </w:t>
      </w:r>
      <w:r w:rsidRPr="008437B4">
        <w:rPr>
          <w:i/>
          <w:iCs/>
          <w:rtl/>
          <w:lang w:val="en-GB"/>
        </w:rPr>
        <w:t xml:space="preserve">في </w:t>
      </w:r>
      <w:r w:rsidRPr="008437B4">
        <w:rPr>
          <w:rFonts w:hint="cs"/>
          <w:i/>
          <w:iCs/>
          <w:rtl/>
          <w:lang w:val="en-GB"/>
        </w:rPr>
        <w:t>محاكمة عاجلة، وت</w:t>
      </w:r>
      <w:r w:rsidRPr="008437B4">
        <w:rPr>
          <w:i/>
          <w:iCs/>
          <w:rtl/>
          <w:lang w:val="en-GB"/>
        </w:rPr>
        <w:t xml:space="preserve">ُفترض </w:t>
      </w:r>
      <w:r w:rsidRPr="008437B4">
        <w:rPr>
          <w:rFonts w:hint="cs"/>
          <w:i/>
          <w:iCs/>
          <w:rtl/>
          <w:lang w:val="en-GB"/>
        </w:rPr>
        <w:t>براءتهم حتى تثبت إدانتهم</w:t>
      </w:r>
      <w:r>
        <w:rPr>
          <w:rFonts w:hint="cs"/>
          <w:rtl/>
          <w:lang w:val="en-GB"/>
        </w:rPr>
        <w:t>.</w:t>
      </w:r>
      <w:r w:rsidRPr="008D43DF">
        <w:rPr>
          <w:rFonts w:hint="cs"/>
          <w:i/>
          <w:iCs/>
          <w:rtl/>
          <w:lang w:val="en-GB"/>
        </w:rPr>
        <w:t>"</w:t>
      </w:r>
    </w:p>
    <w:p w:rsidR="00681C20" w:rsidRPr="00461655" w:rsidRDefault="00681C20" w:rsidP="00681C20">
      <w:pPr>
        <w:pStyle w:val="SingleTxtGA"/>
        <w:rPr>
          <w:rFonts w:hint="cs"/>
          <w:color w:val="000000"/>
          <w:spacing w:val="-2"/>
          <w:rtl/>
        </w:rPr>
      </w:pPr>
      <w:r w:rsidRPr="00461655">
        <w:rPr>
          <w:rFonts w:hint="cs"/>
          <w:spacing w:val="-2"/>
          <w:rtl/>
          <w:lang w:val="en-GB"/>
        </w:rPr>
        <w:t>45-</w:t>
      </w:r>
      <w:r w:rsidRPr="00461655">
        <w:rPr>
          <w:rFonts w:hint="cs"/>
          <w:spacing w:val="-2"/>
          <w:rtl/>
          <w:lang w:val="en-GB"/>
        </w:rPr>
        <w:tab/>
        <w:t xml:space="preserve">ويلقى الحق في الحرية حماية كاملة أيضاً بموجب المادة 72 من القانون المدني التي تفصّل مختلف جوانبه العامة والخاصة، بما في ذلك تلك المتصلة بالالتزامات التعاقدية (كحظر الرق، والعبودية، والسجن لعدم الوفاء بالالتزامات التعاقدية، الخ.)، كما أنها تؤكد مجدداً على الحق في التعويض في حالة خرقه. وعلاوة على ذلك، فإن المبادئ العامة للقانون الجنائي مثل </w:t>
      </w:r>
      <w:r w:rsidRPr="00461655">
        <w:rPr>
          <w:rFonts w:hint="cs"/>
          <w:i/>
          <w:iCs/>
          <w:spacing w:val="-2"/>
          <w:rtl/>
          <w:lang w:val="en-GB"/>
        </w:rPr>
        <w:t xml:space="preserve">لا جريمة إلا بموجب القانون، </w:t>
      </w:r>
      <w:r w:rsidRPr="00461655">
        <w:rPr>
          <w:i/>
          <w:iCs/>
          <w:color w:val="000000"/>
          <w:spacing w:val="-2"/>
          <w:rtl/>
        </w:rPr>
        <w:t>ولا عقاب إلا بموجب القانو</w:t>
      </w:r>
      <w:r w:rsidRPr="00461655">
        <w:rPr>
          <w:rFonts w:hint="cs"/>
          <w:i/>
          <w:iCs/>
          <w:color w:val="000000"/>
          <w:spacing w:val="-2"/>
          <w:rtl/>
        </w:rPr>
        <w:t>ن</w:t>
      </w:r>
      <w:r w:rsidRPr="00461655">
        <w:rPr>
          <w:rFonts w:hint="cs"/>
          <w:color w:val="000000"/>
          <w:spacing w:val="-2"/>
          <w:rtl/>
        </w:rPr>
        <w:t>، والجرائم ضد الحرية الشخصية، والحرية الجنسية، والتحديد الذاتي للهوية الجنسية منصوص عليها في القانون الجنائي. ويوفر العديد من قوانين منطقة ماكاو الأخرى الحماية لحق الشخص في الحرية وتعززه.</w:t>
      </w:r>
    </w:p>
    <w:p w:rsidR="00681C20" w:rsidRDefault="00681C20" w:rsidP="00681C20">
      <w:pPr>
        <w:pStyle w:val="SingleTxtGA"/>
        <w:rPr>
          <w:rFonts w:hint="cs"/>
          <w:rtl/>
          <w:lang w:val="en-GB"/>
        </w:rPr>
      </w:pPr>
      <w:r>
        <w:rPr>
          <w:rFonts w:hint="cs"/>
          <w:rtl/>
          <w:lang w:val="en-GB"/>
        </w:rPr>
        <w:t>46-</w:t>
      </w:r>
      <w:r>
        <w:rPr>
          <w:rFonts w:hint="cs"/>
          <w:rtl/>
          <w:lang w:val="en-GB"/>
        </w:rPr>
        <w:tab/>
        <w:t>ولا يمكن لوجود إعاقة في حد ذاته أن يبرر الحرمان من الحرية أو فرض أي قيود أخرى عليها. وهذا يشكل جريمة بالفعل.</w:t>
      </w:r>
    </w:p>
    <w:p w:rsidR="00681C20" w:rsidRDefault="00681C20" w:rsidP="00681C20">
      <w:pPr>
        <w:pStyle w:val="SingleTxtGA"/>
        <w:rPr>
          <w:rFonts w:hint="cs"/>
          <w:rtl/>
          <w:lang w:val="en-GB"/>
        </w:rPr>
      </w:pPr>
      <w:r>
        <w:rPr>
          <w:rFonts w:hint="cs"/>
          <w:rtl/>
          <w:lang w:val="en-GB"/>
        </w:rPr>
        <w:t>47-</w:t>
      </w:r>
      <w:r>
        <w:rPr>
          <w:rFonts w:hint="cs"/>
          <w:rtl/>
          <w:lang w:val="en-GB"/>
        </w:rPr>
        <w:tab/>
        <w:t>وبالرغم من ذلك، فإن الإيداع الإلزامي في المستشفى للأشخاص المصابين بمرض عقلي خطير ممكنٌ في ظل شروط موضوعية صارمة ورهناً بإشراف قضائي. وترد هذه الشروط فضلاً عن مجموعة من حقوق المريض، ولا سيما الحق في الحصول على مساعدة من محام والحق في الطعن في قرار فرض الاحتجاز عليه أو تأكيده، في المرسوم بقانون 31/99/م، الصادر في 12 تموز/</w:t>
      </w:r>
      <w:r w:rsidR="00CF2184">
        <w:rPr>
          <w:rFonts w:hint="cs"/>
          <w:rtl/>
          <w:lang w:val="en-GB"/>
        </w:rPr>
        <w:t>يوليه</w:t>
      </w:r>
      <w:r>
        <w:rPr>
          <w:rFonts w:hint="cs"/>
          <w:rtl/>
          <w:lang w:val="en-GB"/>
        </w:rPr>
        <w:t>، بشأن نظام الصحة العقلية. ويستلزم الاحتجاز الإلزامي في إحدى المؤسسات الصحية الخاصة إذناً قضائياً، وتستلزم قرارات الاحتجاز في مؤسسة صحية حكومية وكذلك قرارات استمرار الاحتجاز الإلزامي العاجل تأكيداً قضائياً في غضون 72 ساعة. وعلى أية حال، فإن إعادة النظر في الاحتجاز واجبة كل شهرين ويمكن الاستعاضة عنها بالعلاج خارج المستشفى.</w:t>
      </w:r>
    </w:p>
    <w:p w:rsidR="00681C20" w:rsidRDefault="00681C20" w:rsidP="00681C20">
      <w:pPr>
        <w:pStyle w:val="SingleTxtGA"/>
        <w:rPr>
          <w:rFonts w:hint="cs"/>
          <w:rtl/>
          <w:lang w:val="en-GB"/>
        </w:rPr>
      </w:pPr>
      <w:r>
        <w:rPr>
          <w:rFonts w:hint="cs"/>
          <w:rtl/>
          <w:lang w:val="en-GB"/>
        </w:rPr>
        <w:t>48-</w:t>
      </w:r>
      <w:r>
        <w:rPr>
          <w:rFonts w:hint="cs"/>
          <w:rtl/>
          <w:lang w:val="en-GB"/>
        </w:rPr>
        <w:tab/>
        <w:t>وفيما يتعلق بالحرمان من الحرية، ينص المرسوم بقانون 40/94/م، الصادر في 25 تموز/</w:t>
      </w:r>
      <w:r w:rsidR="00CF2184">
        <w:rPr>
          <w:rFonts w:hint="cs"/>
          <w:rtl/>
          <w:lang w:val="en-GB"/>
        </w:rPr>
        <w:t>يوليه</w:t>
      </w:r>
      <w:r>
        <w:rPr>
          <w:rFonts w:hint="cs"/>
          <w:rtl/>
          <w:lang w:val="en-GB"/>
        </w:rPr>
        <w:t>، بشأن الإطار القانوني لتنفيذ تدابير الحرمان من الحرية الشخصية، على جملة أمور من بينها أن يظل الأشخاص المحتجزون يتمتعون بالحقوق الأساسية رهناً بالقيود التي تفرضها الإدانة. وللسجناء الحق في الرعاية الطبية والعلاج المناسبين، ويجب أن يوفَّر لهم السكن والملبس ومعايير الصحة العامة والمعايير الغذائية التي تحافظ على صحتهم وكرامتهم. وتتاح لهم الكراسي ذات العجلات وعصى السير والأسرّة والأجهزة الطبية الأخرى المناسبة لاحتياجاتهم الخاصة. ويفضل إيداع السجناء ذوي الإعاقة في أماكن احتجاز بلا سلالم ومجهزة بمقاعد دعم مناسبة في المراحيض. ويراعي العمل ودورات التدريب المهني القدرة البدنية والذهنية للسجناء، وقدرتهم المهنية فضلاً عن تطلعاتهم. وبالإضافة إلى ذلك، يتضمن التدريب قبل المهني المقدم إلى المتقدمين للعمل كحرس في السجون طرق معاملة الأشخاص ذوي الإعاقة ومسائل حقوق الإنسان الأخرى. وكان هناك 3 سجناء فقط معاقين إعاقة بدنية فيما بين عامي 2006 و2009 في سجن ماكاو.</w:t>
      </w:r>
    </w:p>
    <w:p w:rsidR="00681C20" w:rsidRDefault="00461655" w:rsidP="00461655">
      <w:pPr>
        <w:pStyle w:val="H1GA"/>
        <w:jc w:val="left"/>
        <w:rPr>
          <w:rFonts w:hint="cs"/>
          <w:rtl/>
          <w:lang w:val="en-GB"/>
        </w:rPr>
      </w:pPr>
      <w:r>
        <w:rPr>
          <w:rFonts w:hint="cs"/>
          <w:rtl/>
          <w:lang w:val="en-GB"/>
        </w:rPr>
        <w:tab/>
      </w:r>
      <w:r>
        <w:rPr>
          <w:rFonts w:hint="cs"/>
          <w:rtl/>
          <w:lang w:val="en-GB"/>
        </w:rPr>
        <w:tab/>
      </w:r>
      <w:r w:rsidR="00681C20">
        <w:rPr>
          <w:rFonts w:hint="cs"/>
          <w:rtl/>
          <w:lang w:val="en-GB"/>
        </w:rPr>
        <w:t>المادة 15</w:t>
      </w:r>
      <w:r w:rsidR="00681C20">
        <w:rPr>
          <w:rFonts w:hint="cs"/>
          <w:rtl/>
          <w:lang w:val="en-GB"/>
        </w:rPr>
        <w:br/>
        <w:t>(</w:t>
      </w:r>
      <w:r w:rsidR="00681C20" w:rsidRPr="000A6E59">
        <w:rPr>
          <w:rtl/>
          <w:lang w:val="en-GB"/>
        </w:rPr>
        <w:t>عدم التعرض للتعذيب أو</w:t>
      </w:r>
      <w:r>
        <w:rPr>
          <w:rFonts w:hint="cs"/>
          <w:rtl/>
          <w:lang w:val="en-GB"/>
        </w:rPr>
        <w:t xml:space="preserve"> </w:t>
      </w:r>
      <w:r w:rsidR="00681C20" w:rsidRPr="000A6E59">
        <w:rPr>
          <w:rtl/>
          <w:lang w:val="en-GB"/>
        </w:rPr>
        <w:t>المعاملة أو</w:t>
      </w:r>
      <w:r>
        <w:rPr>
          <w:rFonts w:hint="cs"/>
          <w:rtl/>
          <w:lang w:val="en-GB"/>
        </w:rPr>
        <w:t xml:space="preserve"> </w:t>
      </w:r>
      <w:r w:rsidR="00681C20" w:rsidRPr="000A6E59">
        <w:rPr>
          <w:rtl/>
          <w:lang w:val="en-GB"/>
        </w:rPr>
        <w:t>العقوبة القاسية أو</w:t>
      </w:r>
      <w:r>
        <w:rPr>
          <w:rFonts w:hint="cs"/>
          <w:rtl/>
          <w:lang w:val="en-GB"/>
        </w:rPr>
        <w:t xml:space="preserve"> </w:t>
      </w:r>
      <w:r w:rsidR="00681C20" w:rsidRPr="000A6E59">
        <w:rPr>
          <w:rtl/>
          <w:lang w:val="en-GB"/>
        </w:rPr>
        <w:t>اللاإنسانية أو</w:t>
      </w:r>
      <w:r>
        <w:rPr>
          <w:rFonts w:hint="cs"/>
          <w:rtl/>
          <w:lang w:val="en-GB"/>
        </w:rPr>
        <w:t xml:space="preserve"> </w:t>
      </w:r>
      <w:r w:rsidR="00681C20" w:rsidRPr="000A6E59">
        <w:rPr>
          <w:rtl/>
          <w:lang w:val="en-GB"/>
        </w:rPr>
        <w:t>المهينة</w:t>
      </w:r>
      <w:r w:rsidR="00681C20">
        <w:rPr>
          <w:rFonts w:hint="cs"/>
          <w:rtl/>
          <w:lang w:val="en-GB"/>
        </w:rPr>
        <w:t>)</w:t>
      </w:r>
    </w:p>
    <w:p w:rsidR="00681C20" w:rsidRDefault="00681C20" w:rsidP="00681C20">
      <w:pPr>
        <w:pStyle w:val="SingleTxtGA"/>
        <w:rPr>
          <w:rFonts w:hint="cs"/>
          <w:rtl/>
          <w:lang w:val="en-GB"/>
        </w:rPr>
      </w:pPr>
      <w:r w:rsidRPr="00461655">
        <w:rPr>
          <w:rFonts w:hint="cs"/>
          <w:spacing w:val="-2"/>
          <w:rtl/>
          <w:lang w:val="en-GB"/>
        </w:rPr>
        <w:t>49-</w:t>
      </w:r>
      <w:r w:rsidRPr="00461655">
        <w:rPr>
          <w:rFonts w:hint="cs"/>
          <w:spacing w:val="-2"/>
          <w:rtl/>
          <w:lang w:val="en-GB"/>
        </w:rPr>
        <w:tab/>
        <w:t xml:space="preserve">يُكفل عدم التعذيب أو المعاملة اللاإنسانية على المستوى الدستوري بموجب المادة 28 </w:t>
      </w:r>
      <w:r>
        <w:rPr>
          <w:rFonts w:hint="cs"/>
          <w:rtl/>
          <w:lang w:val="en-GB"/>
        </w:rPr>
        <w:t>من القانون الأساسي. ولا توجد بنود خاصة فيما يتعلق بالأشخاص ذوي الإعاقة (لمزيد من التفاصيل عن هذه المسألة، يرجى الرجوع إلى الإضافة المتعلقة بماكاو للتقرير التكميلي الأخير المقدم من الصين عن تنفيذ اتفاقية مناهضة التعذيب وغيره من ضروب المعاملة أو العقوبة القاسية واللاإنسانية والمهينة (</w:t>
      </w:r>
      <w:r w:rsidRPr="001E1DA5">
        <w:rPr>
          <w:lang w:val="en-GB"/>
        </w:rPr>
        <w:t>CAT/C/MAC/4</w:t>
      </w:r>
      <w:r>
        <w:rPr>
          <w:rFonts w:hint="cs"/>
          <w:rtl/>
          <w:lang w:val="en-GB"/>
        </w:rPr>
        <w:t>) الذي لا يزال يحدَّث).</w:t>
      </w:r>
    </w:p>
    <w:p w:rsidR="00681C20" w:rsidRDefault="00461655" w:rsidP="00461655">
      <w:pPr>
        <w:pStyle w:val="H1GA"/>
        <w:jc w:val="left"/>
        <w:rPr>
          <w:rFonts w:hint="cs"/>
          <w:rtl/>
          <w:lang w:val="en-GB"/>
        </w:rPr>
      </w:pPr>
      <w:r>
        <w:rPr>
          <w:rFonts w:hint="cs"/>
          <w:rtl/>
          <w:lang w:val="en-GB"/>
        </w:rPr>
        <w:tab/>
      </w:r>
      <w:r>
        <w:rPr>
          <w:rFonts w:hint="cs"/>
          <w:rtl/>
          <w:lang w:val="en-GB"/>
        </w:rPr>
        <w:tab/>
      </w:r>
      <w:r w:rsidR="00681C20">
        <w:rPr>
          <w:rFonts w:hint="cs"/>
          <w:rtl/>
          <w:lang w:val="en-GB"/>
        </w:rPr>
        <w:t>المادة 16</w:t>
      </w:r>
      <w:r w:rsidR="00681C20">
        <w:rPr>
          <w:rFonts w:hint="cs"/>
          <w:rtl/>
          <w:lang w:val="en-GB"/>
        </w:rPr>
        <w:br/>
        <w:t>(</w:t>
      </w:r>
      <w:r w:rsidR="00681C20" w:rsidRPr="001E1DA5">
        <w:rPr>
          <w:rtl/>
          <w:lang w:val="en-GB"/>
        </w:rPr>
        <w:t>عدم التعرض للاستغلال والعنف والاعتداء</w:t>
      </w:r>
      <w:r w:rsidR="00681C20">
        <w:rPr>
          <w:rFonts w:hint="cs"/>
          <w:rtl/>
          <w:lang w:val="en-GB"/>
        </w:rPr>
        <w:t>)</w:t>
      </w:r>
    </w:p>
    <w:p w:rsidR="00681C20" w:rsidRDefault="00681C20" w:rsidP="00681C20">
      <w:pPr>
        <w:pStyle w:val="SingleTxtGA"/>
        <w:rPr>
          <w:rFonts w:hint="cs"/>
          <w:rtl/>
          <w:lang w:val="en-GB"/>
        </w:rPr>
      </w:pPr>
      <w:r>
        <w:rPr>
          <w:rFonts w:hint="cs"/>
          <w:rtl/>
          <w:lang w:val="en-GB"/>
        </w:rPr>
        <w:t>50-</w:t>
      </w:r>
      <w:r>
        <w:rPr>
          <w:rFonts w:hint="cs"/>
          <w:rtl/>
          <w:lang w:val="en-GB"/>
        </w:rPr>
        <w:tab/>
        <w:t>يُحظر استغلال أي شخص أو ممارسة العنف ضده أو الاعتداء عليه. وتنطبق أحكام جنائية مختلفة وفقاً للعناصر الفعلية لكل من هذه التصرفات.</w:t>
      </w:r>
    </w:p>
    <w:p w:rsidR="00681C20" w:rsidRDefault="00681C20" w:rsidP="00461655">
      <w:pPr>
        <w:pStyle w:val="SingleTxtGA"/>
        <w:rPr>
          <w:rFonts w:hint="cs"/>
          <w:rtl/>
          <w:lang w:val="en-GB"/>
        </w:rPr>
      </w:pPr>
      <w:r>
        <w:rPr>
          <w:rFonts w:hint="cs"/>
          <w:rtl/>
          <w:lang w:val="en-GB"/>
        </w:rPr>
        <w:t>51-</w:t>
      </w:r>
      <w:r>
        <w:rPr>
          <w:rFonts w:hint="cs"/>
          <w:rtl/>
          <w:lang w:val="en-GB"/>
        </w:rPr>
        <w:tab/>
        <w:t xml:space="preserve">ومع ذلك، يجدر بالإشارة أن المادة 146 من القانون الجنائي تنص على جريمة سوء المعاملة أو الإفراط في فرض أعباء على القصَّر أو الزوجات أو الأشخاص غير القادرين أو الضعفاء بسبب العمر أو المرض أو الإعاقة البدنية أو العقلية. وأي شخص يوجد تحت رعايته أو في </w:t>
      </w:r>
      <w:r w:rsidR="00461655">
        <w:rPr>
          <w:rFonts w:hint="cs"/>
          <w:rtl/>
          <w:lang w:val="en-GB"/>
        </w:rPr>
        <w:t xml:space="preserve">حراسته </w:t>
      </w:r>
      <w:r>
        <w:rPr>
          <w:rFonts w:hint="cs"/>
          <w:rtl/>
          <w:lang w:val="en-GB"/>
        </w:rPr>
        <w:t xml:space="preserve">القانونية أو مسؤوليته </w:t>
      </w:r>
      <w:r w:rsidR="00461655">
        <w:rPr>
          <w:rFonts w:hint="cs"/>
          <w:rtl/>
          <w:lang w:val="en-GB"/>
        </w:rPr>
        <w:t xml:space="preserve">بشأن </w:t>
      </w:r>
      <w:r>
        <w:rPr>
          <w:rFonts w:hint="cs"/>
          <w:rtl/>
          <w:lang w:val="en-GB"/>
        </w:rPr>
        <w:t>التوجيه أو التعليم، أو في خدمته بسبب علاقة عمل، شخصٌ يرتكب ضده معاملة بدنية أو عقلية سيئة أو قاسية؛ أو يستخدمه في أنشطة خطيرة أو لا</w:t>
      </w:r>
      <w:r w:rsidR="009E3E8F">
        <w:rPr>
          <w:rFonts w:hint="cs"/>
          <w:rtl/>
          <w:lang w:val="en-GB"/>
        </w:rPr>
        <w:t xml:space="preserve"> </w:t>
      </w:r>
      <w:r>
        <w:rPr>
          <w:rFonts w:hint="cs"/>
          <w:rtl/>
          <w:lang w:val="en-GB"/>
        </w:rPr>
        <w:t>إنسانية أو محظورة؛ أو يثقل كاهله بأعمال مبالغ فيها؛ أو لا يقدم له الرعاية أو المساعدة التي يفرضها عليه واجب الاضطلاع بوظائفه، يجازى بعقوبات تتراوح بين السجن لمدة سنة واحدة و15 سنة.</w:t>
      </w:r>
    </w:p>
    <w:p w:rsidR="00681C20" w:rsidRDefault="00681C20" w:rsidP="00681C20">
      <w:pPr>
        <w:pStyle w:val="SingleTxtGA"/>
        <w:rPr>
          <w:rFonts w:hint="cs"/>
          <w:rtl/>
          <w:lang w:val="en-GB"/>
        </w:rPr>
      </w:pPr>
      <w:r>
        <w:rPr>
          <w:rFonts w:hint="cs"/>
          <w:rtl/>
          <w:lang w:val="en-GB"/>
        </w:rPr>
        <w:t>52-</w:t>
      </w:r>
      <w:r>
        <w:rPr>
          <w:rFonts w:hint="cs"/>
          <w:rtl/>
          <w:lang w:val="en-GB"/>
        </w:rPr>
        <w:tab/>
        <w:t>وفيما يتصل بالتعويض، فبالإضافة إلى القواعد العامة المتعلقة بالتعويض، يرسي القانون 6/98/م الصادر في 17 آب/أغسطس نظاماً خاصاً للتعويض المالي لصالح ضحايا جرائم العنف، الذي يمكن منحه حتى لو لم يكن المعتدي معروفاً أو لو لم يتسن اتهامه أو إدانته لأي سبب.</w:t>
      </w:r>
    </w:p>
    <w:p w:rsidR="00681C20" w:rsidRDefault="00461655" w:rsidP="00461655">
      <w:pPr>
        <w:pStyle w:val="H1GA"/>
        <w:jc w:val="left"/>
        <w:rPr>
          <w:rFonts w:hint="cs"/>
          <w:rtl/>
          <w:lang w:val="en-GB"/>
        </w:rPr>
      </w:pPr>
      <w:r>
        <w:rPr>
          <w:rFonts w:hint="cs"/>
          <w:rtl/>
          <w:lang w:val="en-GB"/>
        </w:rPr>
        <w:tab/>
      </w:r>
      <w:r>
        <w:rPr>
          <w:rFonts w:hint="cs"/>
          <w:rtl/>
          <w:lang w:val="en-GB"/>
        </w:rPr>
        <w:tab/>
      </w:r>
      <w:r w:rsidR="00681C20">
        <w:rPr>
          <w:rFonts w:hint="cs"/>
          <w:rtl/>
          <w:lang w:val="en-GB"/>
        </w:rPr>
        <w:t>المادة 17</w:t>
      </w:r>
      <w:r w:rsidR="00681C20">
        <w:rPr>
          <w:rFonts w:hint="cs"/>
          <w:rtl/>
          <w:lang w:val="en-GB"/>
        </w:rPr>
        <w:br/>
        <w:t>(حماية السلامة الشخصية)</w:t>
      </w:r>
    </w:p>
    <w:p w:rsidR="00681C20" w:rsidRDefault="00681C20" w:rsidP="00681C20">
      <w:pPr>
        <w:pStyle w:val="SingleTxtGA"/>
        <w:rPr>
          <w:rFonts w:hint="cs"/>
          <w:rtl/>
          <w:lang w:val="en-GB"/>
        </w:rPr>
      </w:pPr>
      <w:r>
        <w:rPr>
          <w:rFonts w:hint="cs"/>
          <w:rtl/>
          <w:lang w:val="en-GB"/>
        </w:rPr>
        <w:t>53-</w:t>
      </w:r>
      <w:r>
        <w:rPr>
          <w:rFonts w:hint="cs"/>
          <w:rtl/>
          <w:lang w:val="en-GB"/>
        </w:rPr>
        <w:tab/>
        <w:t>بالإضافة إلى الضمانات الخاصة التي أشير إليها، ينبغي ملاحظة أن المادة 71 من القانون المدني، التي تحدد حق كل شخص في السلامة الشخصية البدنية أو العقلية، تحظر جملة أمور من بينها الإجراءات أو التجارب الطبية دون موافقة التي قد تؤثر على سلامة الفرد البدنية أو النفسية. وتكون القيود الطوعية على الحق في السلامة التي قد تشكل تهديداً خطيراً لحياة الشخص أو التي تهدد صحته باطلة وكأنها لم تكن. وبالإضافة إلى ذلك، ينص القانون الجنائي على عدة جرائم أخرى تتعلق إما بانتهاكات السلامة البدنية والشرف وسرية الحياة الخاصة أو بقيم قانونية أخرى متصلة بهذا الموضوع. وتوفر أيضاً قوانين منطقة ماكاو الحماية للسلامة الشخصية.</w:t>
      </w:r>
    </w:p>
    <w:p w:rsidR="00681C20" w:rsidRPr="00461655" w:rsidRDefault="00681C20" w:rsidP="00681C20">
      <w:pPr>
        <w:pStyle w:val="SingleTxtGA"/>
        <w:rPr>
          <w:rFonts w:hint="cs"/>
          <w:spacing w:val="-2"/>
          <w:rtl/>
          <w:lang w:val="en-GB"/>
        </w:rPr>
      </w:pPr>
      <w:r w:rsidRPr="00461655">
        <w:rPr>
          <w:rFonts w:hint="cs"/>
          <w:spacing w:val="-2"/>
          <w:rtl/>
          <w:lang w:val="en-GB"/>
        </w:rPr>
        <w:t>54-</w:t>
      </w:r>
      <w:r w:rsidRPr="00461655">
        <w:rPr>
          <w:rFonts w:hint="cs"/>
          <w:spacing w:val="-2"/>
          <w:rtl/>
          <w:lang w:val="en-GB"/>
        </w:rPr>
        <w:tab/>
        <w:t>فعلى سبيل المثال، يعيد المرسوم بقانون 111/99/م، الصادر في 13 كانون الأول/ديسمبر، بشأن حماية كرامة الإنسان وهويته في التطبيقات البيولوجية والطبية، التأكيد على أنه لا يمكن تنفيذ أي إجراء طبي إلا إذا قدم الشخص المعني موافقته المستنيرة بحرية. ومتى كان عاجزاً عن تقديم موافقته بسبب اضطراب أو مرض عقلي أو لأسباب أخرى مماثلة، يكون إذنُ ممثله القانوني أو المحكمة إلزامياً. وفي هذه الحالة، ينبغي أن يشترك الشخص المهتم قدر المستطاع في عملية تقديم الإذن. وبالتالي، يعاقَب على الإجراءات أو العلاجات الطبية دون موافقة بعقوبة تصل إلى السجن لمدة 3 سنوات. ويشكل أيضاً التعقيم القسري جريمة يعاقَب عليها بعقوبة السجن لمدة تتراوح بين سنتين و10 سنوات، أو تتراوح بين 5 سنوات و15 سنة إذا تسببت في وفاة الضحية (المواد 150، و138، و139 من القانون الجنائي على التوالي).</w:t>
      </w:r>
    </w:p>
    <w:p w:rsidR="00681C20" w:rsidRDefault="00461655" w:rsidP="00461655">
      <w:pPr>
        <w:pStyle w:val="H1GA"/>
        <w:jc w:val="left"/>
        <w:rPr>
          <w:rFonts w:hint="cs"/>
          <w:rtl/>
          <w:lang w:val="en-GB"/>
        </w:rPr>
      </w:pPr>
      <w:r>
        <w:rPr>
          <w:rFonts w:hint="cs"/>
          <w:rtl/>
          <w:lang w:val="en-GB"/>
        </w:rPr>
        <w:tab/>
      </w:r>
      <w:r>
        <w:rPr>
          <w:rFonts w:hint="cs"/>
          <w:rtl/>
          <w:lang w:val="en-GB"/>
        </w:rPr>
        <w:tab/>
      </w:r>
      <w:r w:rsidR="00681C20">
        <w:rPr>
          <w:rFonts w:hint="cs"/>
          <w:rtl/>
          <w:lang w:val="en-GB"/>
        </w:rPr>
        <w:t>المادة 18</w:t>
      </w:r>
      <w:r w:rsidR="00681C20">
        <w:rPr>
          <w:rFonts w:hint="cs"/>
          <w:rtl/>
          <w:lang w:val="en-GB"/>
        </w:rPr>
        <w:br/>
        <w:t>(</w:t>
      </w:r>
      <w:r w:rsidR="00681C20" w:rsidRPr="00CA457D">
        <w:rPr>
          <w:rtl/>
          <w:lang w:val="en-GB"/>
        </w:rPr>
        <w:t>حرية التنقل والجنسية</w:t>
      </w:r>
      <w:r w:rsidR="00681C20">
        <w:rPr>
          <w:rFonts w:hint="cs"/>
          <w:rtl/>
          <w:lang w:val="en-GB"/>
        </w:rPr>
        <w:t>)</w:t>
      </w:r>
    </w:p>
    <w:p w:rsidR="00681C20" w:rsidRDefault="00681C20" w:rsidP="00681C20">
      <w:pPr>
        <w:pStyle w:val="SingleTxtGA"/>
        <w:rPr>
          <w:rFonts w:hint="cs"/>
          <w:rtl/>
          <w:lang w:val="en-GB"/>
        </w:rPr>
      </w:pPr>
      <w:r>
        <w:rPr>
          <w:rFonts w:hint="cs"/>
          <w:rtl/>
          <w:lang w:val="en-GB"/>
        </w:rPr>
        <w:t>55-</w:t>
      </w:r>
      <w:r>
        <w:rPr>
          <w:rFonts w:hint="cs"/>
          <w:rtl/>
          <w:lang w:val="en-GB"/>
        </w:rPr>
        <w:tab/>
        <w:t xml:space="preserve">فيما يتعلق بالحق في الجنسية، وفقاً للمادة 18 من القانون الأساسي ومرفقه الثالث، يطبَّق قانون الجنسية لجمهورية الصين الشعبية في منطقة ماكاو. غير أنه نظراً </w:t>
      </w:r>
      <w:r w:rsidRPr="00CA457D">
        <w:rPr>
          <w:rtl/>
          <w:lang w:val="en-GB"/>
        </w:rPr>
        <w:t>للوضع الخاص لمنطقة مكاو</w:t>
      </w:r>
      <w:r>
        <w:rPr>
          <w:rFonts w:hint="cs"/>
          <w:rtl/>
          <w:lang w:val="en-GB"/>
        </w:rPr>
        <w:t>،</w:t>
      </w:r>
      <w:r w:rsidRPr="00CA457D">
        <w:rPr>
          <w:rtl/>
          <w:lang w:val="en-GB"/>
        </w:rPr>
        <w:t xml:space="preserve"> </w:t>
      </w:r>
      <w:r>
        <w:rPr>
          <w:rFonts w:hint="cs"/>
          <w:rtl/>
          <w:lang w:val="en-GB"/>
        </w:rPr>
        <w:t>اعتمدت</w:t>
      </w:r>
      <w:r w:rsidRPr="00CA457D">
        <w:rPr>
          <w:rtl/>
          <w:lang w:val="en-GB"/>
        </w:rPr>
        <w:t xml:space="preserve"> اللجنة الدائمة للكونغرس الشعبي الوطني </w:t>
      </w:r>
      <w:r>
        <w:rPr>
          <w:rFonts w:hint="cs"/>
          <w:rtl/>
          <w:lang w:val="en-GB"/>
        </w:rPr>
        <w:t>في 29 كانون الأول/</w:t>
      </w:r>
      <w:r w:rsidR="00461655">
        <w:rPr>
          <w:rFonts w:hint="cs"/>
          <w:rtl/>
          <w:lang w:val="en-GB"/>
        </w:rPr>
        <w:t xml:space="preserve">    </w:t>
      </w:r>
      <w:r>
        <w:rPr>
          <w:rFonts w:hint="cs"/>
          <w:rtl/>
          <w:lang w:val="en-GB"/>
        </w:rPr>
        <w:t>ديسمبر 1998 "</w:t>
      </w:r>
      <w:r w:rsidRPr="00CA457D">
        <w:rPr>
          <w:rFonts w:hint="cs"/>
          <w:i/>
          <w:iCs/>
          <w:rtl/>
          <w:lang w:val="en-GB"/>
        </w:rPr>
        <w:t>التفسير المتعلق ببعض المسائل المتصلة بتنفيذ قانون الجنسية لجمهورية الصين الشعبية في منطقة ماكاو</w:t>
      </w:r>
      <w:r>
        <w:rPr>
          <w:rFonts w:hint="cs"/>
          <w:rtl/>
          <w:lang w:val="en-GB"/>
        </w:rPr>
        <w:t>". وينظم القانون 7/1999 الصادر في 20 كانون الأول/ديسمبر التطبيقات المتعلقة بالجنسية. وليست للشروط المنصوص عليها فيه علاقة بالإعاقة.</w:t>
      </w:r>
    </w:p>
    <w:p w:rsidR="00681C20" w:rsidRDefault="00681C20" w:rsidP="009E3E8F">
      <w:pPr>
        <w:pStyle w:val="SingleTxtGA"/>
        <w:rPr>
          <w:rFonts w:hint="cs"/>
          <w:rtl/>
          <w:lang w:val="en-GB"/>
        </w:rPr>
      </w:pPr>
      <w:r>
        <w:rPr>
          <w:rFonts w:hint="cs"/>
          <w:rtl/>
          <w:lang w:val="en-GB"/>
        </w:rPr>
        <w:t>56-</w:t>
      </w:r>
      <w:r>
        <w:rPr>
          <w:rFonts w:hint="cs"/>
          <w:rtl/>
          <w:lang w:val="en-GB"/>
        </w:rPr>
        <w:tab/>
        <w:t>وعملاً بالمادة 24 من القانون الأساسي، لا يحق إلا للسكان الدائمين الإقامة في منطقة ماكاو، والتأهل للحصول على بطاقات هوية دائمة. واشتراطات التمتع بصفة المقيم الدائم المنصوص عليها صراحةً في المادة المذكورة اشتراطات موضوعية وغير تمييزية. وتكفل المادة 333 من القانون الأساسي بالكامل الحق في التنقل، فهي تنص على أن "</w:t>
      </w:r>
      <w:r w:rsidRPr="00EB4B24">
        <w:rPr>
          <w:rFonts w:hint="cs"/>
          <w:i/>
          <w:iCs/>
          <w:rtl/>
          <w:lang w:val="en-GB"/>
        </w:rPr>
        <w:t xml:space="preserve">المقيمين في منطقة ماكاو يتمتعون بحرية التنقل داخل منطقة ماكاو، وحرية الهجرة إلى البلدان والمناطق الأخرى. ويتمتعون بحرية السفر ودخول المنطقة والخروج منها، وبالحق في الحصول على وثائق السفر بمقتضى القانون. وتكون لحاملي وثائق السفر السارية حرية مغادرة المنطقة دون إذن خاص ما لم </w:t>
      </w:r>
      <w:r>
        <w:rPr>
          <w:rFonts w:hint="cs"/>
          <w:i/>
          <w:iCs/>
          <w:rtl/>
          <w:lang w:val="en-GB"/>
        </w:rPr>
        <w:t>يكن هناك مانع قانوني</w:t>
      </w:r>
      <w:r>
        <w:rPr>
          <w:rFonts w:hint="cs"/>
          <w:rtl/>
          <w:lang w:val="en-GB"/>
        </w:rPr>
        <w:t>"</w:t>
      </w:r>
      <w:r w:rsidR="009E3E8F">
        <w:rPr>
          <w:rFonts w:hint="cs"/>
          <w:rtl/>
          <w:lang w:val="en-GB"/>
        </w:rPr>
        <w:t>.</w:t>
      </w:r>
    </w:p>
    <w:p w:rsidR="00681C20" w:rsidRDefault="00681C20" w:rsidP="00681C20">
      <w:pPr>
        <w:pStyle w:val="SingleTxtGA"/>
        <w:rPr>
          <w:rFonts w:hint="cs"/>
          <w:rtl/>
          <w:lang w:val="en-GB"/>
        </w:rPr>
      </w:pPr>
      <w:r>
        <w:rPr>
          <w:rFonts w:hint="cs"/>
          <w:rtl/>
          <w:lang w:val="en-GB"/>
        </w:rPr>
        <w:t>57-</w:t>
      </w:r>
      <w:r>
        <w:rPr>
          <w:rFonts w:hint="cs"/>
          <w:rtl/>
          <w:lang w:val="en-GB"/>
        </w:rPr>
        <w:tab/>
        <w:t>وتخضع كافة حالات الولادة التي تحدث في منطقة ماكاو للتسجيل المدني. ويجب إبلاغ مكتب تسجيل الولادات عن الولادات في غضون 30 يوماً. وعلاوة على ذلك، يتعين على المستشفيات أن تبلغ عن جميع الولادات التي حدثت في الأسبوع السابق. فإذا لم تسجَّل حالة ولادة في غضون الفترة الزمنية المحددة، تعين على المسجل أن يبلغ الادعاء العام الذي يقوم بعد جمع المعلومات اللازمة بمطالبة القاضي بإصدار قرار بالتسجيل الإلزامي. ويجب أيضاً تسجيل ولادات حديثي الولادة الذين لا يعرف والداهم والذين اكتُشفوا مسيَّبين في منطقة ماكاو. وفي هذه الحالة، يمنح المسجِّل الطفل اسماً كاملاً دون الإشارة إلى وضعه كطفل مسيَّب (المواد 1 و76 و78 و85 و88 من قانون السجل المدني لماكاو).</w:t>
      </w:r>
    </w:p>
    <w:p w:rsidR="00681C20" w:rsidRDefault="00461655" w:rsidP="00461655">
      <w:pPr>
        <w:pStyle w:val="H1GA"/>
        <w:jc w:val="left"/>
        <w:rPr>
          <w:rFonts w:hint="cs"/>
          <w:rtl/>
          <w:lang w:val="en-GB"/>
        </w:rPr>
      </w:pPr>
      <w:r>
        <w:rPr>
          <w:rFonts w:hint="cs"/>
          <w:rtl/>
          <w:lang w:val="en-GB"/>
        </w:rPr>
        <w:tab/>
      </w:r>
      <w:r>
        <w:rPr>
          <w:rFonts w:hint="cs"/>
          <w:rtl/>
          <w:lang w:val="en-GB"/>
        </w:rPr>
        <w:tab/>
      </w:r>
      <w:r w:rsidR="00681C20">
        <w:rPr>
          <w:rFonts w:hint="cs"/>
          <w:rtl/>
          <w:lang w:val="en-GB"/>
        </w:rPr>
        <w:t>المادة 19</w:t>
      </w:r>
      <w:r w:rsidR="00681C20">
        <w:rPr>
          <w:rFonts w:hint="cs"/>
          <w:rtl/>
          <w:lang w:val="en-GB"/>
        </w:rPr>
        <w:br/>
        <w:t>(</w:t>
      </w:r>
      <w:r w:rsidR="00681C20" w:rsidRPr="00A2483F">
        <w:rPr>
          <w:rtl/>
          <w:lang w:val="en-GB"/>
        </w:rPr>
        <w:t xml:space="preserve">العيش المستقل </w:t>
      </w:r>
      <w:r w:rsidR="00681C20">
        <w:rPr>
          <w:rFonts w:hint="cs"/>
          <w:rtl/>
          <w:lang w:val="en-GB"/>
        </w:rPr>
        <w:t>والاندماج</w:t>
      </w:r>
      <w:r w:rsidR="00681C20" w:rsidRPr="00A2483F">
        <w:rPr>
          <w:rtl/>
          <w:lang w:val="en-GB"/>
        </w:rPr>
        <w:t xml:space="preserve"> في المجتمع</w:t>
      </w:r>
      <w:r w:rsidR="00681C20">
        <w:rPr>
          <w:rFonts w:hint="cs"/>
          <w:rtl/>
          <w:lang w:val="en-GB"/>
        </w:rPr>
        <w:t>)</w:t>
      </w:r>
    </w:p>
    <w:p w:rsidR="00681C20" w:rsidRDefault="00681C20" w:rsidP="00681C20">
      <w:pPr>
        <w:pStyle w:val="SingleTxtGA"/>
        <w:rPr>
          <w:rFonts w:hint="cs"/>
          <w:rtl/>
          <w:lang w:val="en-GB"/>
        </w:rPr>
      </w:pPr>
      <w:r>
        <w:rPr>
          <w:rFonts w:hint="cs"/>
          <w:rtl/>
          <w:lang w:val="en-GB"/>
        </w:rPr>
        <w:t>58-</w:t>
      </w:r>
      <w:r>
        <w:rPr>
          <w:rFonts w:hint="cs"/>
          <w:rtl/>
          <w:lang w:val="en-GB"/>
        </w:rPr>
        <w:tab/>
        <w:t>لا توجد قيود من الناحية القانونية على حق الأشخاص ذوي الإعاقة في الحياة المستقلة والاندماج في المجتمع، وباستثناء حالات الإيداع القسري في المستشفى، كما هو مبين، يحق لجميع الأشخاص اختيار المكان الذي يريدون العيش فيه ومع من يعيشون. غير أن إعمال هذا الحق، في الواقع العملي، لم يتحقق بعدُ بالرغم من أنه يشكل واحداً من أهداف سياسة إعادة التأهيل.</w:t>
      </w:r>
    </w:p>
    <w:p w:rsidR="00681C20" w:rsidRDefault="00681C20" w:rsidP="00681C20">
      <w:pPr>
        <w:pStyle w:val="SingleTxtGA"/>
        <w:rPr>
          <w:rFonts w:hint="cs"/>
          <w:rtl/>
          <w:lang w:val="en-GB"/>
        </w:rPr>
      </w:pPr>
      <w:r>
        <w:rPr>
          <w:rFonts w:hint="cs"/>
          <w:rtl/>
          <w:lang w:val="en-GB"/>
        </w:rPr>
        <w:t>59-</w:t>
      </w:r>
      <w:r>
        <w:rPr>
          <w:rFonts w:hint="cs"/>
          <w:rtl/>
          <w:lang w:val="en-GB"/>
        </w:rPr>
        <w:tab/>
        <w:t>وقد أظهر التعداد الجزئي لعام 2006 أن 85 في المائة من الأشخاص ذوي الإعاقة كانوا يعيشون في مساكن منزلية (يعيش 13.7 في المائة منهم وحدهم) وأن 15 في المائة منهم كانوا يعيشون في مساكن جماعية. وقد استخدم أغلبية الأشخاص ذوي الإعاقة أو كانوا يستخدمون خدمات متخصصة (مثل خدمات إعادة التأهيل الصحي، وخدمات التعليم الخاص، والمساعدة المالية/العينية). وكان أكثر المستخدمين لهذه الخدمات الأشخاص الذين يعانون من الإعاقة الذهنية أو النفسية، ولا سيما المصابون بالتوحد.</w:t>
      </w:r>
    </w:p>
    <w:p w:rsidR="00681C20" w:rsidRDefault="00681C20" w:rsidP="00681C20">
      <w:pPr>
        <w:pStyle w:val="SingleTxtGA"/>
        <w:rPr>
          <w:rFonts w:hint="cs"/>
          <w:rtl/>
          <w:lang w:val="en-GB"/>
        </w:rPr>
      </w:pPr>
      <w:r>
        <w:rPr>
          <w:rFonts w:hint="cs"/>
          <w:rtl/>
          <w:lang w:val="en-GB"/>
        </w:rPr>
        <w:t>60-</w:t>
      </w:r>
      <w:r>
        <w:rPr>
          <w:rFonts w:hint="cs"/>
          <w:rtl/>
          <w:lang w:val="en-GB"/>
        </w:rPr>
        <w:tab/>
        <w:t xml:space="preserve">ويجري الاعتراف بضرورة الانتقال من الإيواء في مؤسسات الرعاية إلى </w:t>
      </w:r>
      <w:r w:rsidRPr="000A7AA6">
        <w:rPr>
          <w:rtl/>
          <w:lang w:val="en-GB"/>
        </w:rPr>
        <w:t>خدمات المؤازرة في المنـزل وفي محل الإقامة وغيرها من الخدمات المجتمعية</w:t>
      </w:r>
      <w:r>
        <w:rPr>
          <w:rFonts w:hint="cs"/>
          <w:rtl/>
          <w:lang w:val="en-GB"/>
        </w:rPr>
        <w:t>. وقد ظلت المنظمات غير الحكومية منذ فترة طويلة تحصل على إعانات من مكتب الرعاية الاجتماعية لكي تتمكن من تقديم المزيد من أنواع الدعم للأشخاص ذوي الإعاقة، ومن ثم إيجاد بدائل للإيواء في مؤسسات الرعاية. وفي إطار الدعم المالي والتقني المقدم من مكتب الرعاية الاجتماعية أيضاً تقدم عدة منظمات غير حكومية خدمات الرعاية في المنزل المستهدِفة للأشخاص ذوي الإعاقة المفتقرين إلى الرعاية والدعم من أسرهم أو المسنين المصابين بضعف الحالة الصحية. وتشمل الخدمات توفير الوجبات، والرعاية الشخصية، وتنظيف المنزل، والتحميم، وخدمة المرافقة للاستشارة الطبية، وغسل الملابس، والتسوق، والمشورة الشخصية، وخطوط الهاتف الساخنة، وشبكة المساعدة المتبادلة، والأنشطة المجتمعية، والزيارات، فضلاً عن الرعاية في المنزل وخدمات إعادة التأهيل. ومع ذلك، فبالنسبة للأشخاص ذوي الإعاقة الذين يحتاجون إلى خدمة السكن في الوقت الراهن، يوجد 429 مكاناً للنوم مدعوماً من مكتب الرعاية الاجتماعية. ويبين الجدولان التاليان تفاصيل الوضع.</w:t>
      </w:r>
    </w:p>
    <w:tbl>
      <w:tblPr>
        <w:bidiVisual/>
        <w:tblW w:w="7370" w:type="dxa"/>
        <w:tblInd w:w="113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46"/>
        <w:gridCol w:w="3724"/>
      </w:tblGrid>
      <w:tr w:rsidR="00681C20" w:rsidRPr="006726F9" w:rsidTr="00935EA2">
        <w:trPr>
          <w:tblHeader/>
        </w:trPr>
        <w:tc>
          <w:tcPr>
            <w:tcW w:w="3646" w:type="dxa"/>
            <w:tcBorders>
              <w:top w:val="single" w:sz="4" w:space="0" w:color="auto"/>
              <w:bottom w:val="single" w:sz="12" w:space="0" w:color="auto"/>
            </w:tcBorders>
            <w:shd w:val="clear" w:color="auto" w:fill="auto"/>
            <w:vAlign w:val="bottom"/>
          </w:tcPr>
          <w:p w:rsidR="00681C20" w:rsidRPr="006A3ED9" w:rsidRDefault="00681C20" w:rsidP="00461655">
            <w:pPr>
              <w:pStyle w:val="SingleTxtG"/>
              <w:suppressAutoHyphens w:val="0"/>
              <w:bidi/>
              <w:spacing w:before="40" w:after="40" w:line="320" w:lineRule="exact"/>
              <w:ind w:left="113" w:right="113"/>
              <w:jc w:val="lowKashida"/>
              <w:rPr>
                <w:rFonts w:cs="Traditional Arabic"/>
                <w:iCs/>
                <w:sz w:val="28"/>
                <w:szCs w:val="28"/>
              </w:rPr>
            </w:pPr>
            <w:r w:rsidRPr="006A3ED9">
              <w:rPr>
                <w:rFonts w:cs="Traditional Arabic" w:hint="cs"/>
                <w:iCs/>
                <w:sz w:val="28"/>
                <w:szCs w:val="28"/>
                <w:rtl/>
              </w:rPr>
              <w:t>وصف الخدمة</w:t>
            </w:r>
          </w:p>
        </w:tc>
        <w:tc>
          <w:tcPr>
            <w:tcW w:w="3724" w:type="dxa"/>
            <w:tcBorders>
              <w:top w:val="single" w:sz="4" w:space="0" w:color="auto"/>
              <w:bottom w:val="single" w:sz="12" w:space="0" w:color="auto"/>
            </w:tcBorders>
            <w:shd w:val="clear" w:color="auto" w:fill="auto"/>
            <w:vAlign w:val="bottom"/>
          </w:tcPr>
          <w:p w:rsidR="00681C20" w:rsidRPr="006A3ED9" w:rsidRDefault="00681C20" w:rsidP="00461655">
            <w:pPr>
              <w:pStyle w:val="SingleTxtG"/>
              <w:suppressAutoHyphens w:val="0"/>
              <w:bidi/>
              <w:spacing w:before="40" w:after="40" w:line="320" w:lineRule="exact"/>
              <w:ind w:left="113" w:right="113"/>
              <w:jc w:val="lowKashida"/>
              <w:rPr>
                <w:rFonts w:cs="Traditional Arabic"/>
                <w:iCs/>
                <w:sz w:val="28"/>
                <w:szCs w:val="28"/>
              </w:rPr>
            </w:pPr>
            <w:r w:rsidRPr="006A3ED9">
              <w:rPr>
                <w:rFonts w:cs="Traditional Arabic" w:hint="cs"/>
                <w:iCs/>
                <w:sz w:val="28"/>
                <w:szCs w:val="28"/>
                <w:rtl/>
              </w:rPr>
              <w:t>مضمون الخدمة</w:t>
            </w:r>
          </w:p>
        </w:tc>
      </w:tr>
      <w:tr w:rsidR="00681C20" w:rsidRPr="003510D2" w:rsidTr="00935EA2">
        <w:tc>
          <w:tcPr>
            <w:tcW w:w="3646" w:type="dxa"/>
            <w:tcBorders>
              <w:top w:val="single" w:sz="12" w:space="0" w:color="auto"/>
            </w:tcBorders>
            <w:shd w:val="clear" w:color="auto" w:fill="auto"/>
          </w:tcPr>
          <w:p w:rsidR="00681C20" w:rsidRPr="006A3ED9" w:rsidRDefault="00681C20" w:rsidP="00461655">
            <w:pPr>
              <w:pStyle w:val="SingleTxtG"/>
              <w:suppressAutoHyphens w:val="0"/>
              <w:bidi/>
              <w:spacing w:before="40" w:after="40" w:line="320" w:lineRule="exact"/>
              <w:ind w:left="113" w:right="113"/>
              <w:jc w:val="lowKashida"/>
              <w:rPr>
                <w:rFonts w:cs="Traditional Arabic" w:hint="cs"/>
                <w:spacing w:val="-2"/>
                <w:sz w:val="28"/>
                <w:szCs w:val="28"/>
                <w:rtl/>
              </w:rPr>
            </w:pPr>
            <w:r w:rsidRPr="006A3ED9">
              <w:rPr>
                <w:rFonts w:cs="Traditional Arabic" w:hint="cs"/>
                <w:spacing w:val="-2"/>
                <w:sz w:val="28"/>
                <w:szCs w:val="28"/>
                <w:rtl/>
              </w:rPr>
              <w:t>خدمات ما بعد الرعاية: خدمات الدعم المجتمعي للأشخاص الذين عانوا من مرض عقلي أو المصابين بإعاقات ذهنية ممن غادروا دور إعادة التأهيل للمقيمين</w:t>
            </w:r>
          </w:p>
        </w:tc>
        <w:tc>
          <w:tcPr>
            <w:tcW w:w="3724" w:type="dxa"/>
            <w:tcBorders>
              <w:top w:val="single" w:sz="12" w:space="0" w:color="auto"/>
            </w:tcBorders>
            <w:shd w:val="clear" w:color="auto" w:fill="auto"/>
          </w:tcPr>
          <w:p w:rsidR="00681C20" w:rsidRPr="006A3ED9" w:rsidRDefault="00681C20" w:rsidP="00461655">
            <w:pPr>
              <w:pStyle w:val="SingleTxtG"/>
              <w:suppressAutoHyphens w:val="0"/>
              <w:bidi/>
              <w:spacing w:before="40" w:after="40" w:line="320" w:lineRule="exact"/>
              <w:ind w:left="113" w:right="113"/>
              <w:jc w:val="lowKashida"/>
              <w:rPr>
                <w:rFonts w:cs="Traditional Arabic"/>
                <w:sz w:val="28"/>
                <w:szCs w:val="28"/>
              </w:rPr>
            </w:pPr>
            <w:r w:rsidRPr="006A3ED9">
              <w:rPr>
                <w:rFonts w:cs="Traditional Arabic" w:hint="cs"/>
                <w:sz w:val="28"/>
                <w:szCs w:val="28"/>
                <w:rtl/>
              </w:rPr>
              <w:t>تقديم المشورة، وأنشطة المجموعات الصغيرة، وأنشطة اجتماعية وترفيهية، وأعمال منزلية، وخدمات الإرشاد، وإدارة الأزمات</w:t>
            </w:r>
          </w:p>
        </w:tc>
      </w:tr>
      <w:tr w:rsidR="00681C20" w:rsidRPr="003510D2" w:rsidTr="00935EA2">
        <w:tc>
          <w:tcPr>
            <w:tcW w:w="3646" w:type="dxa"/>
            <w:shd w:val="clear" w:color="auto" w:fill="auto"/>
          </w:tcPr>
          <w:p w:rsidR="00681C20" w:rsidRPr="006A3ED9" w:rsidRDefault="00681C20" w:rsidP="00461655">
            <w:pPr>
              <w:pStyle w:val="SingleTxtG"/>
              <w:suppressAutoHyphens w:val="0"/>
              <w:bidi/>
              <w:spacing w:before="40" w:after="40" w:line="320" w:lineRule="exact"/>
              <w:ind w:left="113" w:right="113"/>
              <w:jc w:val="lowKashida"/>
              <w:rPr>
                <w:rFonts w:cs="Traditional Arabic"/>
                <w:spacing w:val="-2"/>
                <w:sz w:val="28"/>
                <w:szCs w:val="28"/>
              </w:rPr>
            </w:pPr>
            <w:r w:rsidRPr="006A3ED9">
              <w:rPr>
                <w:rFonts w:cs="Traditional Arabic" w:hint="cs"/>
                <w:spacing w:val="-2"/>
                <w:sz w:val="28"/>
                <w:szCs w:val="28"/>
                <w:rtl/>
              </w:rPr>
              <w:t>مخطط الإسكان الداعم: خدمات الدعم المجتمعي للأشخاص الذين عانوا من مرض عقلي أو المصابين بإعاقات ذهنية ممن يعيشون في الإسكان الاجتماعي المقدم بموجب هذا المخطط</w:t>
            </w:r>
          </w:p>
        </w:tc>
        <w:tc>
          <w:tcPr>
            <w:tcW w:w="3724" w:type="dxa"/>
            <w:shd w:val="clear" w:color="auto" w:fill="auto"/>
          </w:tcPr>
          <w:p w:rsidR="00681C20" w:rsidRPr="006A3ED9" w:rsidRDefault="00681C20" w:rsidP="00461655">
            <w:pPr>
              <w:pStyle w:val="SingleTxtG"/>
              <w:suppressAutoHyphens w:val="0"/>
              <w:bidi/>
              <w:spacing w:before="40" w:after="40" w:line="320" w:lineRule="exact"/>
              <w:ind w:left="113" w:right="113"/>
              <w:jc w:val="lowKashida"/>
              <w:rPr>
                <w:rFonts w:cs="Traditional Arabic" w:hint="cs"/>
                <w:sz w:val="28"/>
                <w:szCs w:val="28"/>
                <w:rtl/>
              </w:rPr>
            </w:pPr>
            <w:r w:rsidRPr="006A3ED9">
              <w:rPr>
                <w:rFonts w:cs="Traditional Arabic" w:hint="cs"/>
                <w:sz w:val="28"/>
                <w:szCs w:val="28"/>
                <w:rtl/>
              </w:rPr>
              <w:t>تقديم المشورة، وأنشطة المجموعات الصغيرة، وخدمات الإرشاد، وإدارة الأزمات</w:t>
            </w:r>
          </w:p>
        </w:tc>
      </w:tr>
      <w:tr w:rsidR="00681C20" w:rsidRPr="003510D2" w:rsidTr="00935EA2">
        <w:tc>
          <w:tcPr>
            <w:tcW w:w="3646" w:type="dxa"/>
            <w:shd w:val="clear" w:color="auto" w:fill="auto"/>
          </w:tcPr>
          <w:p w:rsidR="00681C20" w:rsidRPr="006A3ED9" w:rsidRDefault="00681C20" w:rsidP="00461655">
            <w:pPr>
              <w:pStyle w:val="SingleTxtG"/>
              <w:suppressAutoHyphens w:val="0"/>
              <w:bidi/>
              <w:spacing w:before="40" w:after="40" w:line="320" w:lineRule="exact"/>
              <w:ind w:left="113" w:right="113"/>
              <w:jc w:val="lowKashida"/>
              <w:rPr>
                <w:rFonts w:cs="Traditional Arabic"/>
                <w:sz w:val="28"/>
                <w:szCs w:val="28"/>
              </w:rPr>
            </w:pPr>
            <w:r w:rsidRPr="006A3ED9">
              <w:rPr>
                <w:rFonts w:cs="Traditional Arabic" w:hint="cs"/>
                <w:sz w:val="28"/>
                <w:szCs w:val="28"/>
                <w:rtl/>
              </w:rPr>
              <w:t>خدمات الدعم المجتمعي: مساعدة الأشخاص الذين عانوا من مرض عقلي فيما يتعلق بالعيش المستقل في المجتمع</w:t>
            </w:r>
          </w:p>
        </w:tc>
        <w:tc>
          <w:tcPr>
            <w:tcW w:w="3724" w:type="dxa"/>
            <w:shd w:val="clear" w:color="auto" w:fill="auto"/>
          </w:tcPr>
          <w:p w:rsidR="00681C20" w:rsidRPr="006A3ED9" w:rsidRDefault="00681C20" w:rsidP="00461655">
            <w:pPr>
              <w:pStyle w:val="SingleTxtG"/>
              <w:suppressAutoHyphens w:val="0"/>
              <w:bidi/>
              <w:spacing w:before="40" w:after="40" w:line="320" w:lineRule="exact"/>
              <w:ind w:left="113" w:right="113"/>
              <w:jc w:val="lowKashida"/>
              <w:rPr>
                <w:rFonts w:cs="Traditional Arabic" w:hint="cs"/>
                <w:sz w:val="28"/>
                <w:szCs w:val="28"/>
                <w:rtl/>
              </w:rPr>
            </w:pPr>
            <w:r w:rsidRPr="006A3ED9">
              <w:rPr>
                <w:rFonts w:cs="Traditional Arabic" w:hint="cs"/>
                <w:sz w:val="28"/>
                <w:szCs w:val="28"/>
                <w:rtl/>
              </w:rPr>
              <w:t>زيارات دورية، وخدمات التوعية، وتقديم المشورة، والدعم المعنوي، وخدمات الإرشاد، والتوجيه والتدريب للأسر ومقدمي الرعاية، والأنشطة الترفيهية الاجتماعية</w:t>
            </w:r>
          </w:p>
        </w:tc>
      </w:tr>
      <w:tr w:rsidR="00681C20" w:rsidRPr="003510D2" w:rsidTr="00935EA2">
        <w:tc>
          <w:tcPr>
            <w:tcW w:w="3646" w:type="dxa"/>
            <w:shd w:val="clear" w:color="auto" w:fill="auto"/>
          </w:tcPr>
          <w:p w:rsidR="00681C20" w:rsidRPr="006A3ED9" w:rsidRDefault="00681C20" w:rsidP="00461655">
            <w:pPr>
              <w:pStyle w:val="SingleTxtG"/>
              <w:suppressAutoHyphens w:val="0"/>
              <w:bidi/>
              <w:spacing w:before="40" w:after="40" w:line="320" w:lineRule="exact"/>
              <w:ind w:left="113" w:right="113"/>
              <w:jc w:val="lowKashida"/>
              <w:rPr>
                <w:rFonts w:cs="Traditional Arabic"/>
                <w:sz w:val="28"/>
                <w:szCs w:val="28"/>
              </w:rPr>
            </w:pPr>
            <w:r w:rsidRPr="006A3ED9">
              <w:rPr>
                <w:rFonts w:cs="Traditional Arabic" w:hint="cs"/>
                <w:sz w:val="28"/>
                <w:szCs w:val="28"/>
                <w:rtl/>
              </w:rPr>
              <w:t>خدمات الدعم لمقدمي الرعاية: دعم مقدمي الرعاية فيما يتعلق برعاية المسنين غير القادرين على رعاية أنفسهم أو المصابين بضعف في حالتهم الصحية</w:t>
            </w:r>
          </w:p>
        </w:tc>
        <w:tc>
          <w:tcPr>
            <w:tcW w:w="3724" w:type="dxa"/>
            <w:shd w:val="clear" w:color="auto" w:fill="auto"/>
          </w:tcPr>
          <w:p w:rsidR="00681C20" w:rsidRPr="006A3ED9" w:rsidRDefault="00681C20" w:rsidP="00461655">
            <w:pPr>
              <w:pStyle w:val="SingleTxtG"/>
              <w:suppressAutoHyphens w:val="0"/>
              <w:bidi/>
              <w:spacing w:before="40" w:after="40" w:line="320" w:lineRule="exact"/>
              <w:ind w:left="113" w:right="113"/>
              <w:jc w:val="lowKashida"/>
              <w:rPr>
                <w:rFonts w:cs="Traditional Arabic"/>
                <w:sz w:val="28"/>
                <w:szCs w:val="28"/>
                <w:lang w:val="en-US"/>
              </w:rPr>
            </w:pPr>
            <w:r w:rsidRPr="006A3ED9">
              <w:rPr>
                <w:rFonts w:cs="Traditional Arabic" w:hint="cs"/>
                <w:sz w:val="28"/>
                <w:szCs w:val="28"/>
                <w:rtl/>
              </w:rPr>
              <w:t xml:space="preserve">التثقيف بمعارف الرعاية والتدريب على مهاراتها، وتقديم المشورة، والأنشطة الاجتماعية/الترفيهية، ومجموعات الدعم المتبادل، والتزويد بالمعلومات والمواد المرجعية أو تقاسم استخدامها، وعرض </w:t>
            </w:r>
            <w:r w:rsidRPr="006A3ED9">
              <w:rPr>
                <w:rFonts w:cs="Traditional Arabic" w:hint="cs"/>
                <w:sz w:val="28"/>
                <w:szCs w:val="28"/>
                <w:rtl/>
                <w:lang w:val="en-US"/>
              </w:rPr>
              <w:t>أجهزة إعادة التأهيل وتسليفها، والاتصالات المنتظمة بين مقدمي الرعاية</w:t>
            </w:r>
          </w:p>
        </w:tc>
      </w:tr>
    </w:tbl>
    <w:p w:rsidR="00681C20" w:rsidRPr="00461655" w:rsidRDefault="00681C20" w:rsidP="009D41A7">
      <w:pPr>
        <w:pStyle w:val="SingleTxtGA"/>
        <w:spacing w:before="120"/>
        <w:rPr>
          <w:rFonts w:hint="cs"/>
          <w:sz w:val="26"/>
          <w:szCs w:val="26"/>
          <w:rtl/>
        </w:rPr>
      </w:pPr>
      <w:r w:rsidRPr="00461655">
        <w:rPr>
          <w:rFonts w:hint="cs"/>
          <w:i/>
          <w:iCs/>
          <w:sz w:val="26"/>
          <w:szCs w:val="26"/>
          <w:rtl/>
        </w:rPr>
        <w:t>المصدر:</w:t>
      </w:r>
      <w:r w:rsidRPr="00461655">
        <w:rPr>
          <w:rFonts w:hint="cs"/>
          <w:sz w:val="26"/>
          <w:szCs w:val="26"/>
          <w:rtl/>
        </w:rPr>
        <w:t xml:space="preserve"> مكتب الرعاية الاجتماعية.</w:t>
      </w:r>
    </w:p>
    <w:p w:rsidR="00681C20" w:rsidRPr="0013032B" w:rsidRDefault="009D41A7" w:rsidP="006A3ED9">
      <w:pPr>
        <w:pStyle w:val="SingleTxtGA"/>
        <w:spacing w:before="120"/>
        <w:rPr>
          <w:rFonts w:hint="cs"/>
          <w:b/>
          <w:bCs/>
          <w:rtl/>
        </w:rPr>
      </w:pPr>
      <w:r>
        <w:rPr>
          <w:rtl/>
        </w:rPr>
        <w:br w:type="page"/>
      </w:r>
      <w:r w:rsidR="00681C20" w:rsidRPr="0013032B">
        <w:rPr>
          <w:rFonts w:hint="cs"/>
          <w:b/>
          <w:bCs/>
          <w:rtl/>
        </w:rPr>
        <w:t>الأشخاص الذين يستخدمون خدمات الرعاية المنزلية والدعم بحسب العمر (العدد)</w:t>
      </w:r>
    </w:p>
    <w:tbl>
      <w:tblPr>
        <w:bidiVisual/>
        <w:tblW w:w="685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11"/>
        <w:gridCol w:w="1189"/>
        <w:gridCol w:w="1260"/>
        <w:gridCol w:w="1344"/>
        <w:gridCol w:w="1148"/>
      </w:tblGrid>
      <w:tr w:rsidR="00681C20" w:rsidRPr="00D24BCB" w:rsidTr="006A3ED9">
        <w:trPr>
          <w:tblHeader/>
        </w:trPr>
        <w:tc>
          <w:tcPr>
            <w:tcW w:w="1911" w:type="dxa"/>
            <w:tcBorders>
              <w:top w:val="single" w:sz="4" w:space="0" w:color="auto"/>
            </w:tcBorders>
            <w:shd w:val="clear" w:color="auto" w:fill="auto"/>
            <w:vAlign w:val="bottom"/>
          </w:tcPr>
          <w:p w:rsidR="00681C20" w:rsidRPr="00D24BCB" w:rsidRDefault="00681C20" w:rsidP="006A3ED9">
            <w:pPr>
              <w:pStyle w:val="SingleTxtG"/>
              <w:bidi/>
              <w:spacing w:before="80" w:after="80" w:line="200" w:lineRule="exact"/>
              <w:ind w:left="140" w:right="113"/>
              <w:jc w:val="lowKashida"/>
              <w:rPr>
                <w:rFonts w:cs="Traditional Arabic"/>
                <w:iCs/>
                <w:sz w:val="16"/>
                <w:szCs w:val="26"/>
              </w:rPr>
            </w:pPr>
            <w:r w:rsidRPr="00D24BCB">
              <w:rPr>
                <w:rFonts w:cs="Traditional Arabic" w:hint="cs"/>
                <w:iCs/>
                <w:sz w:val="16"/>
                <w:szCs w:val="26"/>
                <w:rtl/>
              </w:rPr>
              <w:t>الفئة العمرية</w:t>
            </w:r>
          </w:p>
        </w:tc>
        <w:tc>
          <w:tcPr>
            <w:tcW w:w="1189" w:type="dxa"/>
            <w:tcBorders>
              <w:top w:val="single" w:sz="4" w:space="0" w:color="auto"/>
            </w:tcBorders>
            <w:shd w:val="clear" w:color="auto" w:fill="auto"/>
            <w:vAlign w:val="bottom"/>
          </w:tcPr>
          <w:p w:rsidR="00681C20" w:rsidRPr="00D24BCB" w:rsidRDefault="00681C20" w:rsidP="006A3ED9">
            <w:pPr>
              <w:pStyle w:val="SingleTxtG"/>
              <w:bidi/>
              <w:spacing w:after="80" w:line="200" w:lineRule="exact"/>
              <w:ind w:left="113" w:right="113"/>
              <w:jc w:val="lowKashida"/>
              <w:rPr>
                <w:rFonts w:cs="Traditional Arabic"/>
                <w:iCs/>
                <w:sz w:val="16"/>
                <w:szCs w:val="26"/>
              </w:rPr>
            </w:pPr>
            <w:r w:rsidRPr="00D24BCB">
              <w:rPr>
                <w:rFonts w:cs="Traditional Arabic" w:hint="cs"/>
                <w:iCs/>
                <w:sz w:val="16"/>
                <w:szCs w:val="26"/>
                <w:rtl/>
              </w:rPr>
              <w:t>2006</w:t>
            </w:r>
          </w:p>
        </w:tc>
        <w:tc>
          <w:tcPr>
            <w:tcW w:w="1260" w:type="dxa"/>
            <w:tcBorders>
              <w:top w:val="single" w:sz="4" w:space="0" w:color="auto"/>
            </w:tcBorders>
            <w:shd w:val="clear" w:color="auto" w:fill="auto"/>
            <w:vAlign w:val="bottom"/>
          </w:tcPr>
          <w:p w:rsidR="00681C20" w:rsidRPr="00D24BCB" w:rsidRDefault="00681C20" w:rsidP="006A3ED9">
            <w:pPr>
              <w:pStyle w:val="SingleTxtG"/>
              <w:bidi/>
              <w:spacing w:after="80" w:line="200" w:lineRule="exact"/>
              <w:ind w:left="113" w:right="113"/>
              <w:jc w:val="lowKashida"/>
              <w:rPr>
                <w:rFonts w:cs="Traditional Arabic"/>
                <w:iCs/>
                <w:sz w:val="16"/>
                <w:szCs w:val="26"/>
              </w:rPr>
            </w:pPr>
            <w:r w:rsidRPr="00D24BCB">
              <w:rPr>
                <w:rFonts w:cs="Traditional Arabic" w:hint="cs"/>
                <w:iCs/>
                <w:sz w:val="16"/>
                <w:szCs w:val="26"/>
                <w:rtl/>
              </w:rPr>
              <w:t>2007</w:t>
            </w:r>
          </w:p>
        </w:tc>
        <w:tc>
          <w:tcPr>
            <w:tcW w:w="1344" w:type="dxa"/>
            <w:tcBorders>
              <w:top w:val="single" w:sz="4" w:space="0" w:color="auto"/>
            </w:tcBorders>
            <w:shd w:val="clear" w:color="auto" w:fill="auto"/>
            <w:vAlign w:val="bottom"/>
          </w:tcPr>
          <w:p w:rsidR="00681C20" w:rsidRPr="00D24BCB" w:rsidRDefault="00681C20" w:rsidP="006A3ED9">
            <w:pPr>
              <w:pStyle w:val="SingleTxtG"/>
              <w:bidi/>
              <w:spacing w:after="80" w:line="200" w:lineRule="exact"/>
              <w:ind w:left="113" w:right="113"/>
              <w:jc w:val="lowKashida"/>
              <w:rPr>
                <w:rFonts w:cs="Traditional Arabic"/>
                <w:iCs/>
                <w:sz w:val="16"/>
                <w:szCs w:val="26"/>
              </w:rPr>
            </w:pPr>
            <w:r w:rsidRPr="00D24BCB">
              <w:rPr>
                <w:rFonts w:cs="Traditional Arabic" w:hint="cs"/>
                <w:iCs/>
                <w:sz w:val="16"/>
                <w:szCs w:val="26"/>
                <w:rtl/>
              </w:rPr>
              <w:t>2008</w:t>
            </w:r>
          </w:p>
        </w:tc>
        <w:tc>
          <w:tcPr>
            <w:tcW w:w="1148" w:type="dxa"/>
            <w:tcBorders>
              <w:top w:val="single" w:sz="4" w:space="0" w:color="auto"/>
            </w:tcBorders>
            <w:shd w:val="clear" w:color="auto" w:fill="auto"/>
            <w:vAlign w:val="bottom"/>
          </w:tcPr>
          <w:p w:rsidR="00681C20" w:rsidRPr="00D24BCB" w:rsidRDefault="00681C20" w:rsidP="006A3ED9">
            <w:pPr>
              <w:pStyle w:val="SingleTxtG"/>
              <w:bidi/>
              <w:spacing w:after="80" w:line="200" w:lineRule="exact"/>
              <w:ind w:left="113" w:right="113"/>
              <w:jc w:val="lowKashida"/>
              <w:rPr>
                <w:rFonts w:cs="Traditional Arabic"/>
                <w:iCs/>
                <w:sz w:val="16"/>
                <w:szCs w:val="26"/>
              </w:rPr>
            </w:pPr>
            <w:r w:rsidRPr="00D24BCB">
              <w:rPr>
                <w:rFonts w:cs="Traditional Arabic" w:hint="cs"/>
                <w:iCs/>
                <w:sz w:val="16"/>
                <w:szCs w:val="26"/>
                <w:rtl/>
              </w:rPr>
              <w:t>2009</w:t>
            </w:r>
          </w:p>
        </w:tc>
      </w:tr>
      <w:tr w:rsidR="00681C20" w:rsidRPr="008A78F6" w:rsidTr="006A3ED9">
        <w:tc>
          <w:tcPr>
            <w:tcW w:w="1911" w:type="dxa"/>
            <w:tcBorders>
              <w:top w:val="single" w:sz="12" w:space="0" w:color="auto"/>
            </w:tcBorders>
            <w:shd w:val="clear" w:color="auto" w:fill="auto"/>
            <w:vAlign w:val="bottom"/>
          </w:tcPr>
          <w:p w:rsidR="00681C20" w:rsidRPr="008A78F6" w:rsidRDefault="00681C20" w:rsidP="006A3ED9">
            <w:pPr>
              <w:pStyle w:val="SingleTxtG"/>
              <w:suppressAutoHyphens w:val="0"/>
              <w:bidi/>
              <w:spacing w:before="40" w:after="40" w:line="220" w:lineRule="exact"/>
              <w:ind w:left="140" w:right="113"/>
              <w:jc w:val="lowKashida"/>
              <w:rPr>
                <w:rFonts w:cs="Traditional Arabic" w:hint="cs"/>
                <w:sz w:val="18"/>
                <w:szCs w:val="26"/>
                <w:rtl/>
              </w:rPr>
            </w:pPr>
            <w:r>
              <w:rPr>
                <w:rFonts w:cs="Traditional Arabic" w:hint="cs"/>
                <w:sz w:val="18"/>
                <w:szCs w:val="26"/>
                <w:rtl/>
              </w:rPr>
              <w:t>أقل من 65</w:t>
            </w:r>
          </w:p>
        </w:tc>
        <w:tc>
          <w:tcPr>
            <w:tcW w:w="1189" w:type="dxa"/>
            <w:tcBorders>
              <w:top w:val="single" w:sz="12" w:space="0" w:color="auto"/>
            </w:tcBorders>
            <w:shd w:val="clear" w:color="auto" w:fill="auto"/>
            <w:vAlign w:val="bottom"/>
          </w:tcPr>
          <w:p w:rsidR="00681C20" w:rsidRPr="008A78F6" w:rsidRDefault="00681C20" w:rsidP="006A3ED9">
            <w:pPr>
              <w:pStyle w:val="SingleTxtG"/>
              <w:suppressAutoHyphens w:val="0"/>
              <w:bidi/>
              <w:spacing w:after="40" w:line="220" w:lineRule="exact"/>
              <w:ind w:left="113" w:right="113"/>
              <w:jc w:val="lowKashida"/>
              <w:rPr>
                <w:rFonts w:cs="Traditional Arabic"/>
                <w:sz w:val="18"/>
                <w:szCs w:val="26"/>
              </w:rPr>
            </w:pPr>
            <w:r>
              <w:rPr>
                <w:rFonts w:cs="Traditional Arabic" w:hint="cs"/>
                <w:sz w:val="18"/>
                <w:szCs w:val="26"/>
                <w:rtl/>
              </w:rPr>
              <w:t>26</w:t>
            </w:r>
          </w:p>
        </w:tc>
        <w:tc>
          <w:tcPr>
            <w:tcW w:w="1260" w:type="dxa"/>
            <w:tcBorders>
              <w:top w:val="single" w:sz="12" w:space="0" w:color="auto"/>
            </w:tcBorders>
            <w:shd w:val="clear" w:color="auto" w:fill="auto"/>
            <w:vAlign w:val="bottom"/>
          </w:tcPr>
          <w:p w:rsidR="00681C20" w:rsidRPr="008A78F6" w:rsidRDefault="00681C20" w:rsidP="006A3ED9">
            <w:pPr>
              <w:pStyle w:val="SingleTxtG"/>
              <w:suppressAutoHyphens w:val="0"/>
              <w:bidi/>
              <w:spacing w:after="40" w:line="220" w:lineRule="exact"/>
              <w:ind w:left="113" w:right="113"/>
              <w:jc w:val="lowKashida"/>
              <w:rPr>
                <w:rFonts w:cs="Traditional Arabic"/>
                <w:sz w:val="18"/>
                <w:szCs w:val="26"/>
              </w:rPr>
            </w:pPr>
            <w:r>
              <w:rPr>
                <w:rFonts w:cs="Traditional Arabic" w:hint="cs"/>
                <w:sz w:val="18"/>
                <w:szCs w:val="26"/>
                <w:rtl/>
              </w:rPr>
              <w:t>48</w:t>
            </w:r>
          </w:p>
        </w:tc>
        <w:tc>
          <w:tcPr>
            <w:tcW w:w="1344" w:type="dxa"/>
            <w:tcBorders>
              <w:top w:val="single" w:sz="12" w:space="0" w:color="auto"/>
            </w:tcBorders>
            <w:shd w:val="clear" w:color="auto" w:fill="auto"/>
            <w:vAlign w:val="bottom"/>
          </w:tcPr>
          <w:p w:rsidR="00681C20" w:rsidRPr="008A78F6" w:rsidRDefault="00681C20" w:rsidP="006A3ED9">
            <w:pPr>
              <w:pStyle w:val="SingleTxtG"/>
              <w:suppressAutoHyphens w:val="0"/>
              <w:bidi/>
              <w:spacing w:after="40" w:line="220" w:lineRule="exact"/>
              <w:ind w:left="113" w:right="113"/>
              <w:jc w:val="lowKashida"/>
              <w:rPr>
                <w:rFonts w:cs="Traditional Arabic"/>
                <w:sz w:val="18"/>
                <w:szCs w:val="26"/>
              </w:rPr>
            </w:pPr>
            <w:r>
              <w:rPr>
                <w:rFonts w:cs="Traditional Arabic" w:hint="cs"/>
                <w:sz w:val="18"/>
                <w:szCs w:val="26"/>
                <w:rtl/>
              </w:rPr>
              <w:t>65</w:t>
            </w:r>
          </w:p>
        </w:tc>
        <w:tc>
          <w:tcPr>
            <w:tcW w:w="1148" w:type="dxa"/>
            <w:tcBorders>
              <w:top w:val="single" w:sz="12" w:space="0" w:color="auto"/>
            </w:tcBorders>
            <w:shd w:val="clear" w:color="auto" w:fill="auto"/>
            <w:vAlign w:val="bottom"/>
          </w:tcPr>
          <w:p w:rsidR="00681C20" w:rsidRPr="008A78F6" w:rsidRDefault="00681C20" w:rsidP="006A3ED9">
            <w:pPr>
              <w:pStyle w:val="SingleTxtG"/>
              <w:suppressAutoHyphens w:val="0"/>
              <w:bidi/>
              <w:spacing w:after="40" w:line="220" w:lineRule="exact"/>
              <w:ind w:left="113" w:right="113"/>
              <w:jc w:val="lowKashida"/>
              <w:rPr>
                <w:rFonts w:cs="Traditional Arabic"/>
                <w:sz w:val="18"/>
                <w:szCs w:val="26"/>
              </w:rPr>
            </w:pPr>
            <w:r>
              <w:rPr>
                <w:rFonts w:cs="Traditional Arabic" w:hint="cs"/>
                <w:sz w:val="18"/>
                <w:szCs w:val="26"/>
                <w:rtl/>
              </w:rPr>
              <w:t>82</w:t>
            </w:r>
          </w:p>
        </w:tc>
      </w:tr>
      <w:tr w:rsidR="00681C20" w:rsidRPr="008A78F6" w:rsidTr="006A3ED9">
        <w:tc>
          <w:tcPr>
            <w:tcW w:w="1911" w:type="dxa"/>
            <w:tcBorders>
              <w:bottom w:val="single" w:sz="4" w:space="0" w:color="auto"/>
            </w:tcBorders>
            <w:shd w:val="clear" w:color="auto" w:fill="auto"/>
            <w:vAlign w:val="bottom"/>
          </w:tcPr>
          <w:p w:rsidR="00681C20" w:rsidRPr="008A78F6" w:rsidRDefault="00681C20" w:rsidP="006A3ED9">
            <w:pPr>
              <w:pStyle w:val="SingleTxtG"/>
              <w:suppressAutoHyphens w:val="0"/>
              <w:bidi/>
              <w:spacing w:before="40" w:after="40" w:line="220" w:lineRule="exact"/>
              <w:ind w:left="140" w:right="113"/>
              <w:jc w:val="lowKashida"/>
              <w:rPr>
                <w:rFonts w:cs="Traditional Arabic"/>
                <w:sz w:val="18"/>
                <w:szCs w:val="26"/>
              </w:rPr>
            </w:pPr>
            <w:r>
              <w:rPr>
                <w:rFonts w:cs="Traditional Arabic" w:hint="cs"/>
                <w:sz w:val="18"/>
                <w:szCs w:val="26"/>
                <w:rtl/>
              </w:rPr>
              <w:t>أكثر من 65</w:t>
            </w:r>
          </w:p>
        </w:tc>
        <w:tc>
          <w:tcPr>
            <w:tcW w:w="1189" w:type="dxa"/>
            <w:tcBorders>
              <w:bottom w:val="single" w:sz="4" w:space="0" w:color="auto"/>
            </w:tcBorders>
            <w:shd w:val="clear" w:color="auto" w:fill="auto"/>
            <w:vAlign w:val="bottom"/>
          </w:tcPr>
          <w:p w:rsidR="00681C20" w:rsidRPr="008A78F6" w:rsidRDefault="00681C20" w:rsidP="006A3ED9">
            <w:pPr>
              <w:pStyle w:val="SingleTxtG"/>
              <w:suppressAutoHyphens w:val="0"/>
              <w:bidi/>
              <w:spacing w:after="40" w:line="220" w:lineRule="exact"/>
              <w:ind w:left="113" w:right="113"/>
              <w:jc w:val="lowKashida"/>
              <w:rPr>
                <w:rFonts w:cs="Traditional Arabic"/>
                <w:sz w:val="18"/>
                <w:szCs w:val="26"/>
              </w:rPr>
            </w:pPr>
            <w:r>
              <w:rPr>
                <w:rFonts w:cs="Traditional Arabic" w:hint="cs"/>
                <w:sz w:val="18"/>
                <w:szCs w:val="26"/>
                <w:rtl/>
              </w:rPr>
              <w:t>499</w:t>
            </w:r>
          </w:p>
        </w:tc>
        <w:tc>
          <w:tcPr>
            <w:tcW w:w="1260" w:type="dxa"/>
            <w:tcBorders>
              <w:bottom w:val="single" w:sz="4" w:space="0" w:color="auto"/>
            </w:tcBorders>
            <w:shd w:val="clear" w:color="auto" w:fill="auto"/>
            <w:vAlign w:val="bottom"/>
          </w:tcPr>
          <w:p w:rsidR="00681C20" w:rsidRPr="008A78F6" w:rsidRDefault="00681C20" w:rsidP="006A3ED9">
            <w:pPr>
              <w:pStyle w:val="SingleTxtG"/>
              <w:suppressAutoHyphens w:val="0"/>
              <w:bidi/>
              <w:spacing w:after="40" w:line="220" w:lineRule="exact"/>
              <w:ind w:left="113" w:right="113"/>
              <w:jc w:val="lowKashida"/>
              <w:rPr>
                <w:rFonts w:cs="Traditional Arabic"/>
                <w:sz w:val="18"/>
                <w:szCs w:val="26"/>
              </w:rPr>
            </w:pPr>
            <w:r>
              <w:rPr>
                <w:rFonts w:cs="Traditional Arabic" w:hint="cs"/>
                <w:sz w:val="18"/>
                <w:szCs w:val="26"/>
                <w:rtl/>
              </w:rPr>
              <w:t>476</w:t>
            </w:r>
          </w:p>
        </w:tc>
        <w:tc>
          <w:tcPr>
            <w:tcW w:w="1344" w:type="dxa"/>
            <w:tcBorders>
              <w:bottom w:val="single" w:sz="4" w:space="0" w:color="auto"/>
            </w:tcBorders>
            <w:shd w:val="clear" w:color="auto" w:fill="auto"/>
            <w:vAlign w:val="bottom"/>
          </w:tcPr>
          <w:p w:rsidR="00681C20" w:rsidRPr="008A78F6" w:rsidRDefault="00681C20" w:rsidP="006A3ED9">
            <w:pPr>
              <w:pStyle w:val="SingleTxtG"/>
              <w:suppressAutoHyphens w:val="0"/>
              <w:bidi/>
              <w:spacing w:after="40" w:line="220" w:lineRule="exact"/>
              <w:ind w:left="113" w:right="113"/>
              <w:jc w:val="lowKashida"/>
              <w:rPr>
                <w:rFonts w:cs="Traditional Arabic"/>
                <w:sz w:val="18"/>
                <w:szCs w:val="26"/>
              </w:rPr>
            </w:pPr>
            <w:r>
              <w:rPr>
                <w:rFonts w:cs="Traditional Arabic" w:hint="cs"/>
                <w:sz w:val="18"/>
                <w:szCs w:val="26"/>
                <w:rtl/>
              </w:rPr>
              <w:t>458</w:t>
            </w:r>
          </w:p>
        </w:tc>
        <w:tc>
          <w:tcPr>
            <w:tcW w:w="1148" w:type="dxa"/>
            <w:tcBorders>
              <w:bottom w:val="single" w:sz="4" w:space="0" w:color="auto"/>
            </w:tcBorders>
            <w:shd w:val="clear" w:color="auto" w:fill="auto"/>
            <w:vAlign w:val="bottom"/>
          </w:tcPr>
          <w:p w:rsidR="00681C20" w:rsidRPr="008A78F6" w:rsidRDefault="00681C20" w:rsidP="006A3ED9">
            <w:pPr>
              <w:pStyle w:val="SingleTxtG"/>
              <w:suppressAutoHyphens w:val="0"/>
              <w:bidi/>
              <w:spacing w:after="40" w:line="220" w:lineRule="exact"/>
              <w:ind w:left="113" w:right="113"/>
              <w:jc w:val="lowKashida"/>
              <w:rPr>
                <w:rFonts w:cs="Traditional Arabic"/>
                <w:sz w:val="18"/>
                <w:szCs w:val="26"/>
              </w:rPr>
            </w:pPr>
            <w:r>
              <w:rPr>
                <w:rFonts w:cs="Traditional Arabic" w:hint="cs"/>
                <w:sz w:val="18"/>
                <w:szCs w:val="26"/>
                <w:rtl/>
              </w:rPr>
              <w:t>543</w:t>
            </w:r>
          </w:p>
        </w:tc>
      </w:tr>
      <w:tr w:rsidR="00681C20" w:rsidRPr="00D24BCB" w:rsidTr="006A3ED9">
        <w:tc>
          <w:tcPr>
            <w:tcW w:w="1911" w:type="dxa"/>
            <w:tcBorders>
              <w:top w:val="single" w:sz="4" w:space="0" w:color="auto"/>
              <w:bottom w:val="single" w:sz="12" w:space="0" w:color="auto"/>
            </w:tcBorders>
            <w:shd w:val="clear" w:color="auto" w:fill="auto"/>
            <w:vAlign w:val="bottom"/>
          </w:tcPr>
          <w:p w:rsidR="00681C20" w:rsidRPr="00D24BCB" w:rsidRDefault="00681C20" w:rsidP="006A3ED9">
            <w:pPr>
              <w:pStyle w:val="SingleTxtG"/>
              <w:suppressAutoHyphens w:val="0"/>
              <w:bidi/>
              <w:spacing w:before="80" w:after="80" w:line="220" w:lineRule="exact"/>
              <w:ind w:left="140" w:right="113" w:firstLine="284"/>
              <w:jc w:val="lowKashida"/>
              <w:rPr>
                <w:rFonts w:cs="Traditional Arabic"/>
                <w:bCs/>
                <w:sz w:val="18"/>
                <w:szCs w:val="26"/>
              </w:rPr>
            </w:pPr>
            <w:r w:rsidRPr="00D24BCB">
              <w:rPr>
                <w:rFonts w:cs="Traditional Arabic" w:hint="cs"/>
                <w:bCs/>
                <w:sz w:val="18"/>
                <w:szCs w:val="26"/>
                <w:rtl/>
              </w:rPr>
              <w:t>المجموع</w:t>
            </w:r>
          </w:p>
        </w:tc>
        <w:tc>
          <w:tcPr>
            <w:tcW w:w="1189" w:type="dxa"/>
            <w:tcBorders>
              <w:top w:val="single" w:sz="4" w:space="0" w:color="auto"/>
              <w:bottom w:val="single" w:sz="12" w:space="0" w:color="auto"/>
            </w:tcBorders>
            <w:shd w:val="clear" w:color="auto" w:fill="auto"/>
            <w:vAlign w:val="bottom"/>
          </w:tcPr>
          <w:p w:rsidR="00681C20" w:rsidRPr="00D24BCB" w:rsidRDefault="00681C20" w:rsidP="006A3ED9">
            <w:pPr>
              <w:pStyle w:val="SingleTxtG"/>
              <w:suppressAutoHyphens w:val="0"/>
              <w:bidi/>
              <w:spacing w:after="80" w:line="220" w:lineRule="exact"/>
              <w:ind w:left="113" w:right="113"/>
              <w:jc w:val="lowKashida"/>
              <w:rPr>
                <w:rFonts w:cs="Traditional Arabic"/>
                <w:bCs/>
                <w:sz w:val="18"/>
                <w:szCs w:val="26"/>
              </w:rPr>
            </w:pPr>
            <w:r w:rsidRPr="00D24BCB">
              <w:rPr>
                <w:rFonts w:cs="Traditional Arabic" w:hint="cs"/>
                <w:bCs/>
                <w:sz w:val="18"/>
                <w:szCs w:val="26"/>
                <w:rtl/>
              </w:rPr>
              <w:t>525</w:t>
            </w:r>
          </w:p>
        </w:tc>
        <w:tc>
          <w:tcPr>
            <w:tcW w:w="1260" w:type="dxa"/>
            <w:tcBorders>
              <w:top w:val="single" w:sz="4" w:space="0" w:color="auto"/>
              <w:bottom w:val="single" w:sz="12" w:space="0" w:color="auto"/>
            </w:tcBorders>
            <w:shd w:val="clear" w:color="auto" w:fill="auto"/>
            <w:vAlign w:val="bottom"/>
          </w:tcPr>
          <w:p w:rsidR="00681C20" w:rsidRPr="00D24BCB" w:rsidRDefault="00681C20" w:rsidP="006A3ED9">
            <w:pPr>
              <w:pStyle w:val="SingleTxtG"/>
              <w:suppressAutoHyphens w:val="0"/>
              <w:bidi/>
              <w:spacing w:after="80" w:line="220" w:lineRule="exact"/>
              <w:ind w:left="113" w:right="113"/>
              <w:jc w:val="lowKashida"/>
              <w:rPr>
                <w:rFonts w:cs="Traditional Arabic"/>
                <w:bCs/>
                <w:sz w:val="18"/>
                <w:szCs w:val="26"/>
              </w:rPr>
            </w:pPr>
            <w:r w:rsidRPr="00D24BCB">
              <w:rPr>
                <w:rFonts w:cs="Traditional Arabic" w:hint="cs"/>
                <w:bCs/>
                <w:sz w:val="18"/>
                <w:szCs w:val="26"/>
                <w:rtl/>
              </w:rPr>
              <w:t>524</w:t>
            </w:r>
          </w:p>
        </w:tc>
        <w:tc>
          <w:tcPr>
            <w:tcW w:w="1344" w:type="dxa"/>
            <w:tcBorders>
              <w:top w:val="single" w:sz="4" w:space="0" w:color="auto"/>
              <w:bottom w:val="single" w:sz="12" w:space="0" w:color="auto"/>
            </w:tcBorders>
            <w:shd w:val="clear" w:color="auto" w:fill="auto"/>
            <w:vAlign w:val="bottom"/>
          </w:tcPr>
          <w:p w:rsidR="00681C20" w:rsidRPr="00D24BCB" w:rsidRDefault="00681C20" w:rsidP="006A3ED9">
            <w:pPr>
              <w:pStyle w:val="SingleTxtG"/>
              <w:suppressAutoHyphens w:val="0"/>
              <w:bidi/>
              <w:spacing w:after="80" w:line="220" w:lineRule="exact"/>
              <w:ind w:left="113" w:right="113"/>
              <w:jc w:val="lowKashida"/>
              <w:rPr>
                <w:rFonts w:cs="Traditional Arabic"/>
                <w:bCs/>
                <w:sz w:val="18"/>
                <w:szCs w:val="26"/>
              </w:rPr>
            </w:pPr>
            <w:r w:rsidRPr="00D24BCB">
              <w:rPr>
                <w:rFonts w:cs="Traditional Arabic" w:hint="cs"/>
                <w:bCs/>
                <w:sz w:val="18"/>
                <w:szCs w:val="26"/>
                <w:rtl/>
              </w:rPr>
              <w:t>523</w:t>
            </w:r>
          </w:p>
        </w:tc>
        <w:tc>
          <w:tcPr>
            <w:tcW w:w="1148" w:type="dxa"/>
            <w:tcBorders>
              <w:top w:val="single" w:sz="4" w:space="0" w:color="auto"/>
              <w:bottom w:val="single" w:sz="12" w:space="0" w:color="auto"/>
            </w:tcBorders>
            <w:shd w:val="clear" w:color="auto" w:fill="auto"/>
            <w:vAlign w:val="bottom"/>
          </w:tcPr>
          <w:p w:rsidR="00681C20" w:rsidRPr="00D24BCB" w:rsidRDefault="00681C20" w:rsidP="006A3ED9">
            <w:pPr>
              <w:pStyle w:val="SingleTxtG"/>
              <w:suppressAutoHyphens w:val="0"/>
              <w:bidi/>
              <w:spacing w:after="80" w:line="220" w:lineRule="exact"/>
              <w:ind w:left="113" w:right="113"/>
              <w:jc w:val="lowKashida"/>
              <w:rPr>
                <w:rFonts w:cs="Traditional Arabic"/>
                <w:bCs/>
                <w:sz w:val="18"/>
                <w:szCs w:val="26"/>
              </w:rPr>
            </w:pPr>
            <w:r w:rsidRPr="00D24BCB">
              <w:rPr>
                <w:rFonts w:cs="Traditional Arabic" w:hint="cs"/>
                <w:bCs/>
                <w:sz w:val="18"/>
                <w:szCs w:val="26"/>
                <w:rtl/>
              </w:rPr>
              <w:t>625</w:t>
            </w:r>
          </w:p>
        </w:tc>
      </w:tr>
    </w:tbl>
    <w:p w:rsidR="00681C20" w:rsidRDefault="00681C20" w:rsidP="00681C20">
      <w:pPr>
        <w:pStyle w:val="SingleTxtGA"/>
        <w:rPr>
          <w:rFonts w:hint="cs"/>
          <w:rtl/>
        </w:rPr>
      </w:pPr>
      <w:r w:rsidRPr="00D24BCB">
        <w:rPr>
          <w:rFonts w:hint="cs"/>
          <w:i/>
          <w:iCs/>
          <w:rtl/>
        </w:rPr>
        <w:t>المصدر:</w:t>
      </w:r>
      <w:r>
        <w:rPr>
          <w:rFonts w:hint="cs"/>
          <w:rtl/>
        </w:rPr>
        <w:t xml:space="preserve"> مكتب الرعاية الاجتماعية.</w:t>
      </w:r>
    </w:p>
    <w:p w:rsidR="00681C20" w:rsidRPr="00D24BCB" w:rsidRDefault="00681C20" w:rsidP="00681C20">
      <w:pPr>
        <w:pStyle w:val="SingleTxtGA"/>
        <w:rPr>
          <w:rFonts w:hint="cs"/>
          <w:b/>
          <w:bCs/>
          <w:rtl/>
        </w:rPr>
      </w:pPr>
      <w:r w:rsidRPr="00D24BCB">
        <w:rPr>
          <w:rFonts w:hint="cs"/>
          <w:b/>
          <w:bCs/>
          <w:rtl/>
        </w:rPr>
        <w:t>الوضع الراهن فيما يتعلق بخدمات المقيمين المقدمة إلى الأشخاص ذوي الإعاقة (العدد)</w:t>
      </w:r>
    </w:p>
    <w:tbl>
      <w:tblPr>
        <w:bidiVisual/>
        <w:tblW w:w="849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91"/>
        <w:gridCol w:w="3205"/>
        <w:gridCol w:w="602"/>
        <w:gridCol w:w="630"/>
        <w:gridCol w:w="644"/>
        <w:gridCol w:w="630"/>
        <w:gridCol w:w="588"/>
      </w:tblGrid>
      <w:tr w:rsidR="00681C20" w:rsidRPr="00D24BCB" w:rsidTr="006A3ED9">
        <w:tc>
          <w:tcPr>
            <w:tcW w:w="2191" w:type="dxa"/>
            <w:vMerge w:val="restart"/>
            <w:tcBorders>
              <w:top w:val="single" w:sz="4" w:space="0" w:color="auto"/>
              <w:bottom w:val="nil"/>
            </w:tcBorders>
            <w:shd w:val="clear" w:color="auto" w:fill="auto"/>
            <w:vAlign w:val="bottom"/>
          </w:tcPr>
          <w:p w:rsidR="00681C20" w:rsidRPr="006A3ED9" w:rsidRDefault="00681C20" w:rsidP="006A3ED9">
            <w:pPr>
              <w:pStyle w:val="SingleTxtG"/>
              <w:suppressAutoHyphens w:val="0"/>
              <w:bidi/>
              <w:spacing w:before="20" w:after="20" w:line="300" w:lineRule="exact"/>
              <w:ind w:left="140" w:right="113"/>
              <w:jc w:val="left"/>
              <w:rPr>
                <w:rFonts w:cs="Traditional Arabic"/>
                <w:iCs/>
                <w:sz w:val="24"/>
                <w:szCs w:val="24"/>
              </w:rPr>
            </w:pPr>
            <w:r w:rsidRPr="006A3ED9">
              <w:rPr>
                <w:rFonts w:cs="Traditional Arabic" w:hint="cs"/>
                <w:iCs/>
                <w:sz w:val="24"/>
                <w:szCs w:val="24"/>
                <w:rtl/>
              </w:rPr>
              <w:t>مرافق المنظمات غير الحكومية</w:t>
            </w:r>
          </w:p>
        </w:tc>
        <w:tc>
          <w:tcPr>
            <w:tcW w:w="3205" w:type="dxa"/>
            <w:vMerge w:val="restart"/>
            <w:tcBorders>
              <w:top w:val="single" w:sz="4" w:space="0" w:color="auto"/>
              <w:bottom w:val="nil"/>
            </w:tcBorders>
            <w:shd w:val="clear" w:color="auto" w:fill="auto"/>
            <w:vAlign w:val="bottom"/>
          </w:tcPr>
          <w:p w:rsidR="00681C20" w:rsidRPr="006A3ED9" w:rsidRDefault="00681C20" w:rsidP="006A3ED9">
            <w:pPr>
              <w:pStyle w:val="SingleTxtG"/>
              <w:suppressAutoHyphens w:val="0"/>
              <w:bidi/>
              <w:spacing w:before="20" w:after="20" w:line="300" w:lineRule="exact"/>
              <w:ind w:left="59" w:right="113"/>
              <w:jc w:val="left"/>
              <w:rPr>
                <w:rFonts w:cs="Traditional Arabic" w:hint="cs"/>
                <w:iCs/>
                <w:sz w:val="24"/>
                <w:szCs w:val="24"/>
                <w:rtl/>
              </w:rPr>
            </w:pPr>
            <w:r w:rsidRPr="006A3ED9">
              <w:rPr>
                <w:rFonts w:cs="Traditional Arabic" w:hint="cs"/>
                <w:iCs/>
                <w:sz w:val="24"/>
                <w:szCs w:val="24"/>
                <w:rtl/>
              </w:rPr>
              <w:t>المستهدفون (الجنس، والعمر، وطبيعة الإعاقة)</w:t>
            </w:r>
          </w:p>
        </w:tc>
        <w:tc>
          <w:tcPr>
            <w:tcW w:w="602" w:type="dxa"/>
            <w:vMerge w:val="restart"/>
            <w:tcBorders>
              <w:top w:val="single" w:sz="4" w:space="0" w:color="auto"/>
              <w:bottom w:val="nil"/>
            </w:tcBorders>
            <w:shd w:val="clear" w:color="auto" w:fill="auto"/>
            <w:vAlign w:val="bottom"/>
          </w:tcPr>
          <w:p w:rsidR="00681C20" w:rsidRPr="006A3ED9" w:rsidRDefault="00681C20" w:rsidP="006A3ED9">
            <w:pPr>
              <w:pStyle w:val="SingleTxtG"/>
              <w:suppressAutoHyphens w:val="0"/>
              <w:bidi/>
              <w:spacing w:before="20" w:after="20" w:line="300" w:lineRule="exact"/>
              <w:ind w:left="0" w:right="113"/>
              <w:jc w:val="right"/>
              <w:rPr>
                <w:rFonts w:cs="Traditional Arabic"/>
                <w:iCs/>
                <w:sz w:val="24"/>
                <w:szCs w:val="24"/>
              </w:rPr>
            </w:pPr>
            <w:r w:rsidRPr="006A3ED9">
              <w:rPr>
                <w:rFonts w:cs="Traditional Arabic" w:hint="cs"/>
                <w:iCs/>
                <w:sz w:val="24"/>
                <w:szCs w:val="24"/>
                <w:rtl/>
              </w:rPr>
              <w:t>الطاقة</w:t>
            </w:r>
          </w:p>
        </w:tc>
        <w:tc>
          <w:tcPr>
            <w:tcW w:w="2492" w:type="dxa"/>
            <w:gridSpan w:val="4"/>
            <w:tcBorders>
              <w:top w:val="single" w:sz="4" w:space="0" w:color="auto"/>
              <w:bottom w:val="single" w:sz="4" w:space="0" w:color="auto"/>
            </w:tcBorders>
            <w:shd w:val="clear" w:color="auto" w:fill="auto"/>
            <w:vAlign w:val="bottom"/>
          </w:tcPr>
          <w:p w:rsidR="00681C20" w:rsidRPr="006A3ED9" w:rsidRDefault="00681C20" w:rsidP="006A3ED9">
            <w:pPr>
              <w:pStyle w:val="SingleTxtG"/>
              <w:suppressAutoHyphens w:val="0"/>
              <w:bidi/>
              <w:spacing w:before="20" w:after="20" w:line="300" w:lineRule="exact"/>
              <w:ind w:left="0" w:right="113"/>
              <w:jc w:val="center"/>
              <w:rPr>
                <w:rFonts w:cs="Traditional Arabic"/>
                <w:iCs/>
                <w:sz w:val="24"/>
                <w:szCs w:val="24"/>
              </w:rPr>
            </w:pPr>
            <w:r w:rsidRPr="006A3ED9">
              <w:rPr>
                <w:rFonts w:cs="Traditional Arabic" w:hint="cs"/>
                <w:iCs/>
                <w:sz w:val="24"/>
                <w:szCs w:val="24"/>
                <w:rtl/>
              </w:rPr>
              <w:t>عدد المستخدمين</w:t>
            </w:r>
          </w:p>
        </w:tc>
      </w:tr>
      <w:tr w:rsidR="00681C20" w:rsidRPr="00D24BCB" w:rsidTr="006A3ED9">
        <w:tc>
          <w:tcPr>
            <w:tcW w:w="2191" w:type="dxa"/>
            <w:vMerge/>
            <w:tcBorders>
              <w:top w:val="nil"/>
              <w:bottom w:val="single" w:sz="12" w:space="0" w:color="auto"/>
            </w:tcBorders>
            <w:shd w:val="clear" w:color="auto" w:fill="auto"/>
            <w:vAlign w:val="bottom"/>
          </w:tcPr>
          <w:p w:rsidR="00681C20" w:rsidRPr="006A3ED9" w:rsidRDefault="00681C20" w:rsidP="006A3ED9">
            <w:pPr>
              <w:pStyle w:val="SingleTxtG"/>
              <w:suppressAutoHyphens w:val="0"/>
              <w:bidi/>
              <w:spacing w:before="20" w:after="20" w:line="300" w:lineRule="exact"/>
              <w:ind w:left="140" w:right="113"/>
              <w:jc w:val="left"/>
              <w:rPr>
                <w:rFonts w:cs="Traditional Arabic"/>
                <w:iCs/>
                <w:sz w:val="24"/>
                <w:szCs w:val="24"/>
              </w:rPr>
            </w:pPr>
          </w:p>
        </w:tc>
        <w:tc>
          <w:tcPr>
            <w:tcW w:w="3205" w:type="dxa"/>
            <w:vMerge/>
            <w:tcBorders>
              <w:top w:val="nil"/>
              <w:bottom w:val="single" w:sz="12" w:space="0" w:color="auto"/>
            </w:tcBorders>
            <w:shd w:val="clear" w:color="auto" w:fill="auto"/>
            <w:vAlign w:val="bottom"/>
          </w:tcPr>
          <w:p w:rsidR="00681C20" w:rsidRPr="006A3ED9" w:rsidRDefault="00681C20" w:rsidP="006A3ED9">
            <w:pPr>
              <w:pStyle w:val="SingleTxtG"/>
              <w:suppressAutoHyphens w:val="0"/>
              <w:bidi/>
              <w:spacing w:before="20" w:after="20" w:line="300" w:lineRule="exact"/>
              <w:ind w:left="59" w:right="113"/>
              <w:jc w:val="left"/>
              <w:rPr>
                <w:rFonts w:cs="Traditional Arabic"/>
                <w:iCs/>
                <w:sz w:val="24"/>
                <w:szCs w:val="24"/>
              </w:rPr>
            </w:pPr>
          </w:p>
        </w:tc>
        <w:tc>
          <w:tcPr>
            <w:tcW w:w="602" w:type="dxa"/>
            <w:vMerge/>
            <w:tcBorders>
              <w:top w:val="nil"/>
              <w:bottom w:val="single" w:sz="12" w:space="0" w:color="auto"/>
            </w:tcBorders>
            <w:shd w:val="clear" w:color="auto" w:fill="auto"/>
            <w:vAlign w:val="bottom"/>
          </w:tcPr>
          <w:p w:rsidR="00681C20" w:rsidRPr="006A3ED9" w:rsidRDefault="00681C20" w:rsidP="006A3ED9">
            <w:pPr>
              <w:pStyle w:val="SingleTxtG"/>
              <w:suppressAutoHyphens w:val="0"/>
              <w:bidi/>
              <w:spacing w:before="20" w:after="20" w:line="300" w:lineRule="exact"/>
              <w:ind w:left="0" w:right="113"/>
              <w:jc w:val="right"/>
              <w:rPr>
                <w:rFonts w:cs="Traditional Arabic"/>
                <w:iCs/>
                <w:sz w:val="24"/>
                <w:szCs w:val="24"/>
              </w:rPr>
            </w:pPr>
          </w:p>
        </w:tc>
        <w:tc>
          <w:tcPr>
            <w:tcW w:w="630" w:type="dxa"/>
            <w:tcBorders>
              <w:top w:val="single" w:sz="4" w:space="0" w:color="auto"/>
              <w:bottom w:val="single" w:sz="12" w:space="0" w:color="auto"/>
            </w:tcBorders>
            <w:shd w:val="clear" w:color="auto" w:fill="auto"/>
            <w:vAlign w:val="bottom"/>
          </w:tcPr>
          <w:p w:rsidR="00681C20" w:rsidRPr="006A3ED9" w:rsidRDefault="00681C20" w:rsidP="006A3ED9">
            <w:pPr>
              <w:pStyle w:val="SingleTxtG"/>
              <w:suppressAutoHyphens w:val="0"/>
              <w:bidi/>
              <w:spacing w:before="20" w:after="20" w:line="300" w:lineRule="exact"/>
              <w:ind w:left="0" w:right="113"/>
              <w:jc w:val="right"/>
              <w:rPr>
                <w:rFonts w:cs="Traditional Arabic"/>
                <w:iCs/>
                <w:sz w:val="24"/>
                <w:szCs w:val="24"/>
              </w:rPr>
            </w:pPr>
            <w:r w:rsidRPr="006A3ED9">
              <w:rPr>
                <w:rFonts w:cs="Traditional Arabic" w:hint="cs"/>
                <w:iCs/>
                <w:sz w:val="24"/>
                <w:szCs w:val="24"/>
                <w:rtl/>
              </w:rPr>
              <w:t>2006</w:t>
            </w:r>
          </w:p>
        </w:tc>
        <w:tc>
          <w:tcPr>
            <w:tcW w:w="644" w:type="dxa"/>
            <w:tcBorders>
              <w:top w:val="single" w:sz="4" w:space="0" w:color="auto"/>
              <w:bottom w:val="single" w:sz="12" w:space="0" w:color="auto"/>
            </w:tcBorders>
            <w:shd w:val="clear" w:color="auto" w:fill="auto"/>
            <w:vAlign w:val="bottom"/>
          </w:tcPr>
          <w:p w:rsidR="00681C20" w:rsidRPr="006A3ED9" w:rsidRDefault="00681C20" w:rsidP="006A3ED9">
            <w:pPr>
              <w:pStyle w:val="SingleTxtG"/>
              <w:suppressAutoHyphens w:val="0"/>
              <w:bidi/>
              <w:spacing w:before="20" w:after="20" w:line="300" w:lineRule="exact"/>
              <w:ind w:left="0" w:right="113"/>
              <w:jc w:val="right"/>
              <w:rPr>
                <w:rFonts w:cs="Traditional Arabic"/>
                <w:iCs/>
                <w:sz w:val="24"/>
                <w:szCs w:val="24"/>
              </w:rPr>
            </w:pPr>
            <w:r w:rsidRPr="006A3ED9">
              <w:rPr>
                <w:rFonts w:cs="Traditional Arabic" w:hint="cs"/>
                <w:iCs/>
                <w:sz w:val="24"/>
                <w:szCs w:val="24"/>
                <w:rtl/>
              </w:rPr>
              <w:t>2007</w:t>
            </w:r>
          </w:p>
        </w:tc>
        <w:tc>
          <w:tcPr>
            <w:tcW w:w="630" w:type="dxa"/>
            <w:tcBorders>
              <w:top w:val="single" w:sz="4" w:space="0" w:color="auto"/>
              <w:bottom w:val="single" w:sz="12" w:space="0" w:color="auto"/>
            </w:tcBorders>
            <w:shd w:val="clear" w:color="auto" w:fill="auto"/>
            <w:vAlign w:val="bottom"/>
          </w:tcPr>
          <w:p w:rsidR="00681C20" w:rsidRPr="006A3ED9" w:rsidRDefault="00681C20" w:rsidP="006A3ED9">
            <w:pPr>
              <w:pStyle w:val="SingleTxtG"/>
              <w:suppressAutoHyphens w:val="0"/>
              <w:bidi/>
              <w:spacing w:before="20" w:after="20" w:line="300" w:lineRule="exact"/>
              <w:ind w:left="0" w:right="113"/>
              <w:jc w:val="right"/>
              <w:rPr>
                <w:rFonts w:cs="Traditional Arabic"/>
                <w:iCs/>
                <w:sz w:val="24"/>
                <w:szCs w:val="24"/>
              </w:rPr>
            </w:pPr>
            <w:r w:rsidRPr="006A3ED9">
              <w:rPr>
                <w:rFonts w:cs="Traditional Arabic" w:hint="cs"/>
                <w:iCs/>
                <w:sz w:val="24"/>
                <w:szCs w:val="24"/>
                <w:rtl/>
              </w:rPr>
              <w:t>2008</w:t>
            </w:r>
          </w:p>
        </w:tc>
        <w:tc>
          <w:tcPr>
            <w:tcW w:w="588" w:type="dxa"/>
            <w:tcBorders>
              <w:top w:val="single" w:sz="4" w:space="0" w:color="auto"/>
              <w:bottom w:val="single" w:sz="12" w:space="0" w:color="auto"/>
            </w:tcBorders>
            <w:shd w:val="clear" w:color="auto" w:fill="auto"/>
            <w:vAlign w:val="bottom"/>
          </w:tcPr>
          <w:p w:rsidR="00681C20" w:rsidRPr="006A3ED9" w:rsidRDefault="00681C20" w:rsidP="006A3ED9">
            <w:pPr>
              <w:pStyle w:val="SingleTxtG"/>
              <w:suppressAutoHyphens w:val="0"/>
              <w:bidi/>
              <w:spacing w:before="20" w:after="20" w:line="300" w:lineRule="exact"/>
              <w:ind w:left="0" w:right="113"/>
              <w:jc w:val="right"/>
              <w:rPr>
                <w:rFonts w:cs="Traditional Arabic"/>
                <w:iCs/>
                <w:sz w:val="24"/>
                <w:szCs w:val="24"/>
              </w:rPr>
            </w:pPr>
            <w:r w:rsidRPr="006A3ED9">
              <w:rPr>
                <w:rFonts w:cs="Traditional Arabic" w:hint="cs"/>
                <w:iCs/>
                <w:sz w:val="24"/>
                <w:szCs w:val="24"/>
                <w:rtl/>
              </w:rPr>
              <w:t>2009</w:t>
            </w:r>
          </w:p>
        </w:tc>
      </w:tr>
      <w:tr w:rsidR="00681C20" w:rsidRPr="00D24BCB" w:rsidTr="006A3ED9">
        <w:tc>
          <w:tcPr>
            <w:tcW w:w="2191" w:type="dxa"/>
            <w:tcBorders>
              <w:top w:val="single" w:sz="12" w:space="0" w:color="auto"/>
            </w:tcBorders>
            <w:shd w:val="clear" w:color="auto" w:fill="auto"/>
          </w:tcPr>
          <w:p w:rsidR="00681C20" w:rsidRPr="006A3ED9" w:rsidRDefault="00681C20" w:rsidP="006A3ED9">
            <w:pPr>
              <w:pStyle w:val="SingleTxtG"/>
              <w:suppressAutoHyphens w:val="0"/>
              <w:bidi/>
              <w:spacing w:before="20" w:after="20" w:line="300" w:lineRule="exact"/>
              <w:ind w:left="140" w:right="113"/>
              <w:jc w:val="left"/>
              <w:rPr>
                <w:rFonts w:cs="Traditional Arabic"/>
                <w:sz w:val="24"/>
                <w:szCs w:val="24"/>
              </w:rPr>
            </w:pPr>
            <w:r w:rsidRPr="006A3ED9">
              <w:rPr>
                <w:rFonts w:cs="Traditional Arabic" w:hint="cs"/>
                <w:sz w:val="24"/>
                <w:szCs w:val="24"/>
                <w:rtl/>
              </w:rPr>
              <w:t>دار ساو ليوس غونساغا</w:t>
            </w:r>
          </w:p>
        </w:tc>
        <w:tc>
          <w:tcPr>
            <w:tcW w:w="3205" w:type="dxa"/>
            <w:tcBorders>
              <w:top w:val="single" w:sz="12" w:space="0" w:color="auto"/>
            </w:tcBorders>
            <w:shd w:val="clear" w:color="auto" w:fill="auto"/>
          </w:tcPr>
          <w:p w:rsidR="00681C20" w:rsidRPr="006A3ED9" w:rsidRDefault="00681C20" w:rsidP="006A3ED9">
            <w:pPr>
              <w:pStyle w:val="SingleTxtG"/>
              <w:suppressAutoHyphens w:val="0"/>
              <w:bidi/>
              <w:spacing w:before="20" w:after="20" w:line="300" w:lineRule="exact"/>
              <w:ind w:left="59" w:right="113"/>
              <w:jc w:val="left"/>
              <w:rPr>
                <w:rFonts w:cs="Traditional Arabic" w:hint="cs"/>
                <w:sz w:val="24"/>
                <w:szCs w:val="24"/>
                <w:rtl/>
              </w:rPr>
            </w:pPr>
            <w:r w:rsidRPr="006A3ED9">
              <w:rPr>
                <w:rFonts w:cs="Traditional Arabic" w:hint="cs"/>
                <w:sz w:val="24"/>
                <w:szCs w:val="24"/>
                <w:rtl/>
              </w:rPr>
              <w:t>ذكور/16 أو أكثر (إعاقة ذهنية أو إعاقة عقلية طويلة الأجل)</w:t>
            </w:r>
          </w:p>
        </w:tc>
        <w:tc>
          <w:tcPr>
            <w:tcW w:w="602" w:type="dxa"/>
            <w:tcBorders>
              <w:top w:val="single" w:sz="12" w:space="0" w:color="auto"/>
            </w:tcBorders>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200</w:t>
            </w:r>
          </w:p>
        </w:tc>
        <w:tc>
          <w:tcPr>
            <w:tcW w:w="630" w:type="dxa"/>
            <w:tcBorders>
              <w:top w:val="single" w:sz="12" w:space="0" w:color="auto"/>
            </w:tcBorders>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189</w:t>
            </w:r>
          </w:p>
        </w:tc>
        <w:tc>
          <w:tcPr>
            <w:tcW w:w="644" w:type="dxa"/>
            <w:tcBorders>
              <w:top w:val="single" w:sz="12" w:space="0" w:color="auto"/>
            </w:tcBorders>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189</w:t>
            </w:r>
          </w:p>
        </w:tc>
        <w:tc>
          <w:tcPr>
            <w:tcW w:w="630" w:type="dxa"/>
            <w:tcBorders>
              <w:top w:val="single" w:sz="12" w:space="0" w:color="auto"/>
            </w:tcBorders>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188</w:t>
            </w:r>
          </w:p>
        </w:tc>
        <w:tc>
          <w:tcPr>
            <w:tcW w:w="588" w:type="dxa"/>
            <w:tcBorders>
              <w:top w:val="single" w:sz="12" w:space="0" w:color="auto"/>
            </w:tcBorders>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190</w:t>
            </w:r>
          </w:p>
        </w:tc>
      </w:tr>
      <w:tr w:rsidR="00681C20" w:rsidRPr="00D24BCB" w:rsidTr="006A3ED9">
        <w:tc>
          <w:tcPr>
            <w:tcW w:w="2191" w:type="dxa"/>
            <w:shd w:val="clear" w:color="auto" w:fill="auto"/>
          </w:tcPr>
          <w:p w:rsidR="00681C20" w:rsidRPr="006A3ED9" w:rsidRDefault="00681C20" w:rsidP="006A3ED9">
            <w:pPr>
              <w:pStyle w:val="SingleTxtG"/>
              <w:suppressAutoHyphens w:val="0"/>
              <w:bidi/>
              <w:spacing w:before="20" w:after="20" w:line="300" w:lineRule="exact"/>
              <w:ind w:left="140" w:right="113"/>
              <w:jc w:val="left"/>
              <w:rPr>
                <w:rFonts w:cs="Traditional Arabic"/>
                <w:sz w:val="24"/>
                <w:szCs w:val="24"/>
              </w:rPr>
            </w:pPr>
            <w:r w:rsidRPr="006A3ED9">
              <w:rPr>
                <w:rFonts w:cs="Traditional Arabic" w:hint="cs"/>
                <w:sz w:val="24"/>
                <w:szCs w:val="24"/>
                <w:rtl/>
              </w:rPr>
              <w:t>مركز سانتا مارغريتا</w:t>
            </w:r>
          </w:p>
        </w:tc>
        <w:tc>
          <w:tcPr>
            <w:tcW w:w="3205" w:type="dxa"/>
            <w:shd w:val="clear" w:color="auto" w:fill="auto"/>
          </w:tcPr>
          <w:p w:rsidR="00681C20" w:rsidRPr="006A3ED9" w:rsidRDefault="00681C20" w:rsidP="006A3ED9">
            <w:pPr>
              <w:pStyle w:val="SingleTxtG"/>
              <w:suppressAutoHyphens w:val="0"/>
              <w:bidi/>
              <w:spacing w:before="20" w:after="20" w:line="300" w:lineRule="exact"/>
              <w:ind w:left="59" w:right="113"/>
              <w:jc w:val="left"/>
              <w:rPr>
                <w:rFonts w:cs="Traditional Arabic"/>
                <w:sz w:val="24"/>
                <w:szCs w:val="24"/>
              </w:rPr>
            </w:pPr>
            <w:r w:rsidRPr="006A3ED9">
              <w:rPr>
                <w:rFonts w:cs="Traditional Arabic" w:hint="cs"/>
                <w:sz w:val="24"/>
                <w:szCs w:val="24"/>
                <w:rtl/>
              </w:rPr>
              <w:t>إناث/16 أو أكثر (إعاقة ذهنية أو إعاقة عقلية طويلة الأجل)</w:t>
            </w:r>
          </w:p>
        </w:tc>
        <w:tc>
          <w:tcPr>
            <w:tcW w:w="602"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115</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57</w:t>
            </w:r>
          </w:p>
        </w:tc>
        <w:tc>
          <w:tcPr>
            <w:tcW w:w="644"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57</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53</w:t>
            </w:r>
          </w:p>
        </w:tc>
        <w:tc>
          <w:tcPr>
            <w:tcW w:w="588"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50</w:t>
            </w:r>
          </w:p>
        </w:tc>
      </w:tr>
      <w:tr w:rsidR="00681C20" w:rsidRPr="00D24BCB" w:rsidTr="006A3ED9">
        <w:tc>
          <w:tcPr>
            <w:tcW w:w="2191" w:type="dxa"/>
            <w:shd w:val="clear" w:color="auto" w:fill="auto"/>
          </w:tcPr>
          <w:p w:rsidR="00681C20" w:rsidRPr="006A3ED9" w:rsidRDefault="00681C20" w:rsidP="006A3ED9">
            <w:pPr>
              <w:pStyle w:val="SingleTxtG"/>
              <w:suppressAutoHyphens w:val="0"/>
              <w:bidi/>
              <w:spacing w:before="20" w:after="20" w:line="300" w:lineRule="exact"/>
              <w:ind w:left="140" w:right="113"/>
              <w:jc w:val="left"/>
              <w:rPr>
                <w:rFonts w:cs="Traditional Arabic"/>
                <w:sz w:val="24"/>
                <w:szCs w:val="24"/>
              </w:rPr>
            </w:pPr>
            <w:r w:rsidRPr="006A3ED9">
              <w:rPr>
                <w:rFonts w:cs="Traditional Arabic" w:hint="cs"/>
                <w:sz w:val="24"/>
                <w:szCs w:val="24"/>
                <w:rtl/>
              </w:rPr>
              <w:t>مركز سانتا لوتشيا</w:t>
            </w:r>
          </w:p>
        </w:tc>
        <w:tc>
          <w:tcPr>
            <w:tcW w:w="3205" w:type="dxa"/>
            <w:shd w:val="clear" w:color="auto" w:fill="auto"/>
          </w:tcPr>
          <w:p w:rsidR="00681C20" w:rsidRPr="006A3ED9" w:rsidRDefault="00681C20" w:rsidP="006A3ED9">
            <w:pPr>
              <w:pStyle w:val="SingleTxtG"/>
              <w:suppressAutoHyphens w:val="0"/>
              <w:bidi/>
              <w:spacing w:before="20" w:after="20" w:line="300" w:lineRule="exact"/>
              <w:ind w:left="59" w:right="113"/>
              <w:jc w:val="left"/>
              <w:rPr>
                <w:rFonts w:cs="Traditional Arabic"/>
                <w:sz w:val="24"/>
                <w:szCs w:val="24"/>
              </w:rPr>
            </w:pPr>
            <w:r w:rsidRPr="006A3ED9">
              <w:rPr>
                <w:rFonts w:cs="Traditional Arabic" w:hint="cs"/>
                <w:sz w:val="24"/>
                <w:szCs w:val="24"/>
                <w:rtl/>
              </w:rPr>
              <w:t>إناث/16 أو أكثر (إعاقة ذهنية أو إعاقة عقلية طويلة الأجل)</w:t>
            </w:r>
          </w:p>
        </w:tc>
        <w:tc>
          <w:tcPr>
            <w:tcW w:w="602"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50</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47</w:t>
            </w:r>
          </w:p>
        </w:tc>
        <w:tc>
          <w:tcPr>
            <w:tcW w:w="644"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48</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47</w:t>
            </w:r>
          </w:p>
        </w:tc>
        <w:tc>
          <w:tcPr>
            <w:tcW w:w="588"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48</w:t>
            </w:r>
          </w:p>
        </w:tc>
      </w:tr>
      <w:tr w:rsidR="00681C20" w:rsidRPr="00D24BCB" w:rsidTr="006A3ED9">
        <w:tc>
          <w:tcPr>
            <w:tcW w:w="2191" w:type="dxa"/>
            <w:shd w:val="clear" w:color="auto" w:fill="auto"/>
          </w:tcPr>
          <w:p w:rsidR="00681C20" w:rsidRPr="006A3ED9" w:rsidRDefault="00681C20" w:rsidP="006A3ED9">
            <w:pPr>
              <w:pStyle w:val="SingleTxtG"/>
              <w:suppressAutoHyphens w:val="0"/>
              <w:bidi/>
              <w:spacing w:before="20" w:after="20" w:line="300" w:lineRule="exact"/>
              <w:ind w:left="140" w:right="113"/>
              <w:jc w:val="left"/>
              <w:rPr>
                <w:rFonts w:cs="Traditional Arabic"/>
                <w:sz w:val="24"/>
                <w:szCs w:val="24"/>
              </w:rPr>
            </w:pPr>
            <w:r w:rsidRPr="006A3ED9">
              <w:rPr>
                <w:rFonts w:cs="Traditional Arabic" w:hint="cs"/>
                <w:sz w:val="24"/>
                <w:szCs w:val="24"/>
                <w:rtl/>
              </w:rPr>
              <w:t>دار نوسا سينهورا دا بينها</w:t>
            </w:r>
          </w:p>
        </w:tc>
        <w:tc>
          <w:tcPr>
            <w:tcW w:w="3205" w:type="dxa"/>
            <w:shd w:val="clear" w:color="auto" w:fill="auto"/>
          </w:tcPr>
          <w:p w:rsidR="00681C20" w:rsidRPr="006A3ED9" w:rsidRDefault="00681C20" w:rsidP="006A3ED9">
            <w:pPr>
              <w:pStyle w:val="SingleTxtG"/>
              <w:suppressAutoHyphens w:val="0"/>
              <w:bidi/>
              <w:spacing w:before="20" w:after="20" w:line="300" w:lineRule="exact"/>
              <w:ind w:left="59" w:right="113"/>
              <w:jc w:val="left"/>
              <w:rPr>
                <w:rFonts w:cs="Traditional Arabic"/>
                <w:sz w:val="24"/>
                <w:szCs w:val="24"/>
              </w:rPr>
            </w:pPr>
            <w:r w:rsidRPr="006A3ED9">
              <w:rPr>
                <w:rFonts w:cs="Traditional Arabic" w:hint="cs"/>
                <w:sz w:val="24"/>
                <w:szCs w:val="24"/>
                <w:rtl/>
              </w:rPr>
              <w:t>ذكور وإناث/صفر-15 (إعاقة ذهنية أو بدنية)</w:t>
            </w:r>
          </w:p>
        </w:tc>
        <w:tc>
          <w:tcPr>
            <w:tcW w:w="602"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28</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25</w:t>
            </w:r>
          </w:p>
        </w:tc>
        <w:tc>
          <w:tcPr>
            <w:tcW w:w="644"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25</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25</w:t>
            </w:r>
          </w:p>
        </w:tc>
        <w:tc>
          <w:tcPr>
            <w:tcW w:w="588"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24</w:t>
            </w:r>
          </w:p>
        </w:tc>
      </w:tr>
      <w:tr w:rsidR="00681C20" w:rsidRPr="00D24BCB" w:rsidTr="006A3ED9">
        <w:tc>
          <w:tcPr>
            <w:tcW w:w="2191" w:type="dxa"/>
            <w:shd w:val="clear" w:color="auto" w:fill="auto"/>
          </w:tcPr>
          <w:p w:rsidR="00681C20" w:rsidRPr="006A3ED9" w:rsidRDefault="00681C20" w:rsidP="006A3ED9">
            <w:pPr>
              <w:pStyle w:val="SingleTxtG"/>
              <w:suppressAutoHyphens w:val="0"/>
              <w:bidi/>
              <w:spacing w:before="20" w:after="20" w:line="300" w:lineRule="exact"/>
              <w:ind w:left="140" w:right="113"/>
              <w:jc w:val="left"/>
              <w:rPr>
                <w:rFonts w:cs="Traditional Arabic" w:hint="cs"/>
                <w:sz w:val="24"/>
                <w:szCs w:val="24"/>
                <w:rtl/>
              </w:rPr>
            </w:pPr>
            <w:r w:rsidRPr="006A3ED9">
              <w:rPr>
                <w:rFonts w:cs="Traditional Arabic" w:hint="cs"/>
                <w:sz w:val="24"/>
                <w:szCs w:val="24"/>
                <w:rtl/>
              </w:rPr>
              <w:t>دار مونغ ها السكنية</w:t>
            </w:r>
          </w:p>
        </w:tc>
        <w:tc>
          <w:tcPr>
            <w:tcW w:w="3205" w:type="dxa"/>
            <w:shd w:val="clear" w:color="auto" w:fill="auto"/>
          </w:tcPr>
          <w:p w:rsidR="00681C20" w:rsidRPr="006A3ED9" w:rsidRDefault="00681C20" w:rsidP="006A3ED9">
            <w:pPr>
              <w:pStyle w:val="SingleTxtG"/>
              <w:suppressAutoHyphens w:val="0"/>
              <w:bidi/>
              <w:spacing w:before="20" w:after="20" w:line="300" w:lineRule="exact"/>
              <w:ind w:left="59" w:right="113"/>
              <w:jc w:val="left"/>
              <w:rPr>
                <w:rFonts w:cs="Traditional Arabic"/>
                <w:sz w:val="24"/>
                <w:szCs w:val="24"/>
              </w:rPr>
            </w:pPr>
            <w:r w:rsidRPr="006A3ED9">
              <w:rPr>
                <w:rFonts w:cs="Traditional Arabic" w:hint="cs"/>
                <w:sz w:val="24"/>
                <w:szCs w:val="24"/>
                <w:rtl/>
              </w:rPr>
              <w:t>ذكور وإناث/18-60 (مرض عقلي سابق)</w:t>
            </w:r>
          </w:p>
        </w:tc>
        <w:tc>
          <w:tcPr>
            <w:tcW w:w="602"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12</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9</w:t>
            </w:r>
          </w:p>
        </w:tc>
        <w:tc>
          <w:tcPr>
            <w:tcW w:w="644"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6</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7</w:t>
            </w:r>
          </w:p>
        </w:tc>
        <w:tc>
          <w:tcPr>
            <w:tcW w:w="588"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10</w:t>
            </w:r>
          </w:p>
        </w:tc>
      </w:tr>
      <w:tr w:rsidR="00681C20" w:rsidRPr="00D24BCB" w:rsidTr="006A3ED9">
        <w:tc>
          <w:tcPr>
            <w:tcW w:w="2191" w:type="dxa"/>
            <w:shd w:val="clear" w:color="auto" w:fill="auto"/>
          </w:tcPr>
          <w:p w:rsidR="00681C20" w:rsidRPr="006A3ED9" w:rsidRDefault="00681C20" w:rsidP="006A3ED9">
            <w:pPr>
              <w:pStyle w:val="SingleTxtG"/>
              <w:suppressAutoHyphens w:val="0"/>
              <w:bidi/>
              <w:spacing w:before="20" w:after="20" w:line="300" w:lineRule="exact"/>
              <w:ind w:left="140" w:right="113"/>
              <w:jc w:val="left"/>
              <w:rPr>
                <w:rFonts w:cs="Traditional Arabic"/>
                <w:sz w:val="24"/>
                <w:szCs w:val="24"/>
              </w:rPr>
            </w:pPr>
            <w:r w:rsidRPr="006A3ED9">
              <w:rPr>
                <w:rFonts w:cs="Traditional Arabic" w:hint="cs"/>
                <w:sz w:val="24"/>
                <w:szCs w:val="24"/>
                <w:rtl/>
              </w:rPr>
              <w:t>مركز هوننغ لوكا للخدمات المتكاملة (خدمة سكنية)</w:t>
            </w:r>
          </w:p>
        </w:tc>
        <w:tc>
          <w:tcPr>
            <w:tcW w:w="3205" w:type="dxa"/>
            <w:shd w:val="clear" w:color="auto" w:fill="auto"/>
          </w:tcPr>
          <w:p w:rsidR="00681C20" w:rsidRPr="006A3ED9" w:rsidRDefault="00681C20" w:rsidP="006A3ED9">
            <w:pPr>
              <w:pStyle w:val="SingleTxtG"/>
              <w:suppressAutoHyphens w:val="0"/>
              <w:bidi/>
              <w:spacing w:before="20" w:after="20" w:line="300" w:lineRule="exact"/>
              <w:ind w:left="59" w:right="113"/>
              <w:jc w:val="left"/>
              <w:rPr>
                <w:rFonts w:cs="Traditional Arabic"/>
                <w:sz w:val="24"/>
                <w:szCs w:val="24"/>
              </w:rPr>
            </w:pPr>
            <w:r w:rsidRPr="006A3ED9">
              <w:rPr>
                <w:rFonts w:cs="Traditional Arabic" w:hint="cs"/>
                <w:sz w:val="24"/>
                <w:szCs w:val="24"/>
                <w:rtl/>
              </w:rPr>
              <w:t xml:space="preserve">ذكور وإناث/16 فأكثر (إعاقة ذهنية </w:t>
            </w:r>
            <w:r w:rsidR="006A3ED9">
              <w:rPr>
                <w:rFonts w:cs="Traditional Arabic" w:hint="cs"/>
                <w:sz w:val="24"/>
                <w:szCs w:val="24"/>
                <w:rtl/>
              </w:rPr>
              <w:t>-</w:t>
            </w:r>
            <w:r w:rsidRPr="006A3ED9">
              <w:rPr>
                <w:rFonts w:cs="Traditional Arabic" w:hint="cs"/>
                <w:sz w:val="24"/>
                <w:szCs w:val="24"/>
                <w:rtl/>
              </w:rPr>
              <w:t xml:space="preserve"> متوسطة/معتدلة)</w:t>
            </w:r>
          </w:p>
        </w:tc>
        <w:tc>
          <w:tcPr>
            <w:tcW w:w="602"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24</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11</w:t>
            </w:r>
          </w:p>
        </w:tc>
        <w:tc>
          <w:tcPr>
            <w:tcW w:w="644"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11</w:t>
            </w:r>
          </w:p>
        </w:tc>
        <w:tc>
          <w:tcPr>
            <w:tcW w:w="630"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20</w:t>
            </w:r>
          </w:p>
        </w:tc>
        <w:tc>
          <w:tcPr>
            <w:tcW w:w="588" w:type="dxa"/>
            <w:shd w:val="clear" w:color="auto" w:fill="auto"/>
          </w:tcPr>
          <w:p w:rsidR="00681C20" w:rsidRPr="006A3ED9" w:rsidRDefault="00681C20" w:rsidP="006A3ED9">
            <w:pPr>
              <w:pStyle w:val="SingleTxtG"/>
              <w:suppressAutoHyphens w:val="0"/>
              <w:bidi/>
              <w:spacing w:before="20" w:after="20" w:line="300" w:lineRule="exact"/>
              <w:ind w:left="57" w:right="113"/>
              <w:jc w:val="lowKashida"/>
              <w:rPr>
                <w:rFonts w:cs="Traditional Arabic"/>
                <w:sz w:val="24"/>
                <w:szCs w:val="24"/>
              </w:rPr>
            </w:pPr>
            <w:r w:rsidRPr="006A3ED9">
              <w:rPr>
                <w:rFonts w:cs="Traditional Arabic" w:hint="cs"/>
                <w:sz w:val="24"/>
                <w:szCs w:val="24"/>
                <w:rtl/>
              </w:rPr>
              <w:t>17</w:t>
            </w:r>
          </w:p>
        </w:tc>
      </w:tr>
    </w:tbl>
    <w:p w:rsidR="00681C20" w:rsidRPr="006A3ED9" w:rsidRDefault="00681C20" w:rsidP="00681C20">
      <w:pPr>
        <w:pStyle w:val="SingleTxtGA"/>
        <w:rPr>
          <w:rFonts w:hint="cs"/>
          <w:sz w:val="26"/>
          <w:szCs w:val="26"/>
          <w:rtl/>
        </w:rPr>
      </w:pPr>
      <w:r w:rsidRPr="006A3ED9">
        <w:rPr>
          <w:rFonts w:hint="cs"/>
          <w:i/>
          <w:iCs/>
          <w:sz w:val="26"/>
          <w:szCs w:val="26"/>
          <w:rtl/>
        </w:rPr>
        <w:t>المصدر:</w:t>
      </w:r>
      <w:r w:rsidRPr="006A3ED9">
        <w:rPr>
          <w:rFonts w:hint="cs"/>
          <w:sz w:val="26"/>
          <w:szCs w:val="26"/>
          <w:rtl/>
        </w:rPr>
        <w:t xml:space="preserve"> مكتب الرعاية الاجتماعية.</w:t>
      </w:r>
    </w:p>
    <w:p w:rsidR="00681C20" w:rsidRDefault="00681C20" w:rsidP="00681C20">
      <w:pPr>
        <w:pStyle w:val="SingleTxtGA"/>
        <w:rPr>
          <w:rFonts w:hint="cs"/>
          <w:rtl/>
        </w:rPr>
      </w:pPr>
      <w:r>
        <w:rPr>
          <w:rFonts w:hint="cs"/>
          <w:rtl/>
        </w:rPr>
        <w:t>61-</w:t>
      </w:r>
      <w:r>
        <w:rPr>
          <w:rFonts w:hint="cs"/>
          <w:rtl/>
        </w:rPr>
        <w:tab/>
        <w:t>وأما عن الحماية الاجتماعية، فقد وُضع نظام للإعانات من أجل تقديم إعانة شهرية إلى الأفراد والأسر الذين يعانون من ضائقة مالية بسبب عوامل اجتماعية وصحية أو صعوبات أخرى بغرض دعم حياتهم اليومية. ولتوسيع نطاق هذه التغطية، جرى التخفيف من شروط تطبيق هذه الإعانة (النظام الإداري 6/2007 الصادر في 2 نيسان/أبريل، وقرارا المدير التنفيذي الأول 322/2007 الصادر في</w:t>
      </w:r>
      <w:r w:rsidR="009E3E8F">
        <w:rPr>
          <w:rFonts w:hint="cs"/>
          <w:rtl/>
        </w:rPr>
        <w:t xml:space="preserve"> </w:t>
      </w:r>
      <w:r>
        <w:rPr>
          <w:rFonts w:hint="cs"/>
          <w:rtl/>
        </w:rPr>
        <w:t>26 تشرين الثاني/نوفمبر، و277/2008 الصادر في 13 تشرين الأول/أكتوبر).</w:t>
      </w:r>
    </w:p>
    <w:p w:rsidR="00681C20" w:rsidRPr="006A7C13" w:rsidRDefault="00681C20" w:rsidP="00681C20">
      <w:pPr>
        <w:pStyle w:val="SingleTxtGA"/>
        <w:rPr>
          <w:rFonts w:hint="cs"/>
          <w:b/>
          <w:bCs/>
          <w:rtl/>
        </w:rPr>
      </w:pPr>
      <w:r w:rsidRPr="006A7C13">
        <w:rPr>
          <w:rFonts w:hint="cs"/>
          <w:b/>
          <w:bCs/>
          <w:rtl/>
        </w:rPr>
        <w:t xml:space="preserve">المتلقون للإعانة الشهرية والمبلغ </w:t>
      </w:r>
      <w:r>
        <w:rPr>
          <w:rFonts w:hint="cs"/>
          <w:b/>
          <w:bCs/>
          <w:rtl/>
        </w:rPr>
        <w:t>المقابل</w:t>
      </w:r>
    </w:p>
    <w:tbl>
      <w:tblPr>
        <w:bidiVisual/>
        <w:tblW w:w="7758"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1223"/>
        <w:gridCol w:w="1223"/>
        <w:gridCol w:w="1223"/>
        <w:gridCol w:w="1223"/>
      </w:tblGrid>
      <w:tr w:rsidR="00681C20" w:rsidRPr="000A214F" w:rsidTr="00935EA2">
        <w:trPr>
          <w:tblHeader/>
        </w:trPr>
        <w:tc>
          <w:tcPr>
            <w:tcW w:w="2866" w:type="dxa"/>
            <w:tcBorders>
              <w:top w:val="single" w:sz="4" w:space="0" w:color="auto"/>
              <w:bottom w:val="single" w:sz="12" w:space="0" w:color="auto"/>
            </w:tcBorders>
            <w:shd w:val="clear" w:color="auto" w:fill="auto"/>
            <w:vAlign w:val="bottom"/>
          </w:tcPr>
          <w:p w:rsidR="00681C20" w:rsidRPr="000A214F" w:rsidRDefault="00681C20" w:rsidP="00935EA2">
            <w:pPr>
              <w:pStyle w:val="SingleTxtG"/>
              <w:suppressAutoHyphens w:val="0"/>
              <w:bidi/>
              <w:spacing w:before="80" w:after="80" w:line="200" w:lineRule="exact"/>
              <w:ind w:left="140" w:right="113"/>
              <w:jc w:val="left"/>
              <w:rPr>
                <w:rFonts w:cs="Traditional Arabic"/>
                <w:iCs/>
                <w:sz w:val="24"/>
                <w:szCs w:val="24"/>
              </w:rPr>
            </w:pPr>
            <w:r w:rsidRPr="000A214F">
              <w:rPr>
                <w:rFonts w:cs="Traditional Arabic" w:hint="cs"/>
                <w:iCs/>
                <w:sz w:val="24"/>
                <w:szCs w:val="24"/>
                <w:rtl/>
              </w:rPr>
              <w:t>نوع المتلقين وقيمة الإعانة</w:t>
            </w:r>
          </w:p>
        </w:tc>
        <w:tc>
          <w:tcPr>
            <w:tcW w:w="1223" w:type="dxa"/>
            <w:tcBorders>
              <w:top w:val="single" w:sz="4" w:space="0" w:color="auto"/>
              <w:bottom w:val="single" w:sz="12" w:space="0" w:color="auto"/>
            </w:tcBorders>
            <w:shd w:val="clear" w:color="auto" w:fill="auto"/>
            <w:vAlign w:val="bottom"/>
          </w:tcPr>
          <w:p w:rsidR="00681C20" w:rsidRPr="000A214F" w:rsidRDefault="00681C20" w:rsidP="006A3ED9">
            <w:pPr>
              <w:pStyle w:val="SingleTxtG"/>
              <w:suppressAutoHyphens w:val="0"/>
              <w:bidi/>
              <w:spacing w:before="80" w:after="80" w:line="200" w:lineRule="exact"/>
              <w:ind w:left="57" w:right="57"/>
              <w:jc w:val="lowKashida"/>
              <w:rPr>
                <w:rFonts w:cs="Traditional Arabic"/>
                <w:iCs/>
                <w:sz w:val="24"/>
                <w:szCs w:val="24"/>
              </w:rPr>
            </w:pPr>
            <w:r w:rsidRPr="000A214F">
              <w:rPr>
                <w:rFonts w:cs="Traditional Arabic" w:hint="cs"/>
                <w:iCs/>
                <w:sz w:val="24"/>
                <w:szCs w:val="24"/>
                <w:rtl/>
              </w:rPr>
              <w:t>2006</w:t>
            </w:r>
          </w:p>
        </w:tc>
        <w:tc>
          <w:tcPr>
            <w:tcW w:w="1223" w:type="dxa"/>
            <w:tcBorders>
              <w:top w:val="single" w:sz="4" w:space="0" w:color="auto"/>
              <w:bottom w:val="single" w:sz="12" w:space="0" w:color="auto"/>
            </w:tcBorders>
            <w:shd w:val="clear" w:color="auto" w:fill="auto"/>
            <w:vAlign w:val="bottom"/>
          </w:tcPr>
          <w:p w:rsidR="00681C20" w:rsidRPr="000A214F" w:rsidRDefault="00681C20" w:rsidP="006A3ED9">
            <w:pPr>
              <w:pStyle w:val="SingleTxtG"/>
              <w:suppressAutoHyphens w:val="0"/>
              <w:bidi/>
              <w:spacing w:before="80" w:after="80" w:line="200" w:lineRule="exact"/>
              <w:ind w:left="57" w:right="57"/>
              <w:jc w:val="lowKashida"/>
              <w:rPr>
                <w:rFonts w:cs="Traditional Arabic"/>
                <w:iCs/>
                <w:sz w:val="24"/>
                <w:szCs w:val="24"/>
              </w:rPr>
            </w:pPr>
            <w:r w:rsidRPr="000A214F">
              <w:rPr>
                <w:rFonts w:cs="Traditional Arabic" w:hint="cs"/>
                <w:iCs/>
                <w:sz w:val="24"/>
                <w:szCs w:val="24"/>
                <w:rtl/>
              </w:rPr>
              <w:t>2007</w:t>
            </w:r>
          </w:p>
        </w:tc>
        <w:tc>
          <w:tcPr>
            <w:tcW w:w="1223" w:type="dxa"/>
            <w:tcBorders>
              <w:top w:val="single" w:sz="4" w:space="0" w:color="auto"/>
              <w:bottom w:val="single" w:sz="12" w:space="0" w:color="auto"/>
            </w:tcBorders>
            <w:shd w:val="clear" w:color="auto" w:fill="auto"/>
            <w:vAlign w:val="bottom"/>
          </w:tcPr>
          <w:p w:rsidR="00681C20" w:rsidRPr="000A214F" w:rsidRDefault="00681C20" w:rsidP="006A3ED9">
            <w:pPr>
              <w:pStyle w:val="SingleTxtG"/>
              <w:suppressAutoHyphens w:val="0"/>
              <w:bidi/>
              <w:spacing w:before="80" w:after="80" w:line="200" w:lineRule="exact"/>
              <w:ind w:left="57" w:right="57"/>
              <w:jc w:val="lowKashida"/>
              <w:rPr>
                <w:rFonts w:cs="Traditional Arabic"/>
                <w:iCs/>
                <w:sz w:val="24"/>
                <w:szCs w:val="24"/>
              </w:rPr>
            </w:pPr>
            <w:r w:rsidRPr="000A214F">
              <w:rPr>
                <w:rFonts w:cs="Traditional Arabic" w:hint="cs"/>
                <w:iCs/>
                <w:sz w:val="24"/>
                <w:szCs w:val="24"/>
                <w:rtl/>
              </w:rPr>
              <w:t>2008</w:t>
            </w:r>
          </w:p>
        </w:tc>
        <w:tc>
          <w:tcPr>
            <w:tcW w:w="1223" w:type="dxa"/>
            <w:tcBorders>
              <w:top w:val="single" w:sz="4" w:space="0" w:color="auto"/>
              <w:bottom w:val="single" w:sz="12" w:space="0" w:color="auto"/>
            </w:tcBorders>
            <w:shd w:val="clear" w:color="auto" w:fill="auto"/>
            <w:vAlign w:val="bottom"/>
          </w:tcPr>
          <w:p w:rsidR="00681C20" w:rsidRPr="000A214F" w:rsidRDefault="00681C20" w:rsidP="006A3ED9">
            <w:pPr>
              <w:pStyle w:val="SingleTxtG"/>
              <w:suppressAutoHyphens w:val="0"/>
              <w:bidi/>
              <w:spacing w:before="80" w:after="80" w:line="200" w:lineRule="exact"/>
              <w:ind w:left="57" w:right="57"/>
              <w:jc w:val="lowKashida"/>
              <w:rPr>
                <w:rFonts w:cs="Traditional Arabic"/>
                <w:iCs/>
                <w:sz w:val="24"/>
                <w:szCs w:val="24"/>
              </w:rPr>
            </w:pPr>
            <w:r w:rsidRPr="000A214F">
              <w:rPr>
                <w:rFonts w:cs="Traditional Arabic" w:hint="cs"/>
                <w:iCs/>
                <w:sz w:val="24"/>
                <w:szCs w:val="24"/>
                <w:rtl/>
              </w:rPr>
              <w:t>2009</w:t>
            </w:r>
          </w:p>
        </w:tc>
      </w:tr>
      <w:tr w:rsidR="00681C20" w:rsidRPr="000A214F" w:rsidTr="00935EA2">
        <w:tc>
          <w:tcPr>
            <w:tcW w:w="2866" w:type="dxa"/>
            <w:tcBorders>
              <w:top w:val="single" w:sz="12" w:space="0" w:color="auto"/>
            </w:tcBorders>
            <w:shd w:val="clear" w:color="auto" w:fill="auto"/>
            <w:vAlign w:val="bottom"/>
          </w:tcPr>
          <w:p w:rsidR="00681C20" w:rsidRPr="000A214F" w:rsidRDefault="00681C20" w:rsidP="00935EA2">
            <w:pPr>
              <w:pStyle w:val="SingleTxtG"/>
              <w:suppressAutoHyphens w:val="0"/>
              <w:bidi/>
              <w:spacing w:before="40" w:after="40" w:line="220" w:lineRule="exact"/>
              <w:ind w:left="140" w:right="113"/>
              <w:jc w:val="left"/>
              <w:rPr>
                <w:rFonts w:cs="Traditional Arabic"/>
                <w:sz w:val="24"/>
                <w:szCs w:val="24"/>
              </w:rPr>
            </w:pPr>
            <w:r w:rsidRPr="000A214F">
              <w:rPr>
                <w:rFonts w:cs="Traditional Arabic" w:hint="cs"/>
                <w:sz w:val="24"/>
                <w:szCs w:val="24"/>
                <w:rtl/>
              </w:rPr>
              <w:t>أسر</w:t>
            </w:r>
          </w:p>
        </w:tc>
        <w:tc>
          <w:tcPr>
            <w:tcW w:w="1223" w:type="dxa"/>
            <w:tcBorders>
              <w:top w:val="single" w:sz="12" w:space="0" w:color="auto"/>
            </w:tcBorders>
            <w:shd w:val="clear" w:color="auto" w:fill="auto"/>
            <w:vAlign w:val="bottom"/>
          </w:tcPr>
          <w:p w:rsidR="00681C20" w:rsidRPr="000A214F" w:rsidRDefault="00681C20" w:rsidP="006A3ED9">
            <w:pPr>
              <w:pStyle w:val="SingleTxtG"/>
              <w:suppressAutoHyphens w:val="0"/>
              <w:bidi/>
              <w:spacing w:before="40" w:after="40" w:line="220" w:lineRule="exact"/>
              <w:ind w:left="57" w:right="57"/>
              <w:jc w:val="lowKashida"/>
              <w:rPr>
                <w:rFonts w:cs="Traditional Arabic"/>
                <w:sz w:val="24"/>
                <w:szCs w:val="24"/>
              </w:rPr>
            </w:pPr>
            <w:r w:rsidRPr="000A214F">
              <w:rPr>
                <w:rFonts w:cs="Traditional Arabic" w:hint="cs"/>
                <w:sz w:val="24"/>
                <w:szCs w:val="24"/>
                <w:rtl/>
              </w:rPr>
              <w:t>96</w:t>
            </w:r>
          </w:p>
        </w:tc>
        <w:tc>
          <w:tcPr>
            <w:tcW w:w="1223" w:type="dxa"/>
            <w:tcBorders>
              <w:top w:val="single" w:sz="12" w:space="0" w:color="auto"/>
            </w:tcBorders>
            <w:shd w:val="clear" w:color="auto" w:fill="auto"/>
            <w:vAlign w:val="bottom"/>
          </w:tcPr>
          <w:p w:rsidR="00681C20" w:rsidRPr="000A214F" w:rsidRDefault="00681C20" w:rsidP="006A3ED9">
            <w:pPr>
              <w:pStyle w:val="SingleTxtG"/>
              <w:suppressAutoHyphens w:val="0"/>
              <w:bidi/>
              <w:spacing w:before="40" w:after="40" w:line="220" w:lineRule="exact"/>
              <w:ind w:left="57" w:right="57"/>
              <w:jc w:val="lowKashida"/>
              <w:rPr>
                <w:rFonts w:cs="Traditional Arabic"/>
                <w:sz w:val="24"/>
                <w:szCs w:val="24"/>
              </w:rPr>
            </w:pPr>
            <w:r w:rsidRPr="000A214F">
              <w:rPr>
                <w:rFonts w:cs="Traditional Arabic" w:hint="cs"/>
                <w:sz w:val="24"/>
                <w:szCs w:val="24"/>
                <w:rtl/>
              </w:rPr>
              <w:t>96</w:t>
            </w:r>
          </w:p>
        </w:tc>
        <w:tc>
          <w:tcPr>
            <w:tcW w:w="1223" w:type="dxa"/>
            <w:tcBorders>
              <w:top w:val="single" w:sz="12" w:space="0" w:color="auto"/>
            </w:tcBorders>
            <w:shd w:val="clear" w:color="auto" w:fill="auto"/>
            <w:vAlign w:val="bottom"/>
          </w:tcPr>
          <w:p w:rsidR="00681C20" w:rsidRPr="000A214F" w:rsidRDefault="00681C20" w:rsidP="006A3ED9">
            <w:pPr>
              <w:pStyle w:val="SingleTxtG"/>
              <w:suppressAutoHyphens w:val="0"/>
              <w:bidi/>
              <w:spacing w:before="40" w:after="40" w:line="220" w:lineRule="exact"/>
              <w:ind w:left="57" w:right="57"/>
              <w:jc w:val="lowKashida"/>
              <w:rPr>
                <w:rFonts w:cs="Traditional Arabic"/>
                <w:sz w:val="24"/>
                <w:szCs w:val="24"/>
              </w:rPr>
            </w:pPr>
            <w:r w:rsidRPr="000A214F">
              <w:rPr>
                <w:rFonts w:cs="Traditional Arabic" w:hint="cs"/>
                <w:sz w:val="24"/>
                <w:szCs w:val="24"/>
                <w:rtl/>
              </w:rPr>
              <w:t>135</w:t>
            </w:r>
          </w:p>
        </w:tc>
        <w:tc>
          <w:tcPr>
            <w:tcW w:w="1223" w:type="dxa"/>
            <w:tcBorders>
              <w:top w:val="single" w:sz="12" w:space="0" w:color="auto"/>
            </w:tcBorders>
            <w:shd w:val="clear" w:color="auto" w:fill="auto"/>
            <w:vAlign w:val="bottom"/>
          </w:tcPr>
          <w:p w:rsidR="00681C20" w:rsidRPr="000A214F" w:rsidRDefault="00681C20" w:rsidP="006A3ED9">
            <w:pPr>
              <w:pStyle w:val="SingleTxtG"/>
              <w:suppressAutoHyphens w:val="0"/>
              <w:bidi/>
              <w:spacing w:before="40" w:after="40" w:line="220" w:lineRule="exact"/>
              <w:ind w:left="57" w:right="57"/>
              <w:jc w:val="lowKashida"/>
              <w:rPr>
                <w:rFonts w:cs="Traditional Arabic"/>
                <w:sz w:val="24"/>
                <w:szCs w:val="24"/>
              </w:rPr>
            </w:pPr>
            <w:r w:rsidRPr="000A214F">
              <w:rPr>
                <w:rFonts w:cs="Traditional Arabic" w:hint="cs"/>
                <w:sz w:val="24"/>
                <w:szCs w:val="24"/>
                <w:rtl/>
              </w:rPr>
              <w:t>288</w:t>
            </w:r>
          </w:p>
        </w:tc>
      </w:tr>
      <w:tr w:rsidR="00681C20" w:rsidRPr="000A214F" w:rsidTr="00935EA2">
        <w:tc>
          <w:tcPr>
            <w:tcW w:w="2866" w:type="dxa"/>
            <w:tcBorders>
              <w:bottom w:val="single" w:sz="4" w:space="0" w:color="auto"/>
            </w:tcBorders>
            <w:shd w:val="clear" w:color="auto" w:fill="auto"/>
            <w:vAlign w:val="bottom"/>
          </w:tcPr>
          <w:p w:rsidR="00681C20" w:rsidRPr="000A214F" w:rsidRDefault="00681C20" w:rsidP="00935EA2">
            <w:pPr>
              <w:pStyle w:val="SingleTxtG"/>
              <w:suppressAutoHyphens w:val="0"/>
              <w:bidi/>
              <w:spacing w:before="40" w:after="40" w:line="220" w:lineRule="exact"/>
              <w:ind w:left="140" w:right="113"/>
              <w:jc w:val="left"/>
              <w:rPr>
                <w:rFonts w:cs="Traditional Arabic"/>
                <w:sz w:val="24"/>
                <w:szCs w:val="24"/>
              </w:rPr>
            </w:pPr>
            <w:r w:rsidRPr="000A214F">
              <w:rPr>
                <w:rFonts w:cs="Traditional Arabic" w:hint="cs"/>
                <w:sz w:val="24"/>
                <w:szCs w:val="24"/>
                <w:rtl/>
              </w:rPr>
              <w:t>أفراد</w:t>
            </w:r>
          </w:p>
        </w:tc>
        <w:tc>
          <w:tcPr>
            <w:tcW w:w="1223" w:type="dxa"/>
            <w:tcBorders>
              <w:bottom w:val="single" w:sz="4" w:space="0" w:color="auto"/>
            </w:tcBorders>
            <w:shd w:val="clear" w:color="auto" w:fill="auto"/>
            <w:vAlign w:val="bottom"/>
          </w:tcPr>
          <w:p w:rsidR="00681C20" w:rsidRPr="000A214F" w:rsidRDefault="00681C20" w:rsidP="006A3ED9">
            <w:pPr>
              <w:pStyle w:val="SingleTxtG"/>
              <w:suppressAutoHyphens w:val="0"/>
              <w:bidi/>
              <w:spacing w:before="40" w:after="40" w:line="220" w:lineRule="exact"/>
              <w:ind w:left="57" w:right="57"/>
              <w:jc w:val="lowKashida"/>
              <w:rPr>
                <w:rFonts w:cs="Traditional Arabic"/>
                <w:sz w:val="24"/>
                <w:szCs w:val="24"/>
              </w:rPr>
            </w:pPr>
            <w:r w:rsidRPr="000A214F">
              <w:rPr>
                <w:rFonts w:cs="Traditional Arabic" w:hint="cs"/>
                <w:sz w:val="24"/>
                <w:szCs w:val="24"/>
                <w:rtl/>
              </w:rPr>
              <w:t>96</w:t>
            </w:r>
          </w:p>
        </w:tc>
        <w:tc>
          <w:tcPr>
            <w:tcW w:w="1223" w:type="dxa"/>
            <w:tcBorders>
              <w:bottom w:val="single" w:sz="4" w:space="0" w:color="auto"/>
            </w:tcBorders>
            <w:shd w:val="clear" w:color="auto" w:fill="auto"/>
            <w:vAlign w:val="bottom"/>
          </w:tcPr>
          <w:p w:rsidR="00681C20" w:rsidRPr="000A214F" w:rsidRDefault="00681C20" w:rsidP="006A3ED9">
            <w:pPr>
              <w:pStyle w:val="SingleTxtG"/>
              <w:suppressAutoHyphens w:val="0"/>
              <w:bidi/>
              <w:spacing w:before="40" w:after="40" w:line="220" w:lineRule="exact"/>
              <w:ind w:left="57" w:right="57"/>
              <w:jc w:val="lowKashida"/>
              <w:rPr>
                <w:rFonts w:cs="Traditional Arabic"/>
                <w:sz w:val="24"/>
                <w:szCs w:val="24"/>
              </w:rPr>
            </w:pPr>
            <w:r w:rsidRPr="000A214F">
              <w:rPr>
                <w:rFonts w:cs="Traditional Arabic" w:hint="cs"/>
                <w:sz w:val="24"/>
                <w:szCs w:val="24"/>
                <w:rtl/>
              </w:rPr>
              <w:t>97</w:t>
            </w:r>
          </w:p>
        </w:tc>
        <w:tc>
          <w:tcPr>
            <w:tcW w:w="1223" w:type="dxa"/>
            <w:tcBorders>
              <w:bottom w:val="single" w:sz="4" w:space="0" w:color="auto"/>
            </w:tcBorders>
            <w:shd w:val="clear" w:color="auto" w:fill="auto"/>
            <w:vAlign w:val="bottom"/>
          </w:tcPr>
          <w:p w:rsidR="00681C20" w:rsidRPr="000A214F" w:rsidRDefault="00681C20" w:rsidP="006A3ED9">
            <w:pPr>
              <w:pStyle w:val="SingleTxtG"/>
              <w:suppressAutoHyphens w:val="0"/>
              <w:bidi/>
              <w:spacing w:before="40" w:after="40" w:line="220" w:lineRule="exact"/>
              <w:ind w:left="57" w:right="57"/>
              <w:jc w:val="lowKashida"/>
              <w:rPr>
                <w:rFonts w:cs="Traditional Arabic"/>
                <w:sz w:val="24"/>
                <w:szCs w:val="24"/>
              </w:rPr>
            </w:pPr>
            <w:r w:rsidRPr="000A214F">
              <w:rPr>
                <w:rFonts w:cs="Traditional Arabic" w:hint="cs"/>
                <w:sz w:val="24"/>
                <w:szCs w:val="24"/>
                <w:rtl/>
              </w:rPr>
              <w:t>139</w:t>
            </w:r>
          </w:p>
        </w:tc>
        <w:tc>
          <w:tcPr>
            <w:tcW w:w="1223" w:type="dxa"/>
            <w:tcBorders>
              <w:bottom w:val="single" w:sz="4" w:space="0" w:color="auto"/>
            </w:tcBorders>
            <w:shd w:val="clear" w:color="auto" w:fill="auto"/>
            <w:vAlign w:val="bottom"/>
          </w:tcPr>
          <w:p w:rsidR="00681C20" w:rsidRPr="000A214F" w:rsidRDefault="00681C20" w:rsidP="006A3ED9">
            <w:pPr>
              <w:pStyle w:val="SingleTxtG"/>
              <w:suppressAutoHyphens w:val="0"/>
              <w:bidi/>
              <w:spacing w:before="40" w:after="40" w:line="220" w:lineRule="exact"/>
              <w:ind w:left="57" w:right="57"/>
              <w:jc w:val="lowKashida"/>
              <w:rPr>
                <w:rFonts w:cs="Traditional Arabic"/>
                <w:sz w:val="24"/>
                <w:szCs w:val="24"/>
              </w:rPr>
            </w:pPr>
            <w:r w:rsidRPr="000A214F">
              <w:rPr>
                <w:rFonts w:cs="Traditional Arabic" w:hint="cs"/>
                <w:sz w:val="24"/>
                <w:szCs w:val="24"/>
                <w:rtl/>
              </w:rPr>
              <w:t>296</w:t>
            </w:r>
          </w:p>
        </w:tc>
      </w:tr>
      <w:tr w:rsidR="00681C20" w:rsidRPr="000A214F" w:rsidTr="00935EA2">
        <w:tc>
          <w:tcPr>
            <w:tcW w:w="2866" w:type="dxa"/>
            <w:tcBorders>
              <w:top w:val="single" w:sz="4" w:space="0" w:color="auto"/>
              <w:bottom w:val="single" w:sz="12" w:space="0" w:color="auto"/>
            </w:tcBorders>
            <w:shd w:val="clear" w:color="auto" w:fill="auto"/>
            <w:vAlign w:val="bottom"/>
          </w:tcPr>
          <w:p w:rsidR="00681C20" w:rsidRPr="000A214F" w:rsidRDefault="00681C20" w:rsidP="00935EA2">
            <w:pPr>
              <w:pStyle w:val="SingleTxtG"/>
              <w:suppressAutoHyphens w:val="0"/>
              <w:bidi/>
              <w:spacing w:before="80" w:after="80" w:line="220" w:lineRule="exact"/>
              <w:ind w:left="140" w:right="113"/>
              <w:jc w:val="left"/>
              <w:rPr>
                <w:rFonts w:cs="Traditional Arabic"/>
                <w:bCs/>
                <w:sz w:val="24"/>
                <w:szCs w:val="24"/>
              </w:rPr>
            </w:pPr>
            <w:r w:rsidRPr="000A214F">
              <w:rPr>
                <w:rFonts w:cs="Traditional Arabic" w:hint="cs"/>
                <w:bCs/>
                <w:sz w:val="24"/>
                <w:szCs w:val="24"/>
                <w:rtl/>
              </w:rPr>
              <w:t>إجمالي قيمة الإعانات (</w:t>
            </w:r>
            <w:r w:rsidRPr="000A214F">
              <w:rPr>
                <w:rFonts w:cs="Traditional Arabic"/>
                <w:bCs/>
                <w:sz w:val="24"/>
                <w:szCs w:val="24"/>
                <w:rtl/>
              </w:rPr>
              <w:t>باتالات ماكاو</w:t>
            </w:r>
            <w:r w:rsidRPr="000A214F">
              <w:rPr>
                <w:rFonts w:cs="Traditional Arabic" w:hint="cs"/>
                <w:bCs/>
                <w:sz w:val="24"/>
                <w:szCs w:val="24"/>
                <w:rtl/>
              </w:rPr>
              <w:t>)</w:t>
            </w:r>
          </w:p>
        </w:tc>
        <w:tc>
          <w:tcPr>
            <w:tcW w:w="1223" w:type="dxa"/>
            <w:tcBorders>
              <w:top w:val="single" w:sz="4" w:space="0" w:color="auto"/>
              <w:bottom w:val="single" w:sz="12" w:space="0" w:color="auto"/>
            </w:tcBorders>
            <w:shd w:val="clear" w:color="auto" w:fill="auto"/>
            <w:vAlign w:val="bottom"/>
          </w:tcPr>
          <w:p w:rsidR="00681C20" w:rsidRPr="000A214F" w:rsidRDefault="00681C20" w:rsidP="006A3ED9">
            <w:pPr>
              <w:pStyle w:val="SingleTxtG"/>
              <w:suppressAutoHyphens w:val="0"/>
              <w:bidi/>
              <w:spacing w:before="80" w:after="80" w:line="220" w:lineRule="exact"/>
              <w:ind w:left="57" w:right="57"/>
              <w:jc w:val="lowKashida"/>
              <w:rPr>
                <w:rFonts w:cs="Traditional Arabic"/>
                <w:bCs/>
                <w:sz w:val="24"/>
                <w:szCs w:val="24"/>
              </w:rPr>
            </w:pPr>
            <w:r w:rsidRPr="000A214F">
              <w:rPr>
                <w:rFonts w:cs="Traditional Arabic" w:hint="cs"/>
                <w:bCs/>
                <w:sz w:val="24"/>
                <w:szCs w:val="24"/>
                <w:rtl/>
              </w:rPr>
              <w:t>610 351 1</w:t>
            </w:r>
          </w:p>
        </w:tc>
        <w:tc>
          <w:tcPr>
            <w:tcW w:w="1223" w:type="dxa"/>
            <w:tcBorders>
              <w:top w:val="single" w:sz="4" w:space="0" w:color="auto"/>
              <w:bottom w:val="single" w:sz="12" w:space="0" w:color="auto"/>
            </w:tcBorders>
            <w:shd w:val="clear" w:color="auto" w:fill="auto"/>
            <w:vAlign w:val="bottom"/>
          </w:tcPr>
          <w:p w:rsidR="00681C20" w:rsidRPr="000A214F" w:rsidRDefault="00681C20" w:rsidP="006A3ED9">
            <w:pPr>
              <w:pStyle w:val="SingleTxtG"/>
              <w:suppressAutoHyphens w:val="0"/>
              <w:bidi/>
              <w:spacing w:before="80" w:after="80" w:line="220" w:lineRule="exact"/>
              <w:ind w:left="57" w:right="57"/>
              <w:jc w:val="lowKashida"/>
              <w:rPr>
                <w:rFonts w:cs="Traditional Arabic"/>
                <w:bCs/>
                <w:sz w:val="24"/>
                <w:szCs w:val="24"/>
              </w:rPr>
            </w:pPr>
            <w:r w:rsidRPr="000A214F">
              <w:rPr>
                <w:rFonts w:cs="Traditional Arabic" w:hint="cs"/>
                <w:bCs/>
                <w:sz w:val="24"/>
                <w:szCs w:val="24"/>
                <w:rtl/>
              </w:rPr>
              <w:t>450 863 1</w:t>
            </w:r>
          </w:p>
        </w:tc>
        <w:tc>
          <w:tcPr>
            <w:tcW w:w="1223" w:type="dxa"/>
            <w:tcBorders>
              <w:top w:val="single" w:sz="4" w:space="0" w:color="auto"/>
              <w:bottom w:val="single" w:sz="12" w:space="0" w:color="auto"/>
            </w:tcBorders>
            <w:shd w:val="clear" w:color="auto" w:fill="auto"/>
            <w:vAlign w:val="bottom"/>
          </w:tcPr>
          <w:p w:rsidR="00681C20" w:rsidRPr="000A214F" w:rsidRDefault="00681C20" w:rsidP="006A3ED9">
            <w:pPr>
              <w:pStyle w:val="SingleTxtG"/>
              <w:suppressAutoHyphens w:val="0"/>
              <w:bidi/>
              <w:spacing w:before="80" w:after="80" w:line="220" w:lineRule="exact"/>
              <w:ind w:left="57" w:right="57"/>
              <w:jc w:val="lowKashida"/>
              <w:rPr>
                <w:rFonts w:cs="Traditional Arabic"/>
                <w:bCs/>
                <w:sz w:val="24"/>
                <w:szCs w:val="24"/>
              </w:rPr>
            </w:pPr>
            <w:r w:rsidRPr="000A214F">
              <w:rPr>
                <w:rFonts w:cs="Traditional Arabic" w:hint="cs"/>
                <w:bCs/>
                <w:sz w:val="24"/>
                <w:szCs w:val="24"/>
                <w:rtl/>
              </w:rPr>
              <w:t>715 279 3</w:t>
            </w:r>
          </w:p>
        </w:tc>
        <w:tc>
          <w:tcPr>
            <w:tcW w:w="1223" w:type="dxa"/>
            <w:tcBorders>
              <w:top w:val="single" w:sz="4" w:space="0" w:color="auto"/>
              <w:bottom w:val="single" w:sz="12" w:space="0" w:color="auto"/>
            </w:tcBorders>
            <w:shd w:val="clear" w:color="auto" w:fill="auto"/>
            <w:vAlign w:val="bottom"/>
          </w:tcPr>
          <w:p w:rsidR="00681C20" w:rsidRPr="000A214F" w:rsidRDefault="00681C20" w:rsidP="006A3ED9">
            <w:pPr>
              <w:pStyle w:val="SingleTxtG"/>
              <w:suppressAutoHyphens w:val="0"/>
              <w:bidi/>
              <w:spacing w:before="80" w:after="80" w:line="220" w:lineRule="exact"/>
              <w:ind w:left="57" w:right="57"/>
              <w:jc w:val="lowKashida"/>
              <w:rPr>
                <w:rFonts w:cs="Traditional Arabic"/>
                <w:bCs/>
                <w:sz w:val="24"/>
                <w:szCs w:val="24"/>
              </w:rPr>
            </w:pPr>
            <w:r w:rsidRPr="000A214F">
              <w:rPr>
                <w:rFonts w:cs="Traditional Arabic" w:hint="cs"/>
                <w:bCs/>
                <w:sz w:val="24"/>
                <w:szCs w:val="24"/>
                <w:rtl/>
              </w:rPr>
              <w:t>499 408 7</w:t>
            </w:r>
          </w:p>
        </w:tc>
      </w:tr>
    </w:tbl>
    <w:p w:rsidR="00681C20" w:rsidRPr="006A3ED9" w:rsidRDefault="00681C20" w:rsidP="00681C20">
      <w:pPr>
        <w:pStyle w:val="SingleTxtGA"/>
        <w:spacing w:after="0"/>
        <w:rPr>
          <w:rFonts w:hint="cs"/>
          <w:sz w:val="26"/>
          <w:szCs w:val="26"/>
          <w:rtl/>
        </w:rPr>
      </w:pPr>
      <w:r w:rsidRPr="006A3ED9">
        <w:rPr>
          <w:rFonts w:hint="cs"/>
          <w:i/>
          <w:iCs/>
          <w:sz w:val="26"/>
          <w:szCs w:val="26"/>
          <w:rtl/>
        </w:rPr>
        <w:t>المصدر:</w:t>
      </w:r>
      <w:r w:rsidRPr="006A3ED9">
        <w:rPr>
          <w:rFonts w:hint="cs"/>
          <w:sz w:val="26"/>
          <w:szCs w:val="26"/>
          <w:rtl/>
        </w:rPr>
        <w:t xml:space="preserve"> مكتب الرعاية الاجتماعية.</w:t>
      </w:r>
    </w:p>
    <w:p w:rsidR="00681C20" w:rsidRPr="006A3ED9" w:rsidRDefault="00681C20" w:rsidP="00681C20">
      <w:pPr>
        <w:pStyle w:val="SingleTxtGA"/>
        <w:rPr>
          <w:rFonts w:hint="cs"/>
          <w:sz w:val="26"/>
          <w:szCs w:val="26"/>
          <w:rtl/>
        </w:rPr>
      </w:pPr>
      <w:r w:rsidRPr="006A3ED9">
        <w:rPr>
          <w:rFonts w:hint="cs"/>
          <w:i/>
          <w:iCs/>
          <w:sz w:val="26"/>
          <w:szCs w:val="26"/>
          <w:rtl/>
        </w:rPr>
        <w:t>ملاحظة:</w:t>
      </w:r>
      <w:r w:rsidRPr="006A3ED9">
        <w:rPr>
          <w:rFonts w:hint="cs"/>
          <w:sz w:val="26"/>
          <w:szCs w:val="26"/>
          <w:rtl/>
        </w:rPr>
        <w:t xml:space="preserve"> 1 دولار من دولارات الولايات المتحدة = 7.9335 من </w:t>
      </w:r>
      <w:r w:rsidRPr="006A3ED9">
        <w:rPr>
          <w:sz w:val="26"/>
          <w:szCs w:val="26"/>
          <w:rtl/>
        </w:rPr>
        <w:t>باتالات ماكاو</w:t>
      </w:r>
      <w:r w:rsidRPr="006A3ED9">
        <w:rPr>
          <w:rFonts w:hint="cs"/>
          <w:sz w:val="26"/>
          <w:szCs w:val="26"/>
          <w:rtl/>
        </w:rPr>
        <w:t>.</w:t>
      </w:r>
    </w:p>
    <w:p w:rsidR="00681C20" w:rsidRDefault="00681C20" w:rsidP="00681C20">
      <w:pPr>
        <w:pStyle w:val="SingleTxtGA"/>
        <w:rPr>
          <w:rFonts w:hint="cs"/>
          <w:rtl/>
        </w:rPr>
      </w:pPr>
      <w:r>
        <w:rPr>
          <w:rFonts w:hint="cs"/>
          <w:rtl/>
        </w:rPr>
        <w:t>62-</w:t>
      </w:r>
      <w:r>
        <w:rPr>
          <w:rFonts w:hint="cs"/>
          <w:rtl/>
        </w:rPr>
        <w:tab/>
        <w:t xml:space="preserve">وبالإضافة إلى ذلك، تتاح إعانات خاصة تغطي التعليم والتمريض والعجز من أجل الأسر الضعيفة، بما فيها الأسر التي يعاني أفرادها من إعاقة أو من مرض مزمن (قرار وزير </w:t>
      </w:r>
      <w:r w:rsidRPr="006A3ED9">
        <w:rPr>
          <w:rFonts w:hint="cs"/>
          <w:spacing w:val="-2"/>
          <w:rtl/>
        </w:rPr>
        <w:t xml:space="preserve">الشؤون الاجتماعية والثقافية 18/2003 الصادر في آذار/مارس). وعلاوة على ذلك، تُمنح هذه الأسر إعانة معيشية إضافية مرتين في السنة. كما أنه يحق للمواطنين كبار السن </w:t>
      </w:r>
      <w:r w:rsidR="006A3ED9">
        <w:rPr>
          <w:rFonts w:hint="cs"/>
          <w:spacing w:val="-2"/>
          <w:rtl/>
        </w:rPr>
        <w:t xml:space="preserve">          </w:t>
      </w:r>
      <w:r w:rsidRPr="006A3ED9">
        <w:rPr>
          <w:rFonts w:hint="cs"/>
          <w:spacing w:val="-2"/>
          <w:rtl/>
        </w:rPr>
        <w:t>البالغين 65</w:t>
      </w:r>
      <w:r>
        <w:rPr>
          <w:rFonts w:hint="cs"/>
          <w:rtl/>
        </w:rPr>
        <w:t xml:space="preserve"> عاماً فأكثر الحصول على بدل سنوي للشيخوخة (التنظيم الإداري 12/2005 الصادر في 1 آب/أغسطس بصيغته المعدلة). وتُعرض في الجداول أدناه التفاصيل ذات الصلة.</w:t>
      </w:r>
    </w:p>
    <w:p w:rsidR="00681C20" w:rsidRPr="00D95009" w:rsidRDefault="00681C20" w:rsidP="00681C20">
      <w:pPr>
        <w:pStyle w:val="SingleTxtGA"/>
        <w:rPr>
          <w:rFonts w:hint="cs"/>
          <w:b/>
          <w:bCs/>
          <w:rtl/>
        </w:rPr>
      </w:pPr>
      <w:r w:rsidRPr="00D95009">
        <w:rPr>
          <w:rFonts w:hint="cs"/>
          <w:b/>
          <w:bCs/>
          <w:rtl/>
        </w:rPr>
        <w:t xml:space="preserve">متلقو إعانة </w:t>
      </w:r>
      <w:r>
        <w:rPr>
          <w:rFonts w:hint="cs"/>
          <w:b/>
          <w:bCs/>
          <w:rtl/>
        </w:rPr>
        <w:t>الإعاقة</w:t>
      </w:r>
      <w:r w:rsidRPr="00D95009">
        <w:rPr>
          <w:rFonts w:hint="cs"/>
          <w:b/>
          <w:bCs/>
          <w:rtl/>
        </w:rPr>
        <w:t xml:space="preserve"> </w:t>
      </w:r>
      <w:r>
        <w:rPr>
          <w:rFonts w:hint="cs"/>
          <w:b/>
          <w:bCs/>
          <w:rtl/>
        </w:rPr>
        <w:t>والمبلغ المقابل</w:t>
      </w:r>
    </w:p>
    <w:tbl>
      <w:tblPr>
        <w:bidiVisual/>
        <w:tblW w:w="7678"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53"/>
        <w:gridCol w:w="587"/>
        <w:gridCol w:w="798"/>
        <w:gridCol w:w="642"/>
        <w:gridCol w:w="571"/>
        <w:gridCol w:w="571"/>
        <w:gridCol w:w="666"/>
        <w:gridCol w:w="532"/>
        <w:gridCol w:w="658"/>
      </w:tblGrid>
      <w:tr w:rsidR="00681C20" w:rsidRPr="006A7C13" w:rsidTr="006A3ED9">
        <w:trPr>
          <w:tblHeader/>
        </w:trPr>
        <w:tc>
          <w:tcPr>
            <w:tcW w:w="2653" w:type="dxa"/>
            <w:vMerge w:val="restart"/>
            <w:tcBorders>
              <w:top w:val="single" w:sz="4"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طبيعة الإعاقة وقيمة الإعانة</w:t>
            </w:r>
          </w:p>
        </w:tc>
        <w:tc>
          <w:tcPr>
            <w:tcW w:w="1385" w:type="dxa"/>
            <w:gridSpan w:val="2"/>
            <w:tcBorders>
              <w:top w:val="single" w:sz="4" w:space="0" w:color="auto"/>
              <w:bottom w:val="single" w:sz="4" w:space="0" w:color="auto"/>
              <w:right w:val="single" w:sz="24" w:space="0" w:color="FFFFFF"/>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2006</w:t>
            </w:r>
          </w:p>
        </w:tc>
        <w:tc>
          <w:tcPr>
            <w:tcW w:w="121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2007</w:t>
            </w:r>
          </w:p>
        </w:tc>
        <w:tc>
          <w:tcPr>
            <w:tcW w:w="12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2008</w:t>
            </w:r>
          </w:p>
        </w:tc>
        <w:tc>
          <w:tcPr>
            <w:tcW w:w="1190" w:type="dxa"/>
            <w:gridSpan w:val="2"/>
            <w:tcBorders>
              <w:top w:val="single" w:sz="4" w:space="0" w:color="auto"/>
              <w:left w:val="single" w:sz="24" w:space="0" w:color="FFFFFF"/>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2009</w:t>
            </w:r>
          </w:p>
        </w:tc>
      </w:tr>
      <w:tr w:rsidR="00681C20" w:rsidRPr="006A7C13" w:rsidTr="006A3ED9">
        <w:trPr>
          <w:tblHeader/>
        </w:trPr>
        <w:tc>
          <w:tcPr>
            <w:tcW w:w="2653" w:type="dxa"/>
            <w:vMerge/>
            <w:tcBorders>
              <w:top w:val="single" w:sz="12"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iCs/>
                <w:sz w:val="14"/>
                <w:szCs w:val="24"/>
              </w:rPr>
            </w:pPr>
          </w:p>
        </w:tc>
        <w:tc>
          <w:tcPr>
            <w:tcW w:w="587" w:type="dxa"/>
            <w:tcBorders>
              <w:top w:val="single" w:sz="4"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أسرة</w:t>
            </w:r>
          </w:p>
        </w:tc>
        <w:tc>
          <w:tcPr>
            <w:tcW w:w="798" w:type="dxa"/>
            <w:tcBorders>
              <w:top w:val="single" w:sz="4" w:space="0" w:color="auto"/>
              <w:bottom w:val="single" w:sz="12" w:space="0" w:color="auto"/>
              <w:right w:val="single" w:sz="24" w:space="0" w:color="FFFFFF"/>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فرد</w:t>
            </w:r>
          </w:p>
        </w:tc>
        <w:tc>
          <w:tcPr>
            <w:tcW w:w="642" w:type="dxa"/>
            <w:tcBorders>
              <w:top w:val="single" w:sz="4" w:space="0" w:color="auto"/>
              <w:left w:val="single" w:sz="24" w:space="0" w:color="FFFFFF"/>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أسرة</w:t>
            </w:r>
          </w:p>
        </w:tc>
        <w:tc>
          <w:tcPr>
            <w:tcW w:w="571" w:type="dxa"/>
            <w:tcBorders>
              <w:top w:val="single" w:sz="4" w:space="0" w:color="auto"/>
              <w:bottom w:val="single" w:sz="12" w:space="0" w:color="auto"/>
              <w:right w:val="single" w:sz="24" w:space="0" w:color="FFFFFF"/>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فرد</w:t>
            </w:r>
          </w:p>
        </w:tc>
        <w:tc>
          <w:tcPr>
            <w:tcW w:w="571" w:type="dxa"/>
            <w:tcBorders>
              <w:top w:val="single" w:sz="4" w:space="0" w:color="auto"/>
              <w:left w:val="single" w:sz="24" w:space="0" w:color="FFFFFF"/>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أسرة</w:t>
            </w:r>
          </w:p>
        </w:tc>
        <w:tc>
          <w:tcPr>
            <w:tcW w:w="666" w:type="dxa"/>
            <w:tcBorders>
              <w:top w:val="single" w:sz="4" w:space="0" w:color="auto"/>
              <w:bottom w:val="single" w:sz="12" w:space="0" w:color="auto"/>
              <w:right w:val="single" w:sz="24" w:space="0" w:color="FFFFFF"/>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فرد</w:t>
            </w:r>
          </w:p>
        </w:tc>
        <w:tc>
          <w:tcPr>
            <w:tcW w:w="532" w:type="dxa"/>
            <w:tcBorders>
              <w:top w:val="single" w:sz="4" w:space="0" w:color="auto"/>
              <w:left w:val="single" w:sz="24" w:space="0" w:color="FFFFFF"/>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أسرة</w:t>
            </w:r>
          </w:p>
        </w:tc>
        <w:tc>
          <w:tcPr>
            <w:tcW w:w="658" w:type="dxa"/>
            <w:tcBorders>
              <w:top w:val="single" w:sz="4"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00" w:lineRule="exact"/>
              <w:ind w:left="57" w:right="113"/>
              <w:jc w:val="lowKashida"/>
              <w:rPr>
                <w:rFonts w:cs="Traditional Arabic"/>
                <w:iCs/>
                <w:sz w:val="14"/>
                <w:szCs w:val="24"/>
              </w:rPr>
            </w:pPr>
            <w:r w:rsidRPr="006A7C13">
              <w:rPr>
                <w:rFonts w:cs="Traditional Arabic" w:hint="cs"/>
                <w:iCs/>
                <w:sz w:val="14"/>
                <w:szCs w:val="24"/>
                <w:rtl/>
              </w:rPr>
              <w:t>فرد</w:t>
            </w:r>
          </w:p>
        </w:tc>
      </w:tr>
      <w:tr w:rsidR="00681C20" w:rsidRPr="006A7C13" w:rsidTr="006A3ED9">
        <w:tc>
          <w:tcPr>
            <w:tcW w:w="2653"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hint="cs"/>
                <w:sz w:val="14"/>
                <w:szCs w:val="24"/>
                <w:rtl/>
              </w:rPr>
            </w:pPr>
            <w:r w:rsidRPr="006A7C13">
              <w:rPr>
                <w:rFonts w:cs="Traditional Arabic" w:hint="cs"/>
                <w:sz w:val="14"/>
                <w:szCs w:val="24"/>
                <w:rtl/>
              </w:rPr>
              <w:t>إعاقة ذهنية</w:t>
            </w:r>
          </w:p>
        </w:tc>
        <w:tc>
          <w:tcPr>
            <w:tcW w:w="587"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sz w:val="14"/>
                <w:szCs w:val="24"/>
                <w:rtl/>
              </w:rPr>
              <w:t>187</w:t>
            </w:r>
          </w:p>
        </w:tc>
        <w:tc>
          <w:tcPr>
            <w:tcW w:w="798"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sz w:val="14"/>
                <w:szCs w:val="24"/>
                <w:rtl/>
              </w:rPr>
              <w:t>192</w:t>
            </w:r>
          </w:p>
        </w:tc>
        <w:tc>
          <w:tcPr>
            <w:tcW w:w="642"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hint="cs"/>
                <w:sz w:val="14"/>
                <w:szCs w:val="24"/>
                <w:rtl/>
              </w:rPr>
            </w:pPr>
            <w:r w:rsidRPr="006A7C13">
              <w:rPr>
                <w:rFonts w:cs="Traditional Arabic"/>
                <w:sz w:val="14"/>
                <w:szCs w:val="24"/>
                <w:rtl/>
              </w:rPr>
              <w:t>185</w:t>
            </w:r>
          </w:p>
        </w:tc>
        <w:tc>
          <w:tcPr>
            <w:tcW w:w="571"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hint="cs"/>
                <w:sz w:val="14"/>
                <w:szCs w:val="24"/>
                <w:rtl/>
              </w:rPr>
            </w:pPr>
            <w:r w:rsidRPr="006A7C13">
              <w:rPr>
                <w:rFonts w:cs="Traditional Arabic"/>
                <w:sz w:val="14"/>
                <w:szCs w:val="24"/>
                <w:rtl/>
              </w:rPr>
              <w:t>193</w:t>
            </w:r>
          </w:p>
        </w:tc>
        <w:tc>
          <w:tcPr>
            <w:tcW w:w="571"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hint="cs"/>
                <w:sz w:val="14"/>
                <w:szCs w:val="24"/>
                <w:rtl/>
              </w:rPr>
            </w:pPr>
            <w:r w:rsidRPr="006A7C13">
              <w:rPr>
                <w:rFonts w:cs="Traditional Arabic"/>
                <w:sz w:val="14"/>
                <w:szCs w:val="24"/>
                <w:rtl/>
              </w:rPr>
              <w:t>180</w:t>
            </w:r>
          </w:p>
        </w:tc>
        <w:tc>
          <w:tcPr>
            <w:tcW w:w="666"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hint="cs"/>
                <w:sz w:val="14"/>
                <w:szCs w:val="24"/>
                <w:rtl/>
              </w:rPr>
            </w:pPr>
            <w:r w:rsidRPr="006A7C13">
              <w:rPr>
                <w:rFonts w:cs="Traditional Arabic"/>
                <w:sz w:val="14"/>
                <w:szCs w:val="24"/>
                <w:rtl/>
              </w:rPr>
              <w:t>190</w:t>
            </w:r>
          </w:p>
        </w:tc>
        <w:tc>
          <w:tcPr>
            <w:tcW w:w="532"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hint="cs"/>
                <w:sz w:val="14"/>
                <w:szCs w:val="24"/>
                <w:rtl/>
              </w:rPr>
            </w:pPr>
            <w:r w:rsidRPr="006A7C13">
              <w:rPr>
                <w:rFonts w:cs="Traditional Arabic"/>
                <w:sz w:val="14"/>
                <w:szCs w:val="24"/>
                <w:rtl/>
              </w:rPr>
              <w:t>198</w:t>
            </w:r>
          </w:p>
        </w:tc>
        <w:tc>
          <w:tcPr>
            <w:tcW w:w="658" w:type="dxa"/>
            <w:tcBorders>
              <w:top w:val="single" w:sz="12" w:space="0" w:color="auto"/>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hint="cs"/>
                <w:sz w:val="14"/>
                <w:szCs w:val="24"/>
                <w:rtl/>
              </w:rPr>
            </w:pPr>
            <w:r w:rsidRPr="006A7C13">
              <w:rPr>
                <w:rFonts w:cs="Traditional Arabic"/>
                <w:sz w:val="14"/>
                <w:szCs w:val="24"/>
                <w:rtl/>
              </w:rPr>
              <w:t>203</w:t>
            </w:r>
          </w:p>
        </w:tc>
      </w:tr>
      <w:tr w:rsidR="00681C20" w:rsidRPr="006A7C13" w:rsidTr="006A3ED9">
        <w:tc>
          <w:tcPr>
            <w:tcW w:w="2653"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فقدان البصر/عاهة بصرية</w:t>
            </w:r>
          </w:p>
        </w:tc>
        <w:tc>
          <w:tcPr>
            <w:tcW w:w="587"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hint="cs"/>
                <w:sz w:val="14"/>
                <w:szCs w:val="24"/>
                <w:rtl/>
              </w:rPr>
            </w:pPr>
            <w:r w:rsidRPr="006A7C13">
              <w:rPr>
                <w:rFonts w:cs="Traditional Arabic"/>
                <w:sz w:val="14"/>
                <w:szCs w:val="24"/>
                <w:rtl/>
              </w:rPr>
              <w:t>69</w:t>
            </w:r>
          </w:p>
        </w:tc>
        <w:tc>
          <w:tcPr>
            <w:tcW w:w="798"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71</w:t>
            </w:r>
          </w:p>
        </w:tc>
        <w:tc>
          <w:tcPr>
            <w:tcW w:w="642"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68</w:t>
            </w:r>
          </w:p>
        </w:tc>
        <w:tc>
          <w:tcPr>
            <w:tcW w:w="571"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71</w:t>
            </w:r>
          </w:p>
        </w:tc>
        <w:tc>
          <w:tcPr>
            <w:tcW w:w="571"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66</w:t>
            </w:r>
          </w:p>
        </w:tc>
        <w:tc>
          <w:tcPr>
            <w:tcW w:w="666"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70</w:t>
            </w:r>
          </w:p>
        </w:tc>
        <w:tc>
          <w:tcPr>
            <w:tcW w:w="532"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73</w:t>
            </w:r>
          </w:p>
        </w:tc>
        <w:tc>
          <w:tcPr>
            <w:tcW w:w="658" w:type="dxa"/>
            <w:tcBorders>
              <w:top w:val="nil"/>
              <w:bottom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75</w:t>
            </w:r>
          </w:p>
        </w:tc>
      </w:tr>
      <w:tr w:rsidR="00681C20" w:rsidRPr="006A7C13" w:rsidTr="006A3ED9">
        <w:tc>
          <w:tcPr>
            <w:tcW w:w="2653"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عاهة سمعية</w:t>
            </w:r>
          </w:p>
        </w:tc>
        <w:tc>
          <w:tcPr>
            <w:tcW w:w="587"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44</w:t>
            </w:r>
          </w:p>
        </w:tc>
        <w:tc>
          <w:tcPr>
            <w:tcW w:w="798"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46</w:t>
            </w:r>
          </w:p>
        </w:tc>
        <w:tc>
          <w:tcPr>
            <w:tcW w:w="642"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44</w:t>
            </w:r>
          </w:p>
        </w:tc>
        <w:tc>
          <w:tcPr>
            <w:tcW w:w="571"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46</w:t>
            </w:r>
          </w:p>
        </w:tc>
        <w:tc>
          <w:tcPr>
            <w:tcW w:w="571"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43</w:t>
            </w:r>
          </w:p>
        </w:tc>
        <w:tc>
          <w:tcPr>
            <w:tcW w:w="666"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45</w:t>
            </w:r>
          </w:p>
        </w:tc>
        <w:tc>
          <w:tcPr>
            <w:tcW w:w="532"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47</w:t>
            </w:r>
          </w:p>
        </w:tc>
        <w:tc>
          <w:tcPr>
            <w:tcW w:w="658" w:type="dxa"/>
            <w:tcBorders>
              <w:top w:val="nil"/>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48</w:t>
            </w:r>
          </w:p>
        </w:tc>
      </w:tr>
      <w:tr w:rsidR="00681C20" w:rsidRPr="006A7C13" w:rsidTr="006A3ED9">
        <w:tc>
          <w:tcPr>
            <w:tcW w:w="2653"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إعاقة بدنية</w:t>
            </w:r>
          </w:p>
        </w:tc>
        <w:tc>
          <w:tcPr>
            <w:tcW w:w="587"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94</w:t>
            </w:r>
          </w:p>
        </w:tc>
        <w:tc>
          <w:tcPr>
            <w:tcW w:w="798"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96</w:t>
            </w:r>
          </w:p>
        </w:tc>
        <w:tc>
          <w:tcPr>
            <w:tcW w:w="642"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92</w:t>
            </w:r>
          </w:p>
        </w:tc>
        <w:tc>
          <w:tcPr>
            <w:tcW w:w="571"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96</w:t>
            </w:r>
          </w:p>
        </w:tc>
        <w:tc>
          <w:tcPr>
            <w:tcW w:w="571"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90</w:t>
            </w:r>
          </w:p>
        </w:tc>
        <w:tc>
          <w:tcPr>
            <w:tcW w:w="666"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94</w:t>
            </w:r>
          </w:p>
        </w:tc>
        <w:tc>
          <w:tcPr>
            <w:tcW w:w="532"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99</w:t>
            </w:r>
          </w:p>
        </w:tc>
        <w:tc>
          <w:tcPr>
            <w:tcW w:w="658"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101</w:t>
            </w:r>
          </w:p>
        </w:tc>
      </w:tr>
      <w:tr w:rsidR="00681C20" w:rsidRPr="006A7C13" w:rsidTr="006A3ED9">
        <w:tc>
          <w:tcPr>
            <w:tcW w:w="2653"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شلل</w:t>
            </w:r>
          </w:p>
        </w:tc>
        <w:tc>
          <w:tcPr>
            <w:tcW w:w="587"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49</w:t>
            </w:r>
          </w:p>
        </w:tc>
        <w:tc>
          <w:tcPr>
            <w:tcW w:w="798"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51</w:t>
            </w:r>
          </w:p>
        </w:tc>
        <w:tc>
          <w:tcPr>
            <w:tcW w:w="642"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49</w:t>
            </w:r>
          </w:p>
        </w:tc>
        <w:tc>
          <w:tcPr>
            <w:tcW w:w="571"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51</w:t>
            </w:r>
          </w:p>
        </w:tc>
        <w:tc>
          <w:tcPr>
            <w:tcW w:w="571"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47</w:t>
            </w:r>
          </w:p>
        </w:tc>
        <w:tc>
          <w:tcPr>
            <w:tcW w:w="666"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50</w:t>
            </w:r>
          </w:p>
        </w:tc>
        <w:tc>
          <w:tcPr>
            <w:tcW w:w="532"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52</w:t>
            </w:r>
          </w:p>
        </w:tc>
        <w:tc>
          <w:tcPr>
            <w:tcW w:w="658"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53</w:t>
            </w:r>
          </w:p>
        </w:tc>
      </w:tr>
      <w:tr w:rsidR="00681C20" w:rsidRPr="006A7C13" w:rsidTr="006A3ED9">
        <w:tc>
          <w:tcPr>
            <w:tcW w:w="2653"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التزام الفراش بسبب الإعاقة</w:t>
            </w:r>
          </w:p>
        </w:tc>
        <w:tc>
          <w:tcPr>
            <w:tcW w:w="587"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15</w:t>
            </w:r>
          </w:p>
        </w:tc>
        <w:tc>
          <w:tcPr>
            <w:tcW w:w="798" w:type="dxa"/>
            <w:shd w:val="clear" w:color="auto" w:fill="auto"/>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15</w:t>
            </w:r>
          </w:p>
        </w:tc>
        <w:tc>
          <w:tcPr>
            <w:tcW w:w="642" w:type="dxa"/>
            <w:shd w:val="clear" w:color="auto" w:fill="auto"/>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15</w:t>
            </w:r>
          </w:p>
        </w:tc>
        <w:tc>
          <w:tcPr>
            <w:tcW w:w="571" w:type="dxa"/>
            <w:shd w:val="clear" w:color="auto" w:fill="auto"/>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15</w:t>
            </w:r>
          </w:p>
        </w:tc>
        <w:tc>
          <w:tcPr>
            <w:tcW w:w="571"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sz w:val="14"/>
                <w:szCs w:val="24"/>
              </w:rPr>
              <w:t>14</w:t>
            </w:r>
          </w:p>
        </w:tc>
        <w:tc>
          <w:tcPr>
            <w:tcW w:w="666"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15</w:t>
            </w:r>
          </w:p>
        </w:tc>
        <w:tc>
          <w:tcPr>
            <w:tcW w:w="532"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16</w:t>
            </w:r>
          </w:p>
        </w:tc>
        <w:tc>
          <w:tcPr>
            <w:tcW w:w="658" w:type="dxa"/>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16</w:t>
            </w:r>
          </w:p>
        </w:tc>
      </w:tr>
      <w:tr w:rsidR="00681C20" w:rsidRPr="006A7C13" w:rsidTr="006A3ED9">
        <w:tc>
          <w:tcPr>
            <w:tcW w:w="2653"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إعاقات أخرى</w:t>
            </w:r>
          </w:p>
        </w:tc>
        <w:tc>
          <w:tcPr>
            <w:tcW w:w="587"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35</w:t>
            </w:r>
          </w:p>
        </w:tc>
        <w:tc>
          <w:tcPr>
            <w:tcW w:w="798"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35</w:t>
            </w:r>
          </w:p>
        </w:tc>
        <w:tc>
          <w:tcPr>
            <w:tcW w:w="642"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33</w:t>
            </w:r>
          </w:p>
        </w:tc>
        <w:tc>
          <w:tcPr>
            <w:tcW w:w="571"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36</w:t>
            </w:r>
          </w:p>
        </w:tc>
        <w:tc>
          <w:tcPr>
            <w:tcW w:w="571"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33</w:t>
            </w:r>
          </w:p>
        </w:tc>
        <w:tc>
          <w:tcPr>
            <w:tcW w:w="666"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35</w:t>
            </w:r>
          </w:p>
        </w:tc>
        <w:tc>
          <w:tcPr>
            <w:tcW w:w="532"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36</w:t>
            </w:r>
          </w:p>
        </w:tc>
        <w:tc>
          <w:tcPr>
            <w:tcW w:w="658" w:type="dxa"/>
            <w:tcBorders>
              <w:bottom w:val="single" w:sz="4" w:space="0" w:color="auto"/>
            </w:tcBorders>
            <w:shd w:val="clear" w:color="auto" w:fill="auto"/>
            <w:vAlign w:val="bottom"/>
          </w:tcPr>
          <w:p w:rsidR="00681C20" w:rsidRPr="006A7C13" w:rsidRDefault="00681C20" w:rsidP="006A3ED9">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37</w:t>
            </w:r>
          </w:p>
        </w:tc>
      </w:tr>
      <w:tr w:rsidR="00681C20" w:rsidRPr="006A7C13" w:rsidTr="006A3ED9">
        <w:tc>
          <w:tcPr>
            <w:tcW w:w="2653"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firstLine="284"/>
              <w:jc w:val="lowKashida"/>
              <w:rPr>
                <w:rFonts w:cs="Traditional Arabic"/>
                <w:b/>
                <w:sz w:val="14"/>
                <w:szCs w:val="24"/>
              </w:rPr>
            </w:pPr>
            <w:r w:rsidRPr="006A7C13">
              <w:rPr>
                <w:rFonts w:cs="Traditional Arabic" w:hint="cs"/>
                <w:b/>
                <w:sz w:val="14"/>
                <w:szCs w:val="24"/>
                <w:rtl/>
              </w:rPr>
              <w:t>المجموع</w:t>
            </w:r>
          </w:p>
        </w:tc>
        <w:tc>
          <w:tcPr>
            <w:tcW w:w="587"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
                <w:sz w:val="14"/>
                <w:szCs w:val="24"/>
              </w:rPr>
            </w:pPr>
            <w:r w:rsidRPr="006A7C13">
              <w:rPr>
                <w:rFonts w:cs="Traditional Arabic" w:hint="cs"/>
                <w:b/>
                <w:sz w:val="14"/>
                <w:szCs w:val="24"/>
                <w:rtl/>
              </w:rPr>
              <w:t>493</w:t>
            </w:r>
          </w:p>
        </w:tc>
        <w:tc>
          <w:tcPr>
            <w:tcW w:w="798"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
                <w:sz w:val="14"/>
                <w:szCs w:val="24"/>
              </w:rPr>
            </w:pPr>
            <w:r w:rsidRPr="006A7C13">
              <w:rPr>
                <w:rFonts w:cs="Traditional Arabic" w:hint="cs"/>
                <w:b/>
                <w:sz w:val="14"/>
                <w:szCs w:val="24"/>
                <w:rtl/>
              </w:rPr>
              <w:t>506</w:t>
            </w:r>
          </w:p>
        </w:tc>
        <w:tc>
          <w:tcPr>
            <w:tcW w:w="642"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
                <w:sz w:val="14"/>
                <w:szCs w:val="24"/>
              </w:rPr>
            </w:pPr>
            <w:r w:rsidRPr="006A7C13">
              <w:rPr>
                <w:rFonts w:cs="Traditional Arabic" w:hint="cs"/>
                <w:b/>
                <w:sz w:val="14"/>
                <w:szCs w:val="24"/>
                <w:rtl/>
              </w:rPr>
              <w:t>486</w:t>
            </w:r>
          </w:p>
        </w:tc>
        <w:tc>
          <w:tcPr>
            <w:tcW w:w="571"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
                <w:sz w:val="14"/>
                <w:szCs w:val="24"/>
              </w:rPr>
            </w:pPr>
            <w:r w:rsidRPr="006A7C13">
              <w:rPr>
                <w:rFonts w:cs="Traditional Arabic" w:hint="cs"/>
                <w:b/>
                <w:sz w:val="14"/>
                <w:szCs w:val="24"/>
                <w:rtl/>
              </w:rPr>
              <w:t>508</w:t>
            </w:r>
          </w:p>
        </w:tc>
        <w:tc>
          <w:tcPr>
            <w:tcW w:w="571"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
                <w:sz w:val="14"/>
                <w:szCs w:val="24"/>
              </w:rPr>
            </w:pPr>
            <w:r w:rsidRPr="006A7C13">
              <w:rPr>
                <w:rFonts w:cs="Traditional Arabic" w:hint="cs"/>
                <w:b/>
                <w:sz w:val="14"/>
                <w:szCs w:val="24"/>
                <w:rtl/>
              </w:rPr>
              <w:t>473</w:t>
            </w:r>
          </w:p>
        </w:tc>
        <w:tc>
          <w:tcPr>
            <w:tcW w:w="666"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
                <w:sz w:val="14"/>
                <w:szCs w:val="24"/>
              </w:rPr>
            </w:pPr>
            <w:r w:rsidRPr="006A7C13">
              <w:rPr>
                <w:rFonts w:cs="Traditional Arabic" w:hint="cs"/>
                <w:b/>
                <w:sz w:val="14"/>
                <w:szCs w:val="24"/>
                <w:rtl/>
              </w:rPr>
              <w:t>499</w:t>
            </w:r>
          </w:p>
        </w:tc>
        <w:tc>
          <w:tcPr>
            <w:tcW w:w="532"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
                <w:sz w:val="14"/>
                <w:szCs w:val="24"/>
              </w:rPr>
            </w:pPr>
            <w:r w:rsidRPr="006A7C13">
              <w:rPr>
                <w:rFonts w:cs="Traditional Arabic" w:hint="cs"/>
                <w:b/>
                <w:sz w:val="14"/>
                <w:szCs w:val="24"/>
                <w:rtl/>
              </w:rPr>
              <w:t>521</w:t>
            </w:r>
          </w:p>
        </w:tc>
        <w:tc>
          <w:tcPr>
            <w:tcW w:w="658" w:type="dxa"/>
            <w:tcBorders>
              <w:top w:val="single" w:sz="4" w:space="0" w:color="auto"/>
              <w:bottom w:val="single" w:sz="4"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
                <w:sz w:val="14"/>
                <w:szCs w:val="24"/>
              </w:rPr>
            </w:pPr>
            <w:r w:rsidRPr="006A7C13">
              <w:rPr>
                <w:rFonts w:cs="Traditional Arabic" w:hint="cs"/>
                <w:b/>
                <w:sz w:val="14"/>
                <w:szCs w:val="24"/>
                <w:rtl/>
              </w:rPr>
              <w:t>533</w:t>
            </w:r>
          </w:p>
        </w:tc>
      </w:tr>
      <w:tr w:rsidR="00681C20" w:rsidRPr="006A7C13" w:rsidTr="006A3ED9">
        <w:tc>
          <w:tcPr>
            <w:tcW w:w="2653" w:type="dxa"/>
            <w:tcBorders>
              <w:top w:val="single" w:sz="4"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Cs/>
                <w:sz w:val="14"/>
                <w:szCs w:val="24"/>
              </w:rPr>
            </w:pPr>
            <w:r w:rsidRPr="006A7C13">
              <w:rPr>
                <w:rFonts w:cs="Traditional Arabic" w:hint="cs"/>
                <w:bCs/>
                <w:sz w:val="14"/>
                <w:szCs w:val="24"/>
                <w:rtl/>
              </w:rPr>
              <w:t>إجمالي قيمة الإعانات (باتالات ماكاو)</w:t>
            </w:r>
          </w:p>
        </w:tc>
        <w:tc>
          <w:tcPr>
            <w:tcW w:w="1385" w:type="dxa"/>
            <w:gridSpan w:val="2"/>
            <w:tcBorders>
              <w:top w:val="single" w:sz="4"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hint="cs"/>
                <w:bCs/>
                <w:sz w:val="14"/>
                <w:szCs w:val="24"/>
                <w:rtl/>
              </w:rPr>
            </w:pPr>
            <w:r w:rsidRPr="006A7C13">
              <w:rPr>
                <w:rFonts w:cs="Traditional Arabic" w:hint="cs"/>
                <w:bCs/>
                <w:sz w:val="14"/>
                <w:szCs w:val="24"/>
                <w:rtl/>
              </w:rPr>
              <w:t>600 655 1</w:t>
            </w:r>
            <w:r w:rsidRPr="006A3ED9">
              <w:rPr>
                <w:rFonts w:cs="Traditional Arabic" w:hint="cs"/>
                <w:b/>
                <w:sz w:val="14"/>
                <w:szCs w:val="24"/>
                <w:vertAlign w:val="superscript"/>
                <w:rtl/>
              </w:rPr>
              <w:t>(1)</w:t>
            </w:r>
          </w:p>
        </w:tc>
        <w:tc>
          <w:tcPr>
            <w:tcW w:w="1213" w:type="dxa"/>
            <w:gridSpan w:val="2"/>
            <w:tcBorders>
              <w:top w:val="single" w:sz="4"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Cs/>
                <w:sz w:val="14"/>
                <w:szCs w:val="24"/>
              </w:rPr>
            </w:pPr>
            <w:r w:rsidRPr="006A7C13">
              <w:rPr>
                <w:rFonts w:cs="Traditional Arabic" w:hint="cs"/>
                <w:bCs/>
                <w:sz w:val="14"/>
                <w:szCs w:val="24"/>
                <w:rtl/>
              </w:rPr>
              <w:t>200 625 1</w:t>
            </w:r>
          </w:p>
        </w:tc>
        <w:tc>
          <w:tcPr>
            <w:tcW w:w="1237" w:type="dxa"/>
            <w:gridSpan w:val="2"/>
            <w:tcBorders>
              <w:top w:val="single" w:sz="4"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Cs/>
                <w:sz w:val="14"/>
                <w:szCs w:val="24"/>
              </w:rPr>
            </w:pPr>
            <w:r w:rsidRPr="006A7C13">
              <w:rPr>
                <w:rFonts w:cs="Traditional Arabic" w:hint="cs"/>
                <w:bCs/>
                <w:sz w:val="14"/>
                <w:szCs w:val="24"/>
                <w:rtl/>
              </w:rPr>
              <w:t>490 665 1</w:t>
            </w:r>
          </w:p>
        </w:tc>
        <w:tc>
          <w:tcPr>
            <w:tcW w:w="1190" w:type="dxa"/>
            <w:gridSpan w:val="2"/>
            <w:tcBorders>
              <w:top w:val="single" w:sz="4" w:space="0" w:color="auto"/>
              <w:bottom w:val="single" w:sz="12" w:space="0" w:color="auto"/>
            </w:tcBorders>
            <w:shd w:val="clear" w:color="auto" w:fill="auto"/>
            <w:vAlign w:val="bottom"/>
          </w:tcPr>
          <w:p w:rsidR="00681C20" w:rsidRPr="006A7C13" w:rsidRDefault="00681C20" w:rsidP="006A3ED9">
            <w:pPr>
              <w:pStyle w:val="SingleTxtG"/>
              <w:suppressAutoHyphens w:val="0"/>
              <w:bidi/>
              <w:spacing w:before="80" w:after="80" w:line="220" w:lineRule="exact"/>
              <w:ind w:left="57" w:right="113"/>
              <w:jc w:val="lowKashida"/>
              <w:rPr>
                <w:rFonts w:cs="Traditional Arabic"/>
                <w:bCs/>
                <w:sz w:val="14"/>
                <w:szCs w:val="24"/>
              </w:rPr>
            </w:pPr>
            <w:r w:rsidRPr="006A7C13">
              <w:rPr>
                <w:rFonts w:cs="Traditional Arabic" w:hint="cs"/>
                <w:bCs/>
                <w:sz w:val="14"/>
                <w:szCs w:val="24"/>
                <w:rtl/>
              </w:rPr>
              <w:t>670 805 1</w:t>
            </w:r>
          </w:p>
        </w:tc>
      </w:tr>
    </w:tbl>
    <w:p w:rsidR="00681C20" w:rsidRPr="006A3ED9" w:rsidRDefault="00681C20" w:rsidP="00681C20">
      <w:pPr>
        <w:pStyle w:val="SingleTxtGA"/>
        <w:spacing w:after="0"/>
        <w:rPr>
          <w:rFonts w:hint="cs"/>
          <w:sz w:val="26"/>
          <w:szCs w:val="26"/>
          <w:rtl/>
        </w:rPr>
      </w:pPr>
      <w:r w:rsidRPr="006A3ED9">
        <w:rPr>
          <w:rFonts w:hint="cs"/>
          <w:i/>
          <w:iCs/>
          <w:sz w:val="26"/>
          <w:szCs w:val="26"/>
          <w:rtl/>
        </w:rPr>
        <w:t>المصدر:</w:t>
      </w:r>
      <w:r w:rsidRPr="006A3ED9">
        <w:rPr>
          <w:rFonts w:hint="cs"/>
          <w:sz w:val="26"/>
          <w:szCs w:val="26"/>
          <w:rtl/>
        </w:rPr>
        <w:t xml:space="preserve"> مكتب الرعاية الاجتماعية.</w:t>
      </w:r>
    </w:p>
    <w:p w:rsidR="00681C20" w:rsidRPr="006A3ED9" w:rsidRDefault="00681C20" w:rsidP="00681C20">
      <w:pPr>
        <w:pStyle w:val="SingleTxtGA"/>
        <w:rPr>
          <w:rFonts w:hint="cs"/>
          <w:sz w:val="26"/>
          <w:szCs w:val="26"/>
          <w:rtl/>
        </w:rPr>
      </w:pPr>
      <w:r w:rsidRPr="006A3ED9">
        <w:rPr>
          <w:rFonts w:hint="cs"/>
          <w:i/>
          <w:iCs/>
          <w:sz w:val="26"/>
          <w:szCs w:val="26"/>
          <w:rtl/>
        </w:rPr>
        <w:t>ملاحظات:</w:t>
      </w:r>
      <w:r w:rsidRPr="006A3ED9">
        <w:rPr>
          <w:rFonts w:hint="cs"/>
          <w:sz w:val="26"/>
          <w:szCs w:val="26"/>
          <w:rtl/>
        </w:rPr>
        <w:t xml:space="preserve"> (1) يتضمن إجمالي قيمة الإعانات قيمة "إعانة مياه الشرب" التي وزعت على متلقي الإعانات في أثناء فترة تملح المياه في عام 2006. (2) 1 دولار من دولارات الولايات المتحدة = 7.9335 من </w:t>
      </w:r>
      <w:r w:rsidRPr="006A3ED9">
        <w:rPr>
          <w:sz w:val="26"/>
          <w:szCs w:val="26"/>
          <w:rtl/>
        </w:rPr>
        <w:t>باتالات ماكاو</w:t>
      </w:r>
      <w:r w:rsidRPr="006A3ED9">
        <w:rPr>
          <w:rFonts w:hint="cs"/>
          <w:sz w:val="26"/>
          <w:szCs w:val="26"/>
          <w:rtl/>
        </w:rPr>
        <w:t>.</w:t>
      </w:r>
    </w:p>
    <w:p w:rsidR="00681C20" w:rsidRPr="0007672F" w:rsidRDefault="00681C20" w:rsidP="00681C20">
      <w:pPr>
        <w:pStyle w:val="SingleTxtGA"/>
        <w:rPr>
          <w:rFonts w:hint="cs"/>
          <w:b/>
          <w:bCs/>
          <w:rtl/>
        </w:rPr>
      </w:pPr>
      <w:r w:rsidRPr="0007672F">
        <w:rPr>
          <w:rFonts w:hint="cs"/>
          <w:b/>
          <w:bCs/>
          <w:rtl/>
        </w:rPr>
        <w:t xml:space="preserve">متلقو إعانة المعيشة الإضافية والمبلغ </w:t>
      </w:r>
      <w:r>
        <w:rPr>
          <w:rFonts w:hint="cs"/>
          <w:b/>
          <w:bCs/>
          <w:rtl/>
        </w:rPr>
        <w:t>المقابل</w:t>
      </w:r>
    </w:p>
    <w:tbl>
      <w:tblPr>
        <w:bidiVisual/>
        <w:tblW w:w="790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10"/>
        <w:gridCol w:w="1223"/>
        <w:gridCol w:w="1223"/>
        <w:gridCol w:w="1223"/>
        <w:gridCol w:w="1223"/>
      </w:tblGrid>
      <w:tr w:rsidR="00681C20" w:rsidRPr="008F5270" w:rsidTr="00935EA2">
        <w:trPr>
          <w:tblHeader/>
        </w:trPr>
        <w:tc>
          <w:tcPr>
            <w:tcW w:w="3010" w:type="dxa"/>
            <w:tcBorders>
              <w:top w:val="single" w:sz="4" w:space="0" w:color="auto"/>
              <w:bottom w:val="single" w:sz="12" w:space="0" w:color="auto"/>
            </w:tcBorders>
            <w:shd w:val="clear" w:color="auto" w:fill="auto"/>
            <w:vAlign w:val="bottom"/>
          </w:tcPr>
          <w:p w:rsidR="00681C20" w:rsidRPr="008F5270" w:rsidRDefault="00681C20" w:rsidP="00935EA2">
            <w:pPr>
              <w:pStyle w:val="SingleTxtG"/>
              <w:suppressAutoHyphens w:val="0"/>
              <w:bidi/>
              <w:spacing w:before="80" w:after="80" w:line="200" w:lineRule="exact"/>
              <w:ind w:left="119" w:right="113"/>
              <w:jc w:val="left"/>
              <w:rPr>
                <w:rFonts w:cs="Traditional Arabic"/>
                <w:iCs/>
                <w:sz w:val="14"/>
                <w:szCs w:val="24"/>
              </w:rPr>
            </w:pPr>
            <w:r w:rsidRPr="008F5270">
              <w:rPr>
                <w:rFonts w:cs="Traditional Arabic" w:hint="cs"/>
                <w:iCs/>
                <w:sz w:val="14"/>
                <w:szCs w:val="24"/>
                <w:rtl/>
              </w:rPr>
              <w:t>نوع المتلقين وقيمة الإعانة</w:t>
            </w:r>
          </w:p>
        </w:tc>
        <w:tc>
          <w:tcPr>
            <w:tcW w:w="1223"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2006</w:t>
            </w:r>
          </w:p>
        </w:tc>
        <w:tc>
          <w:tcPr>
            <w:tcW w:w="1223"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2007</w:t>
            </w:r>
          </w:p>
        </w:tc>
        <w:tc>
          <w:tcPr>
            <w:tcW w:w="1223"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2008</w:t>
            </w:r>
          </w:p>
        </w:tc>
        <w:tc>
          <w:tcPr>
            <w:tcW w:w="1223"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2009</w:t>
            </w:r>
          </w:p>
        </w:tc>
      </w:tr>
      <w:tr w:rsidR="00681C20" w:rsidRPr="006A7C13" w:rsidTr="00935EA2">
        <w:tc>
          <w:tcPr>
            <w:tcW w:w="3010" w:type="dxa"/>
            <w:tcBorders>
              <w:top w:val="single" w:sz="12" w:space="0" w:color="auto"/>
            </w:tcBorders>
            <w:shd w:val="clear" w:color="auto" w:fill="auto"/>
          </w:tcPr>
          <w:p w:rsidR="00681C20" w:rsidRPr="006A7C13" w:rsidRDefault="00681C20" w:rsidP="00935EA2">
            <w:pPr>
              <w:pStyle w:val="SingleTxtG"/>
              <w:suppressAutoHyphens w:val="0"/>
              <w:bidi/>
              <w:spacing w:before="40" w:after="40" w:line="220" w:lineRule="exact"/>
              <w:ind w:left="119" w:right="113"/>
              <w:jc w:val="left"/>
              <w:rPr>
                <w:rFonts w:cs="Traditional Arabic"/>
                <w:sz w:val="14"/>
                <w:szCs w:val="24"/>
              </w:rPr>
            </w:pPr>
            <w:r w:rsidRPr="006A7C13">
              <w:rPr>
                <w:rFonts w:cs="Traditional Arabic" w:hint="cs"/>
                <w:sz w:val="14"/>
                <w:szCs w:val="24"/>
                <w:rtl/>
              </w:rPr>
              <w:t>الأسر</w:t>
            </w:r>
          </w:p>
        </w:tc>
        <w:tc>
          <w:tcPr>
            <w:tcW w:w="1223" w:type="dxa"/>
            <w:tcBorders>
              <w:top w:val="single" w:sz="12" w:space="0" w:color="auto"/>
            </w:tcBorders>
            <w:shd w:val="clear" w:color="auto" w:fill="auto"/>
            <w:vAlign w:val="bottom"/>
          </w:tcPr>
          <w:p w:rsidR="00681C20" w:rsidRPr="006A7C13" w:rsidRDefault="00681C20" w:rsidP="00140127">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591</w:t>
            </w:r>
          </w:p>
        </w:tc>
        <w:tc>
          <w:tcPr>
            <w:tcW w:w="1223" w:type="dxa"/>
            <w:tcBorders>
              <w:top w:val="single" w:sz="12" w:space="0" w:color="auto"/>
            </w:tcBorders>
            <w:shd w:val="clear" w:color="auto" w:fill="auto"/>
            <w:vAlign w:val="bottom"/>
          </w:tcPr>
          <w:p w:rsidR="00681C20" w:rsidRPr="006A7C13" w:rsidRDefault="00681C20" w:rsidP="00140127">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567</w:t>
            </w:r>
          </w:p>
        </w:tc>
        <w:tc>
          <w:tcPr>
            <w:tcW w:w="1223" w:type="dxa"/>
            <w:tcBorders>
              <w:top w:val="single" w:sz="12" w:space="0" w:color="auto"/>
            </w:tcBorders>
            <w:shd w:val="clear" w:color="auto" w:fill="auto"/>
            <w:vAlign w:val="bottom"/>
          </w:tcPr>
          <w:p w:rsidR="00681C20" w:rsidRPr="006A7C13" w:rsidRDefault="00681C20" w:rsidP="00140127">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631</w:t>
            </w:r>
          </w:p>
        </w:tc>
        <w:tc>
          <w:tcPr>
            <w:tcW w:w="1223" w:type="dxa"/>
            <w:tcBorders>
              <w:top w:val="single" w:sz="12" w:space="0" w:color="auto"/>
            </w:tcBorders>
            <w:shd w:val="clear" w:color="auto" w:fill="auto"/>
            <w:vAlign w:val="bottom"/>
          </w:tcPr>
          <w:p w:rsidR="00681C20" w:rsidRPr="006A7C13" w:rsidRDefault="00681C20" w:rsidP="00140127">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715</w:t>
            </w:r>
          </w:p>
        </w:tc>
      </w:tr>
      <w:tr w:rsidR="00681C20" w:rsidRPr="006A7C13" w:rsidTr="00935EA2">
        <w:tc>
          <w:tcPr>
            <w:tcW w:w="3010" w:type="dxa"/>
            <w:tcBorders>
              <w:bottom w:val="single" w:sz="4" w:space="0" w:color="auto"/>
            </w:tcBorders>
            <w:shd w:val="clear" w:color="auto" w:fill="auto"/>
          </w:tcPr>
          <w:p w:rsidR="00681C20" w:rsidRPr="006A7C13" w:rsidRDefault="00681C20" w:rsidP="00935EA2">
            <w:pPr>
              <w:pStyle w:val="SingleTxtG"/>
              <w:suppressAutoHyphens w:val="0"/>
              <w:bidi/>
              <w:spacing w:before="40" w:after="40" w:line="220" w:lineRule="exact"/>
              <w:ind w:left="119" w:right="113"/>
              <w:jc w:val="left"/>
              <w:rPr>
                <w:rFonts w:cs="Traditional Arabic"/>
                <w:sz w:val="14"/>
                <w:szCs w:val="24"/>
              </w:rPr>
            </w:pPr>
            <w:r w:rsidRPr="006A7C13">
              <w:rPr>
                <w:rFonts w:cs="Traditional Arabic" w:hint="cs"/>
                <w:sz w:val="14"/>
                <w:szCs w:val="24"/>
                <w:rtl/>
              </w:rPr>
              <w:t>الأفراد</w:t>
            </w:r>
          </w:p>
        </w:tc>
        <w:tc>
          <w:tcPr>
            <w:tcW w:w="1223" w:type="dxa"/>
            <w:tcBorders>
              <w:bottom w:val="single" w:sz="4" w:space="0" w:color="auto"/>
            </w:tcBorders>
            <w:shd w:val="clear" w:color="auto" w:fill="auto"/>
            <w:vAlign w:val="bottom"/>
          </w:tcPr>
          <w:p w:rsidR="00681C20" w:rsidRPr="006A7C13" w:rsidRDefault="00681C20" w:rsidP="00140127">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591</w:t>
            </w:r>
          </w:p>
        </w:tc>
        <w:tc>
          <w:tcPr>
            <w:tcW w:w="1223" w:type="dxa"/>
            <w:tcBorders>
              <w:bottom w:val="single" w:sz="4" w:space="0" w:color="auto"/>
            </w:tcBorders>
            <w:shd w:val="clear" w:color="auto" w:fill="auto"/>
            <w:vAlign w:val="bottom"/>
          </w:tcPr>
          <w:p w:rsidR="00681C20" w:rsidRPr="006A7C13" w:rsidRDefault="00681C20" w:rsidP="00140127">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567</w:t>
            </w:r>
          </w:p>
        </w:tc>
        <w:tc>
          <w:tcPr>
            <w:tcW w:w="1223" w:type="dxa"/>
            <w:tcBorders>
              <w:bottom w:val="single" w:sz="4" w:space="0" w:color="auto"/>
            </w:tcBorders>
            <w:shd w:val="clear" w:color="auto" w:fill="auto"/>
            <w:vAlign w:val="bottom"/>
          </w:tcPr>
          <w:p w:rsidR="00681C20" w:rsidRPr="006A7C13" w:rsidRDefault="00681C20" w:rsidP="00140127">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631</w:t>
            </w:r>
          </w:p>
        </w:tc>
        <w:tc>
          <w:tcPr>
            <w:tcW w:w="1223" w:type="dxa"/>
            <w:tcBorders>
              <w:bottom w:val="single" w:sz="4" w:space="0" w:color="auto"/>
            </w:tcBorders>
            <w:shd w:val="clear" w:color="auto" w:fill="auto"/>
            <w:vAlign w:val="bottom"/>
          </w:tcPr>
          <w:p w:rsidR="00681C20" w:rsidRPr="006A7C13" w:rsidRDefault="00681C20" w:rsidP="00140127">
            <w:pPr>
              <w:pStyle w:val="SingleTxtG"/>
              <w:suppressAutoHyphens w:val="0"/>
              <w:bidi/>
              <w:spacing w:before="40" w:after="40" w:line="220" w:lineRule="exact"/>
              <w:ind w:left="57" w:right="113"/>
              <w:jc w:val="lowKashida"/>
              <w:rPr>
                <w:rFonts w:cs="Traditional Arabic"/>
                <w:sz w:val="14"/>
                <w:szCs w:val="24"/>
              </w:rPr>
            </w:pPr>
            <w:r w:rsidRPr="006A7C13">
              <w:rPr>
                <w:rFonts w:cs="Traditional Arabic" w:hint="cs"/>
                <w:sz w:val="14"/>
                <w:szCs w:val="24"/>
                <w:rtl/>
              </w:rPr>
              <w:t>715</w:t>
            </w:r>
          </w:p>
        </w:tc>
      </w:tr>
      <w:tr w:rsidR="00681C20" w:rsidRPr="008F5270" w:rsidTr="00935EA2">
        <w:tc>
          <w:tcPr>
            <w:tcW w:w="3010" w:type="dxa"/>
            <w:tcBorders>
              <w:top w:val="single" w:sz="4" w:space="0" w:color="auto"/>
              <w:bottom w:val="single" w:sz="12" w:space="0" w:color="auto"/>
            </w:tcBorders>
            <w:shd w:val="clear" w:color="auto" w:fill="auto"/>
          </w:tcPr>
          <w:p w:rsidR="00681C20" w:rsidRPr="008F5270" w:rsidRDefault="00681C20" w:rsidP="00935EA2">
            <w:pPr>
              <w:pStyle w:val="SingleTxtG"/>
              <w:suppressAutoHyphens w:val="0"/>
              <w:bidi/>
              <w:spacing w:before="80" w:after="80" w:line="220" w:lineRule="exact"/>
              <w:ind w:left="119" w:right="113" w:firstLine="284"/>
              <w:jc w:val="left"/>
              <w:rPr>
                <w:rFonts w:cs="Traditional Arabic"/>
                <w:bCs/>
                <w:sz w:val="14"/>
                <w:szCs w:val="24"/>
              </w:rPr>
            </w:pPr>
            <w:r w:rsidRPr="008F5270">
              <w:rPr>
                <w:rFonts w:cs="Traditional Arabic" w:hint="cs"/>
                <w:bCs/>
                <w:sz w:val="14"/>
                <w:szCs w:val="24"/>
                <w:rtl/>
              </w:rPr>
              <w:t>إجمالي قيمة الإعانات (باتالات ماكاو)</w:t>
            </w:r>
          </w:p>
        </w:tc>
        <w:tc>
          <w:tcPr>
            <w:tcW w:w="1223"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20" w:lineRule="exact"/>
              <w:ind w:left="57" w:right="113"/>
              <w:jc w:val="lowKashida"/>
              <w:rPr>
                <w:rFonts w:cs="Traditional Arabic"/>
                <w:bCs/>
                <w:sz w:val="14"/>
                <w:szCs w:val="24"/>
              </w:rPr>
            </w:pPr>
            <w:r w:rsidRPr="008F5270">
              <w:rPr>
                <w:rFonts w:cs="Traditional Arabic" w:hint="cs"/>
                <w:bCs/>
                <w:sz w:val="14"/>
                <w:szCs w:val="24"/>
                <w:rtl/>
              </w:rPr>
              <w:t>700 074 2</w:t>
            </w:r>
          </w:p>
        </w:tc>
        <w:tc>
          <w:tcPr>
            <w:tcW w:w="1223"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20" w:lineRule="exact"/>
              <w:ind w:left="57" w:right="113"/>
              <w:jc w:val="lowKashida"/>
              <w:rPr>
                <w:rFonts w:cs="Traditional Arabic"/>
                <w:bCs/>
                <w:sz w:val="14"/>
                <w:szCs w:val="24"/>
              </w:rPr>
            </w:pPr>
            <w:r w:rsidRPr="008F5270">
              <w:rPr>
                <w:rFonts w:cs="Traditional Arabic" w:hint="cs"/>
                <w:bCs/>
                <w:sz w:val="14"/>
                <w:szCs w:val="24"/>
                <w:rtl/>
              </w:rPr>
              <w:t>000 292 2</w:t>
            </w:r>
          </w:p>
        </w:tc>
        <w:tc>
          <w:tcPr>
            <w:tcW w:w="1223"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20" w:lineRule="exact"/>
              <w:ind w:left="57" w:right="113"/>
              <w:jc w:val="lowKashida"/>
              <w:rPr>
                <w:rFonts w:cs="Traditional Arabic"/>
                <w:bCs/>
                <w:sz w:val="14"/>
                <w:szCs w:val="24"/>
              </w:rPr>
            </w:pPr>
            <w:r w:rsidRPr="008F5270">
              <w:rPr>
                <w:rFonts w:cs="Traditional Arabic" w:hint="cs"/>
                <w:bCs/>
                <w:sz w:val="14"/>
                <w:szCs w:val="24"/>
                <w:rtl/>
              </w:rPr>
              <w:t>500 103 3</w:t>
            </w:r>
          </w:p>
        </w:tc>
        <w:tc>
          <w:tcPr>
            <w:tcW w:w="1223"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20" w:lineRule="exact"/>
              <w:ind w:left="57" w:right="113"/>
              <w:jc w:val="lowKashida"/>
              <w:rPr>
                <w:rFonts w:cs="Traditional Arabic"/>
                <w:bCs/>
                <w:sz w:val="14"/>
                <w:szCs w:val="24"/>
              </w:rPr>
            </w:pPr>
            <w:r w:rsidRPr="008F5270">
              <w:rPr>
                <w:rFonts w:cs="Traditional Arabic" w:hint="cs"/>
                <w:bCs/>
                <w:sz w:val="14"/>
                <w:szCs w:val="24"/>
                <w:rtl/>
              </w:rPr>
              <w:t>800 823 3</w:t>
            </w:r>
          </w:p>
        </w:tc>
      </w:tr>
    </w:tbl>
    <w:p w:rsidR="00681C20" w:rsidRPr="00140127" w:rsidRDefault="00681C20" w:rsidP="00681C20">
      <w:pPr>
        <w:pStyle w:val="SingleTxtGA"/>
        <w:spacing w:after="0"/>
        <w:rPr>
          <w:rFonts w:hint="cs"/>
          <w:sz w:val="26"/>
          <w:szCs w:val="26"/>
          <w:rtl/>
        </w:rPr>
      </w:pPr>
      <w:r w:rsidRPr="00140127">
        <w:rPr>
          <w:rFonts w:hint="cs"/>
          <w:i/>
          <w:iCs/>
          <w:sz w:val="26"/>
          <w:szCs w:val="26"/>
          <w:rtl/>
        </w:rPr>
        <w:t>المصدر:</w:t>
      </w:r>
      <w:r w:rsidRPr="00140127">
        <w:rPr>
          <w:rFonts w:hint="cs"/>
          <w:sz w:val="26"/>
          <w:szCs w:val="26"/>
          <w:rtl/>
        </w:rPr>
        <w:t xml:space="preserve"> مكتب الرعاية الاجتماعية.</w:t>
      </w:r>
    </w:p>
    <w:p w:rsidR="00681C20" w:rsidRPr="00140127" w:rsidRDefault="00681C20" w:rsidP="00681C20">
      <w:pPr>
        <w:pStyle w:val="SingleTxtGA"/>
        <w:rPr>
          <w:rFonts w:hint="cs"/>
          <w:sz w:val="26"/>
          <w:szCs w:val="26"/>
          <w:rtl/>
        </w:rPr>
      </w:pPr>
      <w:r w:rsidRPr="00140127">
        <w:rPr>
          <w:rFonts w:hint="cs"/>
          <w:i/>
          <w:iCs/>
          <w:sz w:val="26"/>
          <w:szCs w:val="26"/>
          <w:rtl/>
        </w:rPr>
        <w:t>ملاحظة:</w:t>
      </w:r>
      <w:r w:rsidRPr="00140127">
        <w:rPr>
          <w:rFonts w:hint="cs"/>
          <w:sz w:val="26"/>
          <w:szCs w:val="26"/>
          <w:rtl/>
        </w:rPr>
        <w:t xml:space="preserve"> 1 دولار من دولارات الولايات المتحدة = 7.9335 من </w:t>
      </w:r>
      <w:r w:rsidRPr="00140127">
        <w:rPr>
          <w:sz w:val="26"/>
          <w:szCs w:val="26"/>
          <w:rtl/>
        </w:rPr>
        <w:t>باتالات ماكاو</w:t>
      </w:r>
      <w:r w:rsidRPr="00140127">
        <w:rPr>
          <w:rFonts w:hint="cs"/>
          <w:sz w:val="26"/>
          <w:szCs w:val="26"/>
          <w:rtl/>
        </w:rPr>
        <w:t>.</w:t>
      </w:r>
    </w:p>
    <w:p w:rsidR="00681C20" w:rsidRPr="008F5270" w:rsidRDefault="00681C20" w:rsidP="00681C20">
      <w:pPr>
        <w:pStyle w:val="SingleTxtGA"/>
        <w:rPr>
          <w:rFonts w:hint="cs"/>
          <w:b/>
          <w:bCs/>
          <w:rtl/>
        </w:rPr>
      </w:pPr>
      <w:r>
        <w:rPr>
          <w:b/>
          <w:bCs/>
          <w:rtl/>
        </w:rPr>
        <w:br w:type="page"/>
      </w:r>
      <w:r w:rsidRPr="008F5270">
        <w:rPr>
          <w:rFonts w:hint="cs"/>
          <w:b/>
          <w:bCs/>
          <w:rtl/>
        </w:rPr>
        <w:t>بيانات تتعلق بإعانة الشيخوخة</w:t>
      </w:r>
    </w:p>
    <w:tbl>
      <w:tblPr>
        <w:bidiVisual/>
        <w:tblW w:w="850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10"/>
        <w:gridCol w:w="1315"/>
        <w:gridCol w:w="1315"/>
        <w:gridCol w:w="1432"/>
        <w:gridCol w:w="1432"/>
      </w:tblGrid>
      <w:tr w:rsidR="00681C20" w:rsidRPr="008F5270" w:rsidTr="00935EA2">
        <w:trPr>
          <w:tblHeader/>
        </w:trPr>
        <w:tc>
          <w:tcPr>
            <w:tcW w:w="3010" w:type="dxa"/>
            <w:tcBorders>
              <w:top w:val="single" w:sz="4" w:space="0" w:color="auto"/>
              <w:bottom w:val="single" w:sz="12" w:space="0" w:color="auto"/>
            </w:tcBorders>
            <w:shd w:val="clear" w:color="auto" w:fill="auto"/>
            <w:vAlign w:val="bottom"/>
          </w:tcPr>
          <w:p w:rsidR="00681C20" w:rsidRPr="007429A7" w:rsidRDefault="00681C20" w:rsidP="00140127">
            <w:pPr>
              <w:pStyle w:val="SingleTxtG"/>
              <w:suppressAutoHyphens w:val="0"/>
              <w:bidi/>
              <w:spacing w:before="80" w:after="80" w:line="200" w:lineRule="exact"/>
              <w:ind w:left="57" w:right="113"/>
              <w:jc w:val="left"/>
              <w:rPr>
                <w:rFonts w:cs="Traditional Arabic"/>
                <w:iCs/>
                <w:sz w:val="16"/>
                <w:szCs w:val="24"/>
              </w:rPr>
            </w:pPr>
            <w:r w:rsidRPr="007429A7">
              <w:rPr>
                <w:rFonts w:cs="Traditional Arabic" w:hint="cs"/>
                <w:iCs/>
                <w:sz w:val="16"/>
                <w:szCs w:val="24"/>
                <w:rtl/>
              </w:rPr>
              <w:t>عدد المتلقين وقيمة الإعانة</w:t>
            </w:r>
          </w:p>
        </w:tc>
        <w:tc>
          <w:tcPr>
            <w:tcW w:w="1315"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2006</w:t>
            </w:r>
          </w:p>
        </w:tc>
        <w:tc>
          <w:tcPr>
            <w:tcW w:w="1315"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2007</w:t>
            </w:r>
          </w:p>
        </w:tc>
        <w:tc>
          <w:tcPr>
            <w:tcW w:w="1432"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2008</w:t>
            </w:r>
          </w:p>
        </w:tc>
        <w:tc>
          <w:tcPr>
            <w:tcW w:w="1432" w:type="dxa"/>
            <w:tcBorders>
              <w:top w:val="single" w:sz="4" w:space="0" w:color="auto"/>
              <w:bottom w:val="single" w:sz="12" w:space="0" w:color="auto"/>
            </w:tcBorders>
            <w:shd w:val="clear" w:color="auto" w:fill="auto"/>
            <w:vAlign w:val="bottom"/>
          </w:tcPr>
          <w:p w:rsidR="00681C20" w:rsidRPr="008F5270" w:rsidRDefault="00681C20" w:rsidP="00140127">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2009</w:t>
            </w:r>
          </w:p>
        </w:tc>
      </w:tr>
      <w:tr w:rsidR="00681C20" w:rsidRPr="008F5270" w:rsidTr="00935EA2">
        <w:tc>
          <w:tcPr>
            <w:tcW w:w="3010" w:type="dxa"/>
            <w:tcBorders>
              <w:top w:val="single" w:sz="12" w:space="0" w:color="auto"/>
            </w:tcBorders>
            <w:shd w:val="clear" w:color="auto" w:fill="auto"/>
          </w:tcPr>
          <w:p w:rsidR="00681C20" w:rsidRPr="008F5270" w:rsidRDefault="00681C20" w:rsidP="00140127">
            <w:pPr>
              <w:pStyle w:val="SingleTxtG"/>
              <w:suppressAutoHyphens w:val="0"/>
              <w:bidi/>
              <w:spacing w:before="40" w:after="40" w:line="220" w:lineRule="exact"/>
              <w:ind w:left="57" w:right="113"/>
              <w:jc w:val="left"/>
              <w:rPr>
                <w:rFonts w:cs="Traditional Arabic"/>
                <w:sz w:val="18"/>
                <w:szCs w:val="24"/>
              </w:rPr>
            </w:pPr>
            <w:r>
              <w:rPr>
                <w:rFonts w:cs="Traditional Arabic" w:hint="cs"/>
                <w:sz w:val="18"/>
                <w:szCs w:val="24"/>
                <w:rtl/>
              </w:rPr>
              <w:t>المستفيدون</w:t>
            </w:r>
          </w:p>
        </w:tc>
        <w:tc>
          <w:tcPr>
            <w:tcW w:w="1315" w:type="dxa"/>
            <w:tcBorders>
              <w:top w:val="single" w:sz="12" w:space="0" w:color="auto"/>
            </w:tcBorders>
            <w:shd w:val="clear" w:color="auto" w:fill="auto"/>
            <w:vAlign w:val="bottom"/>
          </w:tcPr>
          <w:p w:rsidR="00681C20" w:rsidRPr="008F5270" w:rsidRDefault="00681C20" w:rsidP="00140127">
            <w:pPr>
              <w:pStyle w:val="SingleTxtG"/>
              <w:suppressAutoHyphens w:val="0"/>
              <w:bidi/>
              <w:spacing w:before="40" w:after="40" w:line="220" w:lineRule="exact"/>
              <w:ind w:left="57" w:right="113"/>
              <w:jc w:val="lowKashida"/>
              <w:rPr>
                <w:rFonts w:cs="Traditional Arabic"/>
                <w:sz w:val="18"/>
                <w:szCs w:val="24"/>
              </w:rPr>
            </w:pPr>
            <w:r>
              <w:rPr>
                <w:rFonts w:cs="Traditional Arabic" w:hint="cs"/>
                <w:sz w:val="18"/>
                <w:szCs w:val="24"/>
                <w:rtl/>
              </w:rPr>
              <w:t>725 34</w:t>
            </w:r>
          </w:p>
        </w:tc>
        <w:tc>
          <w:tcPr>
            <w:tcW w:w="1315" w:type="dxa"/>
            <w:tcBorders>
              <w:top w:val="single" w:sz="12" w:space="0" w:color="auto"/>
            </w:tcBorders>
            <w:shd w:val="clear" w:color="auto" w:fill="auto"/>
            <w:vAlign w:val="bottom"/>
          </w:tcPr>
          <w:p w:rsidR="00681C20" w:rsidRPr="008F5270" w:rsidRDefault="00681C20" w:rsidP="00140127">
            <w:pPr>
              <w:pStyle w:val="SingleTxtG"/>
              <w:suppressAutoHyphens w:val="0"/>
              <w:bidi/>
              <w:spacing w:before="40" w:after="40" w:line="220" w:lineRule="exact"/>
              <w:ind w:left="57" w:right="113"/>
              <w:jc w:val="lowKashida"/>
              <w:rPr>
                <w:rFonts w:cs="Traditional Arabic"/>
                <w:sz w:val="18"/>
                <w:szCs w:val="24"/>
              </w:rPr>
            </w:pPr>
            <w:r>
              <w:rPr>
                <w:rFonts w:cs="Traditional Arabic" w:hint="cs"/>
                <w:sz w:val="18"/>
                <w:szCs w:val="24"/>
                <w:rtl/>
              </w:rPr>
              <w:t>874 35</w:t>
            </w:r>
          </w:p>
        </w:tc>
        <w:tc>
          <w:tcPr>
            <w:tcW w:w="1432" w:type="dxa"/>
            <w:tcBorders>
              <w:top w:val="single" w:sz="12" w:space="0" w:color="auto"/>
            </w:tcBorders>
            <w:shd w:val="clear" w:color="auto" w:fill="auto"/>
            <w:vAlign w:val="bottom"/>
          </w:tcPr>
          <w:p w:rsidR="00681C20" w:rsidRPr="008F5270" w:rsidRDefault="00681C20" w:rsidP="00140127">
            <w:pPr>
              <w:pStyle w:val="SingleTxtG"/>
              <w:suppressAutoHyphens w:val="0"/>
              <w:bidi/>
              <w:spacing w:before="40" w:after="40" w:line="220" w:lineRule="exact"/>
              <w:ind w:left="57" w:right="113"/>
              <w:jc w:val="lowKashida"/>
              <w:rPr>
                <w:rFonts w:cs="Traditional Arabic"/>
                <w:sz w:val="18"/>
                <w:szCs w:val="24"/>
              </w:rPr>
            </w:pPr>
            <w:r>
              <w:rPr>
                <w:rFonts w:cs="Traditional Arabic" w:hint="cs"/>
                <w:sz w:val="18"/>
                <w:szCs w:val="24"/>
                <w:rtl/>
              </w:rPr>
              <w:t>603 38</w:t>
            </w:r>
          </w:p>
        </w:tc>
        <w:tc>
          <w:tcPr>
            <w:tcW w:w="1432" w:type="dxa"/>
            <w:tcBorders>
              <w:top w:val="single" w:sz="12" w:space="0" w:color="auto"/>
            </w:tcBorders>
            <w:shd w:val="clear" w:color="auto" w:fill="auto"/>
            <w:vAlign w:val="bottom"/>
          </w:tcPr>
          <w:p w:rsidR="00681C20" w:rsidRPr="008F5270" w:rsidRDefault="00681C20" w:rsidP="00140127">
            <w:pPr>
              <w:pStyle w:val="SingleTxtG"/>
              <w:suppressAutoHyphens w:val="0"/>
              <w:bidi/>
              <w:spacing w:before="40" w:after="40" w:line="220" w:lineRule="exact"/>
              <w:ind w:left="57" w:right="113"/>
              <w:jc w:val="lowKashida"/>
              <w:rPr>
                <w:rFonts w:cs="Traditional Arabic"/>
                <w:sz w:val="18"/>
                <w:szCs w:val="24"/>
              </w:rPr>
            </w:pPr>
            <w:r>
              <w:rPr>
                <w:rFonts w:cs="Traditional Arabic" w:hint="cs"/>
                <w:sz w:val="18"/>
                <w:szCs w:val="24"/>
                <w:rtl/>
              </w:rPr>
              <w:t>653 41</w:t>
            </w:r>
          </w:p>
        </w:tc>
      </w:tr>
      <w:tr w:rsidR="00681C20" w:rsidRPr="008F5270" w:rsidTr="00935EA2">
        <w:tc>
          <w:tcPr>
            <w:tcW w:w="3010" w:type="dxa"/>
            <w:tcBorders>
              <w:bottom w:val="single" w:sz="4" w:space="0" w:color="auto"/>
            </w:tcBorders>
            <w:shd w:val="clear" w:color="auto" w:fill="auto"/>
          </w:tcPr>
          <w:p w:rsidR="00681C20" w:rsidRPr="008F5270" w:rsidRDefault="00681C20" w:rsidP="00140127">
            <w:pPr>
              <w:pStyle w:val="SingleTxtG"/>
              <w:suppressAutoHyphens w:val="0"/>
              <w:bidi/>
              <w:spacing w:before="40" w:after="40" w:line="220" w:lineRule="exact"/>
              <w:ind w:left="57" w:right="113"/>
              <w:jc w:val="left"/>
              <w:rPr>
                <w:rFonts w:cs="Traditional Arabic"/>
                <w:sz w:val="18"/>
                <w:szCs w:val="24"/>
              </w:rPr>
            </w:pPr>
            <w:r>
              <w:rPr>
                <w:rFonts w:cs="Traditional Arabic" w:hint="cs"/>
                <w:sz w:val="18"/>
                <w:szCs w:val="24"/>
                <w:rtl/>
              </w:rPr>
              <w:t>المبلغ المقدم للفرد (باتالات ماكاو)</w:t>
            </w:r>
          </w:p>
        </w:tc>
        <w:tc>
          <w:tcPr>
            <w:tcW w:w="1315" w:type="dxa"/>
            <w:tcBorders>
              <w:bottom w:val="single" w:sz="4" w:space="0" w:color="auto"/>
            </w:tcBorders>
            <w:shd w:val="clear" w:color="auto" w:fill="auto"/>
            <w:vAlign w:val="bottom"/>
          </w:tcPr>
          <w:p w:rsidR="00681C20" w:rsidRPr="008F5270" w:rsidRDefault="00681C20" w:rsidP="00140127">
            <w:pPr>
              <w:pStyle w:val="SingleTxtG"/>
              <w:suppressAutoHyphens w:val="0"/>
              <w:bidi/>
              <w:spacing w:before="40" w:after="40" w:line="220" w:lineRule="exact"/>
              <w:ind w:left="57" w:right="113"/>
              <w:jc w:val="lowKashida"/>
              <w:rPr>
                <w:rFonts w:cs="Traditional Arabic"/>
                <w:sz w:val="18"/>
                <w:szCs w:val="24"/>
              </w:rPr>
            </w:pPr>
            <w:r>
              <w:rPr>
                <w:rFonts w:cs="Traditional Arabic" w:hint="cs"/>
                <w:sz w:val="18"/>
                <w:szCs w:val="24"/>
                <w:rtl/>
              </w:rPr>
              <w:t>500 1</w:t>
            </w:r>
          </w:p>
        </w:tc>
        <w:tc>
          <w:tcPr>
            <w:tcW w:w="1315" w:type="dxa"/>
            <w:tcBorders>
              <w:bottom w:val="single" w:sz="4" w:space="0" w:color="auto"/>
            </w:tcBorders>
            <w:shd w:val="clear" w:color="auto" w:fill="auto"/>
            <w:vAlign w:val="bottom"/>
          </w:tcPr>
          <w:p w:rsidR="00681C20" w:rsidRPr="008F5270" w:rsidRDefault="00681C20" w:rsidP="00140127">
            <w:pPr>
              <w:pStyle w:val="SingleTxtG"/>
              <w:suppressAutoHyphens w:val="0"/>
              <w:bidi/>
              <w:spacing w:before="40" w:after="40" w:line="220" w:lineRule="exact"/>
              <w:ind w:left="57" w:right="113"/>
              <w:jc w:val="lowKashida"/>
              <w:rPr>
                <w:rFonts w:cs="Traditional Arabic" w:hint="cs"/>
                <w:sz w:val="18"/>
                <w:szCs w:val="24"/>
                <w:rtl/>
              </w:rPr>
            </w:pPr>
            <w:r>
              <w:rPr>
                <w:rFonts w:cs="Traditional Arabic" w:hint="cs"/>
                <w:sz w:val="18"/>
                <w:szCs w:val="24"/>
                <w:rtl/>
              </w:rPr>
              <w:t>800 1</w:t>
            </w:r>
          </w:p>
        </w:tc>
        <w:tc>
          <w:tcPr>
            <w:tcW w:w="1432" w:type="dxa"/>
            <w:tcBorders>
              <w:bottom w:val="single" w:sz="4" w:space="0" w:color="auto"/>
            </w:tcBorders>
            <w:shd w:val="clear" w:color="auto" w:fill="auto"/>
            <w:vAlign w:val="bottom"/>
          </w:tcPr>
          <w:p w:rsidR="00681C20" w:rsidRPr="008F5270" w:rsidRDefault="00681C20" w:rsidP="00140127">
            <w:pPr>
              <w:pStyle w:val="SingleTxtG"/>
              <w:suppressAutoHyphens w:val="0"/>
              <w:bidi/>
              <w:spacing w:before="40" w:after="40" w:line="220" w:lineRule="exact"/>
              <w:ind w:left="57" w:right="113"/>
              <w:jc w:val="lowKashida"/>
              <w:rPr>
                <w:rFonts w:cs="Traditional Arabic"/>
                <w:sz w:val="18"/>
                <w:szCs w:val="24"/>
              </w:rPr>
            </w:pPr>
            <w:r>
              <w:rPr>
                <w:rFonts w:cs="Traditional Arabic" w:hint="cs"/>
                <w:sz w:val="18"/>
                <w:szCs w:val="24"/>
                <w:rtl/>
              </w:rPr>
              <w:t>600 3</w:t>
            </w:r>
          </w:p>
        </w:tc>
        <w:tc>
          <w:tcPr>
            <w:tcW w:w="1432" w:type="dxa"/>
            <w:tcBorders>
              <w:bottom w:val="single" w:sz="4" w:space="0" w:color="auto"/>
            </w:tcBorders>
            <w:shd w:val="clear" w:color="auto" w:fill="auto"/>
            <w:vAlign w:val="bottom"/>
          </w:tcPr>
          <w:p w:rsidR="00681C20" w:rsidRPr="008F5270" w:rsidRDefault="00681C20" w:rsidP="00140127">
            <w:pPr>
              <w:pStyle w:val="SingleTxtG"/>
              <w:suppressAutoHyphens w:val="0"/>
              <w:bidi/>
              <w:spacing w:before="40" w:after="40" w:line="220" w:lineRule="exact"/>
              <w:ind w:left="57" w:right="113"/>
              <w:jc w:val="lowKashida"/>
              <w:rPr>
                <w:rFonts w:cs="Traditional Arabic"/>
                <w:sz w:val="18"/>
                <w:szCs w:val="24"/>
              </w:rPr>
            </w:pPr>
            <w:r>
              <w:rPr>
                <w:rFonts w:cs="Traditional Arabic" w:hint="cs"/>
                <w:sz w:val="18"/>
                <w:szCs w:val="24"/>
                <w:rtl/>
              </w:rPr>
              <w:t>000 5</w:t>
            </w:r>
          </w:p>
        </w:tc>
      </w:tr>
      <w:tr w:rsidR="00681C20" w:rsidRPr="008F5270" w:rsidTr="00935EA2">
        <w:tc>
          <w:tcPr>
            <w:tcW w:w="3010" w:type="dxa"/>
            <w:tcBorders>
              <w:top w:val="single" w:sz="4" w:space="0" w:color="auto"/>
              <w:bottom w:val="single" w:sz="12" w:space="0" w:color="auto"/>
            </w:tcBorders>
            <w:shd w:val="clear" w:color="auto" w:fill="auto"/>
          </w:tcPr>
          <w:p w:rsidR="00681C20" w:rsidRPr="008F5270" w:rsidRDefault="00681C20" w:rsidP="00935EA2">
            <w:pPr>
              <w:pStyle w:val="SingleTxtG"/>
              <w:suppressAutoHyphens w:val="0"/>
              <w:bidi/>
              <w:spacing w:before="80" w:after="80" w:line="220" w:lineRule="exact"/>
              <w:ind w:left="0" w:right="113" w:firstLine="284"/>
              <w:jc w:val="left"/>
              <w:rPr>
                <w:rFonts w:cs="Traditional Arabic"/>
                <w:b/>
                <w:sz w:val="18"/>
                <w:szCs w:val="24"/>
                <w:lang w:val="en-US"/>
              </w:rPr>
            </w:pPr>
            <w:r w:rsidRPr="008F5270">
              <w:rPr>
                <w:rFonts w:cs="Traditional Arabic" w:hint="cs"/>
                <w:bCs/>
                <w:sz w:val="14"/>
                <w:szCs w:val="24"/>
                <w:rtl/>
              </w:rPr>
              <w:t>إجمالي قيمة الإعانات (باتالات ماكاو)</w:t>
            </w:r>
          </w:p>
        </w:tc>
        <w:tc>
          <w:tcPr>
            <w:tcW w:w="1315" w:type="dxa"/>
            <w:tcBorders>
              <w:top w:val="single" w:sz="4" w:space="0" w:color="auto"/>
              <w:bottom w:val="single" w:sz="12" w:space="0" w:color="auto"/>
            </w:tcBorders>
            <w:shd w:val="clear" w:color="auto" w:fill="auto"/>
            <w:vAlign w:val="bottom"/>
          </w:tcPr>
          <w:p w:rsidR="00681C20" w:rsidRPr="007429A7" w:rsidRDefault="00681C20" w:rsidP="00140127">
            <w:pPr>
              <w:pStyle w:val="SingleTxtG"/>
              <w:suppressAutoHyphens w:val="0"/>
              <w:bidi/>
              <w:spacing w:before="80" w:after="80" w:line="220" w:lineRule="exact"/>
              <w:ind w:left="57" w:right="113"/>
              <w:jc w:val="lowKashida"/>
              <w:rPr>
                <w:rFonts w:cs="Traditional Arabic"/>
                <w:bCs/>
                <w:sz w:val="18"/>
                <w:szCs w:val="24"/>
              </w:rPr>
            </w:pPr>
            <w:r w:rsidRPr="007429A7">
              <w:rPr>
                <w:rFonts w:cs="Traditional Arabic" w:hint="cs"/>
                <w:bCs/>
                <w:sz w:val="18"/>
                <w:szCs w:val="24"/>
                <w:rtl/>
              </w:rPr>
              <w:t>500 087 52</w:t>
            </w:r>
          </w:p>
        </w:tc>
        <w:tc>
          <w:tcPr>
            <w:tcW w:w="1315" w:type="dxa"/>
            <w:tcBorders>
              <w:top w:val="single" w:sz="4" w:space="0" w:color="auto"/>
              <w:bottom w:val="single" w:sz="12" w:space="0" w:color="auto"/>
            </w:tcBorders>
            <w:shd w:val="clear" w:color="auto" w:fill="auto"/>
            <w:vAlign w:val="bottom"/>
          </w:tcPr>
          <w:p w:rsidR="00681C20" w:rsidRPr="007429A7" w:rsidRDefault="00681C20" w:rsidP="00140127">
            <w:pPr>
              <w:pStyle w:val="SingleTxtG"/>
              <w:suppressAutoHyphens w:val="0"/>
              <w:bidi/>
              <w:spacing w:before="80" w:after="80" w:line="220" w:lineRule="exact"/>
              <w:ind w:left="57" w:right="113"/>
              <w:jc w:val="lowKashida"/>
              <w:rPr>
                <w:rFonts w:cs="Traditional Arabic"/>
                <w:bCs/>
                <w:sz w:val="18"/>
                <w:szCs w:val="24"/>
              </w:rPr>
            </w:pPr>
            <w:r w:rsidRPr="007429A7">
              <w:rPr>
                <w:rFonts w:cs="Traditional Arabic" w:hint="cs"/>
                <w:bCs/>
                <w:sz w:val="18"/>
                <w:szCs w:val="24"/>
                <w:rtl/>
              </w:rPr>
              <w:t>200 573 64</w:t>
            </w:r>
          </w:p>
        </w:tc>
        <w:tc>
          <w:tcPr>
            <w:tcW w:w="1432" w:type="dxa"/>
            <w:tcBorders>
              <w:top w:val="single" w:sz="4" w:space="0" w:color="auto"/>
              <w:bottom w:val="single" w:sz="12" w:space="0" w:color="auto"/>
            </w:tcBorders>
            <w:shd w:val="clear" w:color="auto" w:fill="auto"/>
            <w:vAlign w:val="bottom"/>
          </w:tcPr>
          <w:p w:rsidR="00681C20" w:rsidRPr="007429A7" w:rsidRDefault="00681C20" w:rsidP="00140127">
            <w:pPr>
              <w:pStyle w:val="SingleTxtG"/>
              <w:suppressAutoHyphens w:val="0"/>
              <w:bidi/>
              <w:spacing w:before="80" w:after="80" w:line="220" w:lineRule="exact"/>
              <w:ind w:left="57" w:right="113"/>
              <w:jc w:val="lowKashida"/>
              <w:rPr>
                <w:rFonts w:cs="Traditional Arabic"/>
                <w:bCs/>
                <w:sz w:val="18"/>
                <w:szCs w:val="24"/>
              </w:rPr>
            </w:pPr>
            <w:r w:rsidRPr="007429A7">
              <w:rPr>
                <w:rFonts w:cs="Traditional Arabic" w:hint="cs"/>
                <w:bCs/>
                <w:sz w:val="18"/>
                <w:szCs w:val="24"/>
                <w:rtl/>
              </w:rPr>
              <w:t>800 970 800</w:t>
            </w:r>
          </w:p>
        </w:tc>
        <w:tc>
          <w:tcPr>
            <w:tcW w:w="1432" w:type="dxa"/>
            <w:tcBorders>
              <w:top w:val="single" w:sz="4" w:space="0" w:color="auto"/>
              <w:bottom w:val="single" w:sz="12" w:space="0" w:color="auto"/>
            </w:tcBorders>
            <w:shd w:val="clear" w:color="auto" w:fill="auto"/>
            <w:vAlign w:val="bottom"/>
          </w:tcPr>
          <w:p w:rsidR="00681C20" w:rsidRPr="007429A7" w:rsidRDefault="00681C20" w:rsidP="00140127">
            <w:pPr>
              <w:pStyle w:val="SingleTxtG"/>
              <w:suppressAutoHyphens w:val="0"/>
              <w:bidi/>
              <w:spacing w:before="80" w:after="80" w:line="220" w:lineRule="exact"/>
              <w:ind w:left="57" w:right="113"/>
              <w:jc w:val="lowKashida"/>
              <w:rPr>
                <w:rFonts w:cs="Traditional Arabic"/>
                <w:bCs/>
                <w:sz w:val="18"/>
                <w:szCs w:val="24"/>
              </w:rPr>
            </w:pPr>
            <w:r w:rsidRPr="007429A7">
              <w:rPr>
                <w:rFonts w:cs="Traditional Arabic" w:hint="cs"/>
                <w:bCs/>
                <w:sz w:val="18"/>
                <w:szCs w:val="24"/>
                <w:rtl/>
              </w:rPr>
              <w:t>000 265 208</w:t>
            </w:r>
          </w:p>
        </w:tc>
      </w:tr>
    </w:tbl>
    <w:p w:rsidR="00681C20" w:rsidRPr="00140127" w:rsidRDefault="00681C20" w:rsidP="00397E4F">
      <w:pPr>
        <w:pStyle w:val="SingleTxtGA"/>
        <w:spacing w:before="120" w:after="60" w:line="300" w:lineRule="exact"/>
        <w:rPr>
          <w:rFonts w:hint="cs"/>
          <w:sz w:val="26"/>
          <w:szCs w:val="26"/>
          <w:rtl/>
        </w:rPr>
      </w:pPr>
      <w:r w:rsidRPr="00140127">
        <w:rPr>
          <w:rFonts w:hint="cs"/>
          <w:i/>
          <w:iCs/>
          <w:sz w:val="26"/>
          <w:szCs w:val="26"/>
          <w:rtl/>
        </w:rPr>
        <w:t>المصدر:</w:t>
      </w:r>
      <w:r w:rsidRPr="00140127">
        <w:rPr>
          <w:rFonts w:hint="cs"/>
          <w:sz w:val="26"/>
          <w:szCs w:val="26"/>
          <w:rtl/>
        </w:rPr>
        <w:t xml:space="preserve"> مكتب الرعاية الاجتماعية.</w:t>
      </w:r>
    </w:p>
    <w:p w:rsidR="00681C20" w:rsidRPr="00140127" w:rsidRDefault="00681C20" w:rsidP="00397E4F">
      <w:pPr>
        <w:pStyle w:val="SingleTxtGA"/>
        <w:spacing w:after="60" w:line="300" w:lineRule="exact"/>
        <w:rPr>
          <w:rFonts w:hint="cs"/>
          <w:sz w:val="26"/>
          <w:szCs w:val="26"/>
          <w:rtl/>
        </w:rPr>
      </w:pPr>
      <w:r w:rsidRPr="00140127">
        <w:rPr>
          <w:rFonts w:hint="cs"/>
          <w:i/>
          <w:iCs/>
          <w:sz w:val="26"/>
          <w:szCs w:val="26"/>
          <w:rtl/>
        </w:rPr>
        <w:t>ملاحظة:</w:t>
      </w:r>
      <w:r w:rsidRPr="00140127">
        <w:rPr>
          <w:rFonts w:hint="cs"/>
          <w:sz w:val="26"/>
          <w:szCs w:val="26"/>
          <w:rtl/>
        </w:rPr>
        <w:t xml:space="preserve"> 1 دولار من دولارات الولايات المتحدة = 7.9335 من </w:t>
      </w:r>
      <w:r w:rsidRPr="00140127">
        <w:rPr>
          <w:sz w:val="26"/>
          <w:szCs w:val="26"/>
          <w:rtl/>
        </w:rPr>
        <w:t>باتالات ماكاو</w:t>
      </w:r>
      <w:r w:rsidRPr="00140127">
        <w:rPr>
          <w:rFonts w:hint="cs"/>
          <w:sz w:val="26"/>
          <w:szCs w:val="26"/>
          <w:rtl/>
        </w:rPr>
        <w:t>.</w:t>
      </w:r>
    </w:p>
    <w:p w:rsidR="00681C20" w:rsidRDefault="00681C20" w:rsidP="00681C20">
      <w:pPr>
        <w:pStyle w:val="SingleTxtGA"/>
        <w:rPr>
          <w:rFonts w:hint="cs"/>
          <w:rtl/>
        </w:rPr>
      </w:pPr>
      <w:r>
        <w:rPr>
          <w:rFonts w:hint="cs"/>
          <w:rtl/>
        </w:rPr>
        <w:t>63-</w:t>
      </w:r>
      <w:r>
        <w:rPr>
          <w:rFonts w:hint="cs"/>
          <w:rtl/>
        </w:rPr>
        <w:tab/>
        <w:t xml:space="preserve">ويتاح معاش العجز لأولئك الذين فقدوا تماماً قدرتهم على العمل لفترة طوية، شريطة أن يكونوا مواطنين مقيمين يبلغون 18 عاماً أو أكثر من العمر، وعاشوا في ماكاو لمدة </w:t>
      </w:r>
      <w:r w:rsidR="00E50A23">
        <w:rPr>
          <w:rFonts w:hint="cs"/>
          <w:rtl/>
        </w:rPr>
        <w:t xml:space="preserve">         </w:t>
      </w:r>
      <w:r>
        <w:rPr>
          <w:rFonts w:hint="cs"/>
          <w:rtl/>
        </w:rPr>
        <w:t>لا تقل عن 7 سنوات، واشتركوا في صندوق الضمان الاجتماعي لمدة لا تقل عن 36 شهراً. وقد ارتفعت قيمة هذا المعاش بين الحين والحين في السنوات الماضية، وتبلغ حالياً 700 1 من باتالات ماكاو للفرد (المرسوم بقانون 58/93/م، الصادر في 18 تشرين الأول/أكتوبر، بشأن نظام الضمان الاجتماعي، بصيغته المعدلة).</w:t>
      </w:r>
    </w:p>
    <w:p w:rsidR="00681C20" w:rsidRDefault="00681C20" w:rsidP="00681C20">
      <w:pPr>
        <w:pStyle w:val="SingleTxtGA"/>
        <w:rPr>
          <w:rFonts w:hint="cs"/>
          <w:rtl/>
        </w:rPr>
      </w:pPr>
      <w:r>
        <w:rPr>
          <w:rFonts w:hint="cs"/>
          <w:rtl/>
        </w:rPr>
        <w:t>64-</w:t>
      </w:r>
      <w:r>
        <w:rPr>
          <w:rFonts w:hint="cs"/>
          <w:rtl/>
        </w:rPr>
        <w:tab/>
        <w:t>ومع ذلك، ولتيسير أعب</w:t>
      </w:r>
      <w:r w:rsidR="00E50A23">
        <w:rPr>
          <w:rFonts w:hint="cs"/>
          <w:rtl/>
        </w:rPr>
        <w:t>ـ</w:t>
      </w:r>
      <w:r>
        <w:rPr>
          <w:rFonts w:hint="cs"/>
          <w:rtl/>
        </w:rPr>
        <w:t>اء الحي</w:t>
      </w:r>
      <w:r w:rsidR="00E50A23">
        <w:rPr>
          <w:rFonts w:hint="cs"/>
          <w:rtl/>
        </w:rPr>
        <w:t>ـ</w:t>
      </w:r>
      <w:r>
        <w:rPr>
          <w:rFonts w:hint="cs"/>
          <w:rtl/>
        </w:rPr>
        <w:t>اة على الأشخاص ذوي الإعاقة، تتاح أيضا</w:t>
      </w:r>
      <w:r w:rsidR="009E3E8F">
        <w:rPr>
          <w:rFonts w:hint="cs"/>
          <w:rtl/>
        </w:rPr>
        <w:t>ً</w:t>
      </w:r>
      <w:r>
        <w:rPr>
          <w:rFonts w:hint="cs"/>
          <w:rtl/>
        </w:rPr>
        <w:t xml:space="preserve"> إعانات فيما يتعلق بالمعدات الطبية، ونفق</w:t>
      </w:r>
      <w:r w:rsidR="00E50A23">
        <w:rPr>
          <w:rFonts w:hint="cs"/>
          <w:rtl/>
        </w:rPr>
        <w:t>ـ</w:t>
      </w:r>
      <w:r>
        <w:rPr>
          <w:rFonts w:hint="cs"/>
          <w:rtl/>
        </w:rPr>
        <w:t>ات الرعاي</w:t>
      </w:r>
      <w:r w:rsidR="00E50A23">
        <w:rPr>
          <w:rFonts w:hint="cs"/>
          <w:rtl/>
        </w:rPr>
        <w:t>ـ</w:t>
      </w:r>
      <w:r>
        <w:rPr>
          <w:rFonts w:hint="cs"/>
          <w:rtl/>
        </w:rPr>
        <w:t xml:space="preserve">ة الصحية، وإصلاح المسكن، والأجهزة المنزلية الأساسية، ونفقات الانتقال، وما إلى ذلك (المادة 8(1) من التنظيم الإداري </w:t>
      </w:r>
      <w:r w:rsidR="00E50A23">
        <w:rPr>
          <w:rFonts w:hint="cs"/>
          <w:rtl/>
        </w:rPr>
        <w:t xml:space="preserve">              </w:t>
      </w:r>
      <w:r>
        <w:rPr>
          <w:rFonts w:hint="cs"/>
          <w:rtl/>
        </w:rPr>
        <w:t>المذكور 6/2007).</w:t>
      </w:r>
    </w:p>
    <w:p w:rsidR="00681C20" w:rsidRPr="0007672F" w:rsidRDefault="00681C20" w:rsidP="00681C20">
      <w:pPr>
        <w:pStyle w:val="SingleTxtGA"/>
        <w:rPr>
          <w:rFonts w:hint="cs"/>
          <w:b/>
          <w:bCs/>
          <w:rtl/>
        </w:rPr>
      </w:pPr>
      <w:r w:rsidRPr="0007672F">
        <w:rPr>
          <w:rFonts w:hint="cs"/>
          <w:b/>
          <w:bCs/>
          <w:rtl/>
        </w:rPr>
        <w:t xml:space="preserve">متلقو إعانات المعدات الطبية والمبلغ </w:t>
      </w:r>
      <w:r>
        <w:rPr>
          <w:rFonts w:hint="cs"/>
          <w:b/>
          <w:bCs/>
          <w:rtl/>
        </w:rPr>
        <w:t>المقابل</w:t>
      </w:r>
    </w:p>
    <w:tbl>
      <w:tblPr>
        <w:bidiVisual/>
        <w:tblW w:w="7370" w:type="dxa"/>
        <w:tblInd w:w="1134" w:type="dxa"/>
        <w:tblLayout w:type="fixed"/>
        <w:tblCellMar>
          <w:left w:w="0" w:type="dxa"/>
          <w:right w:w="0" w:type="dxa"/>
        </w:tblCellMar>
        <w:tblLook w:val="01E0" w:firstRow="1" w:lastRow="1" w:firstColumn="1" w:lastColumn="1" w:noHBand="0" w:noVBand="0"/>
      </w:tblPr>
      <w:tblGrid>
        <w:gridCol w:w="2977"/>
        <w:gridCol w:w="1098"/>
        <w:gridCol w:w="1098"/>
        <w:gridCol w:w="1098"/>
        <w:gridCol w:w="1099"/>
      </w:tblGrid>
      <w:tr w:rsidR="00681C20" w:rsidRPr="007429A7" w:rsidTr="00935EA2">
        <w:trPr>
          <w:tblHeader/>
        </w:trPr>
        <w:tc>
          <w:tcPr>
            <w:tcW w:w="2977" w:type="dxa"/>
            <w:tcBorders>
              <w:top w:val="single" w:sz="4" w:space="0" w:color="auto"/>
              <w:bottom w:val="single" w:sz="12" w:space="0" w:color="auto"/>
            </w:tcBorders>
            <w:shd w:val="clear" w:color="auto" w:fill="auto"/>
            <w:tcMar>
              <w:left w:w="0" w:type="dxa"/>
              <w:right w:w="0" w:type="dxa"/>
            </w:tcMar>
            <w:vAlign w:val="bottom"/>
          </w:tcPr>
          <w:p w:rsidR="00681C20" w:rsidRPr="007429A7" w:rsidRDefault="00681C20" w:rsidP="00935EA2">
            <w:pPr>
              <w:pStyle w:val="SingleTxtG"/>
              <w:suppressAutoHyphens w:val="0"/>
              <w:bidi/>
              <w:spacing w:before="80" w:after="80" w:line="200" w:lineRule="exact"/>
              <w:ind w:left="63" w:right="113"/>
              <w:jc w:val="left"/>
              <w:rPr>
                <w:rFonts w:cs="Traditional Arabic"/>
                <w:iCs/>
                <w:sz w:val="16"/>
                <w:szCs w:val="24"/>
              </w:rPr>
            </w:pPr>
            <w:r w:rsidRPr="007429A7">
              <w:rPr>
                <w:rFonts w:cs="Traditional Arabic" w:hint="cs"/>
                <w:iCs/>
                <w:sz w:val="16"/>
                <w:szCs w:val="24"/>
                <w:rtl/>
              </w:rPr>
              <w:t>عدد المتلقين وقيمة الإعانة</w:t>
            </w:r>
          </w:p>
        </w:tc>
        <w:tc>
          <w:tcPr>
            <w:tcW w:w="1098" w:type="dxa"/>
            <w:tcBorders>
              <w:top w:val="single" w:sz="4" w:space="0" w:color="auto"/>
              <w:bottom w:val="single" w:sz="12" w:space="0" w:color="auto"/>
            </w:tcBorders>
            <w:shd w:val="clear" w:color="auto" w:fill="auto"/>
            <w:tcMar>
              <w:left w:w="0" w:type="dxa"/>
              <w:right w:w="0" w:type="dxa"/>
            </w:tcMar>
            <w:vAlign w:val="bottom"/>
          </w:tcPr>
          <w:p w:rsidR="00681C20" w:rsidRPr="008F5270" w:rsidRDefault="00681C20" w:rsidP="00E50A23">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2006</w:t>
            </w:r>
          </w:p>
        </w:tc>
        <w:tc>
          <w:tcPr>
            <w:tcW w:w="1098" w:type="dxa"/>
            <w:tcBorders>
              <w:top w:val="single" w:sz="4" w:space="0" w:color="auto"/>
              <w:bottom w:val="single" w:sz="12" w:space="0" w:color="auto"/>
            </w:tcBorders>
            <w:shd w:val="clear" w:color="auto" w:fill="auto"/>
            <w:tcMar>
              <w:left w:w="0" w:type="dxa"/>
              <w:right w:w="0" w:type="dxa"/>
            </w:tcMar>
            <w:vAlign w:val="bottom"/>
          </w:tcPr>
          <w:p w:rsidR="00681C20" w:rsidRPr="008F5270" w:rsidRDefault="00681C20" w:rsidP="00E50A23">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2007</w:t>
            </w:r>
          </w:p>
        </w:tc>
        <w:tc>
          <w:tcPr>
            <w:tcW w:w="1098" w:type="dxa"/>
            <w:tcBorders>
              <w:top w:val="single" w:sz="4" w:space="0" w:color="auto"/>
              <w:bottom w:val="single" w:sz="12" w:space="0" w:color="auto"/>
            </w:tcBorders>
            <w:shd w:val="clear" w:color="auto" w:fill="auto"/>
            <w:tcMar>
              <w:left w:w="0" w:type="dxa"/>
              <w:right w:w="0" w:type="dxa"/>
            </w:tcMar>
            <w:vAlign w:val="bottom"/>
          </w:tcPr>
          <w:p w:rsidR="00681C20" w:rsidRPr="008F5270" w:rsidRDefault="00681C20" w:rsidP="00E50A23">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2008</w:t>
            </w:r>
          </w:p>
        </w:tc>
        <w:tc>
          <w:tcPr>
            <w:tcW w:w="1099" w:type="dxa"/>
            <w:tcBorders>
              <w:top w:val="single" w:sz="4" w:space="0" w:color="auto"/>
              <w:bottom w:val="single" w:sz="12" w:space="0" w:color="auto"/>
            </w:tcBorders>
            <w:shd w:val="clear" w:color="auto" w:fill="auto"/>
            <w:tcMar>
              <w:left w:w="0" w:type="dxa"/>
              <w:right w:w="0" w:type="dxa"/>
            </w:tcMar>
            <w:vAlign w:val="bottom"/>
          </w:tcPr>
          <w:p w:rsidR="00681C20" w:rsidRPr="008F5270" w:rsidRDefault="00681C20" w:rsidP="00E50A23">
            <w:pPr>
              <w:pStyle w:val="SingleTxtG"/>
              <w:suppressAutoHyphens w:val="0"/>
              <w:bidi/>
              <w:spacing w:before="80" w:after="80" w:line="200" w:lineRule="exact"/>
              <w:ind w:left="57" w:right="113"/>
              <w:jc w:val="lowKashida"/>
              <w:rPr>
                <w:rFonts w:cs="Traditional Arabic" w:hint="cs"/>
                <w:iCs/>
                <w:sz w:val="14"/>
                <w:szCs w:val="24"/>
                <w:rtl/>
              </w:rPr>
            </w:pPr>
            <w:r w:rsidRPr="008F5270">
              <w:rPr>
                <w:rFonts w:cs="Traditional Arabic" w:hint="cs"/>
                <w:iCs/>
                <w:sz w:val="14"/>
                <w:szCs w:val="24"/>
                <w:rtl/>
              </w:rPr>
              <w:t>2009</w:t>
            </w:r>
          </w:p>
        </w:tc>
      </w:tr>
      <w:tr w:rsidR="00681C20" w:rsidRPr="007429A7" w:rsidTr="00935EA2">
        <w:tc>
          <w:tcPr>
            <w:tcW w:w="2977" w:type="dxa"/>
            <w:tcBorders>
              <w:top w:val="single" w:sz="12" w:space="0" w:color="auto"/>
            </w:tcBorders>
            <w:shd w:val="clear" w:color="auto" w:fill="auto"/>
            <w:tcMar>
              <w:left w:w="0" w:type="dxa"/>
              <w:right w:w="0" w:type="dxa"/>
            </w:tcMar>
            <w:vAlign w:val="bottom"/>
          </w:tcPr>
          <w:p w:rsidR="00681C20" w:rsidRPr="007429A7" w:rsidRDefault="00681C20" w:rsidP="00935EA2">
            <w:pPr>
              <w:spacing w:before="40" w:after="40" w:line="220" w:lineRule="exact"/>
              <w:ind w:left="63" w:right="113"/>
              <w:rPr>
                <w:sz w:val="18"/>
                <w:szCs w:val="24"/>
              </w:rPr>
            </w:pPr>
            <w:r>
              <w:rPr>
                <w:rFonts w:hint="cs"/>
                <w:sz w:val="18"/>
                <w:szCs w:val="24"/>
                <w:rtl/>
              </w:rPr>
              <w:t>الأسر</w:t>
            </w:r>
          </w:p>
        </w:tc>
        <w:tc>
          <w:tcPr>
            <w:tcW w:w="1098" w:type="dxa"/>
            <w:tcBorders>
              <w:top w:val="single" w:sz="12" w:space="0" w:color="auto"/>
            </w:tcBorders>
            <w:shd w:val="clear" w:color="auto" w:fill="auto"/>
            <w:tcMar>
              <w:left w:w="0" w:type="dxa"/>
              <w:right w:w="0" w:type="dxa"/>
            </w:tcMar>
            <w:vAlign w:val="bottom"/>
          </w:tcPr>
          <w:p w:rsidR="00681C20" w:rsidRPr="007429A7" w:rsidRDefault="00681C20" w:rsidP="00E50A23">
            <w:pPr>
              <w:spacing w:before="40" w:after="40" w:line="220" w:lineRule="exact"/>
              <w:ind w:left="57" w:right="113"/>
              <w:rPr>
                <w:sz w:val="18"/>
                <w:szCs w:val="24"/>
              </w:rPr>
            </w:pPr>
            <w:r>
              <w:rPr>
                <w:rFonts w:hint="cs"/>
                <w:sz w:val="18"/>
                <w:szCs w:val="24"/>
                <w:rtl/>
              </w:rPr>
              <w:t>42</w:t>
            </w:r>
          </w:p>
        </w:tc>
        <w:tc>
          <w:tcPr>
            <w:tcW w:w="1098" w:type="dxa"/>
            <w:tcBorders>
              <w:top w:val="single" w:sz="12" w:space="0" w:color="auto"/>
            </w:tcBorders>
            <w:shd w:val="clear" w:color="auto" w:fill="auto"/>
            <w:tcMar>
              <w:left w:w="0" w:type="dxa"/>
              <w:right w:w="0" w:type="dxa"/>
            </w:tcMar>
            <w:vAlign w:val="bottom"/>
          </w:tcPr>
          <w:p w:rsidR="00681C20" w:rsidRPr="007429A7" w:rsidRDefault="00681C20" w:rsidP="00E50A23">
            <w:pPr>
              <w:spacing w:before="40" w:after="40" w:line="220" w:lineRule="exact"/>
              <w:ind w:left="57" w:right="113"/>
              <w:rPr>
                <w:sz w:val="18"/>
                <w:szCs w:val="24"/>
              </w:rPr>
            </w:pPr>
            <w:r>
              <w:rPr>
                <w:rFonts w:hint="cs"/>
                <w:sz w:val="18"/>
                <w:szCs w:val="24"/>
                <w:rtl/>
              </w:rPr>
              <w:t>49</w:t>
            </w:r>
          </w:p>
        </w:tc>
        <w:tc>
          <w:tcPr>
            <w:tcW w:w="1098" w:type="dxa"/>
            <w:tcBorders>
              <w:top w:val="single" w:sz="12" w:space="0" w:color="auto"/>
            </w:tcBorders>
            <w:shd w:val="clear" w:color="auto" w:fill="auto"/>
            <w:tcMar>
              <w:left w:w="0" w:type="dxa"/>
              <w:right w:w="0" w:type="dxa"/>
            </w:tcMar>
            <w:vAlign w:val="bottom"/>
          </w:tcPr>
          <w:p w:rsidR="00681C20" w:rsidRPr="007429A7" w:rsidRDefault="00681C20" w:rsidP="00E50A23">
            <w:pPr>
              <w:spacing w:before="40" w:after="40" w:line="220" w:lineRule="exact"/>
              <w:ind w:left="57" w:right="113"/>
              <w:rPr>
                <w:sz w:val="18"/>
                <w:szCs w:val="24"/>
              </w:rPr>
            </w:pPr>
            <w:r>
              <w:rPr>
                <w:rFonts w:hint="cs"/>
                <w:sz w:val="18"/>
                <w:szCs w:val="24"/>
                <w:rtl/>
              </w:rPr>
              <w:t>45</w:t>
            </w:r>
          </w:p>
        </w:tc>
        <w:tc>
          <w:tcPr>
            <w:tcW w:w="1099" w:type="dxa"/>
            <w:tcBorders>
              <w:top w:val="single" w:sz="12" w:space="0" w:color="auto"/>
            </w:tcBorders>
            <w:shd w:val="clear" w:color="auto" w:fill="auto"/>
            <w:tcMar>
              <w:left w:w="0" w:type="dxa"/>
              <w:right w:w="0" w:type="dxa"/>
            </w:tcMar>
            <w:vAlign w:val="bottom"/>
          </w:tcPr>
          <w:p w:rsidR="00681C20" w:rsidRPr="007429A7" w:rsidRDefault="00681C20" w:rsidP="00E50A23">
            <w:pPr>
              <w:spacing w:before="40" w:after="40" w:line="220" w:lineRule="exact"/>
              <w:ind w:left="57" w:right="113"/>
              <w:rPr>
                <w:sz w:val="18"/>
                <w:szCs w:val="24"/>
              </w:rPr>
            </w:pPr>
            <w:r>
              <w:rPr>
                <w:rFonts w:hint="cs"/>
                <w:sz w:val="18"/>
                <w:szCs w:val="24"/>
                <w:rtl/>
              </w:rPr>
              <w:t>36</w:t>
            </w:r>
          </w:p>
        </w:tc>
      </w:tr>
      <w:tr w:rsidR="00681C20" w:rsidRPr="007429A7" w:rsidTr="00935EA2">
        <w:tc>
          <w:tcPr>
            <w:tcW w:w="2977" w:type="dxa"/>
            <w:tcBorders>
              <w:bottom w:val="single" w:sz="4" w:space="0" w:color="auto"/>
            </w:tcBorders>
            <w:shd w:val="clear" w:color="auto" w:fill="auto"/>
            <w:tcMar>
              <w:left w:w="0" w:type="dxa"/>
              <w:right w:w="0" w:type="dxa"/>
            </w:tcMar>
            <w:vAlign w:val="bottom"/>
          </w:tcPr>
          <w:p w:rsidR="00681C20" w:rsidRPr="007429A7" w:rsidRDefault="00681C20" w:rsidP="00935EA2">
            <w:pPr>
              <w:spacing w:before="40" w:after="40" w:line="220" w:lineRule="exact"/>
              <w:ind w:left="63" w:right="113"/>
              <w:rPr>
                <w:sz w:val="18"/>
                <w:szCs w:val="24"/>
              </w:rPr>
            </w:pPr>
            <w:r>
              <w:rPr>
                <w:rFonts w:hint="cs"/>
                <w:sz w:val="18"/>
                <w:szCs w:val="24"/>
                <w:rtl/>
              </w:rPr>
              <w:t>الأفراد</w:t>
            </w:r>
          </w:p>
        </w:tc>
        <w:tc>
          <w:tcPr>
            <w:tcW w:w="1098" w:type="dxa"/>
            <w:tcBorders>
              <w:bottom w:val="single" w:sz="4" w:space="0" w:color="auto"/>
            </w:tcBorders>
            <w:shd w:val="clear" w:color="auto" w:fill="auto"/>
            <w:tcMar>
              <w:left w:w="0" w:type="dxa"/>
              <w:right w:w="0" w:type="dxa"/>
            </w:tcMar>
            <w:vAlign w:val="bottom"/>
          </w:tcPr>
          <w:p w:rsidR="00681C20" w:rsidRPr="007429A7" w:rsidRDefault="00681C20" w:rsidP="00E50A23">
            <w:pPr>
              <w:spacing w:before="40" w:after="40" w:line="220" w:lineRule="exact"/>
              <w:ind w:left="57" w:right="113"/>
              <w:rPr>
                <w:sz w:val="18"/>
                <w:szCs w:val="24"/>
              </w:rPr>
            </w:pPr>
            <w:r>
              <w:rPr>
                <w:rFonts w:hint="cs"/>
                <w:sz w:val="18"/>
                <w:szCs w:val="24"/>
                <w:rtl/>
              </w:rPr>
              <w:t>42</w:t>
            </w:r>
          </w:p>
        </w:tc>
        <w:tc>
          <w:tcPr>
            <w:tcW w:w="1098" w:type="dxa"/>
            <w:tcBorders>
              <w:bottom w:val="single" w:sz="4" w:space="0" w:color="auto"/>
            </w:tcBorders>
            <w:shd w:val="clear" w:color="auto" w:fill="auto"/>
            <w:tcMar>
              <w:left w:w="0" w:type="dxa"/>
              <w:right w:w="0" w:type="dxa"/>
            </w:tcMar>
            <w:vAlign w:val="bottom"/>
          </w:tcPr>
          <w:p w:rsidR="00681C20" w:rsidRPr="007429A7" w:rsidRDefault="00681C20" w:rsidP="00E50A23">
            <w:pPr>
              <w:spacing w:before="40" w:after="40" w:line="220" w:lineRule="exact"/>
              <w:ind w:left="57" w:right="113"/>
              <w:rPr>
                <w:sz w:val="18"/>
                <w:szCs w:val="24"/>
              </w:rPr>
            </w:pPr>
            <w:r>
              <w:rPr>
                <w:rFonts w:hint="cs"/>
                <w:sz w:val="18"/>
                <w:szCs w:val="24"/>
                <w:rtl/>
              </w:rPr>
              <w:t>49</w:t>
            </w:r>
          </w:p>
        </w:tc>
        <w:tc>
          <w:tcPr>
            <w:tcW w:w="1098" w:type="dxa"/>
            <w:tcBorders>
              <w:bottom w:val="single" w:sz="4" w:space="0" w:color="auto"/>
            </w:tcBorders>
            <w:shd w:val="clear" w:color="auto" w:fill="auto"/>
            <w:tcMar>
              <w:left w:w="0" w:type="dxa"/>
              <w:right w:w="0" w:type="dxa"/>
            </w:tcMar>
            <w:vAlign w:val="bottom"/>
          </w:tcPr>
          <w:p w:rsidR="00681C20" w:rsidRPr="007429A7" w:rsidRDefault="00681C20" w:rsidP="00E50A23">
            <w:pPr>
              <w:spacing w:before="40" w:after="40" w:line="220" w:lineRule="exact"/>
              <w:ind w:left="57" w:right="113"/>
              <w:rPr>
                <w:sz w:val="18"/>
                <w:szCs w:val="24"/>
              </w:rPr>
            </w:pPr>
            <w:r>
              <w:rPr>
                <w:rFonts w:hint="cs"/>
                <w:sz w:val="18"/>
                <w:szCs w:val="24"/>
                <w:rtl/>
              </w:rPr>
              <w:t>45</w:t>
            </w:r>
          </w:p>
        </w:tc>
        <w:tc>
          <w:tcPr>
            <w:tcW w:w="1099" w:type="dxa"/>
            <w:tcBorders>
              <w:bottom w:val="single" w:sz="4" w:space="0" w:color="auto"/>
            </w:tcBorders>
            <w:shd w:val="clear" w:color="auto" w:fill="auto"/>
            <w:tcMar>
              <w:left w:w="0" w:type="dxa"/>
              <w:right w:w="0" w:type="dxa"/>
            </w:tcMar>
            <w:vAlign w:val="bottom"/>
          </w:tcPr>
          <w:p w:rsidR="00681C20" w:rsidRPr="007429A7" w:rsidRDefault="00681C20" w:rsidP="00E50A23">
            <w:pPr>
              <w:spacing w:before="40" w:after="40" w:line="220" w:lineRule="exact"/>
              <w:ind w:left="57" w:right="113"/>
              <w:rPr>
                <w:sz w:val="18"/>
                <w:szCs w:val="24"/>
              </w:rPr>
            </w:pPr>
            <w:r>
              <w:rPr>
                <w:rFonts w:hint="cs"/>
                <w:sz w:val="18"/>
                <w:szCs w:val="24"/>
                <w:rtl/>
              </w:rPr>
              <w:t>36</w:t>
            </w:r>
          </w:p>
        </w:tc>
      </w:tr>
      <w:tr w:rsidR="00681C20" w:rsidRPr="007429A7" w:rsidTr="00935EA2">
        <w:tc>
          <w:tcPr>
            <w:tcW w:w="2977" w:type="dxa"/>
            <w:tcBorders>
              <w:top w:val="single" w:sz="4" w:space="0" w:color="auto"/>
              <w:bottom w:val="single" w:sz="12" w:space="0" w:color="auto"/>
            </w:tcBorders>
            <w:shd w:val="clear" w:color="auto" w:fill="auto"/>
            <w:tcMar>
              <w:left w:w="0" w:type="dxa"/>
              <w:right w:w="0" w:type="dxa"/>
            </w:tcMar>
          </w:tcPr>
          <w:p w:rsidR="00681C20" w:rsidRPr="008F5270" w:rsidRDefault="00681C20" w:rsidP="00935EA2">
            <w:pPr>
              <w:pStyle w:val="SingleTxtG"/>
              <w:suppressAutoHyphens w:val="0"/>
              <w:bidi/>
              <w:spacing w:before="80" w:after="80" w:line="220" w:lineRule="exact"/>
              <w:ind w:left="63" w:right="113" w:firstLine="284"/>
              <w:jc w:val="left"/>
              <w:rPr>
                <w:rFonts w:cs="Traditional Arabic"/>
                <w:b/>
                <w:sz w:val="18"/>
                <w:szCs w:val="24"/>
                <w:lang w:val="en-US"/>
              </w:rPr>
            </w:pPr>
            <w:r w:rsidRPr="008F5270">
              <w:rPr>
                <w:rFonts w:cs="Traditional Arabic" w:hint="cs"/>
                <w:bCs/>
                <w:sz w:val="14"/>
                <w:szCs w:val="24"/>
                <w:rtl/>
              </w:rPr>
              <w:t>إجمالي قيمة الإعانات (باتالات ماكاو)</w:t>
            </w:r>
          </w:p>
        </w:tc>
        <w:tc>
          <w:tcPr>
            <w:tcW w:w="1098" w:type="dxa"/>
            <w:tcBorders>
              <w:top w:val="single" w:sz="4" w:space="0" w:color="auto"/>
              <w:bottom w:val="single" w:sz="12" w:space="0" w:color="auto"/>
            </w:tcBorders>
            <w:shd w:val="clear" w:color="auto" w:fill="auto"/>
            <w:tcMar>
              <w:left w:w="0" w:type="dxa"/>
              <w:right w:w="0" w:type="dxa"/>
            </w:tcMar>
            <w:vAlign w:val="bottom"/>
          </w:tcPr>
          <w:p w:rsidR="00681C20" w:rsidRPr="007429A7" w:rsidRDefault="00681C20" w:rsidP="00E50A23">
            <w:pPr>
              <w:spacing w:before="80" w:after="80" w:line="220" w:lineRule="exact"/>
              <w:ind w:left="57" w:right="113"/>
              <w:rPr>
                <w:bCs/>
                <w:sz w:val="18"/>
                <w:szCs w:val="24"/>
              </w:rPr>
            </w:pPr>
            <w:r w:rsidRPr="007429A7">
              <w:rPr>
                <w:rFonts w:hint="cs"/>
                <w:bCs/>
                <w:sz w:val="18"/>
                <w:szCs w:val="24"/>
                <w:rtl/>
              </w:rPr>
              <w:t>850 349</w:t>
            </w:r>
          </w:p>
        </w:tc>
        <w:tc>
          <w:tcPr>
            <w:tcW w:w="1098" w:type="dxa"/>
            <w:tcBorders>
              <w:top w:val="single" w:sz="4" w:space="0" w:color="auto"/>
              <w:bottom w:val="single" w:sz="12" w:space="0" w:color="auto"/>
            </w:tcBorders>
            <w:shd w:val="clear" w:color="auto" w:fill="auto"/>
            <w:tcMar>
              <w:left w:w="0" w:type="dxa"/>
              <w:right w:w="0" w:type="dxa"/>
            </w:tcMar>
            <w:vAlign w:val="bottom"/>
          </w:tcPr>
          <w:p w:rsidR="00681C20" w:rsidRPr="007429A7" w:rsidRDefault="00681C20" w:rsidP="00E50A23">
            <w:pPr>
              <w:spacing w:before="80" w:after="80" w:line="220" w:lineRule="exact"/>
              <w:ind w:left="57" w:right="113"/>
              <w:rPr>
                <w:bCs/>
                <w:sz w:val="18"/>
                <w:szCs w:val="24"/>
              </w:rPr>
            </w:pPr>
            <w:r w:rsidRPr="007429A7">
              <w:rPr>
                <w:rFonts w:hint="cs"/>
                <w:bCs/>
                <w:sz w:val="18"/>
                <w:szCs w:val="24"/>
                <w:rtl/>
              </w:rPr>
              <w:t>177 474</w:t>
            </w:r>
          </w:p>
        </w:tc>
        <w:tc>
          <w:tcPr>
            <w:tcW w:w="1098" w:type="dxa"/>
            <w:tcBorders>
              <w:top w:val="single" w:sz="4" w:space="0" w:color="auto"/>
              <w:bottom w:val="single" w:sz="12" w:space="0" w:color="auto"/>
            </w:tcBorders>
            <w:shd w:val="clear" w:color="auto" w:fill="auto"/>
            <w:tcMar>
              <w:left w:w="0" w:type="dxa"/>
              <w:right w:w="0" w:type="dxa"/>
            </w:tcMar>
            <w:vAlign w:val="bottom"/>
          </w:tcPr>
          <w:p w:rsidR="00681C20" w:rsidRPr="007429A7" w:rsidRDefault="00681C20" w:rsidP="00E50A23">
            <w:pPr>
              <w:spacing w:before="80" w:after="80" w:line="220" w:lineRule="exact"/>
              <w:ind w:left="57" w:right="113"/>
              <w:rPr>
                <w:bCs/>
                <w:sz w:val="18"/>
                <w:szCs w:val="24"/>
              </w:rPr>
            </w:pPr>
            <w:r w:rsidRPr="007429A7">
              <w:rPr>
                <w:rFonts w:hint="cs"/>
                <w:bCs/>
                <w:sz w:val="18"/>
                <w:szCs w:val="24"/>
                <w:rtl/>
              </w:rPr>
              <w:t>015 622</w:t>
            </w:r>
          </w:p>
        </w:tc>
        <w:tc>
          <w:tcPr>
            <w:tcW w:w="1099" w:type="dxa"/>
            <w:tcBorders>
              <w:top w:val="single" w:sz="4" w:space="0" w:color="auto"/>
              <w:bottom w:val="single" w:sz="12" w:space="0" w:color="auto"/>
            </w:tcBorders>
            <w:shd w:val="clear" w:color="auto" w:fill="auto"/>
            <w:tcMar>
              <w:left w:w="0" w:type="dxa"/>
              <w:right w:w="0" w:type="dxa"/>
            </w:tcMar>
            <w:vAlign w:val="bottom"/>
          </w:tcPr>
          <w:p w:rsidR="00681C20" w:rsidRPr="007429A7" w:rsidRDefault="00681C20" w:rsidP="00E50A23">
            <w:pPr>
              <w:spacing w:before="80" w:after="80" w:line="220" w:lineRule="exact"/>
              <w:ind w:left="57" w:right="113"/>
              <w:rPr>
                <w:bCs/>
                <w:sz w:val="18"/>
                <w:szCs w:val="24"/>
              </w:rPr>
            </w:pPr>
            <w:r w:rsidRPr="007429A7">
              <w:rPr>
                <w:rFonts w:hint="cs"/>
                <w:bCs/>
                <w:sz w:val="18"/>
                <w:szCs w:val="24"/>
                <w:rtl/>
              </w:rPr>
              <w:t>262 479</w:t>
            </w:r>
          </w:p>
        </w:tc>
      </w:tr>
    </w:tbl>
    <w:p w:rsidR="00681C20" w:rsidRPr="00E50A23" w:rsidRDefault="00681C20" w:rsidP="00397E4F">
      <w:pPr>
        <w:pStyle w:val="SingleTxtGA"/>
        <w:spacing w:before="120" w:after="60" w:line="300" w:lineRule="exact"/>
        <w:rPr>
          <w:rFonts w:hint="cs"/>
          <w:sz w:val="26"/>
          <w:szCs w:val="26"/>
          <w:rtl/>
        </w:rPr>
      </w:pPr>
      <w:r w:rsidRPr="00E50A23">
        <w:rPr>
          <w:rFonts w:hint="cs"/>
          <w:i/>
          <w:iCs/>
          <w:sz w:val="26"/>
          <w:szCs w:val="26"/>
          <w:rtl/>
        </w:rPr>
        <w:t>المصدر:</w:t>
      </w:r>
      <w:r w:rsidRPr="00E50A23">
        <w:rPr>
          <w:rFonts w:hint="cs"/>
          <w:sz w:val="26"/>
          <w:szCs w:val="26"/>
          <w:rtl/>
        </w:rPr>
        <w:t xml:space="preserve"> مكتب الرعاية الاجتماعية.</w:t>
      </w:r>
    </w:p>
    <w:p w:rsidR="00681C20" w:rsidRPr="00E50A23" w:rsidRDefault="00681C20" w:rsidP="00397E4F">
      <w:pPr>
        <w:pStyle w:val="SingleTxtGA"/>
        <w:spacing w:after="60" w:line="300" w:lineRule="exact"/>
        <w:rPr>
          <w:rFonts w:hint="cs"/>
          <w:sz w:val="26"/>
          <w:szCs w:val="26"/>
          <w:rtl/>
        </w:rPr>
      </w:pPr>
      <w:r w:rsidRPr="00E50A23">
        <w:rPr>
          <w:rFonts w:hint="cs"/>
          <w:i/>
          <w:iCs/>
          <w:sz w:val="26"/>
          <w:szCs w:val="26"/>
          <w:rtl/>
        </w:rPr>
        <w:t>ملاحظة:</w:t>
      </w:r>
      <w:r w:rsidRPr="00E50A23">
        <w:rPr>
          <w:rFonts w:hint="cs"/>
          <w:sz w:val="26"/>
          <w:szCs w:val="26"/>
          <w:rtl/>
        </w:rPr>
        <w:t xml:space="preserve"> 1 دولار من دولارات الولايات المتحدة = 7.9335 من </w:t>
      </w:r>
      <w:r w:rsidRPr="00E50A23">
        <w:rPr>
          <w:sz w:val="26"/>
          <w:szCs w:val="26"/>
          <w:rtl/>
        </w:rPr>
        <w:t>باتالات ماكاو</w:t>
      </w:r>
      <w:r w:rsidRPr="00E50A23">
        <w:rPr>
          <w:rFonts w:hint="cs"/>
          <w:sz w:val="26"/>
          <w:szCs w:val="26"/>
          <w:rtl/>
        </w:rPr>
        <w:t>.</w:t>
      </w:r>
    </w:p>
    <w:p w:rsidR="00681C20" w:rsidRPr="00E50A23" w:rsidRDefault="00681C20" w:rsidP="00681C20">
      <w:pPr>
        <w:pStyle w:val="SingleTxtGA"/>
        <w:rPr>
          <w:rFonts w:hint="cs"/>
          <w:spacing w:val="-2"/>
          <w:rtl/>
        </w:rPr>
      </w:pPr>
      <w:r w:rsidRPr="00E50A23">
        <w:rPr>
          <w:rFonts w:hint="cs"/>
          <w:spacing w:val="-2"/>
          <w:rtl/>
        </w:rPr>
        <w:t>65-</w:t>
      </w:r>
      <w:r w:rsidRPr="00E50A23">
        <w:rPr>
          <w:rFonts w:hint="cs"/>
          <w:spacing w:val="-2"/>
          <w:rtl/>
        </w:rPr>
        <w:tab/>
        <w:t>وبالإضافة إلى ذلك، استُحدثت خدمة المساعدة من بعد في حالات الطوارئ من أجل أولئك الذين يحتاجون إلى رعاية خاصة والمسنين (قرار المدير التنفيذي الأول 279/2009، الصادر في 3 آب/أغسطس). وتشمل هذه الخدمة طلب سيارة الإسعاف، والاتصال بالأسرة أو بالأشخاص الرئيسيين، وخط هاتفي ساخن لتقديم تذكير منتظم بمواعيد الرعاية، أو لتوفير العلاقات الاجتماعية. وبلغ عدد المستخدمين 650 شخصاً في عام 2009، وبلغ التمويل المقابل 990 818 1 من باتالات ماكاو.</w:t>
      </w:r>
    </w:p>
    <w:p w:rsidR="00681C20" w:rsidRDefault="00E50A23" w:rsidP="00E50A23">
      <w:pPr>
        <w:pStyle w:val="H1GA"/>
        <w:spacing w:before="120"/>
        <w:jc w:val="left"/>
        <w:rPr>
          <w:rFonts w:hint="cs"/>
          <w:rtl/>
        </w:rPr>
      </w:pPr>
      <w:r>
        <w:rPr>
          <w:rFonts w:hint="cs"/>
          <w:rtl/>
        </w:rPr>
        <w:tab/>
      </w:r>
      <w:r>
        <w:rPr>
          <w:rFonts w:hint="cs"/>
          <w:rtl/>
        </w:rPr>
        <w:tab/>
      </w:r>
      <w:r w:rsidR="00681C20">
        <w:rPr>
          <w:rFonts w:hint="cs"/>
          <w:rtl/>
        </w:rPr>
        <w:t>المادة 21</w:t>
      </w:r>
      <w:r w:rsidR="00681C20">
        <w:rPr>
          <w:rFonts w:hint="cs"/>
          <w:rtl/>
        </w:rPr>
        <w:br/>
        <w:t>(</w:t>
      </w:r>
      <w:r w:rsidR="00681C20" w:rsidRPr="0007672F">
        <w:rPr>
          <w:rtl/>
        </w:rPr>
        <w:t>حرية التعبير والرأي والحصول على معلومات</w:t>
      </w:r>
      <w:r w:rsidR="00681C20">
        <w:rPr>
          <w:rFonts w:hint="cs"/>
          <w:rtl/>
        </w:rPr>
        <w:t>)</w:t>
      </w:r>
    </w:p>
    <w:p w:rsidR="00681C20" w:rsidRPr="00E50A23" w:rsidRDefault="00681C20" w:rsidP="00681C20">
      <w:pPr>
        <w:pStyle w:val="SingleTxtGA"/>
        <w:rPr>
          <w:rFonts w:hint="cs"/>
          <w:spacing w:val="-2"/>
          <w:rtl/>
        </w:rPr>
      </w:pPr>
      <w:r w:rsidRPr="00E50A23">
        <w:rPr>
          <w:rFonts w:hint="cs"/>
          <w:spacing w:val="-2"/>
          <w:rtl/>
        </w:rPr>
        <w:t>66-</w:t>
      </w:r>
      <w:r w:rsidRPr="00E50A23">
        <w:rPr>
          <w:rFonts w:hint="cs"/>
          <w:spacing w:val="-2"/>
          <w:rtl/>
        </w:rPr>
        <w:tab/>
        <w:t xml:space="preserve">يكفل القانون الأساسي حرية </w:t>
      </w:r>
      <w:r w:rsidRPr="00E50A23">
        <w:rPr>
          <w:spacing w:val="-2"/>
          <w:rtl/>
        </w:rPr>
        <w:t>التعبير عن الرأي وحرية الصحافة وحرية النشر</w:t>
      </w:r>
      <w:r w:rsidRPr="00E50A23">
        <w:rPr>
          <w:rFonts w:hint="cs"/>
          <w:spacing w:val="-2"/>
          <w:rtl/>
        </w:rPr>
        <w:t xml:space="preserve">، وحرية </w:t>
      </w:r>
      <w:r w:rsidRPr="00E50A23">
        <w:rPr>
          <w:spacing w:val="-2"/>
          <w:rtl/>
        </w:rPr>
        <w:t>تكوين الجمعيات وحرية التجمع وحرية القيام بمسيرات وبمظاهرات</w:t>
      </w:r>
      <w:r w:rsidRPr="00E50A23">
        <w:rPr>
          <w:rFonts w:hint="cs"/>
          <w:spacing w:val="-2"/>
          <w:rtl/>
        </w:rPr>
        <w:t xml:space="preserve"> (الجزء الأول من</w:t>
      </w:r>
      <w:r w:rsidR="00E50A23">
        <w:rPr>
          <w:rFonts w:hint="cs"/>
          <w:spacing w:val="-2"/>
          <w:rtl/>
        </w:rPr>
        <w:t xml:space="preserve">          </w:t>
      </w:r>
      <w:r w:rsidRPr="00E50A23">
        <w:rPr>
          <w:rFonts w:hint="cs"/>
          <w:spacing w:val="-2"/>
          <w:rtl/>
        </w:rPr>
        <w:t xml:space="preserve"> المادة 27)، وحرية الاتصالات وخصوصية الاتصالات (الفقرة الأولى من المادة 32)، وحرية العقيدة والمعتقد الديني، </w:t>
      </w:r>
      <w:r w:rsidRPr="00E50A23">
        <w:rPr>
          <w:spacing w:val="-2"/>
          <w:rtl/>
        </w:rPr>
        <w:t>وحرية الوعظ والقيام بالأنشطة الدينية والمشاركة فيها علناً</w:t>
      </w:r>
      <w:r w:rsidRPr="00E50A23">
        <w:rPr>
          <w:rFonts w:hint="cs"/>
          <w:spacing w:val="-2"/>
          <w:rtl/>
        </w:rPr>
        <w:t xml:space="preserve"> (المادة 34).</w:t>
      </w:r>
    </w:p>
    <w:p w:rsidR="00681C20" w:rsidRPr="00E50A23" w:rsidRDefault="00681C20" w:rsidP="00E50A23">
      <w:pPr>
        <w:pStyle w:val="SingleTxtGA"/>
        <w:rPr>
          <w:rFonts w:hint="cs"/>
          <w:spacing w:val="-2"/>
          <w:rtl/>
        </w:rPr>
      </w:pPr>
      <w:r w:rsidRPr="00E50A23">
        <w:rPr>
          <w:rFonts w:hint="cs"/>
          <w:spacing w:val="-2"/>
          <w:rtl/>
        </w:rPr>
        <w:t>67-</w:t>
      </w:r>
      <w:r w:rsidRPr="00E50A23">
        <w:rPr>
          <w:rFonts w:hint="cs"/>
          <w:spacing w:val="-2"/>
          <w:rtl/>
        </w:rPr>
        <w:tab/>
        <w:t>ولكل شخص الحق في الحصول على المعلومات العامة شريطة ألا تكون هذه المعلومات ذات طابع سري أو ألا تكون متصلة بخصوصية فردية (المادة 9(1)(أ) من قانون الإجراءات الإدارية). وبمزيد من التحديد، وفيما يتعلق بالحصول على المعلومات عن طريق الأشخاص ذوي الإعاقة، تلزم المادة 5(و) من المرسوم بقانون 33/99/م، في إشارة إلى الحق في المعلومات، بإعلام الأشخاص ذوي الإعاقة (وأسرهم)، بطريقة دائمة بحقوقهم وبالهياكل القائمة المخصصة لمساعدتهم. وبالتالي، ترسل الإدارات الحكومية المختصة رسائل بشأن هذه المسائل، بما في ذلك تطبيق الإعانات والخدمات ذات الصلة المقدمة إلى الأشخاص ذوي الإعاقة، عن طريق طائفة من القنوات مثل المطويات الدعائية، وصفحات الويب، وإعلانات التليفزيون والإذاعة، وخطوط الهاتف الساخنة، والاستفسارات الهاتفية، بكلتا اللغتين الرسميتين.</w:t>
      </w:r>
    </w:p>
    <w:p w:rsidR="00681C20" w:rsidRDefault="00E50A23" w:rsidP="00E50A23">
      <w:pPr>
        <w:pStyle w:val="H1GA"/>
        <w:jc w:val="left"/>
        <w:rPr>
          <w:rFonts w:hint="cs"/>
          <w:rtl/>
        </w:rPr>
      </w:pPr>
      <w:r>
        <w:rPr>
          <w:rFonts w:hint="cs"/>
          <w:rtl/>
        </w:rPr>
        <w:tab/>
      </w:r>
      <w:r>
        <w:rPr>
          <w:rFonts w:hint="cs"/>
          <w:rtl/>
        </w:rPr>
        <w:tab/>
      </w:r>
      <w:r w:rsidR="00681C20">
        <w:rPr>
          <w:rFonts w:hint="cs"/>
          <w:rtl/>
        </w:rPr>
        <w:t>المادة 22</w:t>
      </w:r>
      <w:r w:rsidR="00681C20">
        <w:rPr>
          <w:rFonts w:hint="cs"/>
          <w:rtl/>
        </w:rPr>
        <w:br/>
        <w:t>(احترام الخصوصية)</w:t>
      </w:r>
    </w:p>
    <w:p w:rsidR="00681C20" w:rsidRDefault="00681C20" w:rsidP="00E50A23">
      <w:pPr>
        <w:pStyle w:val="SingleTxtGA"/>
        <w:rPr>
          <w:rFonts w:hint="cs"/>
          <w:rtl/>
        </w:rPr>
      </w:pPr>
      <w:r>
        <w:rPr>
          <w:rFonts w:hint="cs"/>
          <w:rtl/>
        </w:rPr>
        <w:t>68-</w:t>
      </w:r>
      <w:r>
        <w:rPr>
          <w:rFonts w:hint="cs"/>
          <w:rtl/>
        </w:rPr>
        <w:tab/>
        <w:t xml:space="preserve">يكرَّس </w:t>
      </w:r>
      <w:r w:rsidRPr="00FD17D7">
        <w:rPr>
          <w:rtl/>
        </w:rPr>
        <w:t>حق الشخص في عدم تشويه سمعته وحقه في حرمة حياته الخاصة وحياته الأسرية</w:t>
      </w:r>
      <w:r>
        <w:rPr>
          <w:rFonts w:hint="cs"/>
          <w:rtl/>
        </w:rPr>
        <w:t xml:space="preserve"> في الفقرة 2 من المادة 30 من القانون الأساسي الذي يفرض كذلك في المادة 31 </w:t>
      </w:r>
      <w:r w:rsidR="00E50A23">
        <w:rPr>
          <w:rFonts w:hint="cs"/>
          <w:rtl/>
        </w:rPr>
        <w:t xml:space="preserve">حرمة </w:t>
      </w:r>
      <w:r>
        <w:rPr>
          <w:rFonts w:hint="cs"/>
          <w:rtl/>
        </w:rPr>
        <w:t xml:space="preserve">منازل سكان ماكاو وأبنيتهم الأخرى، ويحظر </w:t>
      </w:r>
      <w:r w:rsidRPr="00FD17D7">
        <w:rPr>
          <w:rtl/>
        </w:rPr>
        <w:t xml:space="preserve">التفتيش التعسفي أو غير القانوني، أو اقتحام </w:t>
      </w:r>
      <w:r>
        <w:rPr>
          <w:rFonts w:hint="cs"/>
          <w:rtl/>
        </w:rPr>
        <w:t>منزل</w:t>
      </w:r>
      <w:r w:rsidRPr="00FD17D7">
        <w:rPr>
          <w:rtl/>
        </w:rPr>
        <w:t xml:space="preserve"> </w:t>
      </w:r>
      <w:r>
        <w:rPr>
          <w:rFonts w:hint="cs"/>
          <w:rtl/>
        </w:rPr>
        <w:t>أحد السكان</w:t>
      </w:r>
      <w:r w:rsidRPr="00FD17D7">
        <w:rPr>
          <w:rtl/>
        </w:rPr>
        <w:t xml:space="preserve"> أو </w:t>
      </w:r>
      <w:r>
        <w:rPr>
          <w:rFonts w:hint="cs"/>
          <w:rtl/>
        </w:rPr>
        <w:t>أبنيته</w:t>
      </w:r>
      <w:r w:rsidRPr="00FD17D7">
        <w:rPr>
          <w:rtl/>
        </w:rPr>
        <w:t xml:space="preserve"> الأخرى</w:t>
      </w:r>
      <w:r>
        <w:rPr>
          <w:rFonts w:hint="cs"/>
          <w:rtl/>
        </w:rPr>
        <w:t>.</w:t>
      </w:r>
    </w:p>
    <w:p w:rsidR="00681C20" w:rsidRDefault="00681C20" w:rsidP="00E50A23">
      <w:pPr>
        <w:pStyle w:val="SingleTxtGA"/>
        <w:rPr>
          <w:rFonts w:hint="cs"/>
          <w:rtl/>
        </w:rPr>
      </w:pPr>
      <w:r>
        <w:rPr>
          <w:rFonts w:hint="cs"/>
          <w:rtl/>
        </w:rPr>
        <w:t>69-</w:t>
      </w:r>
      <w:r>
        <w:rPr>
          <w:rFonts w:hint="cs"/>
          <w:rtl/>
        </w:rPr>
        <w:tab/>
        <w:t xml:space="preserve">وينص القانون المدني على الحق في حميمية الحياة الخاصة وسرية الاتصالات ومذكرات الأسرة وغيرها من المخطوطات الخاصة، واستخدام الاتصالات غير السرية، والحق في السيرة الذاتية، وحق الفرد في الاطلاع على بياناته الشخصية الواردة في قواعد البيانات أو المسجلة فيها فضلاً عن استخدامها، والحق في طلب تصويب هذه المعلومات أو تحديثها، ما لم تنص على </w:t>
      </w:r>
      <w:r w:rsidR="00E50A23">
        <w:rPr>
          <w:rFonts w:hint="cs"/>
          <w:rtl/>
        </w:rPr>
        <w:t xml:space="preserve">خلاف </w:t>
      </w:r>
      <w:r>
        <w:rPr>
          <w:rFonts w:hint="cs"/>
          <w:rtl/>
        </w:rPr>
        <w:t>ذلك الأحكام المتعلقة بالسرية القضائية وكذلك حماية البيانات الشخصية، وحق الشخص في صورته وكلماته، ويحظر الكشف عن الحياة الشخصية للآخرين. ولتعزيز حماية الخصوصية، اعتُمد القانون 8/2005، الصادر في 22 آب/أغسطس، بشأن معالجة البيانات الخاصة وحمايتها. وتعتبر المعلومات المتعلقة بسمات الشخص من حيث الجوانب البدنية والجسمانية والنفسية والحالة الاقتصادية والثقافة والظروف الاجتماعية التي يمكنها تحديد هويته بطريقة مباشرة أو غير مباشرة بيانات شخصية تخضع للحماية الكاملة والتناول بعناية. ويحظر تناول البيانات الشخصية المتعلقة بالحياة الخاصة والصحة إلا في الحالات التي يحددها القانون. وعلاوة على ذلك، فإن أفعالاً معينة تنتهك الحق في الخصوصية، هي الكشف عن المعلومات المتعلقة بالحياة الشخصية وانتهاك الخصوصية بواسطة تكنولوجيا المعلومات وخرق السرية وسوء استخدام السرية، تشكل جرائمَ (المواد 186، و187، و189، و190 من القانون الجنائي على التوالي).</w:t>
      </w:r>
    </w:p>
    <w:p w:rsidR="00681C20" w:rsidRDefault="00E50A23" w:rsidP="00E50A23">
      <w:pPr>
        <w:pStyle w:val="H1GA"/>
        <w:jc w:val="left"/>
        <w:rPr>
          <w:rFonts w:hint="cs"/>
          <w:rtl/>
        </w:rPr>
      </w:pPr>
      <w:r>
        <w:rPr>
          <w:rFonts w:hint="cs"/>
          <w:rtl/>
        </w:rPr>
        <w:tab/>
      </w:r>
      <w:r>
        <w:rPr>
          <w:rFonts w:hint="cs"/>
          <w:rtl/>
        </w:rPr>
        <w:tab/>
      </w:r>
      <w:r w:rsidR="00681C20">
        <w:rPr>
          <w:rFonts w:hint="cs"/>
          <w:rtl/>
        </w:rPr>
        <w:t>المادة 23</w:t>
      </w:r>
      <w:r w:rsidR="00681C20">
        <w:rPr>
          <w:rFonts w:hint="cs"/>
          <w:rtl/>
        </w:rPr>
        <w:br/>
        <w:t>(</w:t>
      </w:r>
      <w:r w:rsidR="00681C20" w:rsidRPr="00344251">
        <w:rPr>
          <w:rtl/>
        </w:rPr>
        <w:t>احترام البيت والأسرة</w:t>
      </w:r>
      <w:r w:rsidR="00681C20">
        <w:rPr>
          <w:rFonts w:hint="cs"/>
          <w:rtl/>
        </w:rPr>
        <w:t>)</w:t>
      </w:r>
    </w:p>
    <w:p w:rsidR="00681C20" w:rsidRPr="00E50A23" w:rsidRDefault="00681C20" w:rsidP="00681C20">
      <w:pPr>
        <w:pStyle w:val="SingleTxtGA"/>
        <w:rPr>
          <w:rFonts w:hint="cs"/>
          <w:spacing w:val="-2"/>
          <w:rtl/>
        </w:rPr>
      </w:pPr>
      <w:r w:rsidRPr="00E50A23">
        <w:rPr>
          <w:rFonts w:hint="cs"/>
          <w:spacing w:val="-2"/>
          <w:rtl/>
        </w:rPr>
        <w:t>70-</w:t>
      </w:r>
      <w:r w:rsidRPr="00E50A23">
        <w:rPr>
          <w:rFonts w:hint="cs"/>
          <w:spacing w:val="-2"/>
          <w:rtl/>
        </w:rPr>
        <w:tab/>
        <w:t xml:space="preserve">ينص الجزء الأول من المادة 30 من القانون الأساسي المذكورة على حماية حرية الزواج والحق في تكوين أسرة وتنشئتها بحرية بموجب القانون. وبالمثل، ينص القانون 6/94/م على تمتع كل شخص بحرية الزواج وحرية تكوين الأسرة. كما أنه يكفل </w:t>
      </w:r>
      <w:r w:rsidRPr="00E50A23">
        <w:rPr>
          <w:spacing w:val="-2"/>
          <w:rtl/>
        </w:rPr>
        <w:t xml:space="preserve">المساواة فيما يتعلق بحماية الأمومة والأبوة، </w:t>
      </w:r>
      <w:r w:rsidRPr="00E50A23">
        <w:rPr>
          <w:rFonts w:hint="cs"/>
          <w:spacing w:val="-2"/>
          <w:rtl/>
        </w:rPr>
        <w:t xml:space="preserve">ويشجع على </w:t>
      </w:r>
      <w:r w:rsidRPr="00E50A23">
        <w:rPr>
          <w:spacing w:val="-2"/>
          <w:rtl/>
        </w:rPr>
        <w:t xml:space="preserve">تهيئة الظروف المواتية لتأسيس الأسر وتطورها </w:t>
      </w:r>
      <w:r w:rsidRPr="00E50A23">
        <w:rPr>
          <w:rFonts w:hint="cs"/>
          <w:spacing w:val="-2"/>
          <w:rtl/>
        </w:rPr>
        <w:t xml:space="preserve">باعتبار ذلك من القيم </w:t>
      </w:r>
      <w:r w:rsidRPr="00E50A23">
        <w:rPr>
          <w:spacing w:val="-2"/>
          <w:rtl/>
        </w:rPr>
        <w:t>الإنسانية والاجتماعية الأساسية التي يجب</w:t>
      </w:r>
      <w:r w:rsidRPr="00E50A23">
        <w:rPr>
          <w:rFonts w:hint="cs"/>
          <w:spacing w:val="-2"/>
          <w:rtl/>
        </w:rPr>
        <w:t xml:space="preserve"> على الحكومة</w:t>
      </w:r>
      <w:r w:rsidRPr="00E50A23">
        <w:rPr>
          <w:spacing w:val="-2"/>
          <w:rtl/>
        </w:rPr>
        <w:t xml:space="preserve"> حمايتها واحترامها</w:t>
      </w:r>
      <w:r w:rsidRPr="00E50A23">
        <w:rPr>
          <w:rFonts w:hint="cs"/>
          <w:spacing w:val="-2"/>
          <w:rtl/>
        </w:rPr>
        <w:t>.</w:t>
      </w:r>
    </w:p>
    <w:p w:rsidR="00681C20" w:rsidRDefault="00681C20" w:rsidP="00681C20">
      <w:pPr>
        <w:pStyle w:val="SingleTxtGA"/>
        <w:rPr>
          <w:rFonts w:hint="cs"/>
          <w:rtl/>
        </w:rPr>
      </w:pPr>
      <w:r>
        <w:rPr>
          <w:rFonts w:hint="cs"/>
          <w:rtl/>
        </w:rPr>
        <w:t>71-</w:t>
      </w:r>
      <w:r>
        <w:rPr>
          <w:rFonts w:hint="cs"/>
          <w:rtl/>
        </w:rPr>
        <w:tab/>
        <w:t>ويبلغ الحد الأدنى لسن الزواج القانونية لكلا الجنسين 16 عاماً. ومع ذلك، فمن بين معوقات الزواج المعاناة من الخرف الملحوظ، أو إعلان عدم القدرة على ذلك بموجب القضاء، أو المنع لأسباب المرض العقلي (المادة 1479 من القانون المدني).</w:t>
      </w:r>
    </w:p>
    <w:p w:rsidR="00681C20" w:rsidRDefault="00681C20" w:rsidP="00E50A23">
      <w:pPr>
        <w:pStyle w:val="SingleTxtGA"/>
        <w:rPr>
          <w:rFonts w:hint="cs"/>
          <w:rtl/>
        </w:rPr>
      </w:pPr>
      <w:r>
        <w:rPr>
          <w:rFonts w:hint="cs"/>
          <w:rtl/>
        </w:rPr>
        <w:t>72-</w:t>
      </w:r>
      <w:r>
        <w:rPr>
          <w:rFonts w:hint="cs"/>
          <w:rtl/>
        </w:rPr>
        <w:tab/>
        <w:t>وكمبدأ عام، لا يجوز فصل الأطفال عن والديهم. ومع ذلك، يجوز التغاضي عن هذا المبدأ تحقيقاً لمصلحة الطفل الفضلى في الحالات التي ينص عليها القانون صراحةً. فبعض حالات الحظر لممارسة مسؤولية الوالدين تتخذ طابع قوة القانون (أي الإدانة في جريمة يعاقَب عليها بهذه العقوبة، أو الإعلان بموجب القضاء عن العجز، أو المنع لأسباب المرض العقلي)، ولكنها تستلزم قراراً قضائياً. وليس فصل الأطفال عن الوالدين المفروض عليها الحظر أمراً تلقائياً، بل إنه يتوقف على تحقيق مصالح الطفل الفضلى التي تقدرها المحكمة وفقاً لكل حالة على حدة (المادة 1767(1)(ب) من القانون المدني).</w:t>
      </w:r>
    </w:p>
    <w:p w:rsidR="00681C20" w:rsidRDefault="00681C20" w:rsidP="00681C20">
      <w:pPr>
        <w:pStyle w:val="SingleTxtGA"/>
        <w:rPr>
          <w:rFonts w:hint="cs"/>
          <w:rtl/>
        </w:rPr>
      </w:pPr>
      <w:r>
        <w:rPr>
          <w:rFonts w:hint="cs"/>
          <w:rtl/>
        </w:rPr>
        <w:t>73-</w:t>
      </w:r>
      <w:r>
        <w:rPr>
          <w:rFonts w:hint="cs"/>
          <w:rtl/>
        </w:rPr>
        <w:tab/>
        <w:t>ولتعزيز الانسجام الأسري وتقوية القدرة على تربية الأطفال، يقدم مكتب الرعاية الاجتماعية إلى الوالدين ذوي الإعاقة استشارات معنوية ومعلومات وأدوات إرشادية ودورات تدريبية وحملات تجمع بين الوالدين والأبناء وتقاسم الوقت مع الوالدين أو الاجتماع معهم، وما إلى ذلك.</w:t>
      </w:r>
    </w:p>
    <w:p w:rsidR="00681C20" w:rsidRPr="00F435F5" w:rsidRDefault="00681C20" w:rsidP="00E50A23">
      <w:pPr>
        <w:pStyle w:val="SingleTxtGA"/>
        <w:spacing w:before="120"/>
        <w:rPr>
          <w:rFonts w:hint="cs"/>
          <w:b/>
          <w:bCs/>
          <w:rtl/>
        </w:rPr>
      </w:pPr>
      <w:r>
        <w:rPr>
          <w:b/>
          <w:bCs/>
          <w:rtl/>
        </w:rPr>
        <w:br w:type="page"/>
      </w:r>
      <w:r w:rsidRPr="00F435F5">
        <w:rPr>
          <w:rFonts w:hint="cs"/>
          <w:b/>
          <w:bCs/>
          <w:rtl/>
        </w:rPr>
        <w:t>أنشطة/تربية الوالدين للأبناء والاجتماعات/اللقاءات مع الوالدين</w:t>
      </w:r>
    </w:p>
    <w:tbl>
      <w:tblPr>
        <w:bidiVisual/>
        <w:tblW w:w="7370" w:type="dxa"/>
        <w:tblInd w:w="1134" w:type="dxa"/>
        <w:tblLayout w:type="fixed"/>
        <w:tblCellMar>
          <w:left w:w="0" w:type="dxa"/>
          <w:right w:w="0" w:type="dxa"/>
        </w:tblCellMar>
        <w:tblLook w:val="01E0" w:firstRow="1" w:lastRow="1" w:firstColumn="1" w:lastColumn="1" w:noHBand="0" w:noVBand="0"/>
      </w:tblPr>
      <w:tblGrid>
        <w:gridCol w:w="2694"/>
        <w:gridCol w:w="1169"/>
        <w:gridCol w:w="1169"/>
        <w:gridCol w:w="1169"/>
        <w:gridCol w:w="1169"/>
      </w:tblGrid>
      <w:tr w:rsidR="00681C20" w:rsidRPr="008169EB" w:rsidTr="00935EA2">
        <w:trPr>
          <w:tblHeader/>
        </w:trPr>
        <w:tc>
          <w:tcPr>
            <w:tcW w:w="2694" w:type="dxa"/>
            <w:vMerge w:val="restart"/>
            <w:tcBorders>
              <w:top w:val="single" w:sz="4" w:space="0" w:color="auto"/>
            </w:tcBorders>
            <w:shd w:val="clear" w:color="auto" w:fill="auto"/>
            <w:vAlign w:val="bottom"/>
          </w:tcPr>
          <w:p w:rsidR="00681C20" w:rsidRPr="00F435F5" w:rsidRDefault="00681C20" w:rsidP="00935EA2">
            <w:pPr>
              <w:spacing w:before="40" w:after="40" w:line="220" w:lineRule="exact"/>
              <w:ind w:left="140" w:right="113"/>
              <w:rPr>
                <w:rFonts w:hint="cs"/>
                <w:iCs/>
                <w:sz w:val="16"/>
                <w:szCs w:val="26"/>
                <w:rtl/>
              </w:rPr>
            </w:pPr>
            <w:r w:rsidRPr="00F435F5">
              <w:rPr>
                <w:rFonts w:hint="cs"/>
                <w:iCs/>
                <w:sz w:val="16"/>
                <w:szCs w:val="26"/>
                <w:rtl/>
              </w:rPr>
              <w:t>عدد</w:t>
            </w:r>
          </w:p>
          <w:p w:rsidR="00681C20" w:rsidRPr="008169EB" w:rsidRDefault="00681C20" w:rsidP="00935EA2">
            <w:pPr>
              <w:spacing w:before="40" w:after="40" w:line="220" w:lineRule="exact"/>
              <w:ind w:left="140" w:right="113"/>
              <w:rPr>
                <w:rFonts w:hint="cs"/>
                <w:i/>
                <w:sz w:val="16"/>
                <w:szCs w:val="26"/>
                <w:highlight w:val="lightGray"/>
                <w:rtl/>
              </w:rPr>
            </w:pPr>
            <w:r w:rsidRPr="00F435F5">
              <w:rPr>
                <w:rFonts w:hint="cs"/>
                <w:iCs/>
                <w:sz w:val="16"/>
                <w:szCs w:val="26"/>
                <w:rtl/>
              </w:rPr>
              <w:t>أنشطة/تربية الوالدين للأبناء</w:t>
            </w:r>
          </w:p>
        </w:tc>
        <w:tc>
          <w:tcPr>
            <w:tcW w:w="1169" w:type="dxa"/>
            <w:tcBorders>
              <w:top w:val="single" w:sz="4" w:space="0" w:color="auto"/>
              <w:bottom w:val="single" w:sz="12" w:space="0" w:color="auto"/>
            </w:tcBorders>
            <w:shd w:val="clear" w:color="auto" w:fill="auto"/>
            <w:vAlign w:val="bottom"/>
          </w:tcPr>
          <w:p w:rsidR="00681C20" w:rsidRPr="008F5270" w:rsidRDefault="00681C20" w:rsidP="00E50A23">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2006</w:t>
            </w:r>
          </w:p>
        </w:tc>
        <w:tc>
          <w:tcPr>
            <w:tcW w:w="1169" w:type="dxa"/>
            <w:tcBorders>
              <w:top w:val="single" w:sz="4" w:space="0" w:color="auto"/>
              <w:bottom w:val="single" w:sz="12" w:space="0" w:color="auto"/>
            </w:tcBorders>
            <w:shd w:val="clear" w:color="auto" w:fill="auto"/>
            <w:vAlign w:val="bottom"/>
          </w:tcPr>
          <w:p w:rsidR="00681C20" w:rsidRPr="008F5270" w:rsidRDefault="00681C20" w:rsidP="00E50A23">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2007</w:t>
            </w:r>
          </w:p>
        </w:tc>
        <w:tc>
          <w:tcPr>
            <w:tcW w:w="1169" w:type="dxa"/>
            <w:tcBorders>
              <w:top w:val="single" w:sz="4" w:space="0" w:color="auto"/>
              <w:bottom w:val="single" w:sz="12" w:space="0" w:color="auto"/>
            </w:tcBorders>
            <w:shd w:val="clear" w:color="auto" w:fill="auto"/>
            <w:vAlign w:val="bottom"/>
          </w:tcPr>
          <w:p w:rsidR="00681C20" w:rsidRPr="008F5270" w:rsidRDefault="00681C20" w:rsidP="00E50A23">
            <w:pPr>
              <w:pStyle w:val="SingleTxtG"/>
              <w:suppressAutoHyphens w:val="0"/>
              <w:bidi/>
              <w:spacing w:before="80" w:after="80" w:line="200" w:lineRule="exact"/>
              <w:ind w:left="57" w:right="113"/>
              <w:jc w:val="lowKashida"/>
              <w:rPr>
                <w:rFonts w:cs="Traditional Arabic"/>
                <w:iCs/>
                <w:sz w:val="14"/>
                <w:szCs w:val="24"/>
              </w:rPr>
            </w:pPr>
            <w:r w:rsidRPr="008F5270">
              <w:rPr>
                <w:rFonts w:cs="Traditional Arabic" w:hint="cs"/>
                <w:iCs/>
                <w:sz w:val="14"/>
                <w:szCs w:val="24"/>
                <w:rtl/>
              </w:rPr>
              <w:t>2008</w:t>
            </w:r>
          </w:p>
        </w:tc>
        <w:tc>
          <w:tcPr>
            <w:tcW w:w="1169" w:type="dxa"/>
            <w:tcBorders>
              <w:top w:val="single" w:sz="4" w:space="0" w:color="auto"/>
              <w:bottom w:val="single" w:sz="12" w:space="0" w:color="auto"/>
            </w:tcBorders>
            <w:shd w:val="clear" w:color="auto" w:fill="auto"/>
            <w:vAlign w:val="bottom"/>
          </w:tcPr>
          <w:p w:rsidR="00681C20" w:rsidRPr="008F5270" w:rsidRDefault="00681C20" w:rsidP="00E50A23">
            <w:pPr>
              <w:pStyle w:val="SingleTxtG"/>
              <w:suppressAutoHyphens w:val="0"/>
              <w:bidi/>
              <w:spacing w:before="80" w:after="80" w:line="200" w:lineRule="exact"/>
              <w:ind w:left="57" w:right="113"/>
              <w:jc w:val="lowKashida"/>
              <w:rPr>
                <w:rFonts w:cs="Traditional Arabic" w:hint="cs"/>
                <w:iCs/>
                <w:sz w:val="14"/>
                <w:szCs w:val="24"/>
                <w:rtl/>
              </w:rPr>
            </w:pPr>
            <w:r w:rsidRPr="008F5270">
              <w:rPr>
                <w:rFonts w:cs="Traditional Arabic" w:hint="cs"/>
                <w:iCs/>
                <w:sz w:val="14"/>
                <w:szCs w:val="24"/>
                <w:rtl/>
              </w:rPr>
              <w:t>2009</w:t>
            </w:r>
          </w:p>
        </w:tc>
      </w:tr>
      <w:tr w:rsidR="00681C20" w:rsidRPr="008169EB" w:rsidTr="00935EA2">
        <w:tc>
          <w:tcPr>
            <w:tcW w:w="2694" w:type="dxa"/>
            <w:vMerge/>
            <w:tcBorders>
              <w:bottom w:val="single" w:sz="4" w:space="0" w:color="auto"/>
            </w:tcBorders>
            <w:shd w:val="clear" w:color="auto" w:fill="auto"/>
            <w:vAlign w:val="bottom"/>
          </w:tcPr>
          <w:p w:rsidR="00681C20" w:rsidRPr="008169EB" w:rsidRDefault="00681C20" w:rsidP="00935EA2">
            <w:pPr>
              <w:spacing w:before="40" w:after="40" w:line="220" w:lineRule="exact"/>
              <w:ind w:left="140" w:right="113"/>
              <w:rPr>
                <w:sz w:val="18"/>
                <w:szCs w:val="26"/>
              </w:rPr>
            </w:pPr>
          </w:p>
        </w:tc>
        <w:tc>
          <w:tcPr>
            <w:tcW w:w="1169" w:type="dxa"/>
            <w:tcBorders>
              <w:top w:val="single" w:sz="12" w:space="0" w:color="auto"/>
              <w:bottom w:val="single" w:sz="4" w:space="0" w:color="auto"/>
            </w:tcBorders>
            <w:shd w:val="clear" w:color="auto" w:fill="auto"/>
            <w:vAlign w:val="bottom"/>
          </w:tcPr>
          <w:p w:rsidR="00681C20" w:rsidRPr="008169EB" w:rsidRDefault="00681C20" w:rsidP="00E50A23">
            <w:pPr>
              <w:spacing w:before="40" w:after="40" w:line="220" w:lineRule="exact"/>
              <w:ind w:left="57" w:right="113"/>
              <w:rPr>
                <w:sz w:val="18"/>
                <w:szCs w:val="26"/>
              </w:rPr>
            </w:pPr>
            <w:r>
              <w:rPr>
                <w:rFonts w:hint="cs"/>
                <w:sz w:val="18"/>
                <w:szCs w:val="26"/>
                <w:rtl/>
              </w:rPr>
              <w:t>20</w:t>
            </w:r>
          </w:p>
        </w:tc>
        <w:tc>
          <w:tcPr>
            <w:tcW w:w="1169" w:type="dxa"/>
            <w:tcBorders>
              <w:top w:val="single" w:sz="12" w:space="0" w:color="auto"/>
              <w:bottom w:val="single" w:sz="4" w:space="0" w:color="auto"/>
            </w:tcBorders>
            <w:shd w:val="clear" w:color="auto" w:fill="auto"/>
            <w:vAlign w:val="bottom"/>
          </w:tcPr>
          <w:p w:rsidR="00681C20" w:rsidRPr="008169EB" w:rsidRDefault="00681C20" w:rsidP="00E50A23">
            <w:pPr>
              <w:spacing w:before="40" w:after="40" w:line="220" w:lineRule="exact"/>
              <w:ind w:left="57" w:right="113"/>
              <w:rPr>
                <w:sz w:val="18"/>
                <w:szCs w:val="26"/>
              </w:rPr>
            </w:pPr>
            <w:r>
              <w:rPr>
                <w:rFonts w:hint="cs"/>
                <w:sz w:val="18"/>
                <w:szCs w:val="26"/>
                <w:rtl/>
              </w:rPr>
              <w:t>13</w:t>
            </w:r>
          </w:p>
        </w:tc>
        <w:tc>
          <w:tcPr>
            <w:tcW w:w="1169" w:type="dxa"/>
            <w:tcBorders>
              <w:top w:val="single" w:sz="12" w:space="0" w:color="auto"/>
              <w:bottom w:val="single" w:sz="4" w:space="0" w:color="auto"/>
            </w:tcBorders>
            <w:shd w:val="clear" w:color="auto" w:fill="auto"/>
            <w:vAlign w:val="bottom"/>
          </w:tcPr>
          <w:p w:rsidR="00681C20" w:rsidRPr="008169EB" w:rsidRDefault="00681C20" w:rsidP="00E50A23">
            <w:pPr>
              <w:spacing w:before="40" w:after="40" w:line="220" w:lineRule="exact"/>
              <w:ind w:left="57" w:right="113"/>
              <w:rPr>
                <w:sz w:val="18"/>
                <w:szCs w:val="26"/>
              </w:rPr>
            </w:pPr>
            <w:r>
              <w:rPr>
                <w:rFonts w:hint="cs"/>
                <w:sz w:val="18"/>
                <w:szCs w:val="26"/>
                <w:rtl/>
              </w:rPr>
              <w:t>20</w:t>
            </w:r>
          </w:p>
        </w:tc>
        <w:tc>
          <w:tcPr>
            <w:tcW w:w="1169" w:type="dxa"/>
            <w:tcBorders>
              <w:top w:val="single" w:sz="12" w:space="0" w:color="auto"/>
              <w:bottom w:val="single" w:sz="4" w:space="0" w:color="auto"/>
            </w:tcBorders>
            <w:shd w:val="clear" w:color="auto" w:fill="auto"/>
            <w:vAlign w:val="bottom"/>
          </w:tcPr>
          <w:p w:rsidR="00681C20" w:rsidRPr="008169EB" w:rsidRDefault="00681C20" w:rsidP="00E50A23">
            <w:pPr>
              <w:spacing w:before="40" w:after="40" w:line="220" w:lineRule="exact"/>
              <w:ind w:left="57" w:right="113"/>
              <w:rPr>
                <w:sz w:val="18"/>
                <w:szCs w:val="26"/>
              </w:rPr>
            </w:pPr>
            <w:r>
              <w:rPr>
                <w:rFonts w:hint="cs"/>
                <w:sz w:val="18"/>
                <w:szCs w:val="26"/>
                <w:rtl/>
              </w:rPr>
              <w:t>56</w:t>
            </w:r>
          </w:p>
        </w:tc>
      </w:tr>
      <w:tr w:rsidR="00681C20" w:rsidRPr="008169EB" w:rsidTr="00935EA2">
        <w:tc>
          <w:tcPr>
            <w:tcW w:w="2694" w:type="dxa"/>
            <w:tcBorders>
              <w:top w:val="single" w:sz="4" w:space="0" w:color="auto"/>
              <w:bottom w:val="single" w:sz="4" w:space="0" w:color="auto"/>
            </w:tcBorders>
            <w:shd w:val="clear" w:color="auto" w:fill="auto"/>
            <w:vAlign w:val="bottom"/>
          </w:tcPr>
          <w:p w:rsidR="00681C20" w:rsidRPr="008169EB" w:rsidRDefault="00681C20" w:rsidP="00935EA2">
            <w:pPr>
              <w:spacing w:before="80" w:after="80" w:line="220" w:lineRule="exact"/>
              <w:ind w:left="140" w:right="113"/>
              <w:rPr>
                <w:b/>
                <w:sz w:val="18"/>
                <w:szCs w:val="26"/>
              </w:rPr>
            </w:pPr>
            <w:r>
              <w:rPr>
                <w:rFonts w:hint="cs"/>
                <w:b/>
                <w:sz w:val="18"/>
                <w:szCs w:val="26"/>
                <w:rtl/>
              </w:rPr>
              <w:t>مجموع المشاركين</w:t>
            </w:r>
          </w:p>
        </w:tc>
        <w:tc>
          <w:tcPr>
            <w:tcW w:w="1169" w:type="dxa"/>
            <w:tcBorders>
              <w:top w:val="single" w:sz="4" w:space="0" w:color="auto"/>
              <w:bottom w:val="single" w:sz="4" w:space="0" w:color="auto"/>
            </w:tcBorders>
            <w:shd w:val="clear" w:color="auto" w:fill="auto"/>
            <w:vAlign w:val="bottom"/>
          </w:tcPr>
          <w:p w:rsidR="00681C20" w:rsidRPr="008169EB" w:rsidRDefault="00681C20" w:rsidP="00E50A23">
            <w:pPr>
              <w:spacing w:before="80" w:after="80" w:line="220" w:lineRule="exact"/>
              <w:ind w:left="57" w:right="113"/>
              <w:rPr>
                <w:b/>
                <w:sz w:val="18"/>
                <w:szCs w:val="26"/>
              </w:rPr>
            </w:pPr>
            <w:r>
              <w:rPr>
                <w:rFonts w:hint="cs"/>
                <w:b/>
                <w:sz w:val="18"/>
                <w:szCs w:val="26"/>
                <w:rtl/>
              </w:rPr>
              <w:t>738</w:t>
            </w:r>
          </w:p>
        </w:tc>
        <w:tc>
          <w:tcPr>
            <w:tcW w:w="1169" w:type="dxa"/>
            <w:tcBorders>
              <w:top w:val="single" w:sz="4" w:space="0" w:color="auto"/>
              <w:bottom w:val="single" w:sz="4" w:space="0" w:color="auto"/>
            </w:tcBorders>
            <w:shd w:val="clear" w:color="auto" w:fill="auto"/>
            <w:vAlign w:val="bottom"/>
          </w:tcPr>
          <w:p w:rsidR="00681C20" w:rsidRPr="008169EB" w:rsidRDefault="00681C20" w:rsidP="00E50A23">
            <w:pPr>
              <w:spacing w:before="80" w:after="80" w:line="220" w:lineRule="exact"/>
              <w:ind w:left="57" w:right="113"/>
              <w:rPr>
                <w:b/>
                <w:sz w:val="18"/>
                <w:szCs w:val="26"/>
              </w:rPr>
            </w:pPr>
            <w:r>
              <w:rPr>
                <w:rFonts w:hint="cs"/>
                <w:b/>
                <w:sz w:val="18"/>
                <w:szCs w:val="26"/>
                <w:rtl/>
              </w:rPr>
              <w:t>638</w:t>
            </w:r>
          </w:p>
        </w:tc>
        <w:tc>
          <w:tcPr>
            <w:tcW w:w="1169" w:type="dxa"/>
            <w:tcBorders>
              <w:top w:val="single" w:sz="4" w:space="0" w:color="auto"/>
              <w:bottom w:val="single" w:sz="4" w:space="0" w:color="auto"/>
            </w:tcBorders>
            <w:shd w:val="clear" w:color="auto" w:fill="auto"/>
            <w:vAlign w:val="bottom"/>
          </w:tcPr>
          <w:p w:rsidR="00681C20" w:rsidRPr="008169EB" w:rsidRDefault="00681C20" w:rsidP="00E50A23">
            <w:pPr>
              <w:spacing w:before="80" w:after="80" w:line="220" w:lineRule="exact"/>
              <w:ind w:left="57" w:right="113"/>
              <w:rPr>
                <w:b/>
                <w:sz w:val="18"/>
                <w:szCs w:val="26"/>
              </w:rPr>
            </w:pPr>
            <w:r>
              <w:rPr>
                <w:rFonts w:hint="cs"/>
                <w:b/>
                <w:sz w:val="18"/>
                <w:szCs w:val="26"/>
                <w:rtl/>
              </w:rPr>
              <w:t>922</w:t>
            </w:r>
          </w:p>
        </w:tc>
        <w:tc>
          <w:tcPr>
            <w:tcW w:w="1169" w:type="dxa"/>
            <w:tcBorders>
              <w:top w:val="single" w:sz="4" w:space="0" w:color="auto"/>
              <w:bottom w:val="single" w:sz="4" w:space="0" w:color="auto"/>
            </w:tcBorders>
            <w:shd w:val="clear" w:color="auto" w:fill="auto"/>
            <w:vAlign w:val="bottom"/>
          </w:tcPr>
          <w:p w:rsidR="00681C20" w:rsidRPr="008169EB" w:rsidRDefault="00681C20" w:rsidP="00E50A23">
            <w:pPr>
              <w:spacing w:before="80" w:after="80" w:line="220" w:lineRule="exact"/>
              <w:ind w:left="57" w:right="113"/>
              <w:rPr>
                <w:b/>
                <w:sz w:val="18"/>
                <w:szCs w:val="26"/>
              </w:rPr>
            </w:pPr>
            <w:r>
              <w:rPr>
                <w:rFonts w:hint="cs"/>
                <w:b/>
                <w:sz w:val="18"/>
                <w:szCs w:val="26"/>
                <w:rtl/>
              </w:rPr>
              <w:t>746 2</w:t>
            </w:r>
          </w:p>
        </w:tc>
      </w:tr>
      <w:tr w:rsidR="00681C20" w:rsidRPr="008169EB" w:rsidTr="00935EA2">
        <w:tc>
          <w:tcPr>
            <w:tcW w:w="2694" w:type="dxa"/>
            <w:tcBorders>
              <w:top w:val="single" w:sz="4" w:space="0" w:color="auto"/>
              <w:bottom w:val="single" w:sz="4" w:space="0" w:color="auto"/>
            </w:tcBorders>
            <w:shd w:val="clear" w:color="auto" w:fill="auto"/>
            <w:vAlign w:val="bottom"/>
          </w:tcPr>
          <w:p w:rsidR="00681C20" w:rsidRPr="008169EB" w:rsidRDefault="00681C20" w:rsidP="00935EA2">
            <w:pPr>
              <w:spacing w:before="40" w:after="40" w:line="220" w:lineRule="exact"/>
              <w:ind w:left="140" w:right="113"/>
              <w:rPr>
                <w:sz w:val="18"/>
                <w:szCs w:val="26"/>
              </w:rPr>
            </w:pPr>
            <w:r>
              <w:rPr>
                <w:rFonts w:hint="cs"/>
                <w:sz w:val="18"/>
                <w:szCs w:val="26"/>
                <w:rtl/>
              </w:rPr>
              <w:t>الاجتماعات/اللقاءات مع الوالدين</w:t>
            </w:r>
          </w:p>
        </w:tc>
        <w:tc>
          <w:tcPr>
            <w:tcW w:w="1169" w:type="dxa"/>
            <w:tcBorders>
              <w:top w:val="single" w:sz="4" w:space="0" w:color="auto"/>
              <w:bottom w:val="single" w:sz="4" w:space="0" w:color="auto"/>
            </w:tcBorders>
            <w:shd w:val="clear" w:color="auto" w:fill="auto"/>
            <w:vAlign w:val="bottom"/>
          </w:tcPr>
          <w:p w:rsidR="00681C20" w:rsidRPr="008169EB" w:rsidRDefault="00681C20" w:rsidP="00E50A23">
            <w:pPr>
              <w:spacing w:before="40" w:after="40" w:line="220" w:lineRule="exact"/>
              <w:ind w:left="57" w:right="113"/>
              <w:rPr>
                <w:sz w:val="18"/>
                <w:szCs w:val="26"/>
              </w:rPr>
            </w:pPr>
            <w:r>
              <w:rPr>
                <w:rFonts w:hint="cs"/>
                <w:sz w:val="18"/>
                <w:szCs w:val="26"/>
                <w:rtl/>
              </w:rPr>
              <w:t>40</w:t>
            </w:r>
          </w:p>
        </w:tc>
        <w:tc>
          <w:tcPr>
            <w:tcW w:w="1169" w:type="dxa"/>
            <w:tcBorders>
              <w:top w:val="single" w:sz="4" w:space="0" w:color="auto"/>
              <w:bottom w:val="single" w:sz="4" w:space="0" w:color="auto"/>
            </w:tcBorders>
            <w:shd w:val="clear" w:color="auto" w:fill="auto"/>
            <w:vAlign w:val="bottom"/>
          </w:tcPr>
          <w:p w:rsidR="00681C20" w:rsidRPr="008169EB" w:rsidRDefault="00681C20" w:rsidP="00E50A23">
            <w:pPr>
              <w:spacing w:before="40" w:after="40" w:line="220" w:lineRule="exact"/>
              <w:ind w:left="57" w:right="113"/>
              <w:rPr>
                <w:sz w:val="18"/>
                <w:szCs w:val="26"/>
              </w:rPr>
            </w:pPr>
            <w:r>
              <w:rPr>
                <w:rFonts w:hint="cs"/>
                <w:sz w:val="18"/>
                <w:szCs w:val="26"/>
                <w:rtl/>
              </w:rPr>
              <w:t>40</w:t>
            </w:r>
          </w:p>
        </w:tc>
        <w:tc>
          <w:tcPr>
            <w:tcW w:w="1169" w:type="dxa"/>
            <w:tcBorders>
              <w:top w:val="single" w:sz="4" w:space="0" w:color="auto"/>
              <w:bottom w:val="single" w:sz="4" w:space="0" w:color="auto"/>
            </w:tcBorders>
            <w:shd w:val="clear" w:color="auto" w:fill="auto"/>
            <w:vAlign w:val="bottom"/>
          </w:tcPr>
          <w:p w:rsidR="00681C20" w:rsidRPr="008169EB" w:rsidRDefault="00681C20" w:rsidP="00E50A23">
            <w:pPr>
              <w:spacing w:before="40" w:after="40" w:line="220" w:lineRule="exact"/>
              <w:ind w:left="57" w:right="113"/>
              <w:rPr>
                <w:sz w:val="18"/>
                <w:szCs w:val="26"/>
              </w:rPr>
            </w:pPr>
            <w:r>
              <w:rPr>
                <w:rFonts w:hint="cs"/>
                <w:sz w:val="18"/>
                <w:szCs w:val="26"/>
                <w:rtl/>
              </w:rPr>
              <w:t>55</w:t>
            </w:r>
          </w:p>
        </w:tc>
        <w:tc>
          <w:tcPr>
            <w:tcW w:w="1169" w:type="dxa"/>
            <w:tcBorders>
              <w:top w:val="single" w:sz="4" w:space="0" w:color="auto"/>
              <w:bottom w:val="single" w:sz="4" w:space="0" w:color="auto"/>
            </w:tcBorders>
            <w:shd w:val="clear" w:color="auto" w:fill="auto"/>
            <w:vAlign w:val="bottom"/>
          </w:tcPr>
          <w:p w:rsidR="00681C20" w:rsidRPr="008169EB" w:rsidRDefault="00681C20" w:rsidP="00E50A23">
            <w:pPr>
              <w:spacing w:before="40" w:after="40" w:line="220" w:lineRule="exact"/>
              <w:ind w:left="57" w:right="113"/>
              <w:rPr>
                <w:sz w:val="18"/>
                <w:szCs w:val="26"/>
              </w:rPr>
            </w:pPr>
            <w:r>
              <w:rPr>
                <w:rFonts w:hint="cs"/>
                <w:sz w:val="18"/>
                <w:szCs w:val="26"/>
                <w:rtl/>
              </w:rPr>
              <w:t>64</w:t>
            </w:r>
          </w:p>
        </w:tc>
      </w:tr>
      <w:tr w:rsidR="00681C20" w:rsidRPr="00F435F5" w:rsidTr="00935EA2">
        <w:tc>
          <w:tcPr>
            <w:tcW w:w="2694" w:type="dxa"/>
            <w:tcBorders>
              <w:top w:val="single" w:sz="4" w:space="0" w:color="auto"/>
              <w:bottom w:val="single" w:sz="12" w:space="0" w:color="auto"/>
            </w:tcBorders>
            <w:shd w:val="clear" w:color="auto" w:fill="auto"/>
            <w:vAlign w:val="bottom"/>
          </w:tcPr>
          <w:p w:rsidR="00681C20" w:rsidRPr="00F435F5" w:rsidRDefault="00681C20" w:rsidP="00935EA2">
            <w:pPr>
              <w:spacing w:before="80" w:after="80" w:line="220" w:lineRule="exact"/>
              <w:ind w:left="140" w:right="113"/>
              <w:rPr>
                <w:bCs/>
                <w:sz w:val="18"/>
                <w:szCs w:val="26"/>
              </w:rPr>
            </w:pPr>
            <w:r w:rsidRPr="00F435F5">
              <w:rPr>
                <w:rFonts w:hint="cs"/>
                <w:bCs/>
                <w:sz w:val="18"/>
                <w:szCs w:val="26"/>
                <w:rtl/>
              </w:rPr>
              <w:t>مجموع المشاركين</w:t>
            </w:r>
          </w:p>
        </w:tc>
        <w:tc>
          <w:tcPr>
            <w:tcW w:w="1169" w:type="dxa"/>
            <w:tcBorders>
              <w:top w:val="single" w:sz="4" w:space="0" w:color="auto"/>
              <w:bottom w:val="single" w:sz="12" w:space="0" w:color="auto"/>
            </w:tcBorders>
            <w:shd w:val="clear" w:color="auto" w:fill="auto"/>
            <w:vAlign w:val="bottom"/>
          </w:tcPr>
          <w:p w:rsidR="00681C20" w:rsidRPr="00F435F5" w:rsidRDefault="00681C20" w:rsidP="00E50A23">
            <w:pPr>
              <w:spacing w:before="80" w:after="80" w:line="220" w:lineRule="exact"/>
              <w:ind w:left="57" w:right="113"/>
              <w:rPr>
                <w:bCs/>
                <w:sz w:val="18"/>
                <w:szCs w:val="26"/>
              </w:rPr>
            </w:pPr>
            <w:r w:rsidRPr="00F435F5">
              <w:rPr>
                <w:rFonts w:hint="cs"/>
                <w:bCs/>
                <w:sz w:val="18"/>
                <w:szCs w:val="26"/>
                <w:rtl/>
              </w:rPr>
              <w:t>185 1</w:t>
            </w:r>
          </w:p>
        </w:tc>
        <w:tc>
          <w:tcPr>
            <w:tcW w:w="1169" w:type="dxa"/>
            <w:tcBorders>
              <w:top w:val="single" w:sz="4" w:space="0" w:color="auto"/>
              <w:bottom w:val="single" w:sz="12" w:space="0" w:color="auto"/>
            </w:tcBorders>
            <w:shd w:val="clear" w:color="auto" w:fill="auto"/>
            <w:vAlign w:val="bottom"/>
          </w:tcPr>
          <w:p w:rsidR="00681C20" w:rsidRPr="00F435F5" w:rsidRDefault="00681C20" w:rsidP="00E50A23">
            <w:pPr>
              <w:spacing w:before="80" w:after="80" w:line="220" w:lineRule="exact"/>
              <w:ind w:left="57" w:right="113"/>
              <w:rPr>
                <w:bCs/>
                <w:sz w:val="18"/>
                <w:szCs w:val="26"/>
              </w:rPr>
            </w:pPr>
            <w:r w:rsidRPr="00F435F5">
              <w:rPr>
                <w:rFonts w:hint="cs"/>
                <w:bCs/>
                <w:sz w:val="18"/>
                <w:szCs w:val="26"/>
                <w:rtl/>
              </w:rPr>
              <w:t>285 1</w:t>
            </w:r>
          </w:p>
        </w:tc>
        <w:tc>
          <w:tcPr>
            <w:tcW w:w="1169" w:type="dxa"/>
            <w:tcBorders>
              <w:top w:val="single" w:sz="4" w:space="0" w:color="auto"/>
              <w:bottom w:val="single" w:sz="12" w:space="0" w:color="auto"/>
            </w:tcBorders>
            <w:shd w:val="clear" w:color="auto" w:fill="auto"/>
            <w:vAlign w:val="bottom"/>
          </w:tcPr>
          <w:p w:rsidR="00681C20" w:rsidRPr="00F435F5" w:rsidRDefault="00681C20" w:rsidP="00E50A23">
            <w:pPr>
              <w:spacing w:before="80" w:after="80" w:line="220" w:lineRule="exact"/>
              <w:ind w:left="57" w:right="113"/>
              <w:rPr>
                <w:bCs/>
                <w:sz w:val="18"/>
                <w:szCs w:val="26"/>
              </w:rPr>
            </w:pPr>
            <w:r w:rsidRPr="00F435F5">
              <w:rPr>
                <w:rFonts w:hint="cs"/>
                <w:bCs/>
                <w:sz w:val="18"/>
                <w:szCs w:val="26"/>
                <w:rtl/>
              </w:rPr>
              <w:t>056 1</w:t>
            </w:r>
          </w:p>
        </w:tc>
        <w:tc>
          <w:tcPr>
            <w:tcW w:w="1169" w:type="dxa"/>
            <w:tcBorders>
              <w:top w:val="single" w:sz="4" w:space="0" w:color="auto"/>
              <w:bottom w:val="single" w:sz="12" w:space="0" w:color="auto"/>
            </w:tcBorders>
            <w:shd w:val="clear" w:color="auto" w:fill="auto"/>
            <w:vAlign w:val="bottom"/>
          </w:tcPr>
          <w:p w:rsidR="00681C20" w:rsidRPr="00F435F5" w:rsidRDefault="00681C20" w:rsidP="00E50A23">
            <w:pPr>
              <w:spacing w:before="80" w:after="80" w:line="220" w:lineRule="exact"/>
              <w:ind w:left="57" w:right="113"/>
              <w:rPr>
                <w:bCs/>
                <w:sz w:val="18"/>
                <w:szCs w:val="26"/>
              </w:rPr>
            </w:pPr>
            <w:r w:rsidRPr="00F435F5">
              <w:rPr>
                <w:rFonts w:hint="cs"/>
                <w:bCs/>
                <w:sz w:val="18"/>
                <w:szCs w:val="26"/>
                <w:rtl/>
              </w:rPr>
              <w:t>305 1</w:t>
            </w:r>
          </w:p>
        </w:tc>
      </w:tr>
    </w:tbl>
    <w:p w:rsidR="00681C20" w:rsidRPr="00E50A23" w:rsidRDefault="00681C20" w:rsidP="00681C20">
      <w:pPr>
        <w:pStyle w:val="SingleTxtGA"/>
        <w:rPr>
          <w:rFonts w:hint="cs"/>
          <w:sz w:val="26"/>
          <w:szCs w:val="26"/>
          <w:rtl/>
        </w:rPr>
      </w:pPr>
      <w:r w:rsidRPr="00E50A23">
        <w:rPr>
          <w:rFonts w:hint="cs"/>
          <w:i/>
          <w:iCs/>
          <w:sz w:val="26"/>
          <w:szCs w:val="26"/>
          <w:rtl/>
        </w:rPr>
        <w:t>المصدر:</w:t>
      </w:r>
      <w:r w:rsidRPr="00E50A23">
        <w:rPr>
          <w:rFonts w:hint="cs"/>
          <w:sz w:val="26"/>
          <w:szCs w:val="26"/>
          <w:rtl/>
        </w:rPr>
        <w:t xml:space="preserve"> مكتب الرعاية الاجتماعية.</w:t>
      </w:r>
    </w:p>
    <w:p w:rsidR="00681C20" w:rsidRDefault="00681C20" w:rsidP="00681C20">
      <w:pPr>
        <w:pStyle w:val="SingleTxtGA"/>
        <w:rPr>
          <w:rFonts w:hint="cs"/>
          <w:rtl/>
        </w:rPr>
      </w:pPr>
      <w:r>
        <w:rPr>
          <w:rFonts w:hint="cs"/>
          <w:rtl/>
        </w:rPr>
        <w:t>74-</w:t>
      </w:r>
      <w:r>
        <w:rPr>
          <w:rFonts w:hint="cs"/>
          <w:rtl/>
        </w:rPr>
        <w:tab/>
        <w:t>ولا يزال يوجد تحت إشراف مكتب الرعاية الاجتماعية ودعمه المالي 26 دار حضانة و9 منازل سكنية (بما في ذلك مدرسة داخلية واحدة) للأطفال (دون الرابعة من العمر) والمراهقين (حتى سن 24 عاماً). والمنازل السكنية متاحة لأولئك الذين لا يستطيعون التمتع برعاية أسرية مناسبة لأي سبب كان، ودور الحضانة متاحة للأطفال الذين يحتاج والدوهم إلى العمل في الصباح أو لا يستطيعون رعايتهم. وفيما بين عامي 2003 و2009، استخدم ما مجموعه 16 طفلاً ومراهقاً من ذوي الإعاقة هذه المنازل السكنية. وبالإضافة إلى ذلك، وفي خلال الفترة نفسها، تم التخلي عن 5 أطفال من ذوي الإعاقة في منطقة ماكاو (وهذا يشكل جريمة كما هو مذكور آنفاً). وقد تمكن مكتب الرعاية الاجتماعية من إلحاق هؤلاء الأطفال بدور الحضانة والمدارس وفقا</w:t>
      </w:r>
      <w:r w:rsidR="009E3E8F">
        <w:rPr>
          <w:rFonts w:hint="cs"/>
          <w:rtl/>
        </w:rPr>
        <w:t>ً</w:t>
      </w:r>
      <w:r>
        <w:rPr>
          <w:rFonts w:hint="cs"/>
          <w:rtl/>
        </w:rPr>
        <w:t xml:space="preserve"> لعمرهم، وتعاون مع السلطات القضائية في التحقيق وفي المسائل المتعلقة بالوصاية.</w:t>
      </w:r>
    </w:p>
    <w:p w:rsidR="00681C20" w:rsidRDefault="00E50A23" w:rsidP="00E50A23">
      <w:pPr>
        <w:pStyle w:val="H1GA"/>
        <w:jc w:val="left"/>
        <w:rPr>
          <w:rFonts w:hint="cs"/>
          <w:rtl/>
        </w:rPr>
      </w:pPr>
      <w:r>
        <w:rPr>
          <w:rFonts w:hint="cs"/>
          <w:rtl/>
        </w:rPr>
        <w:tab/>
      </w:r>
      <w:r>
        <w:rPr>
          <w:rFonts w:hint="cs"/>
          <w:rtl/>
        </w:rPr>
        <w:tab/>
      </w:r>
      <w:r w:rsidR="00681C20">
        <w:rPr>
          <w:rFonts w:hint="cs"/>
          <w:rtl/>
        </w:rPr>
        <w:t>المادة 24</w:t>
      </w:r>
      <w:r w:rsidR="00681C20">
        <w:rPr>
          <w:rFonts w:hint="cs"/>
          <w:rtl/>
        </w:rPr>
        <w:br/>
        <w:t>(التعليم)</w:t>
      </w:r>
    </w:p>
    <w:p w:rsidR="00681C20" w:rsidRDefault="00681C20" w:rsidP="00681C20">
      <w:pPr>
        <w:pStyle w:val="SingleTxtGA"/>
        <w:rPr>
          <w:rFonts w:hint="cs"/>
          <w:rtl/>
        </w:rPr>
      </w:pPr>
      <w:r>
        <w:rPr>
          <w:rFonts w:hint="cs"/>
          <w:rtl/>
        </w:rPr>
        <w:t>75-</w:t>
      </w:r>
      <w:r>
        <w:rPr>
          <w:rFonts w:hint="cs"/>
          <w:rtl/>
        </w:rPr>
        <w:tab/>
        <w:t xml:space="preserve">تكفل المادة 37 من القانون الأساسي </w:t>
      </w:r>
      <w:r w:rsidRPr="00AA3E95">
        <w:rPr>
          <w:rtl/>
        </w:rPr>
        <w:t>حرية الانخراط في التعليم والمشاركة في البحوث الأكاديمية والإبداع الأدبي والفني والأنشطة الثقافية الأخرى</w:t>
      </w:r>
      <w:r>
        <w:rPr>
          <w:rFonts w:hint="cs"/>
          <w:rtl/>
        </w:rPr>
        <w:t>.</w:t>
      </w:r>
    </w:p>
    <w:p w:rsidR="00681C20" w:rsidRDefault="00681C20" w:rsidP="00681C20">
      <w:pPr>
        <w:pStyle w:val="SingleTxtGA"/>
        <w:rPr>
          <w:rFonts w:hint="cs"/>
          <w:rtl/>
        </w:rPr>
      </w:pPr>
      <w:r>
        <w:rPr>
          <w:rFonts w:hint="cs"/>
          <w:rtl/>
        </w:rPr>
        <w:t>76-</w:t>
      </w:r>
      <w:r>
        <w:rPr>
          <w:rFonts w:hint="cs"/>
          <w:rtl/>
        </w:rPr>
        <w:tab/>
        <w:t xml:space="preserve">ويؤكد القانون 9/2006، الصادر في 26 كانون الأول/ديسمبر، بشأن الإطار القانوني لنظام التعليم غير الجامعي، حق جميع الأطفال في التعليم والتزام منطقة ماكاو بوضع الآليات المناسبة لتعزيز تكافؤ الفرص الفعلي في مجال التعليم. وتحقيقاً لهذه الغاية، تدار شبكة لمدارس التعليم المجاني. ويجري التوسع تدريجياً في التعليم المجاني الذي يستغرق حالياً 15 عاماً. والتعليم إلزامي للأطفال الذين تتراوح أعمارهم بين 5 أعوام و15 عاماً من السنة الأخيرة </w:t>
      </w:r>
      <w:r w:rsidR="00E50A23">
        <w:rPr>
          <w:rFonts w:hint="cs"/>
          <w:rtl/>
        </w:rPr>
        <w:t xml:space="preserve">       </w:t>
      </w:r>
      <w:r>
        <w:rPr>
          <w:rFonts w:hint="cs"/>
          <w:rtl/>
        </w:rPr>
        <w:t>من التعليم قبل المدرسي إلى التعليم الثانوي الإعدادي. وبمزيد من التحديد، ينص القانون المذكور على أنه يحق للأشخاص ذوي الإعاقة الحصول على تعليم خاص بهدف تمكينهم من الحصول على فرص التعليم المناسبة لتنمية أجسامهم وعقولهم ومساعدتهم في الاندماج الاجتماعي، ونمائهم المحتمل، وتعويض قصورهم، ومشاركتهم في العمل. وبالتالي، ينص المرسوم بقانون 33/96/م، الصادر في 1 تموز/</w:t>
      </w:r>
      <w:r w:rsidR="00CF2184">
        <w:rPr>
          <w:rFonts w:hint="cs"/>
          <w:rtl/>
        </w:rPr>
        <w:t>يوليه</w:t>
      </w:r>
      <w:r>
        <w:rPr>
          <w:rFonts w:hint="cs"/>
          <w:rtl/>
        </w:rPr>
        <w:t>، بشأن نظام التعليم الخاص، على تقديم التعليم الخاص بصورة تفضيلية في شكل تعليم جامع يواكبه برنامج تعليمي فردي يتفق مع احتياجات التعليم الشخصية.</w:t>
      </w:r>
    </w:p>
    <w:p w:rsidR="00681C20" w:rsidRDefault="00681C20" w:rsidP="00E50A23">
      <w:pPr>
        <w:pStyle w:val="SingleTxtGA"/>
        <w:rPr>
          <w:rFonts w:hint="cs"/>
          <w:rtl/>
        </w:rPr>
      </w:pPr>
      <w:r>
        <w:rPr>
          <w:rFonts w:hint="cs"/>
          <w:rtl/>
        </w:rPr>
        <w:t>77-</w:t>
      </w:r>
      <w:r>
        <w:rPr>
          <w:rFonts w:hint="cs"/>
          <w:rtl/>
        </w:rPr>
        <w:tab/>
        <w:t xml:space="preserve">ويقدم مركز الدعم النفسي </w:t>
      </w:r>
      <w:r w:rsidR="00E50A23">
        <w:rPr>
          <w:rFonts w:hint="cs"/>
          <w:rtl/>
        </w:rPr>
        <w:t>-</w:t>
      </w:r>
      <w:r>
        <w:rPr>
          <w:rFonts w:hint="cs"/>
          <w:rtl/>
        </w:rPr>
        <w:t xml:space="preserve"> التربوي والتعليم الخاص، التابع لمكتب شؤون التعليم والشباب خدمات استشارية وتقييمية للتلاميذ الذين تتراوح أعمارهم بين 3 سنوات و21 سنة الذين يحتاجون إلى تعليم خاص بهدف فهم قدرتهم على التعلم ومن ثم اقتراح الترتيبات التعليمية الملائمة (فصول الإدماج، والتعليم الخاص في فصول صغيرة، وفصول التعليم الخاص)، ومساعدتهم، إذا لزم الأمر، في البحث عن منشأة تعليمية. وتصمم مناهج دراسية مناسبة للتلاميذ ذوي الإعاقات البصرية في حين أن دورات تعليم لغة الإشارة تقدَّم إلى التلاميذ ذوي الإعاقات السمعية عن طريق مدارس التعليم الخاص. وبالإضافة إلى ذلك، يقدم المركز المذكور خدمات استشارية ووظيفية ومادية وعلاجات التخاطب فضلا</w:t>
      </w:r>
      <w:r w:rsidR="009E3E8F">
        <w:rPr>
          <w:rFonts w:hint="cs"/>
          <w:rtl/>
        </w:rPr>
        <w:t>ً</w:t>
      </w:r>
      <w:r>
        <w:rPr>
          <w:rFonts w:hint="cs"/>
          <w:rtl/>
        </w:rPr>
        <w:t xml:space="preserve"> عن خدمات الإرشاد المتعلقة بالعلاج الطبي أو الاندماج الاجتماعي إلى الأشخاص ذوي الإعاقة الذين يخلص التقييم إلى حاجتهم لذلك.</w:t>
      </w:r>
    </w:p>
    <w:p w:rsidR="00681C20" w:rsidRPr="00DC28BE" w:rsidRDefault="00681C20" w:rsidP="00681C20">
      <w:pPr>
        <w:pStyle w:val="SingleTxtGA"/>
        <w:rPr>
          <w:rFonts w:hint="cs"/>
          <w:b/>
          <w:bCs/>
          <w:rtl/>
        </w:rPr>
      </w:pPr>
      <w:r w:rsidRPr="00DC28BE">
        <w:rPr>
          <w:rFonts w:hint="cs"/>
          <w:b/>
          <w:bCs/>
          <w:rtl/>
        </w:rPr>
        <w:t>الحالات التي تناولها مركز التعليم الخاص</w:t>
      </w:r>
    </w:p>
    <w:tbl>
      <w:tblPr>
        <w:bidiVisual/>
        <w:tblW w:w="850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32"/>
        <w:gridCol w:w="980"/>
        <w:gridCol w:w="938"/>
        <w:gridCol w:w="1022"/>
        <w:gridCol w:w="924"/>
        <w:gridCol w:w="1008"/>
      </w:tblGrid>
      <w:tr w:rsidR="00681C20" w:rsidRPr="0066152E" w:rsidTr="00557EAD">
        <w:trPr>
          <w:tblHeader/>
        </w:trPr>
        <w:tc>
          <w:tcPr>
            <w:tcW w:w="3632" w:type="dxa"/>
            <w:tcBorders>
              <w:top w:val="single" w:sz="4" w:space="0" w:color="auto"/>
              <w:bottom w:val="single" w:sz="12" w:space="0" w:color="auto"/>
            </w:tcBorders>
            <w:shd w:val="clear" w:color="auto" w:fill="auto"/>
            <w:vAlign w:val="bottom"/>
          </w:tcPr>
          <w:p w:rsidR="00681C20" w:rsidRPr="0066152E" w:rsidRDefault="00681C20" w:rsidP="00E50A23">
            <w:pPr>
              <w:spacing w:before="80" w:after="80" w:line="260" w:lineRule="exact"/>
              <w:ind w:left="91" w:right="113"/>
              <w:rPr>
                <w:iCs/>
                <w:sz w:val="16"/>
                <w:szCs w:val="26"/>
              </w:rPr>
            </w:pPr>
            <w:r w:rsidRPr="0066152E">
              <w:rPr>
                <w:rFonts w:hint="cs"/>
                <w:iCs/>
                <w:sz w:val="16"/>
                <w:szCs w:val="26"/>
                <w:rtl/>
              </w:rPr>
              <w:t>الحدث</w:t>
            </w:r>
          </w:p>
        </w:tc>
        <w:tc>
          <w:tcPr>
            <w:tcW w:w="980" w:type="dxa"/>
            <w:tcBorders>
              <w:top w:val="single" w:sz="4" w:space="0" w:color="auto"/>
              <w:bottom w:val="single" w:sz="12" w:space="0" w:color="auto"/>
            </w:tcBorders>
            <w:shd w:val="clear" w:color="auto" w:fill="auto"/>
            <w:vAlign w:val="bottom"/>
          </w:tcPr>
          <w:p w:rsidR="00681C20" w:rsidRPr="0066152E" w:rsidRDefault="00681C20" w:rsidP="00E50A23">
            <w:pPr>
              <w:spacing w:before="80" w:after="80" w:line="260" w:lineRule="exact"/>
              <w:ind w:left="57" w:right="113"/>
              <w:rPr>
                <w:iCs/>
                <w:sz w:val="16"/>
                <w:szCs w:val="26"/>
              </w:rPr>
            </w:pPr>
            <w:r w:rsidRPr="0066152E">
              <w:rPr>
                <w:rFonts w:hint="cs"/>
                <w:iCs/>
                <w:sz w:val="16"/>
                <w:szCs w:val="26"/>
                <w:rtl/>
              </w:rPr>
              <w:t>2006/2007</w:t>
            </w:r>
          </w:p>
        </w:tc>
        <w:tc>
          <w:tcPr>
            <w:tcW w:w="938" w:type="dxa"/>
            <w:tcBorders>
              <w:top w:val="single" w:sz="4" w:space="0" w:color="auto"/>
              <w:bottom w:val="single" w:sz="12" w:space="0" w:color="auto"/>
            </w:tcBorders>
            <w:shd w:val="clear" w:color="auto" w:fill="auto"/>
            <w:vAlign w:val="bottom"/>
          </w:tcPr>
          <w:p w:rsidR="00681C20" w:rsidRPr="0066152E" w:rsidRDefault="00681C20" w:rsidP="00E50A23">
            <w:pPr>
              <w:spacing w:before="80" w:after="80" w:line="260" w:lineRule="exact"/>
              <w:ind w:left="57" w:right="113"/>
              <w:rPr>
                <w:iCs/>
                <w:sz w:val="16"/>
                <w:szCs w:val="26"/>
              </w:rPr>
            </w:pPr>
            <w:r w:rsidRPr="0066152E">
              <w:rPr>
                <w:rFonts w:hint="cs"/>
                <w:iCs/>
                <w:sz w:val="16"/>
                <w:szCs w:val="26"/>
                <w:rtl/>
              </w:rPr>
              <w:t>2007/2008</w:t>
            </w:r>
          </w:p>
        </w:tc>
        <w:tc>
          <w:tcPr>
            <w:tcW w:w="1022" w:type="dxa"/>
            <w:tcBorders>
              <w:top w:val="single" w:sz="4" w:space="0" w:color="auto"/>
              <w:bottom w:val="single" w:sz="12" w:space="0" w:color="auto"/>
            </w:tcBorders>
            <w:shd w:val="clear" w:color="auto" w:fill="auto"/>
            <w:vAlign w:val="bottom"/>
          </w:tcPr>
          <w:p w:rsidR="00681C20" w:rsidRPr="0066152E" w:rsidRDefault="00681C20" w:rsidP="00E50A23">
            <w:pPr>
              <w:spacing w:before="80" w:after="80" w:line="260" w:lineRule="exact"/>
              <w:ind w:left="57" w:right="113"/>
              <w:rPr>
                <w:iCs/>
                <w:sz w:val="16"/>
                <w:szCs w:val="26"/>
              </w:rPr>
            </w:pPr>
            <w:r w:rsidRPr="0066152E">
              <w:rPr>
                <w:rFonts w:hint="cs"/>
                <w:iCs/>
                <w:sz w:val="16"/>
                <w:szCs w:val="26"/>
                <w:rtl/>
              </w:rPr>
              <w:t>2008/2009</w:t>
            </w:r>
          </w:p>
        </w:tc>
        <w:tc>
          <w:tcPr>
            <w:tcW w:w="924" w:type="dxa"/>
            <w:tcBorders>
              <w:top w:val="single" w:sz="4" w:space="0" w:color="auto"/>
              <w:bottom w:val="single" w:sz="12" w:space="0" w:color="auto"/>
            </w:tcBorders>
            <w:shd w:val="clear" w:color="auto" w:fill="auto"/>
            <w:vAlign w:val="bottom"/>
          </w:tcPr>
          <w:p w:rsidR="00681C20" w:rsidRPr="0066152E" w:rsidRDefault="00681C20" w:rsidP="00E50A23">
            <w:pPr>
              <w:spacing w:before="80" w:after="80" w:line="260" w:lineRule="exact"/>
              <w:ind w:left="57" w:right="113"/>
              <w:rPr>
                <w:iCs/>
                <w:sz w:val="16"/>
                <w:szCs w:val="26"/>
              </w:rPr>
            </w:pPr>
            <w:r w:rsidRPr="0066152E">
              <w:rPr>
                <w:rFonts w:hint="cs"/>
                <w:iCs/>
                <w:sz w:val="16"/>
                <w:szCs w:val="26"/>
                <w:rtl/>
              </w:rPr>
              <w:t>2009/2010</w:t>
            </w:r>
            <w:r w:rsidRPr="00E50A23">
              <w:rPr>
                <w:rFonts w:hint="cs"/>
                <w:i/>
                <w:sz w:val="16"/>
                <w:szCs w:val="26"/>
                <w:vertAlign w:val="superscript"/>
                <w:rtl/>
              </w:rPr>
              <w:t>(1)</w:t>
            </w:r>
          </w:p>
        </w:tc>
        <w:tc>
          <w:tcPr>
            <w:tcW w:w="1008" w:type="dxa"/>
            <w:tcBorders>
              <w:top w:val="single" w:sz="4" w:space="0" w:color="auto"/>
              <w:bottom w:val="single" w:sz="12" w:space="0" w:color="auto"/>
            </w:tcBorders>
            <w:shd w:val="clear" w:color="auto" w:fill="auto"/>
            <w:vAlign w:val="bottom"/>
          </w:tcPr>
          <w:p w:rsidR="00681C20" w:rsidRPr="009E3E8F" w:rsidRDefault="00681C20" w:rsidP="00E50A23">
            <w:pPr>
              <w:spacing w:before="80" w:after="80" w:line="260" w:lineRule="exact"/>
              <w:ind w:left="57" w:right="113"/>
              <w:rPr>
                <w:b/>
                <w:bCs/>
                <w:iCs/>
                <w:sz w:val="16"/>
                <w:szCs w:val="26"/>
              </w:rPr>
            </w:pPr>
            <w:r w:rsidRPr="009E3E8F">
              <w:rPr>
                <w:rFonts w:hint="cs"/>
                <w:b/>
                <w:bCs/>
                <w:iCs/>
                <w:sz w:val="16"/>
                <w:szCs w:val="26"/>
                <w:rtl/>
              </w:rPr>
              <w:t>المجموع</w:t>
            </w:r>
          </w:p>
        </w:tc>
      </w:tr>
      <w:tr w:rsidR="00681C20" w:rsidRPr="00163CE3" w:rsidTr="00557EAD">
        <w:tc>
          <w:tcPr>
            <w:tcW w:w="3632" w:type="dxa"/>
            <w:tcBorders>
              <w:top w:val="single" w:sz="12" w:space="0" w:color="auto"/>
            </w:tcBorders>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الاستشارة المهنية (عدد المواعيد)</w:t>
            </w:r>
          </w:p>
        </w:tc>
        <w:tc>
          <w:tcPr>
            <w:tcW w:w="980" w:type="dxa"/>
            <w:tcBorders>
              <w:top w:val="single" w:sz="12" w:space="0" w:color="auto"/>
            </w:tcBorders>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190</w:t>
            </w:r>
          </w:p>
        </w:tc>
        <w:tc>
          <w:tcPr>
            <w:tcW w:w="938" w:type="dxa"/>
            <w:tcBorders>
              <w:top w:val="single" w:sz="12" w:space="0" w:color="auto"/>
            </w:tcBorders>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250</w:t>
            </w:r>
          </w:p>
        </w:tc>
        <w:tc>
          <w:tcPr>
            <w:tcW w:w="1022" w:type="dxa"/>
            <w:tcBorders>
              <w:top w:val="single" w:sz="12" w:space="0" w:color="auto"/>
            </w:tcBorders>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195</w:t>
            </w:r>
          </w:p>
        </w:tc>
        <w:tc>
          <w:tcPr>
            <w:tcW w:w="924" w:type="dxa"/>
            <w:tcBorders>
              <w:top w:val="single" w:sz="12" w:space="0" w:color="auto"/>
            </w:tcBorders>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105</w:t>
            </w:r>
          </w:p>
        </w:tc>
        <w:tc>
          <w:tcPr>
            <w:tcW w:w="1008" w:type="dxa"/>
            <w:tcBorders>
              <w:top w:val="single" w:sz="12" w:space="0" w:color="auto"/>
            </w:tcBorders>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740</w:t>
            </w: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 xml:space="preserve">الزيارات المنزلية/الزيارات الهاتفية (عدد </w:t>
            </w:r>
            <w:r>
              <w:rPr>
                <w:rFonts w:hint="cs"/>
                <w:sz w:val="18"/>
                <w:szCs w:val="26"/>
                <w:rtl/>
              </w:rPr>
              <w:t>الحالات</w:t>
            </w:r>
            <w:r w:rsidRPr="00163CE3">
              <w:rPr>
                <w:rFonts w:hint="cs"/>
                <w:sz w:val="18"/>
                <w:szCs w:val="26"/>
                <w:rtl/>
              </w:rPr>
              <w:t>)</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698</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734</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491</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243</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166 2</w:t>
            </w: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rFonts w:hint="cs"/>
                <w:sz w:val="18"/>
                <w:szCs w:val="26"/>
                <w:rtl/>
              </w:rPr>
            </w:pPr>
            <w:r w:rsidRPr="00163CE3">
              <w:rPr>
                <w:rFonts w:hint="cs"/>
                <w:sz w:val="18"/>
                <w:szCs w:val="26"/>
                <w:rtl/>
              </w:rPr>
              <w:t>التقييم المتكامل (عدد الحالات)</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185</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176</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161</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97</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619</w:t>
            </w: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التقييم المعرفي (عدد الحالات)</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66</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139</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116</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62</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383</w:t>
            </w: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التقييم المهني (عددالحالات)</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43</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27</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25</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8</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103</w:t>
            </w: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متابعة المشورة (عدد المرات)</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11</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12</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224</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12</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104</w:t>
            </w: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المتابعة المهنية (مرات)</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علاج التخاطب</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116</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52</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65</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284</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376</w:t>
            </w: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العلاج الوظيفي</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52</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21</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13</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98</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137</w:t>
            </w:r>
          </w:p>
        </w:tc>
      </w:tr>
      <w:tr w:rsidR="00681C20" w:rsidRPr="00163CE3"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العلاج الجسماني</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17</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9</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34</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86</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100</w:t>
            </w:r>
          </w:p>
        </w:tc>
      </w:tr>
      <w:tr w:rsidR="00681C20" w:rsidRPr="00DC28BE" w:rsidTr="00557EAD">
        <w:tc>
          <w:tcPr>
            <w:tcW w:w="3632" w:type="dxa"/>
            <w:shd w:val="clear" w:color="auto" w:fill="auto"/>
          </w:tcPr>
          <w:p w:rsidR="00681C20" w:rsidRPr="00163CE3" w:rsidRDefault="00681C20" w:rsidP="00557EAD">
            <w:pPr>
              <w:spacing w:before="40" w:after="40" w:line="240" w:lineRule="exact"/>
              <w:ind w:left="91" w:right="113"/>
              <w:rPr>
                <w:sz w:val="18"/>
                <w:szCs w:val="26"/>
              </w:rPr>
            </w:pPr>
            <w:r w:rsidRPr="00163CE3">
              <w:rPr>
                <w:rFonts w:hint="cs"/>
                <w:sz w:val="18"/>
                <w:szCs w:val="26"/>
                <w:rtl/>
              </w:rPr>
              <w:t>الزيارات المنتظمة لدعم الطلاب المدمجين (مرات)</w:t>
            </w:r>
          </w:p>
        </w:tc>
        <w:tc>
          <w:tcPr>
            <w:tcW w:w="980"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76</w:t>
            </w:r>
          </w:p>
        </w:tc>
        <w:tc>
          <w:tcPr>
            <w:tcW w:w="938"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119</w:t>
            </w:r>
          </w:p>
        </w:tc>
        <w:tc>
          <w:tcPr>
            <w:tcW w:w="1022"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154</w:t>
            </w:r>
          </w:p>
        </w:tc>
        <w:tc>
          <w:tcPr>
            <w:tcW w:w="924" w:type="dxa"/>
            <w:shd w:val="clear" w:color="auto" w:fill="auto"/>
            <w:vAlign w:val="bottom"/>
          </w:tcPr>
          <w:p w:rsidR="00681C20" w:rsidRPr="00163CE3" w:rsidRDefault="00681C20" w:rsidP="00557EAD">
            <w:pPr>
              <w:spacing w:before="40" w:after="40" w:line="240" w:lineRule="exact"/>
              <w:ind w:left="57" w:right="113"/>
              <w:rPr>
                <w:sz w:val="18"/>
                <w:szCs w:val="26"/>
              </w:rPr>
            </w:pPr>
            <w:r w:rsidRPr="00163CE3">
              <w:rPr>
                <w:rFonts w:hint="cs"/>
                <w:sz w:val="18"/>
                <w:szCs w:val="26"/>
                <w:rtl/>
              </w:rPr>
              <w:t>108</w:t>
            </w:r>
          </w:p>
        </w:tc>
        <w:tc>
          <w:tcPr>
            <w:tcW w:w="1008" w:type="dxa"/>
            <w:shd w:val="clear" w:color="auto" w:fill="auto"/>
            <w:vAlign w:val="bottom"/>
          </w:tcPr>
          <w:p w:rsidR="00681C20" w:rsidRPr="00A05864" w:rsidRDefault="00681C20" w:rsidP="00557EAD">
            <w:pPr>
              <w:spacing w:before="40" w:after="40" w:line="240" w:lineRule="exact"/>
              <w:ind w:left="57" w:right="113"/>
              <w:rPr>
                <w:bCs/>
                <w:sz w:val="18"/>
                <w:szCs w:val="26"/>
              </w:rPr>
            </w:pPr>
            <w:r w:rsidRPr="00A05864">
              <w:rPr>
                <w:rFonts w:hint="cs"/>
                <w:bCs/>
                <w:sz w:val="18"/>
                <w:szCs w:val="26"/>
                <w:rtl/>
              </w:rPr>
              <w:t>457</w:t>
            </w:r>
          </w:p>
        </w:tc>
      </w:tr>
    </w:tbl>
    <w:p w:rsidR="00681C20" w:rsidRPr="00E50A23" w:rsidRDefault="00681C20" w:rsidP="00557EAD">
      <w:pPr>
        <w:pStyle w:val="SingleTxtGA"/>
        <w:spacing w:before="120" w:after="0" w:line="320" w:lineRule="exact"/>
        <w:rPr>
          <w:rFonts w:hint="cs"/>
          <w:sz w:val="26"/>
          <w:szCs w:val="26"/>
          <w:rtl/>
        </w:rPr>
      </w:pPr>
      <w:r w:rsidRPr="00E50A23">
        <w:rPr>
          <w:rFonts w:hint="cs"/>
          <w:i/>
          <w:iCs/>
          <w:sz w:val="26"/>
          <w:szCs w:val="26"/>
          <w:rtl/>
        </w:rPr>
        <w:t>المصدر:</w:t>
      </w:r>
      <w:r w:rsidRPr="00E50A23">
        <w:rPr>
          <w:rFonts w:hint="cs"/>
          <w:sz w:val="26"/>
          <w:szCs w:val="26"/>
          <w:rtl/>
        </w:rPr>
        <w:t xml:space="preserve"> مكتب الرعاية الاجتماعية.</w:t>
      </w:r>
    </w:p>
    <w:p w:rsidR="00681C20" w:rsidRPr="00E50A23" w:rsidRDefault="00681C20" w:rsidP="00557EAD">
      <w:pPr>
        <w:pStyle w:val="SingleTxtGA"/>
        <w:spacing w:line="320" w:lineRule="exact"/>
        <w:rPr>
          <w:rFonts w:hint="cs"/>
          <w:sz w:val="26"/>
          <w:szCs w:val="26"/>
          <w:rtl/>
        </w:rPr>
      </w:pPr>
      <w:r w:rsidRPr="00E50A23">
        <w:rPr>
          <w:rFonts w:hint="cs"/>
          <w:i/>
          <w:iCs/>
          <w:sz w:val="26"/>
          <w:szCs w:val="26"/>
          <w:rtl/>
        </w:rPr>
        <w:t>ملاحظة:</w:t>
      </w:r>
      <w:r w:rsidRPr="00E50A23">
        <w:rPr>
          <w:rFonts w:hint="cs"/>
          <w:sz w:val="26"/>
          <w:szCs w:val="26"/>
          <w:rtl/>
        </w:rPr>
        <w:t xml:space="preserve"> (1) حتى شباط/فبراير 2010.</w:t>
      </w:r>
    </w:p>
    <w:p w:rsidR="00681C20" w:rsidRDefault="00681C20" w:rsidP="00681C20">
      <w:pPr>
        <w:pStyle w:val="SingleTxtGA"/>
        <w:rPr>
          <w:rFonts w:hint="cs"/>
          <w:rtl/>
        </w:rPr>
      </w:pPr>
      <w:r>
        <w:rPr>
          <w:rFonts w:hint="cs"/>
          <w:rtl/>
        </w:rPr>
        <w:t>78-</w:t>
      </w:r>
      <w:r>
        <w:rPr>
          <w:rFonts w:hint="cs"/>
          <w:rtl/>
        </w:rPr>
        <w:tab/>
        <w:t xml:space="preserve">والتعليم الخاص مجاني تماماً حتى في مدارس القطاع الخاص. ويستطيع أيضاً التلاميذ ذوو الإعاقة أن يشاركوا في أنشطة المدرسة </w:t>
      </w:r>
      <w:r w:rsidRPr="00744146">
        <w:rPr>
          <w:rtl/>
        </w:rPr>
        <w:t xml:space="preserve">الخارجة عن </w:t>
      </w:r>
      <w:r>
        <w:rPr>
          <w:rFonts w:hint="cs"/>
          <w:rtl/>
        </w:rPr>
        <w:t>المناهج</w:t>
      </w:r>
      <w:r w:rsidRPr="00744146">
        <w:rPr>
          <w:rtl/>
        </w:rPr>
        <w:t xml:space="preserve"> الدراسية</w:t>
      </w:r>
      <w:r>
        <w:rPr>
          <w:rFonts w:hint="cs"/>
          <w:rtl/>
        </w:rPr>
        <w:t>، فضلا</w:t>
      </w:r>
      <w:r w:rsidR="009E3E8F">
        <w:rPr>
          <w:rFonts w:hint="cs"/>
          <w:rtl/>
        </w:rPr>
        <w:t>ً</w:t>
      </w:r>
      <w:r>
        <w:rPr>
          <w:rFonts w:hint="cs"/>
          <w:rtl/>
        </w:rPr>
        <w:t xml:space="preserve"> عن الأنشطة الترفيهية والرياضية التي تنظم في أثناء إجازة الصيف السنوية. ويقدم مكتب شؤون التعليم والشباب أيضاً إعانات إلى المنظمات غير الحكومية لتشجيع هؤلاء التلاميذ على المشاركة في أنشطة التبادل الدولي. وقد أصدر نشرة لتسهيل فهم حالة التعليم الخاص وما يتعلق بها من الخدمات المتاحة.</w:t>
      </w:r>
    </w:p>
    <w:p w:rsidR="00681C20" w:rsidRPr="00163CE3" w:rsidRDefault="00681C20" w:rsidP="00681C20">
      <w:pPr>
        <w:pStyle w:val="SingleTxtGA"/>
        <w:rPr>
          <w:rFonts w:hint="cs"/>
          <w:b/>
          <w:bCs/>
          <w:rtl/>
        </w:rPr>
      </w:pPr>
      <w:r w:rsidRPr="00163CE3">
        <w:rPr>
          <w:rFonts w:hint="cs"/>
          <w:b/>
          <w:bCs/>
          <w:rtl/>
        </w:rPr>
        <w:t>عدد التلاميذ ذوي الاحتياجات التعليمية الخاصة</w:t>
      </w:r>
    </w:p>
    <w:tbl>
      <w:tblPr>
        <w:bidiVisual/>
        <w:tblW w:w="7370" w:type="dxa"/>
        <w:tblInd w:w="1134" w:type="dxa"/>
        <w:tblLayout w:type="fixed"/>
        <w:tblCellMar>
          <w:left w:w="0" w:type="dxa"/>
          <w:right w:w="0" w:type="dxa"/>
        </w:tblCellMar>
        <w:tblLook w:val="01E0" w:firstRow="1" w:lastRow="1" w:firstColumn="1" w:lastColumn="1" w:noHBand="0" w:noVBand="0"/>
      </w:tblPr>
      <w:tblGrid>
        <w:gridCol w:w="2485"/>
        <w:gridCol w:w="839"/>
        <w:gridCol w:w="826"/>
        <w:gridCol w:w="826"/>
        <w:gridCol w:w="798"/>
        <w:gridCol w:w="770"/>
        <w:gridCol w:w="826"/>
      </w:tblGrid>
      <w:tr w:rsidR="00681C20" w:rsidRPr="0066152E" w:rsidTr="00557EAD">
        <w:tc>
          <w:tcPr>
            <w:tcW w:w="2485" w:type="dxa"/>
            <w:vMerge w:val="restart"/>
            <w:tcBorders>
              <w:top w:val="single" w:sz="4" w:space="0" w:color="auto"/>
            </w:tcBorders>
            <w:shd w:val="clear" w:color="auto" w:fill="auto"/>
            <w:vAlign w:val="bottom"/>
          </w:tcPr>
          <w:p w:rsidR="00681C20" w:rsidRPr="0066152E" w:rsidRDefault="00681C20" w:rsidP="00557EAD">
            <w:pPr>
              <w:spacing w:before="80" w:after="80" w:line="200" w:lineRule="exact"/>
              <w:ind w:left="57" w:right="57"/>
              <w:rPr>
                <w:iCs/>
                <w:sz w:val="16"/>
                <w:szCs w:val="26"/>
              </w:rPr>
            </w:pPr>
            <w:r w:rsidRPr="0066152E">
              <w:rPr>
                <w:rFonts w:hint="cs"/>
                <w:iCs/>
                <w:sz w:val="16"/>
                <w:szCs w:val="26"/>
                <w:rtl/>
              </w:rPr>
              <w:t>السنة الأكاديمية</w:t>
            </w:r>
          </w:p>
        </w:tc>
        <w:tc>
          <w:tcPr>
            <w:tcW w:w="2491" w:type="dxa"/>
            <w:gridSpan w:val="3"/>
            <w:tcBorders>
              <w:top w:val="single" w:sz="4" w:space="0" w:color="auto"/>
              <w:bottom w:val="single" w:sz="4" w:space="0" w:color="auto"/>
              <w:right w:val="single" w:sz="24" w:space="0" w:color="FFFFFF"/>
            </w:tcBorders>
            <w:shd w:val="clear" w:color="auto" w:fill="auto"/>
            <w:vAlign w:val="bottom"/>
          </w:tcPr>
          <w:p w:rsidR="00681C20" w:rsidRPr="0066152E" w:rsidRDefault="00681C20" w:rsidP="00557EAD">
            <w:pPr>
              <w:spacing w:before="80" w:after="80" w:line="200" w:lineRule="exact"/>
              <w:ind w:left="57" w:right="57"/>
              <w:jc w:val="center"/>
              <w:rPr>
                <w:iCs/>
                <w:sz w:val="16"/>
                <w:szCs w:val="26"/>
              </w:rPr>
            </w:pPr>
            <w:r w:rsidRPr="0066152E">
              <w:rPr>
                <w:rFonts w:hint="cs"/>
                <w:iCs/>
                <w:sz w:val="16"/>
                <w:szCs w:val="26"/>
                <w:rtl/>
              </w:rPr>
              <w:t>التلاميذ غير المدمجين</w:t>
            </w:r>
          </w:p>
        </w:tc>
        <w:tc>
          <w:tcPr>
            <w:tcW w:w="2394" w:type="dxa"/>
            <w:gridSpan w:val="3"/>
            <w:tcBorders>
              <w:top w:val="single" w:sz="4" w:space="0" w:color="auto"/>
              <w:left w:val="single" w:sz="24" w:space="0" w:color="FFFFFF"/>
              <w:bottom w:val="single" w:sz="4" w:space="0" w:color="auto"/>
            </w:tcBorders>
            <w:shd w:val="clear" w:color="auto" w:fill="auto"/>
            <w:vAlign w:val="bottom"/>
          </w:tcPr>
          <w:p w:rsidR="00681C20" w:rsidRPr="0066152E" w:rsidRDefault="00681C20" w:rsidP="00557EAD">
            <w:pPr>
              <w:spacing w:before="80" w:after="80" w:line="200" w:lineRule="exact"/>
              <w:ind w:left="57" w:right="57"/>
              <w:jc w:val="center"/>
              <w:rPr>
                <w:iCs/>
                <w:sz w:val="16"/>
                <w:szCs w:val="26"/>
              </w:rPr>
            </w:pPr>
            <w:r w:rsidRPr="0066152E">
              <w:rPr>
                <w:rFonts w:hint="cs"/>
                <w:iCs/>
                <w:sz w:val="16"/>
                <w:szCs w:val="26"/>
                <w:rtl/>
              </w:rPr>
              <w:t>التلاميذ المدمجون</w:t>
            </w:r>
          </w:p>
        </w:tc>
      </w:tr>
      <w:tr w:rsidR="00681C20" w:rsidRPr="0066152E" w:rsidTr="00557EAD">
        <w:tc>
          <w:tcPr>
            <w:tcW w:w="2485" w:type="dxa"/>
            <w:vMerge/>
            <w:tcBorders>
              <w:bottom w:val="single" w:sz="12" w:space="0" w:color="auto"/>
            </w:tcBorders>
            <w:shd w:val="clear" w:color="auto" w:fill="auto"/>
            <w:vAlign w:val="bottom"/>
          </w:tcPr>
          <w:p w:rsidR="00681C20" w:rsidRPr="0066152E" w:rsidRDefault="00681C20" w:rsidP="00557EAD">
            <w:pPr>
              <w:spacing w:before="80" w:after="80" w:line="200" w:lineRule="exact"/>
              <w:ind w:left="57" w:right="57"/>
              <w:rPr>
                <w:iCs/>
                <w:sz w:val="16"/>
                <w:szCs w:val="26"/>
              </w:rPr>
            </w:pPr>
          </w:p>
        </w:tc>
        <w:tc>
          <w:tcPr>
            <w:tcW w:w="839" w:type="dxa"/>
            <w:tcBorders>
              <w:top w:val="single" w:sz="4" w:space="0" w:color="auto"/>
              <w:bottom w:val="single" w:sz="12" w:space="0" w:color="auto"/>
            </w:tcBorders>
            <w:shd w:val="clear" w:color="auto" w:fill="auto"/>
            <w:vAlign w:val="bottom"/>
          </w:tcPr>
          <w:p w:rsidR="00681C20" w:rsidRPr="0066152E" w:rsidRDefault="00681C20" w:rsidP="00557EAD">
            <w:pPr>
              <w:spacing w:before="80" w:after="80" w:line="200" w:lineRule="exact"/>
              <w:ind w:left="57" w:right="57"/>
              <w:rPr>
                <w:iCs/>
                <w:sz w:val="16"/>
                <w:szCs w:val="26"/>
              </w:rPr>
            </w:pPr>
            <w:r w:rsidRPr="0066152E">
              <w:rPr>
                <w:rFonts w:hint="cs"/>
                <w:iCs/>
                <w:sz w:val="16"/>
                <w:szCs w:val="26"/>
                <w:rtl/>
              </w:rPr>
              <w:t>ذكور</w:t>
            </w:r>
          </w:p>
        </w:tc>
        <w:tc>
          <w:tcPr>
            <w:tcW w:w="826" w:type="dxa"/>
            <w:tcBorders>
              <w:top w:val="single" w:sz="4" w:space="0" w:color="auto"/>
              <w:bottom w:val="single" w:sz="12" w:space="0" w:color="auto"/>
            </w:tcBorders>
            <w:shd w:val="clear" w:color="auto" w:fill="auto"/>
            <w:vAlign w:val="bottom"/>
          </w:tcPr>
          <w:p w:rsidR="00681C20" w:rsidRPr="0066152E" w:rsidRDefault="00681C20" w:rsidP="00557EAD">
            <w:pPr>
              <w:spacing w:before="80" w:after="80" w:line="200" w:lineRule="exact"/>
              <w:ind w:left="57" w:right="57"/>
              <w:rPr>
                <w:iCs/>
                <w:sz w:val="16"/>
                <w:szCs w:val="26"/>
              </w:rPr>
            </w:pPr>
            <w:r w:rsidRPr="0066152E">
              <w:rPr>
                <w:rFonts w:hint="cs"/>
                <w:iCs/>
                <w:sz w:val="16"/>
                <w:szCs w:val="26"/>
                <w:rtl/>
              </w:rPr>
              <w:t>إناث</w:t>
            </w:r>
          </w:p>
        </w:tc>
        <w:tc>
          <w:tcPr>
            <w:tcW w:w="826" w:type="dxa"/>
            <w:tcBorders>
              <w:top w:val="single" w:sz="4" w:space="0" w:color="auto"/>
              <w:bottom w:val="single" w:sz="12" w:space="0" w:color="auto"/>
              <w:right w:val="single" w:sz="24" w:space="0" w:color="FFFFFF"/>
            </w:tcBorders>
            <w:shd w:val="clear" w:color="auto" w:fill="auto"/>
            <w:vAlign w:val="bottom"/>
          </w:tcPr>
          <w:p w:rsidR="00681C20" w:rsidRPr="0066152E" w:rsidRDefault="00681C20" w:rsidP="00557EAD">
            <w:pPr>
              <w:spacing w:before="80" w:after="80" w:line="200" w:lineRule="exact"/>
              <w:ind w:left="57" w:right="57"/>
              <w:rPr>
                <w:bCs/>
                <w:iCs/>
                <w:sz w:val="16"/>
                <w:szCs w:val="26"/>
              </w:rPr>
            </w:pPr>
            <w:r w:rsidRPr="0066152E">
              <w:rPr>
                <w:rFonts w:hint="cs"/>
                <w:bCs/>
                <w:iCs/>
                <w:sz w:val="16"/>
                <w:szCs w:val="26"/>
                <w:rtl/>
              </w:rPr>
              <w:t>المجموع</w:t>
            </w:r>
          </w:p>
        </w:tc>
        <w:tc>
          <w:tcPr>
            <w:tcW w:w="798" w:type="dxa"/>
            <w:tcBorders>
              <w:top w:val="single" w:sz="4" w:space="0" w:color="auto"/>
              <w:left w:val="single" w:sz="24" w:space="0" w:color="FFFFFF"/>
              <w:bottom w:val="single" w:sz="12" w:space="0" w:color="auto"/>
            </w:tcBorders>
            <w:shd w:val="clear" w:color="auto" w:fill="auto"/>
            <w:vAlign w:val="bottom"/>
          </w:tcPr>
          <w:p w:rsidR="00681C20" w:rsidRPr="0066152E" w:rsidRDefault="00681C20" w:rsidP="00557EAD">
            <w:pPr>
              <w:spacing w:before="80" w:after="80" w:line="200" w:lineRule="exact"/>
              <w:ind w:left="57" w:right="57"/>
              <w:rPr>
                <w:iCs/>
                <w:sz w:val="16"/>
                <w:szCs w:val="26"/>
              </w:rPr>
            </w:pPr>
            <w:r w:rsidRPr="0066152E">
              <w:rPr>
                <w:rFonts w:hint="cs"/>
                <w:iCs/>
                <w:sz w:val="16"/>
                <w:szCs w:val="26"/>
                <w:rtl/>
              </w:rPr>
              <w:t>ذكور</w:t>
            </w:r>
          </w:p>
        </w:tc>
        <w:tc>
          <w:tcPr>
            <w:tcW w:w="770" w:type="dxa"/>
            <w:tcBorders>
              <w:top w:val="single" w:sz="4" w:space="0" w:color="auto"/>
              <w:bottom w:val="single" w:sz="12" w:space="0" w:color="auto"/>
            </w:tcBorders>
            <w:shd w:val="clear" w:color="auto" w:fill="auto"/>
            <w:vAlign w:val="bottom"/>
          </w:tcPr>
          <w:p w:rsidR="00681C20" w:rsidRPr="0066152E" w:rsidRDefault="00681C20" w:rsidP="00557EAD">
            <w:pPr>
              <w:spacing w:before="80" w:after="80" w:line="200" w:lineRule="exact"/>
              <w:ind w:left="57" w:right="57"/>
              <w:rPr>
                <w:iCs/>
                <w:sz w:val="16"/>
                <w:szCs w:val="26"/>
              </w:rPr>
            </w:pPr>
            <w:r w:rsidRPr="0066152E">
              <w:rPr>
                <w:rFonts w:hint="cs"/>
                <w:iCs/>
                <w:sz w:val="16"/>
                <w:szCs w:val="26"/>
                <w:rtl/>
              </w:rPr>
              <w:t>إناث</w:t>
            </w:r>
          </w:p>
        </w:tc>
        <w:tc>
          <w:tcPr>
            <w:tcW w:w="826" w:type="dxa"/>
            <w:tcBorders>
              <w:top w:val="single" w:sz="4" w:space="0" w:color="auto"/>
              <w:bottom w:val="single" w:sz="12" w:space="0" w:color="auto"/>
            </w:tcBorders>
            <w:shd w:val="clear" w:color="auto" w:fill="auto"/>
            <w:vAlign w:val="bottom"/>
          </w:tcPr>
          <w:p w:rsidR="00681C20" w:rsidRPr="0066152E" w:rsidRDefault="00681C20" w:rsidP="00557EAD">
            <w:pPr>
              <w:spacing w:before="80" w:after="80" w:line="200" w:lineRule="exact"/>
              <w:ind w:left="57" w:right="57"/>
              <w:rPr>
                <w:bCs/>
                <w:iCs/>
                <w:sz w:val="16"/>
                <w:szCs w:val="26"/>
              </w:rPr>
            </w:pPr>
            <w:r w:rsidRPr="0066152E">
              <w:rPr>
                <w:rFonts w:hint="cs"/>
                <w:bCs/>
                <w:iCs/>
                <w:sz w:val="16"/>
                <w:szCs w:val="26"/>
                <w:rtl/>
              </w:rPr>
              <w:t>المجموع</w:t>
            </w:r>
          </w:p>
        </w:tc>
      </w:tr>
      <w:tr w:rsidR="00681C20" w:rsidRPr="0066152E" w:rsidTr="00557EAD">
        <w:tc>
          <w:tcPr>
            <w:tcW w:w="2485" w:type="dxa"/>
            <w:tcBorders>
              <w:top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2006/2007</w:t>
            </w:r>
          </w:p>
        </w:tc>
        <w:tc>
          <w:tcPr>
            <w:tcW w:w="839" w:type="dxa"/>
            <w:tcBorders>
              <w:top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313</w:t>
            </w:r>
          </w:p>
        </w:tc>
        <w:tc>
          <w:tcPr>
            <w:tcW w:w="826" w:type="dxa"/>
            <w:tcBorders>
              <w:top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177</w:t>
            </w:r>
          </w:p>
        </w:tc>
        <w:tc>
          <w:tcPr>
            <w:tcW w:w="826" w:type="dxa"/>
            <w:tcBorders>
              <w:top w:val="single" w:sz="12" w:space="0" w:color="auto"/>
            </w:tcBorders>
            <w:shd w:val="clear" w:color="auto" w:fill="auto"/>
            <w:vAlign w:val="bottom"/>
          </w:tcPr>
          <w:p w:rsidR="00681C20" w:rsidRPr="0066152E" w:rsidRDefault="00681C20" w:rsidP="00557EAD">
            <w:pPr>
              <w:spacing w:before="40" w:after="40" w:line="220" w:lineRule="exact"/>
              <w:ind w:left="57" w:right="57"/>
              <w:rPr>
                <w:bCs/>
                <w:sz w:val="18"/>
                <w:szCs w:val="26"/>
              </w:rPr>
            </w:pPr>
            <w:r w:rsidRPr="0066152E">
              <w:rPr>
                <w:rFonts w:hint="cs"/>
                <w:bCs/>
                <w:sz w:val="18"/>
                <w:szCs w:val="26"/>
                <w:rtl/>
              </w:rPr>
              <w:t>490</w:t>
            </w:r>
          </w:p>
        </w:tc>
        <w:tc>
          <w:tcPr>
            <w:tcW w:w="798" w:type="dxa"/>
            <w:tcBorders>
              <w:top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187</w:t>
            </w:r>
          </w:p>
        </w:tc>
        <w:tc>
          <w:tcPr>
            <w:tcW w:w="770" w:type="dxa"/>
            <w:tcBorders>
              <w:top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90</w:t>
            </w:r>
          </w:p>
        </w:tc>
        <w:tc>
          <w:tcPr>
            <w:tcW w:w="826" w:type="dxa"/>
            <w:tcBorders>
              <w:top w:val="single" w:sz="12" w:space="0" w:color="auto"/>
            </w:tcBorders>
            <w:shd w:val="clear" w:color="auto" w:fill="auto"/>
            <w:vAlign w:val="bottom"/>
          </w:tcPr>
          <w:p w:rsidR="00681C20" w:rsidRPr="0066152E" w:rsidRDefault="00681C20" w:rsidP="00557EAD">
            <w:pPr>
              <w:spacing w:before="40" w:after="40" w:line="220" w:lineRule="exact"/>
              <w:ind w:left="57" w:right="57"/>
              <w:rPr>
                <w:bCs/>
                <w:sz w:val="18"/>
                <w:szCs w:val="26"/>
              </w:rPr>
            </w:pPr>
            <w:r w:rsidRPr="0066152E">
              <w:rPr>
                <w:rFonts w:hint="cs"/>
                <w:bCs/>
                <w:sz w:val="18"/>
                <w:szCs w:val="26"/>
                <w:rtl/>
              </w:rPr>
              <w:t>277</w:t>
            </w:r>
          </w:p>
        </w:tc>
      </w:tr>
      <w:tr w:rsidR="00681C20" w:rsidRPr="0066152E" w:rsidTr="00557EAD">
        <w:tc>
          <w:tcPr>
            <w:tcW w:w="2485"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2007/2008</w:t>
            </w:r>
          </w:p>
        </w:tc>
        <w:tc>
          <w:tcPr>
            <w:tcW w:w="839"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310</w:t>
            </w:r>
          </w:p>
        </w:tc>
        <w:tc>
          <w:tcPr>
            <w:tcW w:w="826"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165</w:t>
            </w:r>
          </w:p>
        </w:tc>
        <w:tc>
          <w:tcPr>
            <w:tcW w:w="826" w:type="dxa"/>
            <w:shd w:val="clear" w:color="auto" w:fill="auto"/>
            <w:vAlign w:val="bottom"/>
          </w:tcPr>
          <w:p w:rsidR="00681C20" w:rsidRPr="0066152E" w:rsidRDefault="00681C20" w:rsidP="00557EAD">
            <w:pPr>
              <w:spacing w:before="40" w:after="40" w:line="220" w:lineRule="exact"/>
              <w:ind w:left="57" w:right="57"/>
              <w:rPr>
                <w:bCs/>
                <w:sz w:val="18"/>
                <w:szCs w:val="26"/>
              </w:rPr>
            </w:pPr>
            <w:r w:rsidRPr="0066152E">
              <w:rPr>
                <w:rFonts w:hint="cs"/>
                <w:bCs/>
                <w:sz w:val="18"/>
                <w:szCs w:val="26"/>
                <w:rtl/>
              </w:rPr>
              <w:t>475</w:t>
            </w:r>
          </w:p>
        </w:tc>
        <w:tc>
          <w:tcPr>
            <w:tcW w:w="798"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169</w:t>
            </w:r>
          </w:p>
        </w:tc>
        <w:tc>
          <w:tcPr>
            <w:tcW w:w="770"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95</w:t>
            </w:r>
          </w:p>
        </w:tc>
        <w:tc>
          <w:tcPr>
            <w:tcW w:w="826" w:type="dxa"/>
            <w:shd w:val="clear" w:color="auto" w:fill="auto"/>
            <w:vAlign w:val="bottom"/>
          </w:tcPr>
          <w:p w:rsidR="00681C20" w:rsidRPr="0066152E" w:rsidRDefault="00681C20" w:rsidP="00557EAD">
            <w:pPr>
              <w:spacing w:before="40" w:after="40" w:line="220" w:lineRule="exact"/>
              <w:ind w:left="57" w:right="57"/>
              <w:rPr>
                <w:bCs/>
                <w:sz w:val="18"/>
                <w:szCs w:val="26"/>
              </w:rPr>
            </w:pPr>
            <w:r w:rsidRPr="0066152E">
              <w:rPr>
                <w:rFonts w:hint="cs"/>
                <w:bCs/>
                <w:sz w:val="18"/>
                <w:szCs w:val="26"/>
                <w:rtl/>
              </w:rPr>
              <w:t>264</w:t>
            </w:r>
          </w:p>
        </w:tc>
      </w:tr>
      <w:tr w:rsidR="00681C20" w:rsidRPr="0066152E" w:rsidTr="00557EAD">
        <w:tc>
          <w:tcPr>
            <w:tcW w:w="2485"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2008/2009</w:t>
            </w:r>
          </w:p>
        </w:tc>
        <w:tc>
          <w:tcPr>
            <w:tcW w:w="839"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306</w:t>
            </w:r>
          </w:p>
        </w:tc>
        <w:tc>
          <w:tcPr>
            <w:tcW w:w="826"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165</w:t>
            </w:r>
          </w:p>
        </w:tc>
        <w:tc>
          <w:tcPr>
            <w:tcW w:w="826" w:type="dxa"/>
            <w:shd w:val="clear" w:color="auto" w:fill="auto"/>
            <w:vAlign w:val="bottom"/>
          </w:tcPr>
          <w:p w:rsidR="00681C20" w:rsidRPr="0066152E" w:rsidRDefault="00681C20" w:rsidP="00557EAD">
            <w:pPr>
              <w:spacing w:before="40" w:after="40" w:line="220" w:lineRule="exact"/>
              <w:ind w:left="57" w:right="57"/>
              <w:rPr>
                <w:bCs/>
                <w:sz w:val="18"/>
                <w:szCs w:val="26"/>
              </w:rPr>
            </w:pPr>
            <w:r w:rsidRPr="0066152E">
              <w:rPr>
                <w:rFonts w:hint="cs"/>
                <w:bCs/>
                <w:sz w:val="18"/>
                <w:szCs w:val="26"/>
                <w:rtl/>
              </w:rPr>
              <w:t>471</w:t>
            </w:r>
          </w:p>
        </w:tc>
        <w:tc>
          <w:tcPr>
            <w:tcW w:w="798"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223</w:t>
            </w:r>
          </w:p>
        </w:tc>
        <w:tc>
          <w:tcPr>
            <w:tcW w:w="770" w:type="dxa"/>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110</w:t>
            </w:r>
          </w:p>
        </w:tc>
        <w:tc>
          <w:tcPr>
            <w:tcW w:w="826" w:type="dxa"/>
            <w:shd w:val="clear" w:color="auto" w:fill="auto"/>
            <w:vAlign w:val="bottom"/>
          </w:tcPr>
          <w:p w:rsidR="00681C20" w:rsidRPr="0066152E" w:rsidRDefault="00681C20" w:rsidP="00557EAD">
            <w:pPr>
              <w:spacing w:before="40" w:after="40" w:line="220" w:lineRule="exact"/>
              <w:ind w:left="57" w:right="57"/>
              <w:rPr>
                <w:bCs/>
                <w:sz w:val="18"/>
                <w:szCs w:val="26"/>
              </w:rPr>
            </w:pPr>
            <w:r w:rsidRPr="0066152E">
              <w:rPr>
                <w:rFonts w:hint="cs"/>
                <w:bCs/>
                <w:sz w:val="18"/>
                <w:szCs w:val="26"/>
                <w:rtl/>
              </w:rPr>
              <w:t>333</w:t>
            </w:r>
          </w:p>
        </w:tc>
      </w:tr>
      <w:tr w:rsidR="00681C20" w:rsidRPr="00163CE3" w:rsidTr="00557EAD">
        <w:tc>
          <w:tcPr>
            <w:tcW w:w="2485" w:type="dxa"/>
            <w:tcBorders>
              <w:bottom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2009/2010</w:t>
            </w:r>
          </w:p>
        </w:tc>
        <w:tc>
          <w:tcPr>
            <w:tcW w:w="839" w:type="dxa"/>
            <w:tcBorders>
              <w:bottom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328</w:t>
            </w:r>
          </w:p>
        </w:tc>
        <w:tc>
          <w:tcPr>
            <w:tcW w:w="826" w:type="dxa"/>
            <w:tcBorders>
              <w:bottom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174</w:t>
            </w:r>
          </w:p>
        </w:tc>
        <w:tc>
          <w:tcPr>
            <w:tcW w:w="826" w:type="dxa"/>
            <w:tcBorders>
              <w:bottom w:val="single" w:sz="12" w:space="0" w:color="auto"/>
            </w:tcBorders>
            <w:shd w:val="clear" w:color="auto" w:fill="auto"/>
            <w:vAlign w:val="bottom"/>
          </w:tcPr>
          <w:p w:rsidR="00681C20" w:rsidRPr="0066152E" w:rsidRDefault="00681C20" w:rsidP="00557EAD">
            <w:pPr>
              <w:spacing w:before="40" w:after="40" w:line="220" w:lineRule="exact"/>
              <w:ind w:left="57" w:right="57"/>
              <w:rPr>
                <w:bCs/>
                <w:sz w:val="18"/>
                <w:szCs w:val="26"/>
              </w:rPr>
            </w:pPr>
            <w:r w:rsidRPr="0066152E">
              <w:rPr>
                <w:rFonts w:hint="cs"/>
                <w:bCs/>
                <w:sz w:val="18"/>
                <w:szCs w:val="26"/>
                <w:rtl/>
              </w:rPr>
              <w:t>502</w:t>
            </w:r>
          </w:p>
        </w:tc>
        <w:tc>
          <w:tcPr>
            <w:tcW w:w="798" w:type="dxa"/>
            <w:tcBorders>
              <w:bottom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247</w:t>
            </w:r>
          </w:p>
        </w:tc>
        <w:tc>
          <w:tcPr>
            <w:tcW w:w="770" w:type="dxa"/>
            <w:tcBorders>
              <w:bottom w:val="single" w:sz="12" w:space="0" w:color="auto"/>
            </w:tcBorders>
            <w:shd w:val="clear" w:color="auto" w:fill="auto"/>
            <w:vAlign w:val="bottom"/>
          </w:tcPr>
          <w:p w:rsidR="00681C20" w:rsidRPr="0066152E" w:rsidRDefault="00681C20" w:rsidP="00557EAD">
            <w:pPr>
              <w:spacing w:before="40" w:after="40" w:line="220" w:lineRule="exact"/>
              <w:ind w:left="57" w:right="57"/>
              <w:rPr>
                <w:sz w:val="18"/>
                <w:szCs w:val="26"/>
              </w:rPr>
            </w:pPr>
            <w:r w:rsidRPr="0066152E">
              <w:rPr>
                <w:rFonts w:hint="cs"/>
                <w:sz w:val="18"/>
                <w:szCs w:val="26"/>
                <w:rtl/>
              </w:rPr>
              <w:t>125</w:t>
            </w:r>
          </w:p>
        </w:tc>
        <w:tc>
          <w:tcPr>
            <w:tcW w:w="826" w:type="dxa"/>
            <w:tcBorders>
              <w:bottom w:val="single" w:sz="12" w:space="0" w:color="auto"/>
            </w:tcBorders>
            <w:shd w:val="clear" w:color="auto" w:fill="auto"/>
            <w:vAlign w:val="bottom"/>
          </w:tcPr>
          <w:p w:rsidR="00681C20" w:rsidRPr="0066152E" w:rsidRDefault="00681C20" w:rsidP="00557EAD">
            <w:pPr>
              <w:spacing w:before="40" w:after="40" w:line="220" w:lineRule="exact"/>
              <w:ind w:left="57" w:right="57"/>
              <w:rPr>
                <w:bCs/>
                <w:sz w:val="18"/>
                <w:szCs w:val="26"/>
              </w:rPr>
            </w:pPr>
            <w:r w:rsidRPr="0066152E">
              <w:rPr>
                <w:rFonts w:hint="cs"/>
                <w:bCs/>
                <w:sz w:val="18"/>
                <w:szCs w:val="26"/>
                <w:rtl/>
              </w:rPr>
              <w:t>372</w:t>
            </w:r>
          </w:p>
        </w:tc>
      </w:tr>
    </w:tbl>
    <w:p w:rsidR="00681C20" w:rsidRPr="00557EAD" w:rsidRDefault="00681C20" w:rsidP="00681C20">
      <w:pPr>
        <w:pStyle w:val="SingleTxtGA"/>
        <w:rPr>
          <w:rFonts w:hint="cs"/>
          <w:sz w:val="26"/>
          <w:szCs w:val="26"/>
          <w:rtl/>
        </w:rPr>
      </w:pPr>
      <w:r w:rsidRPr="00557EAD">
        <w:rPr>
          <w:rFonts w:hint="cs"/>
          <w:i/>
          <w:iCs/>
          <w:sz w:val="26"/>
          <w:szCs w:val="26"/>
          <w:rtl/>
        </w:rPr>
        <w:t>المصدر:</w:t>
      </w:r>
      <w:r w:rsidRPr="00557EAD">
        <w:rPr>
          <w:rFonts w:hint="cs"/>
          <w:sz w:val="26"/>
          <w:szCs w:val="26"/>
          <w:rtl/>
        </w:rPr>
        <w:t xml:space="preserve"> مكتب شؤون التعليم والشباب.</w:t>
      </w:r>
    </w:p>
    <w:p w:rsidR="00681C20" w:rsidRDefault="00681C20" w:rsidP="00681C20">
      <w:pPr>
        <w:pStyle w:val="SingleTxtGA"/>
        <w:rPr>
          <w:rFonts w:hint="cs"/>
          <w:rtl/>
        </w:rPr>
      </w:pPr>
      <w:r>
        <w:rPr>
          <w:rFonts w:hint="cs"/>
          <w:rtl/>
        </w:rPr>
        <w:t>79-</w:t>
      </w:r>
      <w:r>
        <w:rPr>
          <w:rFonts w:hint="cs"/>
          <w:rtl/>
        </w:rPr>
        <w:tab/>
        <w:t xml:space="preserve">ويفرض المرسوم بقانون 33/96/م على المدارس أن تقضي على العقبات والحواجز في مرافق المدارس وأن توفر </w:t>
      </w:r>
      <w:r w:rsidRPr="006418B2">
        <w:rPr>
          <w:rtl/>
        </w:rPr>
        <w:t xml:space="preserve">ترتيبات تيسيرية معقولة </w:t>
      </w:r>
      <w:r>
        <w:rPr>
          <w:rFonts w:hint="cs"/>
          <w:rtl/>
        </w:rPr>
        <w:t>والدعم المطلوب لهؤلاء التلاميذ. ويجوز للمدارس التي تقدم تعليماً خاصاً أن تطلب إعانات ومساعدة من أفرقة التعليم الخاص التي تبقى في الموقع أو تزوره بانتظام.</w:t>
      </w:r>
    </w:p>
    <w:p w:rsidR="00681C20" w:rsidRDefault="00681C20" w:rsidP="00681C20">
      <w:pPr>
        <w:pStyle w:val="SingleTxtGA"/>
        <w:rPr>
          <w:rFonts w:hint="cs"/>
          <w:rtl/>
        </w:rPr>
      </w:pPr>
      <w:r>
        <w:rPr>
          <w:rFonts w:hint="cs"/>
          <w:rtl/>
        </w:rPr>
        <w:t>80-</w:t>
      </w:r>
      <w:r>
        <w:rPr>
          <w:rFonts w:hint="cs"/>
          <w:rtl/>
        </w:rPr>
        <w:tab/>
        <w:t>ومن حيث التعليم العالي، تنص المادة 28 من المرسوم بقانون 11/91/م، الصادر</w:t>
      </w:r>
      <w:r w:rsidR="00557EAD">
        <w:rPr>
          <w:rFonts w:hint="cs"/>
          <w:rtl/>
        </w:rPr>
        <w:t xml:space="preserve">    </w:t>
      </w:r>
      <w:r>
        <w:rPr>
          <w:rFonts w:hint="cs"/>
          <w:rtl/>
        </w:rPr>
        <w:t xml:space="preserve"> في 4 شباط/فبراير، على أنه ينبغي تهيئة الظروف التي تكفل تكافؤ الفرص في الالتحاق بالتعليم العالي. وبالتالي، فقد استحدثت "منح للدراسة"، تشمل قروض الطلاب، والمنح الدراسية، وإعانات الإقامة، وإعانات السفر، وما إلى ذلك لتشجيع ودعمهم في مواصلة التعليم العالي. وفي خلال السنة الأكاديمية 2009/2010، التحق 5 طلاب من ذوي الإعاقة، 3 ذكور و2 من الإناث، في 3 من مؤسسات التعليم العالي.</w:t>
      </w:r>
    </w:p>
    <w:p w:rsidR="00681C20" w:rsidRDefault="00681C20" w:rsidP="00681C20">
      <w:pPr>
        <w:pStyle w:val="SingleTxtGA"/>
        <w:rPr>
          <w:rFonts w:hint="cs"/>
          <w:rtl/>
        </w:rPr>
      </w:pPr>
      <w:r>
        <w:rPr>
          <w:rFonts w:hint="cs"/>
          <w:rtl/>
        </w:rPr>
        <w:t>81-</w:t>
      </w:r>
      <w:r>
        <w:rPr>
          <w:rFonts w:hint="cs"/>
          <w:rtl/>
        </w:rPr>
        <w:tab/>
        <w:t>وتحسيناً لضمان تكافؤ الفرص أمام الطلاب ذوي الإعاقة في الوصول إلى التعليم العالي وفي تهيئة البيئة الدراسية المناسبة وتوفير المرافق الضرورية، اعتمدت جميع مؤسسات ال</w:t>
      </w:r>
      <w:r w:rsidR="009E3E8F">
        <w:rPr>
          <w:rFonts w:hint="cs"/>
          <w:rtl/>
        </w:rPr>
        <w:t>ت</w:t>
      </w:r>
      <w:r>
        <w:rPr>
          <w:rFonts w:hint="cs"/>
          <w:rtl/>
        </w:rPr>
        <w:t xml:space="preserve">عليم العالي تدابير تشمل بصفة رئيسية ما يلي: استحداث </w:t>
      </w:r>
      <w:r w:rsidRPr="00F01816">
        <w:rPr>
          <w:rFonts w:hint="cs"/>
          <w:i/>
          <w:iCs/>
          <w:rtl/>
        </w:rPr>
        <w:t>"سياسة لقبول الطلاب ذوي الإعاقة"</w:t>
      </w:r>
      <w:r>
        <w:rPr>
          <w:rFonts w:hint="cs"/>
          <w:rtl/>
        </w:rPr>
        <w:t xml:space="preserve"> لتوفير ترتيبات خاصة لقبول هؤلاء الطلاب؛ وإعداد </w:t>
      </w:r>
      <w:r>
        <w:rPr>
          <w:rFonts w:hint="cs"/>
          <w:i/>
          <w:iCs/>
          <w:rtl/>
        </w:rPr>
        <w:t>"هيئة لسياسة وخدمات الطلاب ذوي الإعاقة"</w:t>
      </w:r>
      <w:r>
        <w:rPr>
          <w:rFonts w:hint="cs"/>
          <w:rtl/>
        </w:rPr>
        <w:t xml:space="preserve"> لإجراء استعراض منتظم للمرافق والسياسات ذات الصلة ومحاولة الوفاء بشواغل الجمهور ورعاية الأشخاص ذوي الإعاقة؛ وإنشاء موقع إلكتروني لخدمة المعوقين من أجل تعزيز سياسة القبول والخدمات المقدمة إلى الطلاب ذوي الإعاقة؛ وتقديم حواسيب محمولة مع تحميل برمجيات خاصة عليها من أجل الطلاب ذوي العاهات البصرية بحيث يتمكنون من قراءة النسخ الإلكترونية عن طريق الاستماع؛ وتكوين فريق من سفراء الطلاب لتقديم أنواع مختلفة من المساعدة للطلاب ذوي الإعاقة؛ وإنشاء مرافق مناسبة لهم، بما في ذلك ممرات خالية من الحواجز، ودورات مياه، ومصاعد، وعلامات بريل، الخ.</w:t>
      </w:r>
    </w:p>
    <w:p w:rsidR="00681C20" w:rsidRDefault="00397E4F" w:rsidP="00397E4F">
      <w:pPr>
        <w:pStyle w:val="H1GA"/>
        <w:spacing w:before="120"/>
        <w:jc w:val="left"/>
        <w:rPr>
          <w:rFonts w:hint="cs"/>
          <w:rtl/>
        </w:rPr>
      </w:pPr>
      <w:r>
        <w:rPr>
          <w:rFonts w:hint="cs"/>
          <w:rtl/>
        </w:rPr>
        <w:tab/>
      </w:r>
      <w:r>
        <w:rPr>
          <w:rFonts w:hint="cs"/>
          <w:rtl/>
        </w:rPr>
        <w:tab/>
      </w:r>
      <w:r w:rsidR="00681C20">
        <w:rPr>
          <w:rFonts w:hint="cs"/>
          <w:rtl/>
        </w:rPr>
        <w:t>المادة 25</w:t>
      </w:r>
      <w:r w:rsidR="00681C20">
        <w:rPr>
          <w:rFonts w:hint="cs"/>
          <w:rtl/>
        </w:rPr>
        <w:br/>
        <w:t>(الصحة)</w:t>
      </w:r>
    </w:p>
    <w:p w:rsidR="00681C20" w:rsidRDefault="00681C20" w:rsidP="00681C20">
      <w:pPr>
        <w:pStyle w:val="SingleTxtGA"/>
        <w:rPr>
          <w:rFonts w:hint="cs"/>
          <w:rtl/>
        </w:rPr>
      </w:pPr>
      <w:r>
        <w:rPr>
          <w:rFonts w:hint="cs"/>
          <w:rtl/>
        </w:rPr>
        <w:t>82-</w:t>
      </w:r>
      <w:r>
        <w:rPr>
          <w:rFonts w:hint="cs"/>
          <w:rtl/>
        </w:rPr>
        <w:tab/>
        <w:t xml:space="preserve">من أجل بلوغ هدف الرعاية الصحية الأولية بوصفه استراتيجية لتحقيق الأهداف الإنمائية للألفية وهدف </w:t>
      </w:r>
      <w:r w:rsidRPr="00616B0E">
        <w:rPr>
          <w:rFonts w:hint="cs"/>
          <w:i/>
          <w:iCs/>
          <w:rtl/>
        </w:rPr>
        <w:t>"الصحة للجميع"</w:t>
      </w:r>
      <w:r>
        <w:rPr>
          <w:rFonts w:hint="cs"/>
          <w:rtl/>
        </w:rPr>
        <w:t xml:space="preserve"> الذي تدعو إليه منظمة الصحة العالمية، يحق لجميع السكان، بموجب القانون، الحصول على خدمات الرعاية الصحية الأولية التي تقدمها المراكز الصحية التابعة لمكتب الصحة. وعلاوة على ذلك، يكفل مكتب الصحة أيضاً وصول الأشخاص ذوي الإعاقة إلى جميع جوانب الرعاية الصحية، بما في ذلك تحسين الصحة ومراقبتها، والوقاية من المرض والإعاقة، والفحص والتشخيص، والحفز المسبق، وإعادة التأهيل الطبي. وبالإضافة إلى ذلك، تتاح خدمة رعاية الأخصائيين المجانية في جميع المستشفيات العامة للأشخاص ذوي الإعاقات الذهنية، في حين أنه يمكن لجميع الأشخاص ذوي الإعاقات الأخرى أن يطلبوا، عند اللزوم، الإعفاء من الدفع. وكما هو مذكور، يقدَّم العلاج الصحي للأشخاص ذوي الإعاقة على أساس قبولهم الحر والمستنير، إلا في الظروف التي سبق ذكرها.</w:t>
      </w:r>
    </w:p>
    <w:p w:rsidR="00681C20" w:rsidRDefault="00681C20" w:rsidP="00681C20">
      <w:pPr>
        <w:pStyle w:val="SingleTxtGA"/>
        <w:rPr>
          <w:rFonts w:hint="cs"/>
          <w:rtl/>
        </w:rPr>
      </w:pPr>
      <w:r>
        <w:rPr>
          <w:rFonts w:hint="cs"/>
          <w:rtl/>
        </w:rPr>
        <w:t>83-</w:t>
      </w:r>
      <w:r>
        <w:rPr>
          <w:rFonts w:hint="cs"/>
          <w:rtl/>
        </w:rPr>
        <w:tab/>
        <w:t>وتقدم المراكز الصحية، بالتعاون مع المنظمات غير الحكومية، رعاية طبية وتمريضية في المنازل للأشخاص المصابين بأمراض خطيرة أو متقدمة أو المصابين بإعاقات حركية. ويقدم العاملون في القطاع الطبي المشورة بشأن كيفية تحسين البيئة المنزلية والعلاقات الأسرية وغير ذلك من المساعدات الضرورية في أثناء الزيارات المنزلية.</w:t>
      </w:r>
    </w:p>
    <w:p w:rsidR="00681C20" w:rsidRDefault="00397E4F" w:rsidP="00397E4F">
      <w:pPr>
        <w:pStyle w:val="H1GA"/>
        <w:jc w:val="left"/>
        <w:rPr>
          <w:rFonts w:hint="cs"/>
          <w:rtl/>
        </w:rPr>
      </w:pPr>
      <w:r>
        <w:rPr>
          <w:rFonts w:hint="cs"/>
          <w:rtl/>
        </w:rPr>
        <w:tab/>
      </w:r>
      <w:r>
        <w:rPr>
          <w:rFonts w:hint="cs"/>
          <w:rtl/>
        </w:rPr>
        <w:tab/>
      </w:r>
      <w:r w:rsidR="00681C20">
        <w:rPr>
          <w:rFonts w:hint="cs"/>
          <w:rtl/>
        </w:rPr>
        <w:t>المادة 26</w:t>
      </w:r>
      <w:r w:rsidR="00681C20">
        <w:rPr>
          <w:rFonts w:hint="cs"/>
          <w:rtl/>
        </w:rPr>
        <w:br/>
        <w:t>(</w:t>
      </w:r>
      <w:r w:rsidR="00681C20" w:rsidRPr="0060541A">
        <w:rPr>
          <w:rtl/>
        </w:rPr>
        <w:t>التأهيل وإعادة التأهيل</w:t>
      </w:r>
      <w:r w:rsidR="00681C20">
        <w:rPr>
          <w:rFonts w:hint="cs"/>
          <w:rtl/>
        </w:rPr>
        <w:t>)</w:t>
      </w:r>
    </w:p>
    <w:p w:rsidR="00681C20" w:rsidRDefault="00681C20" w:rsidP="00397E4F">
      <w:pPr>
        <w:pStyle w:val="SingleTxtGA"/>
        <w:rPr>
          <w:rFonts w:hint="cs"/>
          <w:rtl/>
        </w:rPr>
      </w:pPr>
      <w:r>
        <w:rPr>
          <w:rFonts w:hint="cs"/>
          <w:rtl/>
        </w:rPr>
        <w:t>84-</w:t>
      </w:r>
      <w:r>
        <w:rPr>
          <w:rFonts w:hint="cs"/>
          <w:rtl/>
        </w:rPr>
        <w:tab/>
        <w:t>أقيمت روابط بين الأفراد والأسر والقوى والموارد الاجتماعية، عن طريق طائفة من التدابير المجتمعية ذات طابع تشجيع</w:t>
      </w:r>
      <w:r w:rsidR="00397E4F">
        <w:rPr>
          <w:rFonts w:hint="cs"/>
          <w:rtl/>
        </w:rPr>
        <w:t>ي</w:t>
      </w:r>
      <w:r>
        <w:rPr>
          <w:rFonts w:hint="cs"/>
          <w:rtl/>
        </w:rPr>
        <w:t xml:space="preserve">، لتمكين الأشخاص ذوي الإعاقة من </w:t>
      </w:r>
      <w:r w:rsidR="00397E4F">
        <w:rPr>
          <w:rFonts w:hint="cs"/>
          <w:rtl/>
        </w:rPr>
        <w:t xml:space="preserve">زيادة </w:t>
      </w:r>
      <w:r>
        <w:rPr>
          <w:rFonts w:hint="cs"/>
          <w:rtl/>
        </w:rPr>
        <w:t xml:space="preserve">إمكاناتهم </w:t>
      </w:r>
      <w:r w:rsidR="00397E4F">
        <w:rPr>
          <w:rFonts w:hint="cs"/>
          <w:rtl/>
        </w:rPr>
        <w:t xml:space="preserve">إلى أقصى حد ممكن </w:t>
      </w:r>
      <w:r>
        <w:rPr>
          <w:rFonts w:hint="cs"/>
          <w:rtl/>
        </w:rPr>
        <w:t>للحفاظ على استقلالهم في الحياة والعمل حثيثاً على تحسين إدماجهم في المجتمع ومشاركتهم فيه. وأنشئ مركز لإعادة التأهيل في عام 2005 تابع لمكتب الرعاية الاجتماعية، لتقديم تقييم شامل متعدد التخصصات للأشخاص ذوي الإعاقة، ولتقييم طبيعة الإعاقة ومستواها، ومن ثم تصميم مقترحات لإعداد خدمات الدعم المناسبة.</w:t>
      </w:r>
    </w:p>
    <w:p w:rsidR="00681C20" w:rsidRPr="00397E4F" w:rsidRDefault="00681C20" w:rsidP="00397E4F">
      <w:pPr>
        <w:pStyle w:val="SingleTxtGA"/>
        <w:rPr>
          <w:rFonts w:hint="cs"/>
          <w:spacing w:val="-2"/>
          <w:rtl/>
        </w:rPr>
      </w:pPr>
      <w:r w:rsidRPr="00397E4F">
        <w:rPr>
          <w:rFonts w:hint="cs"/>
          <w:spacing w:val="-2"/>
          <w:rtl/>
        </w:rPr>
        <w:t>85-</w:t>
      </w:r>
      <w:r w:rsidRPr="00397E4F">
        <w:rPr>
          <w:rFonts w:hint="cs"/>
          <w:spacing w:val="-2"/>
          <w:rtl/>
        </w:rPr>
        <w:tab/>
        <w:t xml:space="preserve">ولمساعدة الأشخاص ذوي الإعاقة على تنمية قدراتهم وتعزيز ثقتهم بأنفسهم واستقلالهم، يقدم مكتب الرعاية الاجتماعية مساعدة تقنية ومالية لدعم إنشاء </w:t>
      </w:r>
      <w:r w:rsidR="00397E4F" w:rsidRPr="00397E4F">
        <w:rPr>
          <w:rFonts w:hint="cs"/>
          <w:spacing w:val="-2"/>
          <w:rtl/>
        </w:rPr>
        <w:t xml:space="preserve">مختلف ما توفره </w:t>
      </w:r>
      <w:r w:rsidRPr="00397E4F">
        <w:rPr>
          <w:rFonts w:hint="cs"/>
          <w:spacing w:val="-2"/>
          <w:rtl/>
        </w:rPr>
        <w:t xml:space="preserve">المنظمات غير الحكومية من تدريبات </w:t>
      </w:r>
      <w:r w:rsidR="00397E4F" w:rsidRPr="00397E4F">
        <w:rPr>
          <w:rFonts w:hint="cs"/>
          <w:spacing w:val="-2"/>
          <w:rtl/>
        </w:rPr>
        <w:t>لإ</w:t>
      </w:r>
      <w:r w:rsidRPr="00397E4F">
        <w:rPr>
          <w:rFonts w:hint="cs"/>
          <w:spacing w:val="-2"/>
          <w:rtl/>
        </w:rPr>
        <w:t xml:space="preserve">عادة التأهيل، ومخططات </w:t>
      </w:r>
      <w:r w:rsidR="00397E4F" w:rsidRPr="00397E4F">
        <w:rPr>
          <w:rFonts w:hint="cs"/>
          <w:spacing w:val="-2"/>
          <w:rtl/>
        </w:rPr>
        <w:t>لإ</w:t>
      </w:r>
      <w:r w:rsidRPr="00397E4F">
        <w:rPr>
          <w:rFonts w:hint="cs"/>
          <w:spacing w:val="-2"/>
          <w:rtl/>
        </w:rPr>
        <w:t>عادة التأهيل، و</w:t>
      </w:r>
      <w:r w:rsidR="00397E4F" w:rsidRPr="00397E4F">
        <w:rPr>
          <w:rFonts w:hint="cs"/>
          <w:spacing w:val="-2"/>
          <w:rtl/>
        </w:rPr>
        <w:t xml:space="preserve">من </w:t>
      </w:r>
      <w:r w:rsidRPr="00397E4F">
        <w:rPr>
          <w:rFonts w:hint="cs"/>
          <w:spacing w:val="-2"/>
          <w:rtl/>
        </w:rPr>
        <w:t>الخدمات والمرافق من أجل الأشخاص ذوي الإعاقة وفقاً لتفضيلهم. وترد أدناه التفاصيل ذات الصلة.</w:t>
      </w:r>
    </w:p>
    <w:p w:rsidR="00681C20" w:rsidRPr="00366019" w:rsidRDefault="00397E4F" w:rsidP="00397E4F">
      <w:pPr>
        <w:pStyle w:val="SingleTxtGA"/>
        <w:spacing w:before="120"/>
        <w:rPr>
          <w:rFonts w:hint="cs"/>
          <w:b/>
          <w:bCs/>
          <w:rtl/>
        </w:rPr>
      </w:pPr>
      <w:r>
        <w:rPr>
          <w:b/>
          <w:bCs/>
          <w:rtl/>
        </w:rPr>
        <w:br w:type="page"/>
      </w:r>
      <w:r w:rsidR="00681C20" w:rsidRPr="00366019">
        <w:rPr>
          <w:rFonts w:hint="cs"/>
          <w:b/>
          <w:bCs/>
          <w:rtl/>
        </w:rPr>
        <w:t xml:space="preserve">خدمات/مرافق إعادة التأهيل التي تحصل على إعانات من </w:t>
      </w:r>
      <w:r w:rsidR="00681C20">
        <w:rPr>
          <w:rFonts w:hint="cs"/>
          <w:b/>
          <w:bCs/>
          <w:rtl/>
        </w:rPr>
        <w:t>مكتب الرعاية الاجتماعية</w:t>
      </w:r>
    </w:p>
    <w:tbl>
      <w:tblPr>
        <w:bidiVisual/>
        <w:tblW w:w="8476" w:type="dxa"/>
        <w:tblInd w:w="1134" w:type="dxa"/>
        <w:tblLayout w:type="fixed"/>
        <w:tblCellMar>
          <w:left w:w="0" w:type="dxa"/>
          <w:right w:w="0" w:type="dxa"/>
        </w:tblCellMar>
        <w:tblLook w:val="01E0" w:firstRow="1" w:lastRow="1" w:firstColumn="1" w:lastColumn="1" w:noHBand="0" w:noVBand="0"/>
      </w:tblPr>
      <w:tblGrid>
        <w:gridCol w:w="2807"/>
        <w:gridCol w:w="615"/>
        <w:gridCol w:w="868"/>
        <w:gridCol w:w="630"/>
        <w:gridCol w:w="756"/>
        <w:gridCol w:w="588"/>
        <w:gridCol w:w="770"/>
        <w:gridCol w:w="658"/>
        <w:gridCol w:w="784"/>
      </w:tblGrid>
      <w:tr w:rsidR="00681C20" w:rsidRPr="00C73F8E" w:rsidTr="00397E4F">
        <w:trPr>
          <w:tblHeader/>
        </w:trPr>
        <w:tc>
          <w:tcPr>
            <w:tcW w:w="2807" w:type="dxa"/>
            <w:tcBorders>
              <w:top w:val="single" w:sz="4" w:space="0" w:color="auto"/>
            </w:tcBorders>
            <w:shd w:val="clear" w:color="auto" w:fill="auto"/>
            <w:vAlign w:val="bottom"/>
          </w:tcPr>
          <w:p w:rsidR="00681C20" w:rsidRPr="00D06D86" w:rsidRDefault="00681C20" w:rsidP="00935EA2">
            <w:pPr>
              <w:spacing w:before="80" w:after="80" w:line="200" w:lineRule="exact"/>
              <w:ind w:left="105" w:right="113"/>
              <w:rPr>
                <w:iCs/>
                <w:sz w:val="16"/>
                <w:szCs w:val="26"/>
              </w:rPr>
            </w:pPr>
          </w:p>
        </w:tc>
        <w:tc>
          <w:tcPr>
            <w:tcW w:w="1483" w:type="dxa"/>
            <w:gridSpan w:val="2"/>
            <w:tcBorders>
              <w:top w:val="single" w:sz="4" w:space="0" w:color="auto"/>
              <w:bottom w:val="single" w:sz="4" w:space="0" w:color="auto"/>
              <w:right w:val="single" w:sz="24" w:space="0" w:color="FFFFFF"/>
            </w:tcBorders>
            <w:shd w:val="clear" w:color="auto" w:fill="auto"/>
            <w:vAlign w:val="bottom"/>
          </w:tcPr>
          <w:p w:rsidR="00681C20" w:rsidRPr="00C73F8E" w:rsidRDefault="00681C20" w:rsidP="00397E4F">
            <w:pPr>
              <w:spacing w:before="80" w:after="80" w:line="200" w:lineRule="exact"/>
              <w:ind w:right="113"/>
              <w:jc w:val="center"/>
              <w:rPr>
                <w:iCs/>
                <w:sz w:val="16"/>
                <w:szCs w:val="26"/>
              </w:rPr>
            </w:pPr>
            <w:r w:rsidRPr="00C73F8E">
              <w:rPr>
                <w:rFonts w:hint="cs"/>
                <w:iCs/>
                <w:sz w:val="16"/>
                <w:szCs w:val="26"/>
                <w:rtl/>
              </w:rPr>
              <w:t>2006</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81C20" w:rsidRPr="00C73F8E" w:rsidRDefault="00681C20" w:rsidP="00397E4F">
            <w:pPr>
              <w:spacing w:before="80" w:after="80" w:line="200" w:lineRule="exact"/>
              <w:ind w:right="113"/>
              <w:jc w:val="center"/>
              <w:rPr>
                <w:iCs/>
                <w:sz w:val="16"/>
                <w:szCs w:val="26"/>
              </w:rPr>
            </w:pPr>
            <w:r w:rsidRPr="00C73F8E">
              <w:rPr>
                <w:rFonts w:hint="cs"/>
                <w:iCs/>
                <w:sz w:val="16"/>
                <w:szCs w:val="26"/>
                <w:rtl/>
              </w:rPr>
              <w:t>2007</w:t>
            </w:r>
          </w:p>
        </w:tc>
        <w:tc>
          <w:tcPr>
            <w:tcW w:w="135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81C20" w:rsidRPr="00C73F8E" w:rsidRDefault="00681C20" w:rsidP="00397E4F">
            <w:pPr>
              <w:spacing w:before="80" w:after="80" w:line="200" w:lineRule="exact"/>
              <w:ind w:right="113"/>
              <w:jc w:val="center"/>
              <w:rPr>
                <w:iCs/>
                <w:sz w:val="16"/>
                <w:szCs w:val="26"/>
              </w:rPr>
            </w:pPr>
            <w:r w:rsidRPr="00C73F8E">
              <w:rPr>
                <w:rFonts w:hint="cs"/>
                <w:iCs/>
                <w:sz w:val="16"/>
                <w:szCs w:val="26"/>
                <w:rtl/>
              </w:rPr>
              <w:t>2008</w:t>
            </w:r>
          </w:p>
        </w:tc>
        <w:tc>
          <w:tcPr>
            <w:tcW w:w="1442" w:type="dxa"/>
            <w:gridSpan w:val="2"/>
            <w:tcBorders>
              <w:top w:val="single" w:sz="4" w:space="0" w:color="auto"/>
              <w:left w:val="single" w:sz="24" w:space="0" w:color="FFFFFF"/>
              <w:bottom w:val="single" w:sz="4" w:space="0" w:color="auto"/>
            </w:tcBorders>
            <w:shd w:val="clear" w:color="auto" w:fill="auto"/>
            <w:vAlign w:val="bottom"/>
          </w:tcPr>
          <w:p w:rsidR="00681C20" w:rsidRPr="00C73F8E" w:rsidRDefault="00681C20" w:rsidP="00397E4F">
            <w:pPr>
              <w:spacing w:before="80" w:after="80" w:line="200" w:lineRule="exact"/>
              <w:ind w:right="113"/>
              <w:jc w:val="center"/>
              <w:rPr>
                <w:iCs/>
                <w:sz w:val="16"/>
                <w:szCs w:val="26"/>
              </w:rPr>
            </w:pPr>
            <w:r w:rsidRPr="00C73F8E">
              <w:rPr>
                <w:rFonts w:hint="cs"/>
                <w:iCs/>
                <w:sz w:val="16"/>
                <w:szCs w:val="26"/>
                <w:rtl/>
              </w:rPr>
              <w:t>2009</w:t>
            </w:r>
          </w:p>
        </w:tc>
      </w:tr>
      <w:tr w:rsidR="00681C20" w:rsidRPr="00C73F8E" w:rsidTr="00397E4F">
        <w:trPr>
          <w:tblHeader/>
        </w:trPr>
        <w:tc>
          <w:tcPr>
            <w:tcW w:w="2807" w:type="dxa"/>
            <w:tcBorders>
              <w:bottom w:val="single" w:sz="12" w:space="0" w:color="auto"/>
            </w:tcBorders>
            <w:shd w:val="clear" w:color="auto" w:fill="auto"/>
            <w:vAlign w:val="bottom"/>
          </w:tcPr>
          <w:p w:rsidR="00681C20" w:rsidRPr="00C73F8E" w:rsidRDefault="00681C20" w:rsidP="00935EA2">
            <w:pPr>
              <w:spacing w:before="80" w:after="80" w:line="200" w:lineRule="exact"/>
              <w:ind w:left="105" w:right="113"/>
              <w:rPr>
                <w:rFonts w:hint="cs"/>
                <w:iCs/>
                <w:sz w:val="16"/>
                <w:szCs w:val="26"/>
                <w:rtl/>
              </w:rPr>
            </w:pPr>
            <w:r w:rsidRPr="00C73F8E">
              <w:rPr>
                <w:rFonts w:hint="cs"/>
                <w:iCs/>
                <w:sz w:val="16"/>
                <w:szCs w:val="26"/>
                <w:rtl/>
              </w:rPr>
              <w:t>نوع المرفق/الخدمة</w:t>
            </w:r>
          </w:p>
        </w:tc>
        <w:tc>
          <w:tcPr>
            <w:tcW w:w="615"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00" w:lineRule="exact"/>
              <w:ind w:left="57"/>
              <w:jc w:val="left"/>
              <w:rPr>
                <w:iCs/>
                <w:sz w:val="16"/>
                <w:szCs w:val="26"/>
              </w:rPr>
            </w:pPr>
            <w:r w:rsidRPr="00C73F8E">
              <w:rPr>
                <w:rFonts w:hint="cs"/>
                <w:iCs/>
                <w:sz w:val="16"/>
                <w:szCs w:val="26"/>
                <w:rtl/>
              </w:rPr>
              <w:t>وحدة</w:t>
            </w:r>
          </w:p>
        </w:tc>
        <w:tc>
          <w:tcPr>
            <w:tcW w:w="868" w:type="dxa"/>
            <w:tcBorders>
              <w:top w:val="single" w:sz="4" w:space="0" w:color="auto"/>
              <w:bottom w:val="single" w:sz="12" w:space="0" w:color="auto"/>
              <w:right w:val="single" w:sz="24" w:space="0" w:color="FFFFFF"/>
            </w:tcBorders>
            <w:shd w:val="clear" w:color="auto" w:fill="auto"/>
            <w:vAlign w:val="bottom"/>
          </w:tcPr>
          <w:p w:rsidR="00681C20" w:rsidRPr="00C73F8E" w:rsidRDefault="00681C20" w:rsidP="00397E4F">
            <w:pPr>
              <w:spacing w:before="80" w:after="80" w:line="200" w:lineRule="exact"/>
              <w:ind w:left="57"/>
              <w:jc w:val="left"/>
              <w:rPr>
                <w:iCs/>
                <w:sz w:val="16"/>
                <w:szCs w:val="26"/>
              </w:rPr>
            </w:pPr>
            <w:r>
              <w:rPr>
                <w:rFonts w:hint="cs"/>
                <w:iCs/>
                <w:sz w:val="16"/>
                <w:szCs w:val="26"/>
                <w:rtl/>
              </w:rPr>
              <w:t>طاقة</w:t>
            </w:r>
          </w:p>
        </w:tc>
        <w:tc>
          <w:tcPr>
            <w:tcW w:w="630" w:type="dxa"/>
            <w:tcBorders>
              <w:top w:val="single" w:sz="4" w:space="0" w:color="auto"/>
              <w:left w:val="single" w:sz="24" w:space="0" w:color="FFFFFF"/>
              <w:bottom w:val="single" w:sz="12" w:space="0" w:color="auto"/>
            </w:tcBorders>
            <w:shd w:val="clear" w:color="auto" w:fill="auto"/>
            <w:vAlign w:val="bottom"/>
          </w:tcPr>
          <w:p w:rsidR="00681C20" w:rsidRPr="00C73F8E" w:rsidRDefault="00681C20" w:rsidP="00397E4F">
            <w:pPr>
              <w:spacing w:before="80" w:after="80" w:line="200" w:lineRule="exact"/>
              <w:ind w:left="57"/>
              <w:jc w:val="left"/>
              <w:rPr>
                <w:iCs/>
                <w:sz w:val="16"/>
                <w:szCs w:val="26"/>
              </w:rPr>
            </w:pPr>
            <w:r w:rsidRPr="00C73F8E">
              <w:rPr>
                <w:rFonts w:hint="cs"/>
                <w:iCs/>
                <w:sz w:val="16"/>
                <w:szCs w:val="26"/>
                <w:rtl/>
              </w:rPr>
              <w:t>وحدة</w:t>
            </w:r>
          </w:p>
        </w:tc>
        <w:tc>
          <w:tcPr>
            <w:tcW w:w="756" w:type="dxa"/>
            <w:tcBorders>
              <w:top w:val="single" w:sz="4" w:space="0" w:color="auto"/>
              <w:bottom w:val="single" w:sz="12" w:space="0" w:color="auto"/>
              <w:right w:val="single" w:sz="24" w:space="0" w:color="FFFFFF"/>
            </w:tcBorders>
            <w:shd w:val="clear" w:color="auto" w:fill="auto"/>
            <w:vAlign w:val="bottom"/>
          </w:tcPr>
          <w:p w:rsidR="00681C20" w:rsidRPr="00C73F8E" w:rsidRDefault="00681C20" w:rsidP="00397E4F">
            <w:pPr>
              <w:spacing w:before="80" w:after="80" w:line="200" w:lineRule="exact"/>
              <w:ind w:left="57"/>
              <w:jc w:val="left"/>
              <w:rPr>
                <w:iCs/>
                <w:sz w:val="16"/>
                <w:szCs w:val="26"/>
              </w:rPr>
            </w:pPr>
            <w:r>
              <w:rPr>
                <w:rFonts w:hint="cs"/>
                <w:iCs/>
                <w:sz w:val="16"/>
                <w:szCs w:val="26"/>
                <w:rtl/>
              </w:rPr>
              <w:t>طاقة</w:t>
            </w:r>
          </w:p>
        </w:tc>
        <w:tc>
          <w:tcPr>
            <w:tcW w:w="588" w:type="dxa"/>
            <w:tcBorders>
              <w:top w:val="single" w:sz="4" w:space="0" w:color="auto"/>
              <w:left w:val="single" w:sz="24" w:space="0" w:color="FFFFFF"/>
              <w:bottom w:val="single" w:sz="12" w:space="0" w:color="auto"/>
            </w:tcBorders>
            <w:shd w:val="clear" w:color="auto" w:fill="auto"/>
            <w:vAlign w:val="bottom"/>
          </w:tcPr>
          <w:p w:rsidR="00681C20" w:rsidRPr="00C73F8E" w:rsidRDefault="00681C20" w:rsidP="00397E4F">
            <w:pPr>
              <w:spacing w:before="80" w:after="80" w:line="200" w:lineRule="exact"/>
              <w:ind w:left="57"/>
              <w:jc w:val="left"/>
              <w:rPr>
                <w:iCs/>
                <w:sz w:val="16"/>
                <w:szCs w:val="26"/>
              </w:rPr>
            </w:pPr>
            <w:r w:rsidRPr="00C73F8E">
              <w:rPr>
                <w:rFonts w:hint="cs"/>
                <w:iCs/>
                <w:sz w:val="16"/>
                <w:szCs w:val="26"/>
                <w:rtl/>
              </w:rPr>
              <w:t>وحدة</w:t>
            </w:r>
          </w:p>
        </w:tc>
        <w:tc>
          <w:tcPr>
            <w:tcW w:w="770" w:type="dxa"/>
            <w:tcBorders>
              <w:top w:val="single" w:sz="4" w:space="0" w:color="auto"/>
              <w:bottom w:val="single" w:sz="12" w:space="0" w:color="auto"/>
              <w:right w:val="single" w:sz="24" w:space="0" w:color="FFFFFF"/>
            </w:tcBorders>
            <w:shd w:val="clear" w:color="auto" w:fill="auto"/>
            <w:vAlign w:val="bottom"/>
          </w:tcPr>
          <w:p w:rsidR="00681C20" w:rsidRPr="00C73F8E" w:rsidRDefault="00681C20" w:rsidP="00397E4F">
            <w:pPr>
              <w:spacing w:before="80" w:after="80" w:line="200" w:lineRule="exact"/>
              <w:ind w:left="57"/>
              <w:jc w:val="left"/>
              <w:rPr>
                <w:iCs/>
                <w:sz w:val="16"/>
                <w:szCs w:val="26"/>
              </w:rPr>
            </w:pPr>
            <w:r>
              <w:rPr>
                <w:rFonts w:hint="cs"/>
                <w:iCs/>
                <w:sz w:val="16"/>
                <w:szCs w:val="26"/>
                <w:rtl/>
              </w:rPr>
              <w:t>طاقة</w:t>
            </w:r>
          </w:p>
        </w:tc>
        <w:tc>
          <w:tcPr>
            <w:tcW w:w="658" w:type="dxa"/>
            <w:tcBorders>
              <w:top w:val="single" w:sz="4" w:space="0" w:color="auto"/>
              <w:left w:val="single" w:sz="24" w:space="0" w:color="FFFFFF"/>
              <w:bottom w:val="single" w:sz="12" w:space="0" w:color="auto"/>
            </w:tcBorders>
            <w:shd w:val="clear" w:color="auto" w:fill="auto"/>
            <w:vAlign w:val="bottom"/>
          </w:tcPr>
          <w:p w:rsidR="00681C20" w:rsidRPr="00C73F8E" w:rsidRDefault="00681C20" w:rsidP="00397E4F">
            <w:pPr>
              <w:spacing w:before="80" w:after="80" w:line="200" w:lineRule="exact"/>
              <w:ind w:left="57"/>
              <w:jc w:val="left"/>
              <w:rPr>
                <w:iCs/>
                <w:sz w:val="16"/>
                <w:szCs w:val="26"/>
              </w:rPr>
            </w:pPr>
            <w:r w:rsidRPr="00C73F8E">
              <w:rPr>
                <w:rFonts w:hint="cs"/>
                <w:iCs/>
                <w:sz w:val="16"/>
                <w:szCs w:val="26"/>
                <w:rtl/>
              </w:rPr>
              <w:t>وحدة</w:t>
            </w:r>
          </w:p>
        </w:tc>
        <w:tc>
          <w:tcPr>
            <w:tcW w:w="784"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00" w:lineRule="exact"/>
              <w:ind w:left="57"/>
              <w:jc w:val="left"/>
              <w:rPr>
                <w:iCs/>
                <w:sz w:val="16"/>
                <w:szCs w:val="26"/>
              </w:rPr>
            </w:pPr>
            <w:r>
              <w:rPr>
                <w:rFonts w:hint="cs"/>
                <w:iCs/>
                <w:sz w:val="16"/>
                <w:szCs w:val="26"/>
                <w:rtl/>
              </w:rPr>
              <w:t>طاقة</w:t>
            </w:r>
          </w:p>
        </w:tc>
      </w:tr>
      <w:tr w:rsidR="00681C20" w:rsidRPr="00C73F8E" w:rsidTr="00397E4F">
        <w:tc>
          <w:tcPr>
            <w:tcW w:w="2807" w:type="dxa"/>
            <w:tcBorders>
              <w:top w:val="single" w:sz="12" w:space="0" w:color="auto"/>
            </w:tcBorders>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إعادة التأهيل للمقيمين</w:t>
            </w:r>
          </w:p>
        </w:tc>
        <w:tc>
          <w:tcPr>
            <w:tcW w:w="615" w:type="dxa"/>
            <w:tcBorders>
              <w:top w:val="single" w:sz="12"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5</w:t>
            </w:r>
          </w:p>
        </w:tc>
        <w:tc>
          <w:tcPr>
            <w:tcW w:w="868" w:type="dxa"/>
            <w:tcBorders>
              <w:top w:val="single" w:sz="12"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362</w:t>
            </w:r>
          </w:p>
        </w:tc>
        <w:tc>
          <w:tcPr>
            <w:tcW w:w="630" w:type="dxa"/>
            <w:tcBorders>
              <w:top w:val="single" w:sz="12"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5</w:t>
            </w:r>
          </w:p>
        </w:tc>
        <w:tc>
          <w:tcPr>
            <w:tcW w:w="756" w:type="dxa"/>
            <w:tcBorders>
              <w:top w:val="single" w:sz="12"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362</w:t>
            </w:r>
          </w:p>
        </w:tc>
        <w:tc>
          <w:tcPr>
            <w:tcW w:w="588" w:type="dxa"/>
            <w:tcBorders>
              <w:top w:val="single" w:sz="12"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5</w:t>
            </w:r>
          </w:p>
        </w:tc>
        <w:tc>
          <w:tcPr>
            <w:tcW w:w="770" w:type="dxa"/>
            <w:tcBorders>
              <w:top w:val="single" w:sz="12"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362</w:t>
            </w:r>
          </w:p>
        </w:tc>
        <w:tc>
          <w:tcPr>
            <w:tcW w:w="658" w:type="dxa"/>
            <w:tcBorders>
              <w:top w:val="single" w:sz="12"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5</w:t>
            </w:r>
          </w:p>
        </w:tc>
        <w:tc>
          <w:tcPr>
            <w:tcW w:w="784" w:type="dxa"/>
            <w:tcBorders>
              <w:top w:val="single" w:sz="12"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405</w:t>
            </w:r>
          </w:p>
        </w:tc>
      </w:tr>
      <w:tr w:rsidR="00681C20" w:rsidRPr="00C73F8E" w:rsidTr="00397E4F">
        <w:tc>
          <w:tcPr>
            <w:tcW w:w="2807" w:type="dxa"/>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مركز الرعاية اليومية</w:t>
            </w:r>
          </w:p>
        </w:tc>
        <w:tc>
          <w:tcPr>
            <w:tcW w:w="615"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8</w:t>
            </w:r>
          </w:p>
        </w:tc>
        <w:tc>
          <w:tcPr>
            <w:tcW w:w="86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392</w:t>
            </w:r>
          </w:p>
        </w:tc>
        <w:tc>
          <w:tcPr>
            <w:tcW w:w="63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8</w:t>
            </w:r>
          </w:p>
        </w:tc>
        <w:tc>
          <w:tcPr>
            <w:tcW w:w="756"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409</w:t>
            </w:r>
          </w:p>
        </w:tc>
        <w:tc>
          <w:tcPr>
            <w:tcW w:w="58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9</w:t>
            </w:r>
          </w:p>
        </w:tc>
        <w:tc>
          <w:tcPr>
            <w:tcW w:w="77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409</w:t>
            </w:r>
          </w:p>
        </w:tc>
        <w:tc>
          <w:tcPr>
            <w:tcW w:w="65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9</w:t>
            </w:r>
          </w:p>
        </w:tc>
        <w:tc>
          <w:tcPr>
            <w:tcW w:w="784"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409</w:t>
            </w:r>
          </w:p>
        </w:tc>
      </w:tr>
      <w:tr w:rsidR="00681C20" w:rsidRPr="00C73F8E" w:rsidTr="00397E4F">
        <w:tc>
          <w:tcPr>
            <w:tcW w:w="2807" w:type="dxa"/>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ورشة محمية/مركز تدريب مهني/مركز لدعم العمالة</w:t>
            </w:r>
          </w:p>
        </w:tc>
        <w:tc>
          <w:tcPr>
            <w:tcW w:w="615"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6</w:t>
            </w:r>
          </w:p>
        </w:tc>
        <w:tc>
          <w:tcPr>
            <w:tcW w:w="86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223</w:t>
            </w:r>
          </w:p>
        </w:tc>
        <w:tc>
          <w:tcPr>
            <w:tcW w:w="63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6</w:t>
            </w:r>
          </w:p>
        </w:tc>
        <w:tc>
          <w:tcPr>
            <w:tcW w:w="756"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223</w:t>
            </w:r>
          </w:p>
        </w:tc>
        <w:tc>
          <w:tcPr>
            <w:tcW w:w="58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6</w:t>
            </w:r>
          </w:p>
        </w:tc>
        <w:tc>
          <w:tcPr>
            <w:tcW w:w="77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223</w:t>
            </w:r>
          </w:p>
        </w:tc>
        <w:tc>
          <w:tcPr>
            <w:tcW w:w="65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6</w:t>
            </w:r>
          </w:p>
        </w:tc>
        <w:tc>
          <w:tcPr>
            <w:tcW w:w="784"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223</w:t>
            </w:r>
          </w:p>
        </w:tc>
      </w:tr>
      <w:tr w:rsidR="00681C20" w:rsidRPr="00C73F8E" w:rsidTr="00397E4F">
        <w:tc>
          <w:tcPr>
            <w:tcW w:w="2807" w:type="dxa"/>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مركز تعليم/مركز قبل مدرسي</w:t>
            </w:r>
          </w:p>
        </w:tc>
        <w:tc>
          <w:tcPr>
            <w:tcW w:w="615"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3</w:t>
            </w:r>
          </w:p>
        </w:tc>
        <w:tc>
          <w:tcPr>
            <w:tcW w:w="86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121</w:t>
            </w:r>
          </w:p>
        </w:tc>
        <w:tc>
          <w:tcPr>
            <w:tcW w:w="63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3</w:t>
            </w:r>
          </w:p>
        </w:tc>
        <w:tc>
          <w:tcPr>
            <w:tcW w:w="756"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201</w:t>
            </w:r>
          </w:p>
        </w:tc>
        <w:tc>
          <w:tcPr>
            <w:tcW w:w="58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w:t>
            </w:r>
          </w:p>
        </w:tc>
        <w:tc>
          <w:tcPr>
            <w:tcW w:w="77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2011</w:t>
            </w:r>
          </w:p>
        </w:tc>
        <w:tc>
          <w:tcPr>
            <w:tcW w:w="65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w:t>
            </w:r>
          </w:p>
        </w:tc>
        <w:tc>
          <w:tcPr>
            <w:tcW w:w="784"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201</w:t>
            </w:r>
          </w:p>
        </w:tc>
      </w:tr>
      <w:tr w:rsidR="00681C20" w:rsidRPr="00C73F8E" w:rsidTr="00397E4F">
        <w:tc>
          <w:tcPr>
            <w:tcW w:w="2807" w:type="dxa"/>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خدمة الحافلات/خدمة المرافقة لإعادة التأهيل</w:t>
            </w:r>
          </w:p>
        </w:tc>
        <w:tc>
          <w:tcPr>
            <w:tcW w:w="615"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w:t>
            </w:r>
          </w:p>
        </w:tc>
        <w:tc>
          <w:tcPr>
            <w:tcW w:w="86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لا ينطبق</w:t>
            </w:r>
          </w:p>
        </w:tc>
        <w:tc>
          <w:tcPr>
            <w:tcW w:w="63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w:t>
            </w:r>
          </w:p>
        </w:tc>
        <w:tc>
          <w:tcPr>
            <w:tcW w:w="756"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لا ينطبق</w:t>
            </w:r>
          </w:p>
        </w:tc>
        <w:tc>
          <w:tcPr>
            <w:tcW w:w="58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w:t>
            </w:r>
          </w:p>
        </w:tc>
        <w:tc>
          <w:tcPr>
            <w:tcW w:w="77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لا ينطبق</w:t>
            </w:r>
          </w:p>
        </w:tc>
        <w:tc>
          <w:tcPr>
            <w:tcW w:w="65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w:t>
            </w:r>
          </w:p>
        </w:tc>
        <w:tc>
          <w:tcPr>
            <w:tcW w:w="784"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لا ينطبق</w:t>
            </w:r>
          </w:p>
        </w:tc>
      </w:tr>
      <w:tr w:rsidR="00681C20" w:rsidRPr="00C73F8E" w:rsidTr="00397E4F">
        <w:tc>
          <w:tcPr>
            <w:tcW w:w="2807" w:type="dxa"/>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مركز خدمة إعادة التأهيل الشاملة</w:t>
            </w:r>
          </w:p>
        </w:tc>
        <w:tc>
          <w:tcPr>
            <w:tcW w:w="615"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w:t>
            </w:r>
          </w:p>
        </w:tc>
        <w:tc>
          <w:tcPr>
            <w:tcW w:w="868" w:type="dxa"/>
            <w:shd w:val="clear" w:color="auto" w:fill="auto"/>
            <w:vAlign w:val="bottom"/>
          </w:tcPr>
          <w:p w:rsidR="00681C20" w:rsidRPr="00C73F8E" w:rsidRDefault="00681C20" w:rsidP="00397E4F">
            <w:pPr>
              <w:spacing w:before="40" w:after="40" w:line="220" w:lineRule="exact"/>
              <w:ind w:left="57"/>
              <w:rPr>
                <w:sz w:val="18"/>
                <w:szCs w:val="26"/>
              </w:rPr>
            </w:pPr>
          </w:p>
        </w:tc>
        <w:tc>
          <w:tcPr>
            <w:tcW w:w="63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w:t>
            </w:r>
          </w:p>
        </w:tc>
        <w:tc>
          <w:tcPr>
            <w:tcW w:w="756" w:type="dxa"/>
            <w:shd w:val="clear" w:color="auto" w:fill="auto"/>
            <w:vAlign w:val="bottom"/>
          </w:tcPr>
          <w:p w:rsidR="00681C20" w:rsidRPr="00C73F8E" w:rsidRDefault="00681C20" w:rsidP="00397E4F">
            <w:pPr>
              <w:spacing w:before="40" w:after="40" w:line="220" w:lineRule="exact"/>
              <w:ind w:left="57"/>
              <w:rPr>
                <w:sz w:val="18"/>
                <w:szCs w:val="26"/>
              </w:rPr>
            </w:pPr>
          </w:p>
        </w:tc>
        <w:tc>
          <w:tcPr>
            <w:tcW w:w="58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w:t>
            </w:r>
          </w:p>
        </w:tc>
        <w:tc>
          <w:tcPr>
            <w:tcW w:w="770" w:type="dxa"/>
            <w:shd w:val="clear" w:color="auto" w:fill="auto"/>
            <w:vAlign w:val="bottom"/>
          </w:tcPr>
          <w:p w:rsidR="00681C20" w:rsidRPr="00C73F8E" w:rsidRDefault="00681C20" w:rsidP="00397E4F">
            <w:pPr>
              <w:spacing w:before="40" w:after="40" w:line="220" w:lineRule="exact"/>
              <w:ind w:left="57"/>
              <w:rPr>
                <w:sz w:val="18"/>
                <w:szCs w:val="26"/>
              </w:rPr>
            </w:pPr>
          </w:p>
        </w:tc>
        <w:tc>
          <w:tcPr>
            <w:tcW w:w="65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w:t>
            </w:r>
          </w:p>
        </w:tc>
        <w:tc>
          <w:tcPr>
            <w:tcW w:w="784" w:type="dxa"/>
            <w:shd w:val="clear" w:color="auto" w:fill="auto"/>
            <w:vAlign w:val="bottom"/>
          </w:tcPr>
          <w:p w:rsidR="00681C20" w:rsidRPr="00C73F8E" w:rsidRDefault="00681C20" w:rsidP="00397E4F">
            <w:pPr>
              <w:spacing w:before="40" w:after="40" w:line="220" w:lineRule="exact"/>
              <w:ind w:left="57"/>
              <w:rPr>
                <w:sz w:val="18"/>
                <w:szCs w:val="26"/>
              </w:rPr>
            </w:pPr>
          </w:p>
        </w:tc>
      </w:tr>
      <w:tr w:rsidR="00681C20" w:rsidRPr="00C73F8E" w:rsidTr="00397E4F">
        <w:tc>
          <w:tcPr>
            <w:tcW w:w="2807" w:type="dxa"/>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خدمات المقيمين</w:t>
            </w:r>
          </w:p>
        </w:tc>
        <w:tc>
          <w:tcPr>
            <w:tcW w:w="615" w:type="dxa"/>
            <w:shd w:val="clear" w:color="auto" w:fill="auto"/>
            <w:vAlign w:val="bottom"/>
          </w:tcPr>
          <w:p w:rsidR="00681C20" w:rsidRPr="00C73F8E" w:rsidRDefault="00681C20" w:rsidP="00397E4F">
            <w:pPr>
              <w:spacing w:before="40" w:after="40" w:line="220" w:lineRule="exact"/>
              <w:ind w:left="57"/>
              <w:rPr>
                <w:sz w:val="18"/>
                <w:szCs w:val="26"/>
              </w:rPr>
            </w:pPr>
          </w:p>
        </w:tc>
        <w:tc>
          <w:tcPr>
            <w:tcW w:w="86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24</w:t>
            </w:r>
          </w:p>
        </w:tc>
        <w:tc>
          <w:tcPr>
            <w:tcW w:w="630" w:type="dxa"/>
            <w:shd w:val="clear" w:color="auto" w:fill="auto"/>
            <w:vAlign w:val="bottom"/>
          </w:tcPr>
          <w:p w:rsidR="00681C20" w:rsidRPr="00C73F8E" w:rsidRDefault="00681C20" w:rsidP="00397E4F">
            <w:pPr>
              <w:spacing w:before="40" w:after="40" w:line="220" w:lineRule="exact"/>
              <w:ind w:left="57"/>
              <w:rPr>
                <w:sz w:val="18"/>
                <w:szCs w:val="26"/>
              </w:rPr>
            </w:pPr>
          </w:p>
        </w:tc>
        <w:tc>
          <w:tcPr>
            <w:tcW w:w="756"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24</w:t>
            </w:r>
          </w:p>
        </w:tc>
        <w:tc>
          <w:tcPr>
            <w:tcW w:w="588" w:type="dxa"/>
            <w:shd w:val="clear" w:color="auto" w:fill="auto"/>
            <w:vAlign w:val="bottom"/>
          </w:tcPr>
          <w:p w:rsidR="00681C20" w:rsidRPr="00C73F8E" w:rsidRDefault="00681C20" w:rsidP="00397E4F">
            <w:pPr>
              <w:spacing w:before="40" w:after="40" w:line="220" w:lineRule="exact"/>
              <w:ind w:left="57"/>
              <w:rPr>
                <w:sz w:val="18"/>
                <w:szCs w:val="26"/>
              </w:rPr>
            </w:pPr>
          </w:p>
        </w:tc>
        <w:tc>
          <w:tcPr>
            <w:tcW w:w="77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24</w:t>
            </w:r>
          </w:p>
        </w:tc>
        <w:tc>
          <w:tcPr>
            <w:tcW w:w="658" w:type="dxa"/>
            <w:shd w:val="clear" w:color="auto" w:fill="auto"/>
            <w:vAlign w:val="bottom"/>
          </w:tcPr>
          <w:p w:rsidR="00681C20" w:rsidRPr="00C73F8E" w:rsidRDefault="00681C20" w:rsidP="00397E4F">
            <w:pPr>
              <w:spacing w:before="40" w:after="40" w:line="220" w:lineRule="exact"/>
              <w:ind w:left="57"/>
              <w:rPr>
                <w:sz w:val="18"/>
                <w:szCs w:val="26"/>
              </w:rPr>
            </w:pPr>
          </w:p>
        </w:tc>
        <w:tc>
          <w:tcPr>
            <w:tcW w:w="784"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24</w:t>
            </w:r>
          </w:p>
        </w:tc>
      </w:tr>
      <w:tr w:rsidR="00681C20" w:rsidRPr="00C73F8E" w:rsidTr="00397E4F">
        <w:tc>
          <w:tcPr>
            <w:tcW w:w="2807" w:type="dxa"/>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خدمة دعم العمالة</w:t>
            </w:r>
          </w:p>
        </w:tc>
        <w:tc>
          <w:tcPr>
            <w:tcW w:w="615" w:type="dxa"/>
            <w:shd w:val="clear" w:color="auto" w:fill="auto"/>
            <w:vAlign w:val="bottom"/>
          </w:tcPr>
          <w:p w:rsidR="00681C20" w:rsidRPr="00C73F8E" w:rsidRDefault="00681C20" w:rsidP="00397E4F">
            <w:pPr>
              <w:spacing w:before="40" w:after="40" w:line="220" w:lineRule="exact"/>
              <w:ind w:left="57"/>
              <w:rPr>
                <w:sz w:val="18"/>
                <w:szCs w:val="26"/>
              </w:rPr>
            </w:pPr>
          </w:p>
        </w:tc>
        <w:tc>
          <w:tcPr>
            <w:tcW w:w="868"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14</w:t>
            </w:r>
          </w:p>
        </w:tc>
        <w:tc>
          <w:tcPr>
            <w:tcW w:w="630" w:type="dxa"/>
            <w:shd w:val="clear" w:color="auto" w:fill="auto"/>
            <w:vAlign w:val="bottom"/>
          </w:tcPr>
          <w:p w:rsidR="00681C20" w:rsidRPr="00C73F8E" w:rsidRDefault="00681C20" w:rsidP="00397E4F">
            <w:pPr>
              <w:spacing w:before="40" w:after="40" w:line="220" w:lineRule="exact"/>
              <w:ind w:left="57"/>
              <w:rPr>
                <w:sz w:val="18"/>
                <w:szCs w:val="26"/>
              </w:rPr>
            </w:pPr>
          </w:p>
        </w:tc>
        <w:tc>
          <w:tcPr>
            <w:tcW w:w="756"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14</w:t>
            </w:r>
          </w:p>
        </w:tc>
        <w:tc>
          <w:tcPr>
            <w:tcW w:w="588" w:type="dxa"/>
            <w:shd w:val="clear" w:color="auto" w:fill="auto"/>
            <w:vAlign w:val="bottom"/>
          </w:tcPr>
          <w:p w:rsidR="00681C20" w:rsidRPr="00C73F8E" w:rsidRDefault="00681C20" w:rsidP="00397E4F">
            <w:pPr>
              <w:spacing w:before="40" w:after="40" w:line="220" w:lineRule="exact"/>
              <w:ind w:left="57"/>
              <w:rPr>
                <w:sz w:val="18"/>
                <w:szCs w:val="26"/>
              </w:rPr>
            </w:pPr>
          </w:p>
        </w:tc>
        <w:tc>
          <w:tcPr>
            <w:tcW w:w="770"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17</w:t>
            </w:r>
          </w:p>
        </w:tc>
        <w:tc>
          <w:tcPr>
            <w:tcW w:w="658" w:type="dxa"/>
            <w:shd w:val="clear" w:color="auto" w:fill="auto"/>
            <w:vAlign w:val="bottom"/>
          </w:tcPr>
          <w:p w:rsidR="00681C20" w:rsidRPr="00C73F8E" w:rsidRDefault="00681C20" w:rsidP="00397E4F">
            <w:pPr>
              <w:spacing w:before="40" w:after="40" w:line="220" w:lineRule="exact"/>
              <w:ind w:left="57"/>
              <w:rPr>
                <w:rFonts w:hint="cs"/>
                <w:sz w:val="18"/>
                <w:szCs w:val="26"/>
              </w:rPr>
            </w:pPr>
          </w:p>
        </w:tc>
        <w:tc>
          <w:tcPr>
            <w:tcW w:w="784" w:type="dxa"/>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17</w:t>
            </w:r>
          </w:p>
        </w:tc>
      </w:tr>
      <w:tr w:rsidR="00681C20" w:rsidRPr="00C73F8E" w:rsidTr="00397E4F">
        <w:tc>
          <w:tcPr>
            <w:tcW w:w="2807" w:type="dxa"/>
            <w:tcBorders>
              <w:bottom w:val="single" w:sz="4" w:space="0" w:color="auto"/>
            </w:tcBorders>
            <w:shd w:val="clear" w:color="auto" w:fill="auto"/>
            <w:vAlign w:val="bottom"/>
          </w:tcPr>
          <w:p w:rsidR="00681C20" w:rsidRPr="00C73F8E" w:rsidRDefault="00681C20" w:rsidP="00935EA2">
            <w:pPr>
              <w:spacing w:before="40" w:after="40" w:line="220" w:lineRule="exact"/>
              <w:ind w:left="105" w:right="113"/>
              <w:rPr>
                <w:sz w:val="18"/>
                <w:szCs w:val="26"/>
              </w:rPr>
            </w:pPr>
            <w:r w:rsidRPr="00C73F8E">
              <w:rPr>
                <w:rFonts w:hint="cs"/>
                <w:sz w:val="18"/>
                <w:szCs w:val="26"/>
                <w:rtl/>
              </w:rPr>
              <w:t>خدمة الموارد الأسرية</w:t>
            </w:r>
          </w:p>
        </w:tc>
        <w:tc>
          <w:tcPr>
            <w:tcW w:w="615" w:type="dxa"/>
            <w:tcBorders>
              <w:bottom w:val="single" w:sz="4" w:space="0" w:color="auto"/>
            </w:tcBorders>
            <w:shd w:val="clear" w:color="auto" w:fill="auto"/>
            <w:vAlign w:val="bottom"/>
          </w:tcPr>
          <w:p w:rsidR="00681C20" w:rsidRPr="00C73F8E" w:rsidRDefault="00681C20" w:rsidP="00397E4F">
            <w:pPr>
              <w:spacing w:before="40" w:after="40" w:line="220" w:lineRule="exact"/>
              <w:ind w:left="57"/>
              <w:rPr>
                <w:sz w:val="18"/>
                <w:szCs w:val="26"/>
              </w:rPr>
            </w:pPr>
          </w:p>
        </w:tc>
        <w:tc>
          <w:tcPr>
            <w:tcW w:w="868" w:type="dxa"/>
            <w:tcBorders>
              <w:bottom w:val="single" w:sz="4"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لا ينطبق</w:t>
            </w:r>
          </w:p>
        </w:tc>
        <w:tc>
          <w:tcPr>
            <w:tcW w:w="630" w:type="dxa"/>
            <w:tcBorders>
              <w:bottom w:val="single" w:sz="4" w:space="0" w:color="auto"/>
            </w:tcBorders>
            <w:shd w:val="clear" w:color="auto" w:fill="auto"/>
            <w:vAlign w:val="bottom"/>
          </w:tcPr>
          <w:p w:rsidR="00681C20" w:rsidRPr="00C73F8E" w:rsidRDefault="00681C20" w:rsidP="00397E4F">
            <w:pPr>
              <w:spacing w:before="40" w:after="40" w:line="220" w:lineRule="exact"/>
              <w:ind w:left="57"/>
              <w:rPr>
                <w:sz w:val="18"/>
                <w:szCs w:val="26"/>
              </w:rPr>
            </w:pPr>
          </w:p>
        </w:tc>
        <w:tc>
          <w:tcPr>
            <w:tcW w:w="756" w:type="dxa"/>
            <w:tcBorders>
              <w:bottom w:val="single" w:sz="4"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لا ينطبق</w:t>
            </w:r>
          </w:p>
        </w:tc>
        <w:tc>
          <w:tcPr>
            <w:tcW w:w="588" w:type="dxa"/>
            <w:tcBorders>
              <w:bottom w:val="single" w:sz="4" w:space="0" w:color="auto"/>
            </w:tcBorders>
            <w:shd w:val="clear" w:color="auto" w:fill="auto"/>
            <w:vAlign w:val="bottom"/>
          </w:tcPr>
          <w:p w:rsidR="00681C20" w:rsidRPr="00C73F8E" w:rsidRDefault="00681C20" w:rsidP="00397E4F">
            <w:pPr>
              <w:spacing w:before="40" w:after="40" w:line="220" w:lineRule="exact"/>
              <w:ind w:left="57"/>
              <w:rPr>
                <w:sz w:val="18"/>
                <w:szCs w:val="26"/>
              </w:rPr>
            </w:pPr>
          </w:p>
        </w:tc>
        <w:tc>
          <w:tcPr>
            <w:tcW w:w="770" w:type="dxa"/>
            <w:tcBorders>
              <w:bottom w:val="single" w:sz="4"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لا ينطبق</w:t>
            </w:r>
          </w:p>
        </w:tc>
        <w:tc>
          <w:tcPr>
            <w:tcW w:w="658" w:type="dxa"/>
            <w:tcBorders>
              <w:bottom w:val="single" w:sz="4" w:space="0" w:color="auto"/>
            </w:tcBorders>
            <w:shd w:val="clear" w:color="auto" w:fill="auto"/>
            <w:vAlign w:val="bottom"/>
          </w:tcPr>
          <w:p w:rsidR="00681C20" w:rsidRPr="00C73F8E" w:rsidRDefault="00681C20" w:rsidP="00397E4F">
            <w:pPr>
              <w:spacing w:before="40" w:after="40" w:line="220" w:lineRule="exact"/>
              <w:ind w:left="57"/>
              <w:rPr>
                <w:sz w:val="18"/>
                <w:szCs w:val="26"/>
              </w:rPr>
            </w:pPr>
          </w:p>
        </w:tc>
        <w:tc>
          <w:tcPr>
            <w:tcW w:w="784" w:type="dxa"/>
            <w:tcBorders>
              <w:bottom w:val="single" w:sz="4" w:space="0" w:color="auto"/>
            </w:tcBorders>
            <w:shd w:val="clear" w:color="auto" w:fill="auto"/>
            <w:vAlign w:val="bottom"/>
          </w:tcPr>
          <w:p w:rsidR="00681C20" w:rsidRPr="00C73F8E" w:rsidRDefault="00681C20" w:rsidP="00397E4F">
            <w:pPr>
              <w:spacing w:before="40" w:after="40" w:line="220" w:lineRule="exact"/>
              <w:ind w:left="57"/>
              <w:rPr>
                <w:sz w:val="18"/>
                <w:szCs w:val="26"/>
              </w:rPr>
            </w:pPr>
            <w:r w:rsidRPr="00C73F8E">
              <w:rPr>
                <w:rFonts w:hint="cs"/>
                <w:sz w:val="18"/>
                <w:szCs w:val="26"/>
                <w:rtl/>
              </w:rPr>
              <w:t>لا ينطبق</w:t>
            </w:r>
          </w:p>
        </w:tc>
      </w:tr>
      <w:tr w:rsidR="00681C20" w:rsidRPr="00D06D86" w:rsidTr="00397E4F">
        <w:tc>
          <w:tcPr>
            <w:tcW w:w="2807" w:type="dxa"/>
            <w:tcBorders>
              <w:top w:val="single" w:sz="4" w:space="0" w:color="auto"/>
              <w:bottom w:val="single" w:sz="12" w:space="0" w:color="auto"/>
            </w:tcBorders>
            <w:shd w:val="clear" w:color="auto" w:fill="auto"/>
            <w:vAlign w:val="bottom"/>
          </w:tcPr>
          <w:p w:rsidR="00681C20" w:rsidRPr="00C73F8E" w:rsidRDefault="00681C20" w:rsidP="00935EA2">
            <w:pPr>
              <w:spacing w:before="80" w:after="80" w:line="220" w:lineRule="exact"/>
              <w:ind w:left="105" w:right="113"/>
              <w:rPr>
                <w:bCs/>
                <w:sz w:val="18"/>
                <w:szCs w:val="26"/>
              </w:rPr>
            </w:pPr>
            <w:r w:rsidRPr="00C73F8E">
              <w:rPr>
                <w:rFonts w:hint="cs"/>
                <w:bCs/>
                <w:sz w:val="18"/>
                <w:szCs w:val="26"/>
                <w:rtl/>
              </w:rPr>
              <w:t>المجموع</w:t>
            </w:r>
          </w:p>
        </w:tc>
        <w:tc>
          <w:tcPr>
            <w:tcW w:w="615"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20" w:lineRule="exact"/>
              <w:ind w:left="57"/>
              <w:rPr>
                <w:bCs/>
                <w:sz w:val="18"/>
                <w:szCs w:val="26"/>
              </w:rPr>
            </w:pPr>
            <w:r w:rsidRPr="00C73F8E">
              <w:rPr>
                <w:rFonts w:hint="cs"/>
                <w:bCs/>
                <w:sz w:val="18"/>
                <w:szCs w:val="26"/>
                <w:rtl/>
              </w:rPr>
              <w:t>25</w:t>
            </w:r>
          </w:p>
        </w:tc>
        <w:tc>
          <w:tcPr>
            <w:tcW w:w="868"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20" w:lineRule="exact"/>
              <w:ind w:left="57"/>
              <w:rPr>
                <w:bCs/>
                <w:sz w:val="18"/>
                <w:szCs w:val="26"/>
              </w:rPr>
            </w:pPr>
            <w:r w:rsidRPr="00C73F8E">
              <w:rPr>
                <w:rFonts w:hint="cs"/>
                <w:bCs/>
                <w:sz w:val="18"/>
                <w:szCs w:val="26"/>
                <w:rtl/>
              </w:rPr>
              <w:t>136 1</w:t>
            </w:r>
          </w:p>
        </w:tc>
        <w:tc>
          <w:tcPr>
            <w:tcW w:w="630"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20" w:lineRule="exact"/>
              <w:ind w:left="57"/>
              <w:rPr>
                <w:bCs/>
                <w:sz w:val="18"/>
                <w:szCs w:val="26"/>
              </w:rPr>
            </w:pPr>
            <w:r w:rsidRPr="00C73F8E">
              <w:rPr>
                <w:rFonts w:hint="cs"/>
                <w:bCs/>
                <w:sz w:val="18"/>
                <w:szCs w:val="26"/>
                <w:rtl/>
              </w:rPr>
              <w:t>25</w:t>
            </w:r>
          </w:p>
        </w:tc>
        <w:tc>
          <w:tcPr>
            <w:tcW w:w="756"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20" w:lineRule="exact"/>
              <w:ind w:left="57"/>
              <w:rPr>
                <w:bCs/>
                <w:sz w:val="18"/>
                <w:szCs w:val="26"/>
              </w:rPr>
            </w:pPr>
            <w:r w:rsidRPr="00C73F8E">
              <w:rPr>
                <w:rFonts w:hint="cs"/>
                <w:bCs/>
                <w:sz w:val="18"/>
                <w:szCs w:val="26"/>
                <w:rtl/>
              </w:rPr>
              <w:t>233 1</w:t>
            </w:r>
          </w:p>
        </w:tc>
        <w:tc>
          <w:tcPr>
            <w:tcW w:w="588"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20" w:lineRule="exact"/>
              <w:ind w:left="57"/>
              <w:rPr>
                <w:bCs/>
                <w:sz w:val="18"/>
                <w:szCs w:val="26"/>
              </w:rPr>
            </w:pPr>
            <w:r w:rsidRPr="00C73F8E">
              <w:rPr>
                <w:rFonts w:hint="cs"/>
                <w:bCs/>
                <w:sz w:val="18"/>
                <w:szCs w:val="26"/>
                <w:rtl/>
              </w:rPr>
              <w:t>25</w:t>
            </w:r>
          </w:p>
        </w:tc>
        <w:tc>
          <w:tcPr>
            <w:tcW w:w="770"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20" w:lineRule="exact"/>
              <w:ind w:left="57"/>
              <w:rPr>
                <w:bCs/>
                <w:sz w:val="18"/>
                <w:szCs w:val="26"/>
              </w:rPr>
            </w:pPr>
            <w:r w:rsidRPr="00C73F8E">
              <w:rPr>
                <w:rFonts w:hint="cs"/>
                <w:bCs/>
                <w:sz w:val="18"/>
                <w:szCs w:val="26"/>
                <w:rtl/>
              </w:rPr>
              <w:t>236 1</w:t>
            </w:r>
          </w:p>
        </w:tc>
        <w:tc>
          <w:tcPr>
            <w:tcW w:w="658" w:type="dxa"/>
            <w:tcBorders>
              <w:top w:val="single" w:sz="4" w:space="0" w:color="auto"/>
              <w:bottom w:val="single" w:sz="12" w:space="0" w:color="auto"/>
            </w:tcBorders>
            <w:shd w:val="clear" w:color="auto" w:fill="auto"/>
            <w:vAlign w:val="bottom"/>
          </w:tcPr>
          <w:p w:rsidR="00681C20" w:rsidRPr="00C73F8E" w:rsidRDefault="00681C20" w:rsidP="00397E4F">
            <w:pPr>
              <w:spacing w:before="80" w:after="80" w:line="220" w:lineRule="exact"/>
              <w:ind w:left="57"/>
              <w:rPr>
                <w:bCs/>
                <w:sz w:val="18"/>
                <w:szCs w:val="26"/>
              </w:rPr>
            </w:pPr>
            <w:r w:rsidRPr="00C73F8E">
              <w:rPr>
                <w:rFonts w:hint="cs"/>
                <w:bCs/>
                <w:sz w:val="18"/>
                <w:szCs w:val="26"/>
                <w:rtl/>
              </w:rPr>
              <w:t>25</w:t>
            </w:r>
          </w:p>
        </w:tc>
        <w:tc>
          <w:tcPr>
            <w:tcW w:w="784" w:type="dxa"/>
            <w:tcBorders>
              <w:top w:val="single" w:sz="4" w:space="0" w:color="auto"/>
              <w:bottom w:val="single" w:sz="12" w:space="0" w:color="auto"/>
            </w:tcBorders>
            <w:shd w:val="clear" w:color="auto" w:fill="auto"/>
            <w:vAlign w:val="bottom"/>
          </w:tcPr>
          <w:p w:rsidR="00681C20" w:rsidRPr="00D06D86" w:rsidRDefault="00681C20" w:rsidP="00397E4F">
            <w:pPr>
              <w:spacing w:before="80" w:after="80" w:line="220" w:lineRule="exact"/>
              <w:ind w:left="57"/>
              <w:rPr>
                <w:bCs/>
                <w:sz w:val="18"/>
                <w:szCs w:val="26"/>
              </w:rPr>
            </w:pPr>
            <w:r w:rsidRPr="00C73F8E">
              <w:rPr>
                <w:rFonts w:hint="cs"/>
                <w:bCs/>
                <w:sz w:val="18"/>
                <w:szCs w:val="26"/>
                <w:rtl/>
              </w:rPr>
              <w:t>279 1</w:t>
            </w:r>
          </w:p>
        </w:tc>
      </w:tr>
    </w:tbl>
    <w:p w:rsidR="00681C20" w:rsidRPr="00397E4F" w:rsidRDefault="00681C20" w:rsidP="00681C20">
      <w:pPr>
        <w:pStyle w:val="SingleTxtGA"/>
        <w:rPr>
          <w:rFonts w:hint="cs"/>
          <w:sz w:val="26"/>
          <w:szCs w:val="26"/>
          <w:rtl/>
        </w:rPr>
      </w:pPr>
      <w:r w:rsidRPr="00397E4F">
        <w:rPr>
          <w:rFonts w:hint="cs"/>
          <w:i/>
          <w:iCs/>
          <w:sz w:val="26"/>
          <w:szCs w:val="26"/>
          <w:rtl/>
        </w:rPr>
        <w:t>المصدر:</w:t>
      </w:r>
      <w:r w:rsidRPr="00397E4F">
        <w:rPr>
          <w:rFonts w:hint="cs"/>
          <w:sz w:val="26"/>
          <w:szCs w:val="26"/>
          <w:rtl/>
        </w:rPr>
        <w:t xml:space="preserve"> مكتب الرعاية الاجتماعية.</w:t>
      </w:r>
    </w:p>
    <w:p w:rsidR="00681C20" w:rsidRPr="00607971" w:rsidRDefault="00681C20" w:rsidP="00681C20">
      <w:pPr>
        <w:pStyle w:val="SingleTxtGA"/>
        <w:rPr>
          <w:rFonts w:hint="cs"/>
          <w:b/>
          <w:bCs/>
          <w:rtl/>
        </w:rPr>
      </w:pPr>
      <w:r w:rsidRPr="00607971">
        <w:rPr>
          <w:rFonts w:hint="cs"/>
          <w:b/>
          <w:bCs/>
          <w:rtl/>
        </w:rPr>
        <w:t>عدد مستخدمي الخدمات/المرافق بحسب طبيعة الإعاقة</w:t>
      </w:r>
    </w:p>
    <w:tbl>
      <w:tblPr>
        <w:bidiVisual/>
        <w:tblW w:w="7118" w:type="dxa"/>
        <w:tblInd w:w="1134" w:type="dxa"/>
        <w:tblLayout w:type="fixed"/>
        <w:tblCellMar>
          <w:left w:w="0" w:type="dxa"/>
          <w:right w:w="0" w:type="dxa"/>
        </w:tblCellMar>
        <w:tblLook w:val="01E0" w:firstRow="1" w:lastRow="1" w:firstColumn="1" w:lastColumn="1" w:noHBand="0" w:noVBand="0"/>
      </w:tblPr>
      <w:tblGrid>
        <w:gridCol w:w="2268"/>
        <w:gridCol w:w="1275"/>
        <w:gridCol w:w="1276"/>
        <w:gridCol w:w="1275"/>
        <w:gridCol w:w="1024"/>
      </w:tblGrid>
      <w:tr w:rsidR="00681C20" w:rsidRPr="00607971" w:rsidTr="00397E4F">
        <w:trPr>
          <w:tblHeader/>
        </w:trPr>
        <w:tc>
          <w:tcPr>
            <w:tcW w:w="2268" w:type="dxa"/>
            <w:tcBorders>
              <w:top w:val="single" w:sz="4" w:space="0" w:color="auto"/>
              <w:bottom w:val="single" w:sz="12" w:space="0" w:color="auto"/>
            </w:tcBorders>
            <w:shd w:val="clear" w:color="auto" w:fill="auto"/>
            <w:vAlign w:val="bottom"/>
          </w:tcPr>
          <w:p w:rsidR="00681C20" w:rsidRPr="00607971" w:rsidRDefault="00681C20" w:rsidP="00935EA2">
            <w:pPr>
              <w:spacing w:before="80" w:after="80" w:line="200" w:lineRule="exact"/>
              <w:ind w:left="140" w:right="113"/>
              <w:rPr>
                <w:iCs/>
                <w:sz w:val="16"/>
                <w:szCs w:val="26"/>
              </w:rPr>
            </w:pPr>
            <w:r w:rsidRPr="00607971">
              <w:rPr>
                <w:rFonts w:hint="cs"/>
                <w:iCs/>
                <w:sz w:val="16"/>
                <w:szCs w:val="26"/>
                <w:rtl/>
              </w:rPr>
              <w:t>طبيعة الإعاقة</w:t>
            </w:r>
          </w:p>
        </w:tc>
        <w:tc>
          <w:tcPr>
            <w:tcW w:w="1275" w:type="dxa"/>
            <w:tcBorders>
              <w:top w:val="single" w:sz="4" w:space="0" w:color="auto"/>
              <w:bottom w:val="single" w:sz="12" w:space="0" w:color="auto"/>
            </w:tcBorders>
            <w:shd w:val="clear" w:color="auto" w:fill="auto"/>
            <w:vAlign w:val="bottom"/>
          </w:tcPr>
          <w:p w:rsidR="00681C20" w:rsidRPr="00607971" w:rsidRDefault="00681C20" w:rsidP="00397E4F">
            <w:pPr>
              <w:spacing w:before="80" w:after="80" w:line="200" w:lineRule="exact"/>
              <w:ind w:left="57" w:right="57"/>
              <w:rPr>
                <w:iCs/>
                <w:sz w:val="16"/>
                <w:szCs w:val="26"/>
              </w:rPr>
            </w:pPr>
            <w:r w:rsidRPr="00607971">
              <w:rPr>
                <w:rFonts w:hint="cs"/>
                <w:iCs/>
                <w:sz w:val="16"/>
                <w:szCs w:val="26"/>
                <w:rtl/>
              </w:rPr>
              <w:t>2006</w:t>
            </w:r>
          </w:p>
        </w:tc>
        <w:tc>
          <w:tcPr>
            <w:tcW w:w="1276" w:type="dxa"/>
            <w:tcBorders>
              <w:top w:val="single" w:sz="4" w:space="0" w:color="auto"/>
              <w:bottom w:val="single" w:sz="12" w:space="0" w:color="auto"/>
            </w:tcBorders>
            <w:shd w:val="clear" w:color="auto" w:fill="auto"/>
            <w:vAlign w:val="bottom"/>
          </w:tcPr>
          <w:p w:rsidR="00681C20" w:rsidRPr="00607971" w:rsidRDefault="00681C20" w:rsidP="00397E4F">
            <w:pPr>
              <w:spacing w:before="80" w:after="80" w:line="200" w:lineRule="exact"/>
              <w:ind w:left="57" w:right="57"/>
              <w:rPr>
                <w:iCs/>
                <w:sz w:val="16"/>
                <w:szCs w:val="26"/>
              </w:rPr>
            </w:pPr>
            <w:r w:rsidRPr="00607971">
              <w:rPr>
                <w:rFonts w:hint="cs"/>
                <w:iCs/>
                <w:sz w:val="16"/>
                <w:szCs w:val="26"/>
                <w:rtl/>
              </w:rPr>
              <w:t>2007</w:t>
            </w:r>
          </w:p>
        </w:tc>
        <w:tc>
          <w:tcPr>
            <w:tcW w:w="1275" w:type="dxa"/>
            <w:tcBorders>
              <w:top w:val="single" w:sz="4" w:space="0" w:color="auto"/>
              <w:bottom w:val="single" w:sz="12" w:space="0" w:color="auto"/>
            </w:tcBorders>
            <w:shd w:val="clear" w:color="auto" w:fill="auto"/>
            <w:vAlign w:val="bottom"/>
          </w:tcPr>
          <w:p w:rsidR="00681C20" w:rsidRPr="00607971" w:rsidRDefault="00681C20" w:rsidP="00397E4F">
            <w:pPr>
              <w:spacing w:before="80" w:after="80" w:line="200" w:lineRule="exact"/>
              <w:ind w:left="57" w:right="57"/>
              <w:rPr>
                <w:iCs/>
                <w:sz w:val="16"/>
                <w:szCs w:val="26"/>
              </w:rPr>
            </w:pPr>
            <w:r w:rsidRPr="00607971">
              <w:rPr>
                <w:rFonts w:hint="cs"/>
                <w:iCs/>
                <w:sz w:val="16"/>
                <w:szCs w:val="26"/>
                <w:rtl/>
              </w:rPr>
              <w:t>2008</w:t>
            </w:r>
          </w:p>
        </w:tc>
        <w:tc>
          <w:tcPr>
            <w:tcW w:w="1024" w:type="dxa"/>
            <w:tcBorders>
              <w:top w:val="single" w:sz="4" w:space="0" w:color="auto"/>
              <w:bottom w:val="single" w:sz="12" w:space="0" w:color="auto"/>
            </w:tcBorders>
            <w:shd w:val="clear" w:color="auto" w:fill="auto"/>
            <w:vAlign w:val="bottom"/>
          </w:tcPr>
          <w:p w:rsidR="00681C20" w:rsidRPr="00607971" w:rsidRDefault="00681C20" w:rsidP="00397E4F">
            <w:pPr>
              <w:spacing w:before="80" w:after="80" w:line="200" w:lineRule="exact"/>
              <w:ind w:left="57" w:right="57"/>
              <w:rPr>
                <w:iCs/>
                <w:sz w:val="16"/>
                <w:szCs w:val="26"/>
              </w:rPr>
            </w:pPr>
            <w:r w:rsidRPr="00607971">
              <w:rPr>
                <w:rFonts w:hint="cs"/>
                <w:iCs/>
                <w:sz w:val="16"/>
                <w:szCs w:val="26"/>
                <w:rtl/>
              </w:rPr>
              <w:t>2009</w:t>
            </w:r>
          </w:p>
        </w:tc>
      </w:tr>
      <w:tr w:rsidR="00681C20" w:rsidRPr="00607971" w:rsidTr="00397E4F">
        <w:tc>
          <w:tcPr>
            <w:tcW w:w="2268" w:type="dxa"/>
            <w:tcBorders>
              <w:top w:val="single" w:sz="12" w:space="0" w:color="auto"/>
            </w:tcBorders>
            <w:shd w:val="clear" w:color="auto" w:fill="auto"/>
            <w:vAlign w:val="bottom"/>
          </w:tcPr>
          <w:p w:rsidR="00681C20" w:rsidRPr="00607971" w:rsidRDefault="00681C20" w:rsidP="00935EA2">
            <w:pPr>
              <w:spacing w:before="40" w:after="40" w:line="220" w:lineRule="exact"/>
              <w:ind w:left="140" w:right="113"/>
              <w:rPr>
                <w:sz w:val="18"/>
                <w:szCs w:val="26"/>
              </w:rPr>
            </w:pPr>
            <w:r w:rsidRPr="00607971">
              <w:rPr>
                <w:rFonts w:hint="cs"/>
                <w:sz w:val="18"/>
                <w:szCs w:val="26"/>
                <w:rtl/>
              </w:rPr>
              <w:t>إعاقة بدنية</w:t>
            </w:r>
          </w:p>
        </w:tc>
        <w:tc>
          <w:tcPr>
            <w:tcW w:w="1275" w:type="dxa"/>
            <w:tcBorders>
              <w:top w:val="single" w:sz="12" w:space="0" w:color="auto"/>
            </w:tcBorders>
            <w:shd w:val="clear" w:color="auto" w:fill="auto"/>
            <w:vAlign w:val="bottom"/>
          </w:tcPr>
          <w:p w:rsidR="00681C20" w:rsidRPr="00607971" w:rsidRDefault="00681C20" w:rsidP="00397E4F">
            <w:pPr>
              <w:spacing w:before="40" w:after="40" w:line="220" w:lineRule="exact"/>
              <w:ind w:left="57" w:right="57"/>
              <w:rPr>
                <w:rFonts w:hint="cs"/>
                <w:sz w:val="18"/>
                <w:szCs w:val="26"/>
                <w:rtl/>
              </w:rPr>
            </w:pPr>
            <w:r w:rsidRPr="00607971">
              <w:rPr>
                <w:sz w:val="18"/>
                <w:szCs w:val="26"/>
                <w:rtl/>
              </w:rPr>
              <w:t>689</w:t>
            </w:r>
          </w:p>
        </w:tc>
        <w:tc>
          <w:tcPr>
            <w:tcW w:w="1276" w:type="dxa"/>
            <w:tcBorders>
              <w:top w:val="single" w:sz="12" w:space="0" w:color="auto"/>
            </w:tcBorders>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039 1</w:t>
            </w:r>
          </w:p>
        </w:tc>
        <w:tc>
          <w:tcPr>
            <w:tcW w:w="1275" w:type="dxa"/>
            <w:tcBorders>
              <w:top w:val="single" w:sz="12" w:space="0" w:color="auto"/>
            </w:tcBorders>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229 1</w:t>
            </w:r>
          </w:p>
        </w:tc>
        <w:tc>
          <w:tcPr>
            <w:tcW w:w="1024" w:type="dxa"/>
            <w:tcBorders>
              <w:top w:val="single" w:sz="12" w:space="0" w:color="auto"/>
            </w:tcBorders>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116 1</w:t>
            </w:r>
          </w:p>
        </w:tc>
      </w:tr>
      <w:tr w:rsidR="00681C20" w:rsidRPr="00607971" w:rsidTr="00397E4F">
        <w:tc>
          <w:tcPr>
            <w:tcW w:w="2268" w:type="dxa"/>
            <w:shd w:val="clear" w:color="auto" w:fill="auto"/>
            <w:vAlign w:val="bottom"/>
          </w:tcPr>
          <w:p w:rsidR="00681C20" w:rsidRPr="00607971" w:rsidRDefault="00681C20" w:rsidP="00935EA2">
            <w:pPr>
              <w:spacing w:before="40" w:after="40" w:line="220" w:lineRule="exact"/>
              <w:ind w:left="140" w:right="113"/>
              <w:rPr>
                <w:sz w:val="18"/>
                <w:szCs w:val="26"/>
              </w:rPr>
            </w:pPr>
            <w:r w:rsidRPr="00607971">
              <w:rPr>
                <w:rFonts w:hint="cs"/>
                <w:sz w:val="18"/>
                <w:szCs w:val="26"/>
                <w:rtl/>
              </w:rPr>
              <w:t>إعاقة ذهنية</w:t>
            </w:r>
          </w:p>
        </w:tc>
        <w:tc>
          <w:tcPr>
            <w:tcW w:w="1275" w:type="dxa"/>
            <w:shd w:val="clear" w:color="auto" w:fill="auto"/>
            <w:vAlign w:val="bottom"/>
          </w:tcPr>
          <w:p w:rsidR="00681C20" w:rsidRPr="00607971" w:rsidRDefault="00681C20" w:rsidP="00397E4F">
            <w:pPr>
              <w:spacing w:before="40" w:after="40" w:line="220" w:lineRule="exact"/>
              <w:ind w:left="57" w:right="57"/>
              <w:rPr>
                <w:rFonts w:hint="cs"/>
                <w:sz w:val="18"/>
                <w:szCs w:val="26"/>
                <w:rtl/>
              </w:rPr>
            </w:pPr>
            <w:r w:rsidRPr="00607971">
              <w:rPr>
                <w:sz w:val="18"/>
                <w:szCs w:val="26"/>
                <w:rtl/>
              </w:rPr>
              <w:t>351</w:t>
            </w:r>
          </w:p>
        </w:tc>
        <w:tc>
          <w:tcPr>
            <w:tcW w:w="1276"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434</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354</w:t>
            </w:r>
          </w:p>
        </w:tc>
        <w:tc>
          <w:tcPr>
            <w:tcW w:w="1024"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327</w:t>
            </w:r>
          </w:p>
        </w:tc>
      </w:tr>
      <w:tr w:rsidR="00681C20" w:rsidRPr="00607971" w:rsidTr="00397E4F">
        <w:tc>
          <w:tcPr>
            <w:tcW w:w="2268" w:type="dxa"/>
            <w:shd w:val="clear" w:color="auto" w:fill="auto"/>
            <w:vAlign w:val="bottom"/>
          </w:tcPr>
          <w:p w:rsidR="00681C20" w:rsidRPr="00607971" w:rsidRDefault="00681C20" w:rsidP="00935EA2">
            <w:pPr>
              <w:spacing w:before="40" w:after="40" w:line="220" w:lineRule="exact"/>
              <w:ind w:left="140" w:right="113"/>
              <w:rPr>
                <w:sz w:val="18"/>
                <w:szCs w:val="26"/>
              </w:rPr>
            </w:pPr>
            <w:r w:rsidRPr="00607971">
              <w:rPr>
                <w:rFonts w:hint="cs"/>
                <w:sz w:val="18"/>
                <w:szCs w:val="26"/>
                <w:rtl/>
              </w:rPr>
              <w:t>إعاقة عقلية</w:t>
            </w:r>
          </w:p>
        </w:tc>
        <w:tc>
          <w:tcPr>
            <w:tcW w:w="1275" w:type="dxa"/>
            <w:shd w:val="clear" w:color="auto" w:fill="auto"/>
            <w:vAlign w:val="bottom"/>
          </w:tcPr>
          <w:p w:rsidR="00681C20" w:rsidRPr="00607971" w:rsidRDefault="00681C20" w:rsidP="00397E4F">
            <w:pPr>
              <w:spacing w:before="40" w:after="40" w:line="220" w:lineRule="exact"/>
              <w:ind w:left="57" w:right="57"/>
              <w:rPr>
                <w:rFonts w:hint="cs"/>
                <w:sz w:val="18"/>
                <w:szCs w:val="26"/>
                <w:rtl/>
              </w:rPr>
            </w:pPr>
            <w:r w:rsidRPr="00607971">
              <w:rPr>
                <w:sz w:val="18"/>
                <w:szCs w:val="26"/>
                <w:rtl/>
              </w:rPr>
              <w:t>442</w:t>
            </w:r>
          </w:p>
        </w:tc>
        <w:tc>
          <w:tcPr>
            <w:tcW w:w="1276"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443</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500</w:t>
            </w:r>
          </w:p>
        </w:tc>
        <w:tc>
          <w:tcPr>
            <w:tcW w:w="1024"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567</w:t>
            </w:r>
          </w:p>
        </w:tc>
      </w:tr>
      <w:tr w:rsidR="00681C20" w:rsidRPr="00607971" w:rsidTr="00397E4F">
        <w:tc>
          <w:tcPr>
            <w:tcW w:w="2268" w:type="dxa"/>
            <w:shd w:val="clear" w:color="auto" w:fill="auto"/>
            <w:vAlign w:val="bottom"/>
          </w:tcPr>
          <w:p w:rsidR="00681C20" w:rsidRPr="00607971" w:rsidRDefault="00681C20" w:rsidP="00935EA2">
            <w:pPr>
              <w:spacing w:before="40" w:after="40" w:line="220" w:lineRule="exact"/>
              <w:ind w:left="140" w:right="113"/>
              <w:rPr>
                <w:sz w:val="18"/>
                <w:szCs w:val="26"/>
              </w:rPr>
            </w:pPr>
            <w:r w:rsidRPr="00607971">
              <w:rPr>
                <w:rFonts w:hint="cs"/>
                <w:sz w:val="18"/>
                <w:szCs w:val="26"/>
                <w:rtl/>
              </w:rPr>
              <w:t>إعاقة سمعية</w:t>
            </w:r>
          </w:p>
        </w:tc>
        <w:tc>
          <w:tcPr>
            <w:tcW w:w="1275" w:type="dxa"/>
            <w:shd w:val="clear" w:color="auto" w:fill="auto"/>
            <w:vAlign w:val="bottom"/>
          </w:tcPr>
          <w:p w:rsidR="00681C20" w:rsidRPr="00607971" w:rsidRDefault="00681C20" w:rsidP="00397E4F">
            <w:pPr>
              <w:spacing w:before="40" w:after="40" w:line="220" w:lineRule="exact"/>
              <w:ind w:left="57" w:right="57"/>
              <w:rPr>
                <w:rFonts w:hint="cs"/>
                <w:sz w:val="18"/>
                <w:szCs w:val="26"/>
                <w:rtl/>
              </w:rPr>
            </w:pPr>
            <w:r w:rsidRPr="00607971">
              <w:rPr>
                <w:sz w:val="18"/>
                <w:szCs w:val="26"/>
                <w:rtl/>
              </w:rPr>
              <w:t>297</w:t>
            </w:r>
          </w:p>
        </w:tc>
        <w:tc>
          <w:tcPr>
            <w:tcW w:w="1276"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279</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293</w:t>
            </w:r>
          </w:p>
        </w:tc>
        <w:tc>
          <w:tcPr>
            <w:tcW w:w="1024"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sz w:val="18"/>
                <w:szCs w:val="26"/>
                <w:rtl/>
              </w:rPr>
              <w:t>308</w:t>
            </w:r>
          </w:p>
        </w:tc>
      </w:tr>
      <w:tr w:rsidR="00681C20" w:rsidRPr="00607971" w:rsidTr="00397E4F">
        <w:tc>
          <w:tcPr>
            <w:tcW w:w="2268" w:type="dxa"/>
            <w:shd w:val="clear" w:color="auto" w:fill="auto"/>
            <w:vAlign w:val="bottom"/>
          </w:tcPr>
          <w:p w:rsidR="00681C20" w:rsidRPr="00607971" w:rsidRDefault="00681C20" w:rsidP="00935EA2">
            <w:pPr>
              <w:spacing w:before="40" w:after="40" w:line="220" w:lineRule="exact"/>
              <w:ind w:left="140" w:right="113"/>
              <w:rPr>
                <w:sz w:val="18"/>
                <w:szCs w:val="26"/>
              </w:rPr>
            </w:pPr>
            <w:r w:rsidRPr="00607971">
              <w:rPr>
                <w:rFonts w:hint="cs"/>
                <w:sz w:val="18"/>
                <w:szCs w:val="26"/>
                <w:rtl/>
              </w:rPr>
              <w:t>إعاقة بصرية</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48</w:t>
            </w:r>
          </w:p>
        </w:tc>
        <w:tc>
          <w:tcPr>
            <w:tcW w:w="1276"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50</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56</w:t>
            </w:r>
          </w:p>
        </w:tc>
        <w:tc>
          <w:tcPr>
            <w:tcW w:w="1024"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57</w:t>
            </w:r>
          </w:p>
        </w:tc>
      </w:tr>
      <w:tr w:rsidR="00681C20" w:rsidRPr="00607971" w:rsidTr="00397E4F">
        <w:tc>
          <w:tcPr>
            <w:tcW w:w="2268" w:type="dxa"/>
            <w:shd w:val="clear" w:color="auto" w:fill="auto"/>
            <w:vAlign w:val="bottom"/>
          </w:tcPr>
          <w:p w:rsidR="00681C20" w:rsidRPr="00607971" w:rsidRDefault="00681C20" w:rsidP="00935EA2">
            <w:pPr>
              <w:spacing w:before="40" w:after="40" w:line="220" w:lineRule="exact"/>
              <w:ind w:left="140" w:right="113"/>
              <w:rPr>
                <w:sz w:val="18"/>
                <w:szCs w:val="26"/>
              </w:rPr>
            </w:pPr>
            <w:r w:rsidRPr="00607971">
              <w:rPr>
                <w:rFonts w:hint="cs"/>
                <w:sz w:val="18"/>
                <w:szCs w:val="26"/>
                <w:rtl/>
              </w:rPr>
              <w:t>توحد</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94</w:t>
            </w:r>
          </w:p>
        </w:tc>
        <w:tc>
          <w:tcPr>
            <w:tcW w:w="1276"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103</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114</w:t>
            </w:r>
          </w:p>
        </w:tc>
        <w:tc>
          <w:tcPr>
            <w:tcW w:w="1024"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121</w:t>
            </w:r>
          </w:p>
        </w:tc>
      </w:tr>
      <w:tr w:rsidR="00681C20" w:rsidRPr="00607971" w:rsidTr="00397E4F">
        <w:tc>
          <w:tcPr>
            <w:tcW w:w="2268" w:type="dxa"/>
            <w:shd w:val="clear" w:color="auto" w:fill="auto"/>
            <w:vAlign w:val="bottom"/>
          </w:tcPr>
          <w:p w:rsidR="00681C20" w:rsidRPr="00607971" w:rsidRDefault="00681C20" w:rsidP="00935EA2">
            <w:pPr>
              <w:spacing w:before="40" w:after="40" w:line="220" w:lineRule="exact"/>
              <w:ind w:left="140" w:right="113"/>
              <w:rPr>
                <w:sz w:val="18"/>
                <w:szCs w:val="26"/>
              </w:rPr>
            </w:pPr>
            <w:r w:rsidRPr="00607971">
              <w:rPr>
                <w:rFonts w:hint="cs"/>
                <w:sz w:val="18"/>
                <w:szCs w:val="26"/>
                <w:rtl/>
              </w:rPr>
              <w:t>إعاقات متعددة</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343</w:t>
            </w:r>
          </w:p>
        </w:tc>
        <w:tc>
          <w:tcPr>
            <w:tcW w:w="1276"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340</w:t>
            </w:r>
          </w:p>
        </w:tc>
        <w:tc>
          <w:tcPr>
            <w:tcW w:w="1275"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429</w:t>
            </w:r>
          </w:p>
        </w:tc>
        <w:tc>
          <w:tcPr>
            <w:tcW w:w="1024" w:type="dxa"/>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384</w:t>
            </w:r>
          </w:p>
        </w:tc>
      </w:tr>
      <w:tr w:rsidR="00681C20" w:rsidRPr="00607971" w:rsidTr="00397E4F">
        <w:tc>
          <w:tcPr>
            <w:tcW w:w="2268" w:type="dxa"/>
            <w:tcBorders>
              <w:bottom w:val="single" w:sz="4" w:space="0" w:color="auto"/>
            </w:tcBorders>
            <w:shd w:val="clear" w:color="auto" w:fill="auto"/>
            <w:vAlign w:val="bottom"/>
          </w:tcPr>
          <w:p w:rsidR="00681C20" w:rsidRPr="00607971" w:rsidRDefault="00681C20" w:rsidP="00935EA2">
            <w:pPr>
              <w:spacing w:before="40" w:after="40" w:line="220" w:lineRule="exact"/>
              <w:ind w:left="140" w:right="113"/>
              <w:rPr>
                <w:sz w:val="18"/>
                <w:szCs w:val="26"/>
              </w:rPr>
            </w:pPr>
            <w:r w:rsidRPr="00607971">
              <w:rPr>
                <w:rFonts w:hint="cs"/>
                <w:sz w:val="18"/>
                <w:szCs w:val="26"/>
                <w:rtl/>
              </w:rPr>
              <w:t>إعاقات أخرى</w:t>
            </w:r>
          </w:p>
        </w:tc>
        <w:tc>
          <w:tcPr>
            <w:tcW w:w="1275" w:type="dxa"/>
            <w:tcBorders>
              <w:bottom w:val="single" w:sz="4" w:space="0" w:color="auto"/>
            </w:tcBorders>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70</w:t>
            </w:r>
          </w:p>
        </w:tc>
        <w:tc>
          <w:tcPr>
            <w:tcW w:w="1276" w:type="dxa"/>
            <w:tcBorders>
              <w:bottom w:val="single" w:sz="4" w:space="0" w:color="auto"/>
            </w:tcBorders>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94</w:t>
            </w:r>
          </w:p>
        </w:tc>
        <w:tc>
          <w:tcPr>
            <w:tcW w:w="1275" w:type="dxa"/>
            <w:tcBorders>
              <w:bottom w:val="single" w:sz="4" w:space="0" w:color="auto"/>
            </w:tcBorders>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82</w:t>
            </w:r>
          </w:p>
        </w:tc>
        <w:tc>
          <w:tcPr>
            <w:tcW w:w="1024" w:type="dxa"/>
            <w:tcBorders>
              <w:bottom w:val="single" w:sz="4" w:space="0" w:color="auto"/>
            </w:tcBorders>
            <w:shd w:val="clear" w:color="auto" w:fill="auto"/>
            <w:vAlign w:val="bottom"/>
          </w:tcPr>
          <w:p w:rsidR="00681C20" w:rsidRPr="00607971" w:rsidRDefault="00681C20" w:rsidP="00397E4F">
            <w:pPr>
              <w:spacing w:before="40" w:after="40" w:line="220" w:lineRule="exact"/>
              <w:ind w:left="57" w:right="57"/>
              <w:rPr>
                <w:sz w:val="18"/>
                <w:szCs w:val="26"/>
              </w:rPr>
            </w:pPr>
            <w:r w:rsidRPr="00607971">
              <w:rPr>
                <w:rFonts w:hint="cs"/>
                <w:sz w:val="18"/>
                <w:szCs w:val="26"/>
                <w:rtl/>
              </w:rPr>
              <w:t>490</w:t>
            </w:r>
          </w:p>
        </w:tc>
      </w:tr>
      <w:tr w:rsidR="00681C20" w:rsidRPr="00607971" w:rsidTr="00397E4F">
        <w:tc>
          <w:tcPr>
            <w:tcW w:w="2268" w:type="dxa"/>
            <w:tcBorders>
              <w:top w:val="single" w:sz="4" w:space="0" w:color="auto"/>
              <w:bottom w:val="single" w:sz="12" w:space="0" w:color="auto"/>
            </w:tcBorders>
            <w:shd w:val="clear" w:color="auto" w:fill="auto"/>
            <w:vAlign w:val="bottom"/>
          </w:tcPr>
          <w:p w:rsidR="00681C20" w:rsidRPr="00607971" w:rsidRDefault="00681C20" w:rsidP="00935EA2">
            <w:pPr>
              <w:spacing w:before="80" w:after="80" w:line="220" w:lineRule="exact"/>
              <w:ind w:left="140" w:right="113"/>
              <w:rPr>
                <w:bCs/>
                <w:sz w:val="18"/>
                <w:szCs w:val="26"/>
              </w:rPr>
            </w:pPr>
            <w:r w:rsidRPr="00607971">
              <w:rPr>
                <w:rFonts w:hint="cs"/>
                <w:bCs/>
                <w:sz w:val="18"/>
                <w:szCs w:val="26"/>
                <w:rtl/>
              </w:rPr>
              <w:t>المجموع</w:t>
            </w:r>
          </w:p>
        </w:tc>
        <w:tc>
          <w:tcPr>
            <w:tcW w:w="1275" w:type="dxa"/>
            <w:tcBorders>
              <w:top w:val="single" w:sz="4" w:space="0" w:color="auto"/>
              <w:bottom w:val="single" w:sz="12" w:space="0" w:color="auto"/>
            </w:tcBorders>
            <w:shd w:val="clear" w:color="auto" w:fill="auto"/>
            <w:vAlign w:val="bottom"/>
          </w:tcPr>
          <w:p w:rsidR="00681C20" w:rsidRPr="00607971" w:rsidRDefault="00681C20" w:rsidP="00397E4F">
            <w:pPr>
              <w:spacing w:before="80" w:after="80" w:line="220" w:lineRule="exact"/>
              <w:ind w:left="57" w:right="57"/>
              <w:rPr>
                <w:bCs/>
                <w:sz w:val="18"/>
                <w:szCs w:val="26"/>
              </w:rPr>
            </w:pPr>
            <w:r w:rsidRPr="00607971">
              <w:rPr>
                <w:rFonts w:hint="cs"/>
                <w:bCs/>
                <w:sz w:val="18"/>
                <w:szCs w:val="26"/>
                <w:rtl/>
              </w:rPr>
              <w:t>334 2</w:t>
            </w:r>
          </w:p>
        </w:tc>
        <w:tc>
          <w:tcPr>
            <w:tcW w:w="1276" w:type="dxa"/>
            <w:tcBorders>
              <w:top w:val="single" w:sz="4" w:space="0" w:color="auto"/>
              <w:bottom w:val="single" w:sz="12" w:space="0" w:color="auto"/>
            </w:tcBorders>
            <w:shd w:val="clear" w:color="auto" w:fill="auto"/>
            <w:vAlign w:val="bottom"/>
          </w:tcPr>
          <w:p w:rsidR="00681C20" w:rsidRPr="00607971" w:rsidRDefault="00681C20" w:rsidP="00397E4F">
            <w:pPr>
              <w:spacing w:before="80" w:after="80" w:line="220" w:lineRule="exact"/>
              <w:ind w:left="57" w:right="57"/>
              <w:rPr>
                <w:bCs/>
                <w:sz w:val="18"/>
                <w:szCs w:val="26"/>
              </w:rPr>
            </w:pPr>
            <w:r w:rsidRPr="00607971">
              <w:rPr>
                <w:rFonts w:hint="cs"/>
                <w:bCs/>
                <w:sz w:val="18"/>
                <w:szCs w:val="26"/>
                <w:rtl/>
              </w:rPr>
              <w:t>782 2</w:t>
            </w:r>
          </w:p>
        </w:tc>
        <w:tc>
          <w:tcPr>
            <w:tcW w:w="1275" w:type="dxa"/>
            <w:tcBorders>
              <w:top w:val="single" w:sz="4" w:space="0" w:color="auto"/>
              <w:bottom w:val="single" w:sz="12" w:space="0" w:color="auto"/>
            </w:tcBorders>
            <w:shd w:val="clear" w:color="auto" w:fill="auto"/>
            <w:vAlign w:val="bottom"/>
          </w:tcPr>
          <w:p w:rsidR="00681C20" w:rsidRPr="00607971" w:rsidRDefault="00681C20" w:rsidP="00397E4F">
            <w:pPr>
              <w:spacing w:before="80" w:after="80" w:line="220" w:lineRule="exact"/>
              <w:ind w:left="57" w:right="57"/>
              <w:rPr>
                <w:bCs/>
                <w:sz w:val="18"/>
                <w:szCs w:val="26"/>
              </w:rPr>
            </w:pPr>
            <w:r w:rsidRPr="00607971">
              <w:rPr>
                <w:rFonts w:hint="cs"/>
                <w:bCs/>
                <w:sz w:val="18"/>
                <w:szCs w:val="26"/>
                <w:rtl/>
              </w:rPr>
              <w:t>057 3</w:t>
            </w:r>
          </w:p>
        </w:tc>
        <w:tc>
          <w:tcPr>
            <w:tcW w:w="1024" w:type="dxa"/>
            <w:tcBorders>
              <w:top w:val="single" w:sz="4" w:space="0" w:color="auto"/>
              <w:bottom w:val="single" w:sz="12" w:space="0" w:color="auto"/>
            </w:tcBorders>
            <w:shd w:val="clear" w:color="auto" w:fill="auto"/>
            <w:vAlign w:val="bottom"/>
          </w:tcPr>
          <w:p w:rsidR="00681C20" w:rsidRPr="00607971" w:rsidRDefault="00681C20" w:rsidP="00397E4F">
            <w:pPr>
              <w:spacing w:before="80" w:after="80" w:line="220" w:lineRule="exact"/>
              <w:ind w:left="57" w:right="57"/>
              <w:rPr>
                <w:bCs/>
                <w:sz w:val="18"/>
                <w:szCs w:val="26"/>
              </w:rPr>
            </w:pPr>
            <w:r w:rsidRPr="00607971">
              <w:rPr>
                <w:rFonts w:hint="cs"/>
                <w:bCs/>
                <w:sz w:val="18"/>
                <w:szCs w:val="26"/>
                <w:rtl/>
              </w:rPr>
              <w:t>370 3</w:t>
            </w:r>
          </w:p>
        </w:tc>
      </w:tr>
    </w:tbl>
    <w:p w:rsidR="00681C20" w:rsidRPr="00397E4F" w:rsidRDefault="00681C20" w:rsidP="00681C20">
      <w:pPr>
        <w:pStyle w:val="SingleTxtGA"/>
        <w:rPr>
          <w:rFonts w:hint="cs"/>
          <w:sz w:val="26"/>
          <w:szCs w:val="26"/>
          <w:rtl/>
        </w:rPr>
      </w:pPr>
      <w:r w:rsidRPr="00397E4F">
        <w:rPr>
          <w:rFonts w:hint="cs"/>
          <w:i/>
          <w:iCs/>
          <w:sz w:val="26"/>
          <w:szCs w:val="26"/>
          <w:rtl/>
        </w:rPr>
        <w:t>المصدر:</w:t>
      </w:r>
      <w:r w:rsidRPr="00397E4F">
        <w:rPr>
          <w:rFonts w:hint="cs"/>
          <w:sz w:val="26"/>
          <w:szCs w:val="26"/>
          <w:rtl/>
        </w:rPr>
        <w:t xml:space="preserve"> مكتب الرعاية الاجتماعية.</w:t>
      </w:r>
    </w:p>
    <w:p w:rsidR="00681C20" w:rsidRDefault="00681C20" w:rsidP="00681C20">
      <w:pPr>
        <w:pStyle w:val="SingleTxtGA"/>
        <w:rPr>
          <w:rFonts w:hint="cs"/>
          <w:rtl/>
        </w:rPr>
      </w:pPr>
      <w:r>
        <w:rPr>
          <w:rFonts w:hint="cs"/>
          <w:rtl/>
        </w:rPr>
        <w:t>86-</w:t>
      </w:r>
      <w:r>
        <w:rPr>
          <w:rFonts w:hint="cs"/>
          <w:rtl/>
        </w:rPr>
        <w:tab/>
        <w:t>ويرعى مكتب الرعاية الاجتماعية المنظمات غير الحكومية في شراء الأجهزة المساعدة المطلوبة للتدريب من أجل التأهيل وإعادة التأهيل فضلا</w:t>
      </w:r>
      <w:r w:rsidR="009E3E8F">
        <w:rPr>
          <w:rFonts w:hint="cs"/>
          <w:rtl/>
        </w:rPr>
        <w:t>ً</w:t>
      </w:r>
      <w:r>
        <w:rPr>
          <w:rFonts w:hint="cs"/>
          <w:rtl/>
        </w:rPr>
        <w:t xml:space="preserve"> عن تعيين الأخصائيين ذوي الصلة. وينظم المكتب سنوياً أنواعاً مختلفة من برامج التدريب والدورات وحلقات العمل من أجل الأخصائيين والموظفين العاملين في مجال إعادة التأهيل. وفي عام 2009، أُعدت خطة تطوير وظيفي للأخصائيين الاجتماعيين، مُنحت من خلالها إعانات للمنظمات غير الحكومية من أجل تزويدها بأنشطة التعليم المستمر.</w:t>
      </w:r>
    </w:p>
    <w:p w:rsidR="00681C20" w:rsidRDefault="00681C20" w:rsidP="00681C20">
      <w:pPr>
        <w:pStyle w:val="SingleTxtGA"/>
        <w:rPr>
          <w:rFonts w:hint="cs"/>
          <w:rtl/>
        </w:rPr>
      </w:pPr>
      <w:r>
        <w:rPr>
          <w:rFonts w:hint="cs"/>
          <w:rtl/>
        </w:rPr>
        <w:t>87-</w:t>
      </w:r>
      <w:r>
        <w:rPr>
          <w:rFonts w:hint="cs"/>
          <w:rtl/>
        </w:rPr>
        <w:tab/>
        <w:t>ويرد أدناه إجمالي مساهمة الحكومة في خدمات إعادة التأهيل التي تقدمها المنظمات غير الحكومية.</w:t>
      </w:r>
    </w:p>
    <w:p w:rsidR="00681C20" w:rsidRPr="003D361B" w:rsidRDefault="00681C20" w:rsidP="00681C20">
      <w:pPr>
        <w:pStyle w:val="SingleTxtGA"/>
        <w:rPr>
          <w:rFonts w:hint="cs"/>
          <w:b/>
          <w:bCs/>
          <w:rtl/>
        </w:rPr>
      </w:pPr>
      <w:r>
        <w:rPr>
          <w:rFonts w:hint="cs"/>
          <w:b/>
          <w:bCs/>
          <w:rtl/>
        </w:rPr>
        <w:t xml:space="preserve">إجمالي </w:t>
      </w:r>
      <w:r w:rsidRPr="003D361B">
        <w:rPr>
          <w:rFonts w:hint="cs"/>
          <w:b/>
          <w:bCs/>
          <w:rtl/>
        </w:rPr>
        <w:t>النفقات التي ساهمت بها الحكومة في خدمات إعادة التأهيل</w:t>
      </w:r>
    </w:p>
    <w:tbl>
      <w:tblPr>
        <w:bidiVisual/>
        <w:tblW w:w="8476" w:type="dxa"/>
        <w:tblInd w:w="1134" w:type="dxa"/>
        <w:tblLayout w:type="fixed"/>
        <w:tblLook w:val="01E0" w:firstRow="1" w:lastRow="1" w:firstColumn="1" w:lastColumn="1" w:noHBand="0" w:noVBand="0"/>
      </w:tblPr>
      <w:tblGrid>
        <w:gridCol w:w="1388"/>
        <w:gridCol w:w="1805"/>
        <w:gridCol w:w="1806"/>
        <w:gridCol w:w="1713"/>
        <w:gridCol w:w="1764"/>
      </w:tblGrid>
      <w:tr w:rsidR="00681C20" w:rsidRPr="003D361B" w:rsidTr="00397E4F">
        <w:trPr>
          <w:tblHeader/>
        </w:trPr>
        <w:tc>
          <w:tcPr>
            <w:tcW w:w="1388" w:type="dxa"/>
            <w:tcBorders>
              <w:top w:val="single" w:sz="4" w:space="0" w:color="auto"/>
              <w:bottom w:val="single" w:sz="12" w:space="0" w:color="auto"/>
            </w:tcBorders>
            <w:shd w:val="clear" w:color="auto" w:fill="auto"/>
            <w:tcMar>
              <w:left w:w="0" w:type="dxa"/>
              <w:right w:w="0" w:type="dxa"/>
            </w:tcMar>
            <w:vAlign w:val="bottom"/>
          </w:tcPr>
          <w:p w:rsidR="00681C20" w:rsidRPr="003D361B" w:rsidRDefault="00681C20" w:rsidP="00935EA2">
            <w:pPr>
              <w:keepLines/>
              <w:spacing w:before="80" w:after="80" w:line="200" w:lineRule="exact"/>
              <w:ind w:left="91" w:right="113"/>
              <w:rPr>
                <w:iCs/>
                <w:sz w:val="16"/>
                <w:szCs w:val="26"/>
              </w:rPr>
            </w:pPr>
            <w:r w:rsidRPr="003D361B">
              <w:rPr>
                <w:rFonts w:hint="cs"/>
                <w:iCs/>
                <w:sz w:val="16"/>
                <w:szCs w:val="26"/>
                <w:rtl/>
              </w:rPr>
              <w:t>السنة</w:t>
            </w:r>
          </w:p>
        </w:tc>
        <w:tc>
          <w:tcPr>
            <w:tcW w:w="1805" w:type="dxa"/>
            <w:tcBorders>
              <w:top w:val="single" w:sz="4" w:space="0" w:color="auto"/>
              <w:bottom w:val="single" w:sz="12" w:space="0" w:color="auto"/>
            </w:tcBorders>
            <w:shd w:val="clear" w:color="auto" w:fill="auto"/>
            <w:tcMar>
              <w:left w:w="0" w:type="dxa"/>
              <w:right w:w="0" w:type="dxa"/>
            </w:tcMar>
            <w:vAlign w:val="bottom"/>
          </w:tcPr>
          <w:p w:rsidR="00681C20" w:rsidRPr="003D361B" w:rsidRDefault="00681C20" w:rsidP="00397E4F">
            <w:pPr>
              <w:keepLines/>
              <w:spacing w:before="80" w:after="80" w:line="200" w:lineRule="exact"/>
              <w:ind w:left="57" w:right="57"/>
              <w:rPr>
                <w:iCs/>
                <w:sz w:val="16"/>
                <w:szCs w:val="26"/>
              </w:rPr>
            </w:pPr>
            <w:r w:rsidRPr="003D361B">
              <w:rPr>
                <w:rFonts w:hint="cs"/>
                <w:iCs/>
                <w:sz w:val="16"/>
                <w:szCs w:val="26"/>
                <w:rtl/>
              </w:rPr>
              <w:t>2006</w:t>
            </w:r>
          </w:p>
        </w:tc>
        <w:tc>
          <w:tcPr>
            <w:tcW w:w="1806" w:type="dxa"/>
            <w:tcBorders>
              <w:top w:val="single" w:sz="4" w:space="0" w:color="auto"/>
              <w:bottom w:val="single" w:sz="12" w:space="0" w:color="auto"/>
            </w:tcBorders>
            <w:shd w:val="clear" w:color="auto" w:fill="auto"/>
            <w:tcMar>
              <w:left w:w="0" w:type="dxa"/>
              <w:right w:w="0" w:type="dxa"/>
            </w:tcMar>
            <w:vAlign w:val="center"/>
          </w:tcPr>
          <w:p w:rsidR="00681C20" w:rsidRPr="003D361B" w:rsidRDefault="00681C20" w:rsidP="00397E4F">
            <w:pPr>
              <w:keepLines/>
              <w:spacing w:before="80" w:after="80" w:line="200" w:lineRule="exact"/>
              <w:ind w:left="57" w:right="57"/>
              <w:rPr>
                <w:iCs/>
                <w:sz w:val="16"/>
                <w:szCs w:val="26"/>
              </w:rPr>
            </w:pPr>
            <w:r w:rsidRPr="003D361B">
              <w:rPr>
                <w:rFonts w:hint="cs"/>
                <w:iCs/>
                <w:sz w:val="16"/>
                <w:szCs w:val="26"/>
                <w:rtl/>
              </w:rPr>
              <w:t>2007</w:t>
            </w:r>
          </w:p>
        </w:tc>
        <w:tc>
          <w:tcPr>
            <w:tcW w:w="1713" w:type="dxa"/>
            <w:tcBorders>
              <w:top w:val="single" w:sz="4" w:space="0" w:color="auto"/>
              <w:bottom w:val="single" w:sz="12" w:space="0" w:color="auto"/>
            </w:tcBorders>
            <w:shd w:val="clear" w:color="auto" w:fill="auto"/>
            <w:tcMar>
              <w:left w:w="0" w:type="dxa"/>
              <w:right w:w="0" w:type="dxa"/>
            </w:tcMar>
            <w:vAlign w:val="center"/>
          </w:tcPr>
          <w:p w:rsidR="00681C20" w:rsidRPr="003D361B" w:rsidRDefault="00681C20" w:rsidP="00397E4F">
            <w:pPr>
              <w:keepLines/>
              <w:spacing w:before="80" w:after="80" w:line="200" w:lineRule="exact"/>
              <w:ind w:left="57" w:right="57"/>
              <w:rPr>
                <w:iCs/>
                <w:sz w:val="16"/>
                <w:szCs w:val="26"/>
              </w:rPr>
            </w:pPr>
            <w:r w:rsidRPr="003D361B">
              <w:rPr>
                <w:rFonts w:hint="cs"/>
                <w:iCs/>
                <w:sz w:val="16"/>
                <w:szCs w:val="26"/>
                <w:rtl/>
              </w:rPr>
              <w:t>2008</w:t>
            </w:r>
          </w:p>
        </w:tc>
        <w:tc>
          <w:tcPr>
            <w:tcW w:w="1764" w:type="dxa"/>
            <w:tcBorders>
              <w:top w:val="single" w:sz="4" w:space="0" w:color="auto"/>
              <w:bottom w:val="single" w:sz="12" w:space="0" w:color="auto"/>
            </w:tcBorders>
            <w:shd w:val="clear" w:color="auto" w:fill="auto"/>
            <w:tcMar>
              <w:left w:w="0" w:type="dxa"/>
              <w:right w:w="0" w:type="dxa"/>
            </w:tcMar>
            <w:vAlign w:val="center"/>
          </w:tcPr>
          <w:p w:rsidR="00681C20" w:rsidRPr="003D361B" w:rsidRDefault="00681C20" w:rsidP="00397E4F">
            <w:pPr>
              <w:keepLines/>
              <w:spacing w:before="80" w:after="80" w:line="200" w:lineRule="exact"/>
              <w:ind w:left="57" w:right="57"/>
              <w:rPr>
                <w:iCs/>
                <w:sz w:val="16"/>
                <w:szCs w:val="26"/>
              </w:rPr>
            </w:pPr>
            <w:r w:rsidRPr="003D361B">
              <w:rPr>
                <w:rFonts w:hint="cs"/>
                <w:iCs/>
                <w:sz w:val="16"/>
                <w:szCs w:val="26"/>
                <w:rtl/>
              </w:rPr>
              <w:t>2009</w:t>
            </w:r>
          </w:p>
        </w:tc>
      </w:tr>
      <w:tr w:rsidR="00681C20" w:rsidRPr="00C73F8E" w:rsidTr="00397E4F">
        <w:tc>
          <w:tcPr>
            <w:tcW w:w="1388" w:type="dxa"/>
            <w:tcBorders>
              <w:top w:val="single" w:sz="12" w:space="0" w:color="auto"/>
            </w:tcBorders>
            <w:shd w:val="clear" w:color="auto" w:fill="auto"/>
            <w:tcMar>
              <w:left w:w="0" w:type="dxa"/>
              <w:right w:w="0" w:type="dxa"/>
            </w:tcMar>
            <w:vAlign w:val="bottom"/>
          </w:tcPr>
          <w:p w:rsidR="00681C20" w:rsidRPr="00C73F8E" w:rsidRDefault="00681C20" w:rsidP="00935EA2">
            <w:pPr>
              <w:keepLines/>
              <w:spacing w:before="40" w:after="40" w:line="220" w:lineRule="exact"/>
              <w:ind w:left="91" w:right="113"/>
              <w:rPr>
                <w:sz w:val="18"/>
                <w:szCs w:val="26"/>
              </w:rPr>
            </w:pPr>
            <w:r>
              <w:rPr>
                <w:rFonts w:hint="cs"/>
                <w:sz w:val="18"/>
                <w:szCs w:val="26"/>
                <w:rtl/>
              </w:rPr>
              <w:t>عدد الوحدات</w:t>
            </w:r>
          </w:p>
        </w:tc>
        <w:tc>
          <w:tcPr>
            <w:tcW w:w="1805" w:type="dxa"/>
            <w:tcBorders>
              <w:top w:val="single" w:sz="12" w:space="0" w:color="auto"/>
            </w:tcBorders>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25</w:t>
            </w:r>
          </w:p>
        </w:tc>
        <w:tc>
          <w:tcPr>
            <w:tcW w:w="1806" w:type="dxa"/>
            <w:tcBorders>
              <w:top w:val="single" w:sz="12" w:space="0" w:color="auto"/>
            </w:tcBorders>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25</w:t>
            </w:r>
          </w:p>
        </w:tc>
        <w:tc>
          <w:tcPr>
            <w:tcW w:w="1713" w:type="dxa"/>
            <w:tcBorders>
              <w:top w:val="single" w:sz="12" w:space="0" w:color="auto"/>
            </w:tcBorders>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25</w:t>
            </w:r>
          </w:p>
        </w:tc>
        <w:tc>
          <w:tcPr>
            <w:tcW w:w="1764" w:type="dxa"/>
            <w:tcBorders>
              <w:top w:val="single" w:sz="12" w:space="0" w:color="auto"/>
            </w:tcBorders>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25</w:t>
            </w:r>
          </w:p>
        </w:tc>
      </w:tr>
      <w:tr w:rsidR="00681C20" w:rsidRPr="00C73F8E" w:rsidTr="00397E4F">
        <w:tc>
          <w:tcPr>
            <w:tcW w:w="1388" w:type="dxa"/>
            <w:shd w:val="clear" w:color="auto" w:fill="auto"/>
            <w:tcMar>
              <w:left w:w="0" w:type="dxa"/>
              <w:right w:w="0" w:type="dxa"/>
            </w:tcMar>
            <w:vAlign w:val="center"/>
          </w:tcPr>
          <w:p w:rsidR="00681C20" w:rsidRPr="00C73F8E" w:rsidRDefault="00681C20" w:rsidP="00935EA2">
            <w:pPr>
              <w:keepLines/>
              <w:spacing w:before="40" w:after="40" w:line="220" w:lineRule="exact"/>
              <w:ind w:left="91" w:right="113"/>
              <w:rPr>
                <w:sz w:val="18"/>
                <w:szCs w:val="26"/>
              </w:rPr>
            </w:pPr>
            <w:r>
              <w:rPr>
                <w:rFonts w:hint="cs"/>
                <w:sz w:val="18"/>
                <w:szCs w:val="26"/>
                <w:rtl/>
              </w:rPr>
              <w:t>إعانة دائمة</w:t>
            </w:r>
          </w:p>
        </w:tc>
        <w:tc>
          <w:tcPr>
            <w:tcW w:w="1805" w:type="dxa"/>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rFonts w:hint="cs"/>
                <w:sz w:val="18"/>
                <w:szCs w:val="26"/>
                <w:rtl/>
              </w:rPr>
            </w:pPr>
            <w:r w:rsidRPr="00C73F8E">
              <w:rPr>
                <w:sz w:val="18"/>
                <w:szCs w:val="26"/>
                <w:rtl/>
              </w:rPr>
              <w:t>498.00</w:t>
            </w:r>
            <w:r>
              <w:rPr>
                <w:rFonts w:hint="cs"/>
                <w:sz w:val="18"/>
                <w:szCs w:val="26"/>
                <w:rtl/>
              </w:rPr>
              <w:t xml:space="preserve"> 781 37</w:t>
            </w:r>
          </w:p>
        </w:tc>
        <w:tc>
          <w:tcPr>
            <w:tcW w:w="1806" w:type="dxa"/>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132.60 372 45</w:t>
            </w:r>
          </w:p>
        </w:tc>
        <w:tc>
          <w:tcPr>
            <w:tcW w:w="1713" w:type="dxa"/>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434.40 318 57</w:t>
            </w:r>
          </w:p>
        </w:tc>
        <w:tc>
          <w:tcPr>
            <w:tcW w:w="1764" w:type="dxa"/>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rFonts w:hint="cs"/>
                <w:sz w:val="18"/>
                <w:szCs w:val="26"/>
                <w:rtl/>
              </w:rPr>
            </w:pPr>
            <w:r>
              <w:rPr>
                <w:rFonts w:hint="cs"/>
                <w:sz w:val="18"/>
                <w:szCs w:val="26"/>
                <w:rtl/>
              </w:rPr>
              <w:t>882.00 926 62</w:t>
            </w:r>
          </w:p>
        </w:tc>
      </w:tr>
      <w:tr w:rsidR="00681C20" w:rsidRPr="00C73F8E" w:rsidTr="00397E4F">
        <w:tc>
          <w:tcPr>
            <w:tcW w:w="1388" w:type="dxa"/>
            <w:tcBorders>
              <w:bottom w:val="single" w:sz="12" w:space="0" w:color="auto"/>
            </w:tcBorders>
            <w:shd w:val="clear" w:color="auto" w:fill="auto"/>
            <w:tcMar>
              <w:left w:w="0" w:type="dxa"/>
              <w:right w:w="0" w:type="dxa"/>
            </w:tcMar>
            <w:vAlign w:val="center"/>
          </w:tcPr>
          <w:p w:rsidR="00681C20" w:rsidRPr="00C73F8E" w:rsidRDefault="00681C20" w:rsidP="00935EA2">
            <w:pPr>
              <w:keepLines/>
              <w:spacing w:before="40" w:after="40" w:line="220" w:lineRule="exact"/>
              <w:ind w:left="91" w:right="113"/>
              <w:rPr>
                <w:rFonts w:hint="cs"/>
                <w:sz w:val="18"/>
                <w:szCs w:val="26"/>
                <w:rtl/>
              </w:rPr>
            </w:pPr>
            <w:r>
              <w:rPr>
                <w:rFonts w:hint="cs"/>
                <w:sz w:val="18"/>
                <w:szCs w:val="26"/>
                <w:rtl/>
              </w:rPr>
              <w:t>إعانة عرضية</w:t>
            </w:r>
          </w:p>
        </w:tc>
        <w:tc>
          <w:tcPr>
            <w:tcW w:w="1805" w:type="dxa"/>
            <w:tcBorders>
              <w:bottom w:val="single" w:sz="12" w:space="0" w:color="auto"/>
            </w:tcBorders>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458.60 016 4</w:t>
            </w:r>
          </w:p>
        </w:tc>
        <w:tc>
          <w:tcPr>
            <w:tcW w:w="1806" w:type="dxa"/>
            <w:tcBorders>
              <w:bottom w:val="single" w:sz="12" w:space="0" w:color="auto"/>
            </w:tcBorders>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064.60 591 5</w:t>
            </w:r>
          </w:p>
        </w:tc>
        <w:tc>
          <w:tcPr>
            <w:tcW w:w="1713" w:type="dxa"/>
            <w:tcBorders>
              <w:bottom w:val="single" w:sz="12" w:space="0" w:color="auto"/>
            </w:tcBorders>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387.20 039 5</w:t>
            </w:r>
          </w:p>
        </w:tc>
        <w:tc>
          <w:tcPr>
            <w:tcW w:w="1764" w:type="dxa"/>
            <w:tcBorders>
              <w:bottom w:val="single" w:sz="12" w:space="0" w:color="auto"/>
            </w:tcBorders>
            <w:shd w:val="clear" w:color="auto" w:fill="auto"/>
            <w:tcMar>
              <w:left w:w="0" w:type="dxa"/>
              <w:right w:w="0" w:type="dxa"/>
            </w:tcMar>
            <w:vAlign w:val="center"/>
          </w:tcPr>
          <w:p w:rsidR="00681C20" w:rsidRPr="00C73F8E" w:rsidRDefault="00681C20" w:rsidP="00397E4F">
            <w:pPr>
              <w:keepLines/>
              <w:spacing w:before="40" w:after="40" w:line="220" w:lineRule="exact"/>
              <w:ind w:left="57" w:right="57"/>
              <w:rPr>
                <w:sz w:val="18"/>
                <w:szCs w:val="26"/>
              </w:rPr>
            </w:pPr>
            <w:r>
              <w:rPr>
                <w:rFonts w:hint="cs"/>
                <w:sz w:val="18"/>
                <w:szCs w:val="26"/>
                <w:rtl/>
              </w:rPr>
              <w:t>234.20 267 3</w:t>
            </w:r>
            <w:r w:rsidRPr="003D361B">
              <w:rPr>
                <w:rFonts w:hint="cs"/>
                <w:sz w:val="18"/>
                <w:szCs w:val="26"/>
                <w:vertAlign w:val="superscript"/>
                <w:rtl/>
              </w:rPr>
              <w:t>(1)</w:t>
            </w:r>
          </w:p>
        </w:tc>
      </w:tr>
    </w:tbl>
    <w:p w:rsidR="00681C20" w:rsidRPr="00397E4F" w:rsidRDefault="00681C20" w:rsidP="009E3E8F">
      <w:pPr>
        <w:pStyle w:val="SingleTxtGA"/>
        <w:spacing w:before="120" w:line="300" w:lineRule="exact"/>
        <w:ind w:left="1127"/>
        <w:rPr>
          <w:rFonts w:hint="cs"/>
          <w:sz w:val="26"/>
          <w:szCs w:val="26"/>
          <w:rtl/>
        </w:rPr>
      </w:pPr>
      <w:r w:rsidRPr="00397E4F">
        <w:rPr>
          <w:rFonts w:hint="cs"/>
          <w:i/>
          <w:iCs/>
          <w:sz w:val="26"/>
          <w:szCs w:val="26"/>
          <w:rtl/>
        </w:rPr>
        <w:t>المصدر:</w:t>
      </w:r>
      <w:r w:rsidRPr="00397E4F">
        <w:rPr>
          <w:rFonts w:hint="cs"/>
          <w:sz w:val="26"/>
          <w:szCs w:val="26"/>
          <w:rtl/>
        </w:rPr>
        <w:t xml:space="preserve"> مكتب الرعاية الاجتماعية.</w:t>
      </w:r>
    </w:p>
    <w:p w:rsidR="00681C20" w:rsidRPr="009E3E8F" w:rsidRDefault="00681C20" w:rsidP="009E3E8F">
      <w:pPr>
        <w:pStyle w:val="SingleTxtGA"/>
        <w:spacing w:line="300" w:lineRule="exact"/>
        <w:ind w:left="1928" w:hanging="794"/>
        <w:rPr>
          <w:rFonts w:hint="cs"/>
          <w:spacing w:val="-2"/>
          <w:sz w:val="26"/>
          <w:szCs w:val="26"/>
          <w:rtl/>
        </w:rPr>
      </w:pPr>
      <w:r w:rsidRPr="009E3E8F">
        <w:rPr>
          <w:rFonts w:hint="cs"/>
          <w:i/>
          <w:iCs/>
          <w:spacing w:val="-2"/>
          <w:sz w:val="26"/>
          <w:szCs w:val="26"/>
          <w:rtl/>
        </w:rPr>
        <w:t>ملاحظة:</w:t>
      </w:r>
      <w:r w:rsidR="009E3E8F">
        <w:rPr>
          <w:rFonts w:hint="cs"/>
          <w:spacing w:val="-2"/>
          <w:sz w:val="26"/>
          <w:szCs w:val="26"/>
          <w:rtl/>
        </w:rPr>
        <w:tab/>
      </w:r>
      <w:r w:rsidRPr="009E3E8F">
        <w:rPr>
          <w:rFonts w:hint="cs"/>
          <w:spacing w:val="-2"/>
          <w:sz w:val="26"/>
          <w:szCs w:val="26"/>
          <w:rtl/>
        </w:rPr>
        <w:t>(1) منذ تنفيذ خطة التطوير الوظيفي للأخصائيين الاجتماعيين لم تعُد الإعانات المتعلقة بتدريب الأخصائيين تُدرج في فئة الإعانة العرضية، ولذا فقد انخفضت قيمة الإعانة بالمقارنة.</w:t>
      </w:r>
    </w:p>
    <w:p w:rsidR="00681C20" w:rsidRDefault="00397E4F" w:rsidP="00397E4F">
      <w:pPr>
        <w:pStyle w:val="H1GA"/>
        <w:jc w:val="left"/>
        <w:rPr>
          <w:rFonts w:hint="cs"/>
          <w:rtl/>
        </w:rPr>
      </w:pPr>
      <w:r>
        <w:rPr>
          <w:rFonts w:hint="cs"/>
          <w:rtl/>
        </w:rPr>
        <w:tab/>
      </w:r>
      <w:r>
        <w:rPr>
          <w:rFonts w:hint="cs"/>
          <w:rtl/>
        </w:rPr>
        <w:tab/>
      </w:r>
      <w:r w:rsidR="00681C20">
        <w:rPr>
          <w:rFonts w:hint="cs"/>
          <w:rtl/>
        </w:rPr>
        <w:t>المادة 27</w:t>
      </w:r>
      <w:r w:rsidR="00681C20">
        <w:rPr>
          <w:rFonts w:hint="cs"/>
          <w:rtl/>
        </w:rPr>
        <w:br/>
        <w:t>(</w:t>
      </w:r>
      <w:r w:rsidR="00681C20" w:rsidRPr="003D361B">
        <w:rPr>
          <w:rtl/>
        </w:rPr>
        <w:t>العمل والعمالة</w:t>
      </w:r>
      <w:r w:rsidR="00681C20">
        <w:rPr>
          <w:rFonts w:hint="cs"/>
          <w:rtl/>
        </w:rPr>
        <w:t>)</w:t>
      </w:r>
    </w:p>
    <w:p w:rsidR="00681C20" w:rsidRDefault="00681C20" w:rsidP="00397E4F">
      <w:pPr>
        <w:pStyle w:val="SingleTxtGA"/>
        <w:spacing w:line="370" w:lineRule="exact"/>
        <w:rPr>
          <w:rFonts w:hint="cs"/>
          <w:rtl/>
        </w:rPr>
      </w:pPr>
      <w:r>
        <w:rPr>
          <w:rFonts w:hint="cs"/>
          <w:rtl/>
        </w:rPr>
        <w:t>88-</w:t>
      </w:r>
      <w:r>
        <w:rPr>
          <w:rFonts w:hint="cs"/>
          <w:rtl/>
        </w:rPr>
        <w:tab/>
        <w:t>تكفل المادة 35 من القانون الأساسي حري</w:t>
      </w:r>
      <w:r w:rsidR="00397E4F">
        <w:rPr>
          <w:rFonts w:hint="cs"/>
          <w:rtl/>
        </w:rPr>
        <w:t>ـ</w:t>
      </w:r>
      <w:r>
        <w:rPr>
          <w:rFonts w:hint="cs"/>
          <w:rtl/>
        </w:rPr>
        <w:t>ة اختيار المهن</w:t>
      </w:r>
      <w:r w:rsidR="00397E4F">
        <w:rPr>
          <w:rFonts w:hint="cs"/>
          <w:rtl/>
        </w:rPr>
        <w:t>ـ</w:t>
      </w:r>
      <w:r>
        <w:rPr>
          <w:rFonts w:hint="cs"/>
          <w:rtl/>
        </w:rPr>
        <w:t>ة والعمل. ويعيد</w:t>
      </w:r>
      <w:r w:rsidR="00397E4F">
        <w:rPr>
          <w:rFonts w:hint="cs"/>
          <w:rtl/>
        </w:rPr>
        <w:t xml:space="preserve">      </w:t>
      </w:r>
      <w:r>
        <w:rPr>
          <w:rFonts w:hint="cs"/>
          <w:rtl/>
        </w:rPr>
        <w:t xml:space="preserve"> القانون 7/2008، الصادر في 18 آب/أغسطس، بشأن علاقات العمل، التأكيد على ذلك من حيث المساواة وعدم التمييز (في الاستخدام و</w:t>
      </w:r>
      <w:r w:rsidRPr="00310CE8">
        <w:rPr>
          <w:rtl/>
        </w:rPr>
        <w:t>في الأجر لدى تساوي قيمة العمل</w:t>
      </w:r>
      <w:r>
        <w:rPr>
          <w:rFonts w:hint="cs"/>
          <w:rtl/>
        </w:rPr>
        <w:t>)، غير أنه يضيف أن هذا لا يخل بالمعاملة المواتية لأولئك الذين يحتاجون بموجب القانون إلى حماية خاصة. وبالإضافة إلى ذلك، ينص القانون 4/98/م، الصادر في 27 تموز/</w:t>
      </w:r>
      <w:r w:rsidR="00CF2184">
        <w:rPr>
          <w:rFonts w:hint="cs"/>
          <w:rtl/>
        </w:rPr>
        <w:t>يوليه</w:t>
      </w:r>
      <w:r>
        <w:rPr>
          <w:rFonts w:hint="cs"/>
          <w:rtl/>
        </w:rPr>
        <w:t xml:space="preserve">، بشأن سياسة العمل وحقوق العمال، على توفير حماية خاصة للعاملين ذوي الإعاقة. وتنص المادة 21 من المرسوم بقانون 33/99/م بدورها على أنه يجب أن تتضمن سياسة العمل حوافز تقنية ومالية تشجع الإدماج المهني للأشخاص ذوي الإعاقة، وتهيئة فرص عمل بديلة، أي الأعمال الحرة، والتدريب قبل الخدمة، وإعادة التكيف مع العمل، </w:t>
      </w:r>
      <w:r w:rsidR="00397E4F">
        <w:rPr>
          <w:rFonts w:hint="cs"/>
          <w:rtl/>
        </w:rPr>
        <w:t>و</w:t>
      </w:r>
      <w:r>
        <w:rPr>
          <w:rFonts w:hint="cs"/>
          <w:rtl/>
        </w:rPr>
        <w:t>الورش المحمية.</w:t>
      </w:r>
    </w:p>
    <w:p w:rsidR="00681C20" w:rsidRDefault="00681C20" w:rsidP="00397E4F">
      <w:pPr>
        <w:pStyle w:val="SingleTxtGA"/>
        <w:spacing w:line="370" w:lineRule="exact"/>
        <w:rPr>
          <w:rFonts w:hint="cs"/>
          <w:rtl/>
        </w:rPr>
      </w:pPr>
      <w:r>
        <w:rPr>
          <w:rFonts w:hint="cs"/>
          <w:rtl/>
        </w:rPr>
        <w:t>89-</w:t>
      </w:r>
      <w:r>
        <w:rPr>
          <w:rFonts w:hint="cs"/>
          <w:rtl/>
        </w:rPr>
        <w:tab/>
        <w:t>ووفقا للتعداد الجزئي لعام 2006، بلغت نسبة الموظفين من ذوي الإعاقة 0.3 في المائة من مجموع السكان العاملين. ومن ناحية أخرى، كان يوجد فيما بين عامي 2006 و2009 على التوالي 73 و76 و78 و83 شخصاً من ذوي الإعاقة يعملون في القطاع العام (بعضهم في مناصب رسمية عليا).</w:t>
      </w:r>
    </w:p>
    <w:p w:rsidR="00681C20" w:rsidRDefault="00681C20" w:rsidP="00397E4F">
      <w:pPr>
        <w:pStyle w:val="SingleTxtGA"/>
        <w:spacing w:line="370" w:lineRule="exact"/>
        <w:rPr>
          <w:rFonts w:hint="cs"/>
          <w:rtl/>
        </w:rPr>
      </w:pPr>
      <w:r>
        <w:rPr>
          <w:rFonts w:hint="cs"/>
          <w:rtl/>
        </w:rPr>
        <w:t>90-</w:t>
      </w:r>
      <w:r>
        <w:rPr>
          <w:rFonts w:hint="cs"/>
          <w:rtl/>
        </w:rPr>
        <w:tab/>
        <w:t>وقد أنشئت فرقة عمل خاصة من أجل "تنمية القدرات" تابعة لمكتب شؤون العمل لتزويد الأشخاص ذوي الإعاقة بدعم مجاني فيما يتعلق بإيجاد الوظائف، بما في ذلك البحث عن وظيفة، والتسجيل، والمقابلة، والإحالة للعمل، ومتابعة لمدة 3 أشهر لتقدمهم في العمل، وما يلزم من مساعدات أخرى. وتجري فرقة العمل زيارات منتظمة للمنظمات غير الحكومية المختصة لتقييم أحوال مختلف أنواع الأشخاص ذوي الإعاقة واحتياجاتهم على نحو أفضل. وبالإضافة إلى ذلك، تنظم فرقة العمل حلقات دراسية بشأن التوجيه الوظيفي من أجل الطلاب الملتحقين بمدارس التعليم الخاص، وأعضاء المنظمات غير الحكومية المعنية بإعادة التأهيل لرفع مستوى فهمهم للمعلومات المتعلقة بالعمل وتزويدهم بنصائح لإجراء المقابلات. وقد عُقدت 8 من الحلقات الدراسية هذه فيما بين عامي 2006 و2009.</w:t>
      </w:r>
    </w:p>
    <w:p w:rsidR="00681C20" w:rsidRPr="003575A1" w:rsidRDefault="00681C20" w:rsidP="00681C20">
      <w:pPr>
        <w:pStyle w:val="SingleTxtGA"/>
        <w:rPr>
          <w:rFonts w:hint="cs"/>
          <w:b/>
          <w:bCs/>
          <w:rtl/>
        </w:rPr>
      </w:pPr>
      <w:r w:rsidRPr="003575A1">
        <w:rPr>
          <w:rFonts w:hint="cs"/>
          <w:b/>
          <w:bCs/>
          <w:rtl/>
        </w:rPr>
        <w:t>معلومات عن الباحثين عن وظائف من ذوي الإعاقة المسجلين للمرة الأولى</w:t>
      </w:r>
    </w:p>
    <w:tbl>
      <w:tblPr>
        <w:bidiVisual/>
        <w:tblW w:w="7314" w:type="dxa"/>
        <w:tblInd w:w="1134" w:type="dxa"/>
        <w:tblLayout w:type="fixed"/>
        <w:tblCellMar>
          <w:left w:w="0" w:type="dxa"/>
          <w:right w:w="0" w:type="dxa"/>
        </w:tblCellMar>
        <w:tblLook w:val="01E0" w:firstRow="1" w:lastRow="1" w:firstColumn="1" w:lastColumn="1" w:noHBand="0" w:noVBand="0"/>
      </w:tblPr>
      <w:tblGrid>
        <w:gridCol w:w="4472"/>
        <w:gridCol w:w="686"/>
        <w:gridCol w:w="728"/>
        <w:gridCol w:w="742"/>
        <w:gridCol w:w="686"/>
      </w:tblGrid>
      <w:tr w:rsidR="00681C20" w:rsidRPr="003575A1" w:rsidTr="001650EE">
        <w:tc>
          <w:tcPr>
            <w:tcW w:w="4472"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left="57" w:right="57"/>
              <w:rPr>
                <w:iCs/>
                <w:sz w:val="16"/>
                <w:szCs w:val="26"/>
              </w:rPr>
            </w:pPr>
          </w:p>
        </w:tc>
        <w:tc>
          <w:tcPr>
            <w:tcW w:w="686"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left="57" w:right="57"/>
              <w:rPr>
                <w:iCs/>
                <w:sz w:val="16"/>
                <w:szCs w:val="26"/>
              </w:rPr>
            </w:pPr>
            <w:r w:rsidRPr="006A2898">
              <w:rPr>
                <w:rFonts w:hint="cs"/>
                <w:iCs/>
                <w:sz w:val="16"/>
                <w:szCs w:val="26"/>
                <w:rtl/>
              </w:rPr>
              <w:t>2006</w:t>
            </w:r>
          </w:p>
        </w:tc>
        <w:tc>
          <w:tcPr>
            <w:tcW w:w="728"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left="57" w:right="57"/>
              <w:rPr>
                <w:iCs/>
                <w:sz w:val="16"/>
                <w:szCs w:val="26"/>
              </w:rPr>
            </w:pPr>
            <w:r w:rsidRPr="006A2898">
              <w:rPr>
                <w:rFonts w:hint="cs"/>
                <w:iCs/>
                <w:sz w:val="16"/>
                <w:szCs w:val="26"/>
                <w:rtl/>
              </w:rPr>
              <w:t>2007</w:t>
            </w:r>
          </w:p>
        </w:tc>
        <w:tc>
          <w:tcPr>
            <w:tcW w:w="742"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left="57" w:right="57"/>
              <w:rPr>
                <w:iCs/>
                <w:sz w:val="16"/>
                <w:szCs w:val="26"/>
              </w:rPr>
            </w:pPr>
            <w:r w:rsidRPr="006A2898">
              <w:rPr>
                <w:rFonts w:hint="cs"/>
                <w:iCs/>
                <w:sz w:val="16"/>
                <w:szCs w:val="26"/>
                <w:rtl/>
              </w:rPr>
              <w:t>2008</w:t>
            </w:r>
          </w:p>
        </w:tc>
        <w:tc>
          <w:tcPr>
            <w:tcW w:w="686"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left="57" w:right="57"/>
              <w:rPr>
                <w:iCs/>
                <w:sz w:val="16"/>
                <w:szCs w:val="26"/>
              </w:rPr>
            </w:pPr>
            <w:r w:rsidRPr="006A2898">
              <w:rPr>
                <w:rFonts w:hint="cs"/>
                <w:iCs/>
                <w:sz w:val="16"/>
                <w:szCs w:val="26"/>
                <w:rtl/>
              </w:rPr>
              <w:t>2009</w:t>
            </w:r>
          </w:p>
        </w:tc>
      </w:tr>
      <w:tr w:rsidR="00681C20" w:rsidRPr="003575A1" w:rsidTr="001650EE">
        <w:tc>
          <w:tcPr>
            <w:tcW w:w="4472" w:type="dxa"/>
            <w:tcBorders>
              <w:top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الباحثون عن وظائف من ذوي الإعاقة المسجلين للمرة الأولى</w:t>
            </w:r>
          </w:p>
        </w:tc>
        <w:tc>
          <w:tcPr>
            <w:tcW w:w="686" w:type="dxa"/>
            <w:tcBorders>
              <w:top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182</w:t>
            </w:r>
          </w:p>
        </w:tc>
        <w:tc>
          <w:tcPr>
            <w:tcW w:w="728" w:type="dxa"/>
            <w:tcBorders>
              <w:top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150</w:t>
            </w:r>
          </w:p>
        </w:tc>
        <w:tc>
          <w:tcPr>
            <w:tcW w:w="742" w:type="dxa"/>
            <w:tcBorders>
              <w:top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161</w:t>
            </w:r>
          </w:p>
        </w:tc>
        <w:tc>
          <w:tcPr>
            <w:tcW w:w="686" w:type="dxa"/>
            <w:tcBorders>
              <w:top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129</w:t>
            </w:r>
          </w:p>
        </w:tc>
      </w:tr>
      <w:tr w:rsidR="00681C20" w:rsidRPr="003575A1" w:rsidTr="001650EE">
        <w:tc>
          <w:tcPr>
            <w:tcW w:w="4472" w:type="dxa"/>
            <w:tcBorders>
              <w:bottom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الإحالات الناجحة</w:t>
            </w:r>
          </w:p>
        </w:tc>
        <w:tc>
          <w:tcPr>
            <w:tcW w:w="686" w:type="dxa"/>
            <w:tcBorders>
              <w:bottom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102</w:t>
            </w:r>
          </w:p>
        </w:tc>
        <w:tc>
          <w:tcPr>
            <w:tcW w:w="728" w:type="dxa"/>
            <w:tcBorders>
              <w:bottom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47</w:t>
            </w:r>
          </w:p>
        </w:tc>
        <w:tc>
          <w:tcPr>
            <w:tcW w:w="742" w:type="dxa"/>
            <w:tcBorders>
              <w:bottom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37</w:t>
            </w:r>
          </w:p>
        </w:tc>
        <w:tc>
          <w:tcPr>
            <w:tcW w:w="686" w:type="dxa"/>
            <w:tcBorders>
              <w:bottom w:val="single" w:sz="12" w:space="0" w:color="auto"/>
            </w:tcBorders>
            <w:shd w:val="clear" w:color="auto" w:fill="auto"/>
            <w:vAlign w:val="bottom"/>
          </w:tcPr>
          <w:p w:rsidR="00681C20" w:rsidRPr="003575A1" w:rsidRDefault="00681C20" w:rsidP="001650EE">
            <w:pPr>
              <w:spacing w:before="40" w:after="40" w:line="220" w:lineRule="exact"/>
              <w:ind w:left="57" w:right="57"/>
              <w:rPr>
                <w:sz w:val="18"/>
                <w:szCs w:val="26"/>
              </w:rPr>
            </w:pPr>
            <w:r>
              <w:rPr>
                <w:rFonts w:hint="cs"/>
                <w:sz w:val="18"/>
                <w:szCs w:val="26"/>
                <w:rtl/>
              </w:rPr>
              <w:t>62</w:t>
            </w:r>
          </w:p>
        </w:tc>
      </w:tr>
    </w:tbl>
    <w:p w:rsidR="00681C20" w:rsidRPr="001650EE" w:rsidRDefault="00681C20" w:rsidP="00681C20">
      <w:pPr>
        <w:pStyle w:val="SingleTxtGA"/>
        <w:rPr>
          <w:rFonts w:hint="cs"/>
          <w:sz w:val="26"/>
          <w:szCs w:val="26"/>
          <w:rtl/>
        </w:rPr>
      </w:pPr>
      <w:r w:rsidRPr="001650EE">
        <w:rPr>
          <w:rFonts w:hint="cs"/>
          <w:i/>
          <w:iCs/>
          <w:sz w:val="26"/>
          <w:szCs w:val="26"/>
          <w:rtl/>
        </w:rPr>
        <w:t>المصدر:</w:t>
      </w:r>
      <w:r w:rsidRPr="001650EE">
        <w:rPr>
          <w:rFonts w:hint="cs"/>
          <w:sz w:val="26"/>
          <w:szCs w:val="26"/>
          <w:rtl/>
        </w:rPr>
        <w:t xml:space="preserve"> مكتب شؤون العمل.</w:t>
      </w:r>
    </w:p>
    <w:p w:rsidR="00681C20" w:rsidRDefault="00681C20" w:rsidP="00681C20">
      <w:pPr>
        <w:pStyle w:val="SingleTxtGA"/>
        <w:rPr>
          <w:rFonts w:hint="cs"/>
          <w:rtl/>
        </w:rPr>
      </w:pPr>
      <w:r>
        <w:rPr>
          <w:rFonts w:hint="cs"/>
          <w:rtl/>
        </w:rPr>
        <w:t>91-</w:t>
      </w:r>
      <w:r>
        <w:rPr>
          <w:rFonts w:hint="cs"/>
          <w:rtl/>
        </w:rPr>
        <w:tab/>
        <w:t xml:space="preserve">وبالتعاون مع </w:t>
      </w:r>
      <w:r>
        <w:rPr>
          <w:rFonts w:hint="cs"/>
          <w:i/>
          <w:iCs/>
          <w:rtl/>
        </w:rPr>
        <w:t>رابطة أسر الأشخاص ذوي الإعاقة الذهنية ورابطة الأشخاص ذوي الإعاقة الذهنية</w:t>
      </w:r>
      <w:r>
        <w:rPr>
          <w:rFonts w:hint="cs"/>
          <w:rtl/>
        </w:rPr>
        <w:t>، أخذ مكتب شؤون العمل يقدم برامج تدريبية إلى الأشخاص ذوي الإعاقة الذهنية من أجل تحسين فرص عملهم وثقتهم في العمل، ومن ثم تيسير اندماجهم الاجتماعي. ويستطيع المشتركون في هذه البرامج أن يحصلوا على بدل شهري للتدريب يصل إلى 800 1 من باتالات ماكاو.</w:t>
      </w:r>
    </w:p>
    <w:p w:rsidR="00681C20" w:rsidRPr="004F6AD3" w:rsidRDefault="00681C20" w:rsidP="00681C20">
      <w:pPr>
        <w:pStyle w:val="SingleTxtGA"/>
        <w:rPr>
          <w:rFonts w:hint="cs"/>
          <w:b/>
          <w:bCs/>
          <w:rtl/>
        </w:rPr>
      </w:pPr>
      <w:r w:rsidRPr="004F6AD3">
        <w:rPr>
          <w:rFonts w:hint="cs"/>
          <w:b/>
          <w:bCs/>
          <w:rtl/>
        </w:rPr>
        <w:t>برامج التدريب للأشخاص ذوي الإعاقة</w:t>
      </w:r>
    </w:p>
    <w:tbl>
      <w:tblPr>
        <w:bidiVisual/>
        <w:tblW w:w="7370" w:type="dxa"/>
        <w:jc w:val="center"/>
        <w:tblLayout w:type="fixed"/>
        <w:tblCellMar>
          <w:left w:w="0" w:type="dxa"/>
          <w:right w:w="0" w:type="dxa"/>
        </w:tblCellMar>
        <w:tblLook w:val="01E0" w:firstRow="1" w:lastRow="1" w:firstColumn="1" w:lastColumn="1" w:noHBand="0" w:noVBand="0"/>
      </w:tblPr>
      <w:tblGrid>
        <w:gridCol w:w="709"/>
        <w:gridCol w:w="4375"/>
        <w:gridCol w:w="900"/>
        <w:gridCol w:w="1386"/>
      </w:tblGrid>
      <w:tr w:rsidR="00681C20" w:rsidRPr="004F6AD3" w:rsidTr="001650EE">
        <w:trPr>
          <w:tblHeader/>
          <w:jc w:val="center"/>
        </w:trPr>
        <w:tc>
          <w:tcPr>
            <w:tcW w:w="709"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right="113"/>
              <w:rPr>
                <w:iCs/>
                <w:sz w:val="16"/>
                <w:szCs w:val="26"/>
              </w:rPr>
            </w:pPr>
            <w:r>
              <w:rPr>
                <w:rFonts w:hint="cs"/>
                <w:iCs/>
                <w:sz w:val="16"/>
                <w:szCs w:val="26"/>
                <w:rtl/>
              </w:rPr>
              <w:t xml:space="preserve"> </w:t>
            </w:r>
            <w:r w:rsidRPr="006A2898">
              <w:rPr>
                <w:rFonts w:hint="cs"/>
                <w:iCs/>
                <w:sz w:val="16"/>
                <w:szCs w:val="26"/>
                <w:rtl/>
              </w:rPr>
              <w:t>السنة</w:t>
            </w:r>
          </w:p>
        </w:tc>
        <w:tc>
          <w:tcPr>
            <w:tcW w:w="4375"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left="124" w:right="113"/>
              <w:rPr>
                <w:iCs/>
                <w:sz w:val="16"/>
                <w:szCs w:val="26"/>
              </w:rPr>
            </w:pPr>
            <w:r w:rsidRPr="006A2898">
              <w:rPr>
                <w:rFonts w:hint="cs"/>
                <w:iCs/>
                <w:sz w:val="16"/>
                <w:szCs w:val="26"/>
                <w:rtl/>
              </w:rPr>
              <w:t>البرنامج</w:t>
            </w:r>
          </w:p>
        </w:tc>
        <w:tc>
          <w:tcPr>
            <w:tcW w:w="900"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left="57" w:right="57"/>
              <w:rPr>
                <w:iCs/>
                <w:sz w:val="16"/>
                <w:szCs w:val="26"/>
              </w:rPr>
            </w:pPr>
            <w:r w:rsidRPr="006A2898">
              <w:rPr>
                <w:rFonts w:hint="cs"/>
                <w:iCs/>
                <w:sz w:val="16"/>
                <w:szCs w:val="26"/>
                <w:rtl/>
              </w:rPr>
              <w:t>المشاركون</w:t>
            </w:r>
          </w:p>
        </w:tc>
        <w:tc>
          <w:tcPr>
            <w:tcW w:w="1386" w:type="dxa"/>
            <w:tcBorders>
              <w:top w:val="single" w:sz="4" w:space="0" w:color="auto"/>
              <w:bottom w:val="single" w:sz="12" w:space="0" w:color="auto"/>
            </w:tcBorders>
            <w:shd w:val="clear" w:color="auto" w:fill="auto"/>
            <w:vAlign w:val="bottom"/>
          </w:tcPr>
          <w:p w:rsidR="00681C20" w:rsidRPr="006A2898" w:rsidRDefault="00681C20" w:rsidP="001650EE">
            <w:pPr>
              <w:spacing w:before="80" w:after="80" w:line="200" w:lineRule="exact"/>
              <w:ind w:left="57" w:right="57"/>
              <w:jc w:val="left"/>
              <w:rPr>
                <w:iCs/>
                <w:sz w:val="16"/>
                <w:szCs w:val="26"/>
              </w:rPr>
            </w:pPr>
            <w:r w:rsidRPr="006A2898">
              <w:rPr>
                <w:rFonts w:hint="cs"/>
                <w:iCs/>
                <w:sz w:val="16"/>
                <w:szCs w:val="26"/>
                <w:rtl/>
              </w:rPr>
              <w:t>حالات التوظيف الفورية</w:t>
            </w:r>
            <w:r w:rsidRPr="001650EE">
              <w:rPr>
                <w:rFonts w:hint="cs"/>
                <w:i/>
                <w:sz w:val="16"/>
                <w:szCs w:val="26"/>
                <w:vertAlign w:val="superscript"/>
                <w:rtl/>
              </w:rPr>
              <w:t>(1)</w:t>
            </w:r>
          </w:p>
        </w:tc>
      </w:tr>
      <w:tr w:rsidR="00681C20" w:rsidRPr="004F6AD3" w:rsidTr="001650EE">
        <w:trPr>
          <w:jc w:val="center"/>
        </w:trPr>
        <w:tc>
          <w:tcPr>
            <w:tcW w:w="709" w:type="dxa"/>
            <w:vMerge w:val="restart"/>
            <w:tcBorders>
              <w:top w:val="single" w:sz="12" w:space="0" w:color="auto"/>
            </w:tcBorders>
            <w:shd w:val="clear" w:color="auto" w:fill="auto"/>
          </w:tcPr>
          <w:p w:rsidR="00681C20" w:rsidRPr="004F6AD3" w:rsidRDefault="00681C20" w:rsidP="001650EE">
            <w:pPr>
              <w:spacing w:before="40" w:after="40" w:line="220" w:lineRule="exact"/>
              <w:ind w:right="113"/>
              <w:rPr>
                <w:sz w:val="18"/>
                <w:szCs w:val="26"/>
              </w:rPr>
            </w:pPr>
            <w:r>
              <w:rPr>
                <w:rFonts w:hint="cs"/>
                <w:sz w:val="18"/>
                <w:szCs w:val="26"/>
                <w:rtl/>
              </w:rPr>
              <w:t>2006</w:t>
            </w:r>
          </w:p>
        </w:tc>
        <w:tc>
          <w:tcPr>
            <w:tcW w:w="4375" w:type="dxa"/>
            <w:tcBorders>
              <w:top w:val="single" w:sz="12" w:space="0" w:color="auto"/>
            </w:tcBorders>
            <w:shd w:val="clear" w:color="auto" w:fill="auto"/>
            <w:vAlign w:val="bottom"/>
          </w:tcPr>
          <w:p w:rsidR="00681C20" w:rsidRPr="004F6AD3" w:rsidRDefault="00681C20" w:rsidP="001650EE">
            <w:pPr>
              <w:spacing w:before="40" w:after="40" w:line="220" w:lineRule="exact"/>
              <w:ind w:left="124" w:right="113"/>
              <w:rPr>
                <w:sz w:val="18"/>
                <w:szCs w:val="26"/>
              </w:rPr>
            </w:pPr>
            <w:r>
              <w:rPr>
                <w:rFonts w:hint="cs"/>
                <w:sz w:val="18"/>
                <w:szCs w:val="26"/>
                <w:rtl/>
              </w:rPr>
              <w:t>تدريب فريق البستنة</w:t>
            </w:r>
          </w:p>
        </w:tc>
        <w:tc>
          <w:tcPr>
            <w:tcW w:w="900" w:type="dxa"/>
            <w:tcBorders>
              <w:top w:val="single" w:sz="12" w:space="0" w:color="auto"/>
            </w:tcBorders>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12</w:t>
            </w:r>
          </w:p>
        </w:tc>
        <w:tc>
          <w:tcPr>
            <w:tcW w:w="1386" w:type="dxa"/>
            <w:tcBorders>
              <w:top w:val="single" w:sz="12" w:space="0" w:color="auto"/>
            </w:tcBorders>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3</w:t>
            </w:r>
          </w:p>
        </w:tc>
      </w:tr>
      <w:tr w:rsidR="00681C20" w:rsidRPr="004F6AD3" w:rsidTr="001650EE">
        <w:trPr>
          <w:jc w:val="center"/>
        </w:trPr>
        <w:tc>
          <w:tcPr>
            <w:tcW w:w="709" w:type="dxa"/>
            <w:vMerge/>
            <w:shd w:val="clear" w:color="auto" w:fill="auto"/>
            <w:vAlign w:val="bottom"/>
          </w:tcPr>
          <w:p w:rsidR="00681C20" w:rsidRPr="004F6AD3" w:rsidRDefault="00681C20" w:rsidP="001650EE">
            <w:pPr>
              <w:spacing w:before="40" w:after="40" w:line="220" w:lineRule="exact"/>
              <w:ind w:right="113"/>
              <w:rPr>
                <w:sz w:val="18"/>
                <w:szCs w:val="26"/>
              </w:rPr>
            </w:pPr>
          </w:p>
        </w:tc>
        <w:tc>
          <w:tcPr>
            <w:tcW w:w="4375" w:type="dxa"/>
            <w:shd w:val="clear" w:color="auto" w:fill="auto"/>
            <w:vAlign w:val="bottom"/>
          </w:tcPr>
          <w:p w:rsidR="00681C20" w:rsidRPr="004F6AD3" w:rsidRDefault="00681C20" w:rsidP="001650EE">
            <w:pPr>
              <w:spacing w:before="40" w:after="40" w:line="220" w:lineRule="exact"/>
              <w:ind w:left="124" w:right="113"/>
              <w:rPr>
                <w:rFonts w:hint="cs"/>
                <w:sz w:val="18"/>
                <w:szCs w:val="26"/>
                <w:rtl/>
              </w:rPr>
            </w:pPr>
            <w:r>
              <w:rPr>
                <w:rFonts w:hint="cs"/>
                <w:sz w:val="18"/>
                <w:szCs w:val="26"/>
                <w:rtl/>
              </w:rPr>
              <w:t>التدريب على تشغيل النول اليدوي (متقدم)</w:t>
            </w:r>
          </w:p>
        </w:tc>
        <w:tc>
          <w:tcPr>
            <w:tcW w:w="900" w:type="dxa"/>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12</w:t>
            </w:r>
          </w:p>
        </w:tc>
        <w:tc>
          <w:tcPr>
            <w:tcW w:w="1386" w:type="dxa"/>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صفر</w:t>
            </w:r>
          </w:p>
        </w:tc>
      </w:tr>
      <w:tr w:rsidR="00681C20" w:rsidRPr="004F6AD3" w:rsidTr="001650EE">
        <w:trPr>
          <w:jc w:val="center"/>
        </w:trPr>
        <w:tc>
          <w:tcPr>
            <w:tcW w:w="709" w:type="dxa"/>
            <w:vMerge/>
            <w:shd w:val="clear" w:color="auto" w:fill="auto"/>
            <w:vAlign w:val="bottom"/>
          </w:tcPr>
          <w:p w:rsidR="00681C20" w:rsidRPr="004F6AD3" w:rsidRDefault="00681C20" w:rsidP="001650EE">
            <w:pPr>
              <w:spacing w:before="40" w:after="40" w:line="220" w:lineRule="exact"/>
              <w:ind w:right="113"/>
              <w:rPr>
                <w:sz w:val="18"/>
                <w:szCs w:val="26"/>
              </w:rPr>
            </w:pPr>
          </w:p>
        </w:tc>
        <w:tc>
          <w:tcPr>
            <w:tcW w:w="4375" w:type="dxa"/>
            <w:shd w:val="clear" w:color="auto" w:fill="auto"/>
            <w:vAlign w:val="bottom"/>
          </w:tcPr>
          <w:p w:rsidR="00681C20" w:rsidRPr="004F6AD3" w:rsidRDefault="00681C20" w:rsidP="001650EE">
            <w:pPr>
              <w:spacing w:before="40" w:after="40" w:line="220" w:lineRule="exact"/>
              <w:ind w:left="124" w:right="113"/>
              <w:rPr>
                <w:sz w:val="18"/>
                <w:szCs w:val="26"/>
              </w:rPr>
            </w:pPr>
            <w:r>
              <w:rPr>
                <w:rFonts w:hint="cs"/>
                <w:sz w:val="18"/>
                <w:szCs w:val="26"/>
                <w:rtl/>
              </w:rPr>
              <w:t>التدريب على تجليد الكتب</w:t>
            </w:r>
          </w:p>
        </w:tc>
        <w:tc>
          <w:tcPr>
            <w:tcW w:w="900" w:type="dxa"/>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10</w:t>
            </w:r>
          </w:p>
        </w:tc>
        <w:tc>
          <w:tcPr>
            <w:tcW w:w="1386" w:type="dxa"/>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صفر</w:t>
            </w:r>
          </w:p>
        </w:tc>
      </w:tr>
      <w:tr w:rsidR="00681C20" w:rsidRPr="004F6AD3" w:rsidTr="001650EE">
        <w:trPr>
          <w:jc w:val="center"/>
        </w:trPr>
        <w:tc>
          <w:tcPr>
            <w:tcW w:w="709" w:type="dxa"/>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2008</w:t>
            </w:r>
          </w:p>
        </w:tc>
        <w:tc>
          <w:tcPr>
            <w:tcW w:w="4375" w:type="dxa"/>
            <w:shd w:val="clear" w:color="auto" w:fill="auto"/>
            <w:vAlign w:val="bottom"/>
          </w:tcPr>
          <w:p w:rsidR="00681C20" w:rsidRPr="004F6AD3" w:rsidRDefault="00681C20" w:rsidP="001650EE">
            <w:pPr>
              <w:spacing w:before="40" w:after="40" w:line="220" w:lineRule="exact"/>
              <w:ind w:left="124" w:right="113"/>
              <w:rPr>
                <w:sz w:val="18"/>
                <w:szCs w:val="26"/>
              </w:rPr>
            </w:pPr>
            <w:r>
              <w:rPr>
                <w:rFonts w:hint="cs"/>
                <w:sz w:val="18"/>
                <w:szCs w:val="26"/>
                <w:rtl/>
              </w:rPr>
              <w:t>برنامج تدريب على إعداد السندوتشات وبيعها (للمبتدئين)</w:t>
            </w:r>
          </w:p>
        </w:tc>
        <w:tc>
          <w:tcPr>
            <w:tcW w:w="900" w:type="dxa"/>
            <w:shd w:val="clear" w:color="auto" w:fill="auto"/>
            <w:vAlign w:val="bottom"/>
          </w:tcPr>
          <w:p w:rsidR="00681C20" w:rsidRPr="004F6AD3" w:rsidRDefault="00681C20" w:rsidP="001650EE">
            <w:pPr>
              <w:spacing w:before="40" w:after="40" w:line="220" w:lineRule="exact"/>
              <w:ind w:right="113"/>
              <w:rPr>
                <w:rFonts w:hint="cs"/>
                <w:sz w:val="18"/>
                <w:szCs w:val="26"/>
                <w:rtl/>
              </w:rPr>
            </w:pPr>
            <w:r>
              <w:rPr>
                <w:rFonts w:hint="cs"/>
                <w:sz w:val="18"/>
                <w:szCs w:val="26"/>
                <w:rtl/>
              </w:rPr>
              <w:t>10</w:t>
            </w:r>
          </w:p>
        </w:tc>
        <w:tc>
          <w:tcPr>
            <w:tcW w:w="1386" w:type="dxa"/>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1</w:t>
            </w:r>
          </w:p>
        </w:tc>
      </w:tr>
      <w:tr w:rsidR="00681C20" w:rsidRPr="004F6AD3" w:rsidTr="001650EE">
        <w:trPr>
          <w:jc w:val="center"/>
        </w:trPr>
        <w:tc>
          <w:tcPr>
            <w:tcW w:w="709" w:type="dxa"/>
            <w:tcBorders>
              <w:bottom w:val="single" w:sz="12" w:space="0" w:color="auto"/>
            </w:tcBorders>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2009</w:t>
            </w:r>
          </w:p>
        </w:tc>
        <w:tc>
          <w:tcPr>
            <w:tcW w:w="4375" w:type="dxa"/>
            <w:tcBorders>
              <w:bottom w:val="single" w:sz="12" w:space="0" w:color="auto"/>
            </w:tcBorders>
            <w:shd w:val="clear" w:color="auto" w:fill="auto"/>
            <w:vAlign w:val="bottom"/>
          </w:tcPr>
          <w:p w:rsidR="00681C20" w:rsidRPr="004F6AD3" w:rsidRDefault="00681C20" w:rsidP="001650EE">
            <w:pPr>
              <w:spacing w:before="40" w:after="40" w:line="220" w:lineRule="exact"/>
              <w:ind w:left="124" w:right="113"/>
              <w:rPr>
                <w:sz w:val="18"/>
                <w:szCs w:val="26"/>
              </w:rPr>
            </w:pPr>
            <w:r>
              <w:rPr>
                <w:rFonts w:hint="cs"/>
                <w:sz w:val="18"/>
                <w:szCs w:val="26"/>
                <w:rtl/>
              </w:rPr>
              <w:t>برنامج تدريب على إعداد السندوتشات وبيعها (متوسط)</w:t>
            </w:r>
          </w:p>
        </w:tc>
        <w:tc>
          <w:tcPr>
            <w:tcW w:w="900" w:type="dxa"/>
            <w:tcBorders>
              <w:bottom w:val="single" w:sz="12" w:space="0" w:color="auto"/>
            </w:tcBorders>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10</w:t>
            </w:r>
          </w:p>
        </w:tc>
        <w:tc>
          <w:tcPr>
            <w:tcW w:w="1386" w:type="dxa"/>
            <w:tcBorders>
              <w:bottom w:val="single" w:sz="12" w:space="0" w:color="auto"/>
            </w:tcBorders>
            <w:shd w:val="clear" w:color="auto" w:fill="auto"/>
            <w:vAlign w:val="bottom"/>
          </w:tcPr>
          <w:p w:rsidR="00681C20" w:rsidRPr="004F6AD3" w:rsidRDefault="00681C20" w:rsidP="001650EE">
            <w:pPr>
              <w:spacing w:before="40" w:after="40" w:line="220" w:lineRule="exact"/>
              <w:ind w:right="113"/>
              <w:rPr>
                <w:sz w:val="18"/>
                <w:szCs w:val="26"/>
              </w:rPr>
            </w:pPr>
            <w:r>
              <w:rPr>
                <w:rFonts w:hint="cs"/>
                <w:sz w:val="18"/>
                <w:szCs w:val="26"/>
                <w:rtl/>
              </w:rPr>
              <w:t>لا ينطبق</w:t>
            </w:r>
            <w:r w:rsidRPr="004F6AD3">
              <w:rPr>
                <w:rFonts w:hint="cs"/>
                <w:sz w:val="18"/>
                <w:szCs w:val="26"/>
                <w:vertAlign w:val="superscript"/>
                <w:rtl/>
              </w:rPr>
              <w:t>(2)</w:t>
            </w:r>
          </w:p>
        </w:tc>
      </w:tr>
    </w:tbl>
    <w:p w:rsidR="00681C20" w:rsidRPr="001650EE" w:rsidRDefault="00681C20" w:rsidP="001650EE">
      <w:pPr>
        <w:pStyle w:val="SingleTxtGA"/>
        <w:spacing w:before="120" w:after="60" w:line="300" w:lineRule="exact"/>
        <w:rPr>
          <w:rFonts w:hint="cs"/>
          <w:sz w:val="26"/>
          <w:szCs w:val="26"/>
          <w:rtl/>
        </w:rPr>
      </w:pPr>
      <w:r w:rsidRPr="001650EE">
        <w:rPr>
          <w:rFonts w:hint="cs"/>
          <w:i/>
          <w:iCs/>
          <w:sz w:val="26"/>
          <w:szCs w:val="26"/>
          <w:rtl/>
        </w:rPr>
        <w:t>المصدر:</w:t>
      </w:r>
      <w:r w:rsidRPr="001650EE">
        <w:rPr>
          <w:rFonts w:hint="cs"/>
          <w:sz w:val="26"/>
          <w:szCs w:val="26"/>
          <w:rtl/>
        </w:rPr>
        <w:t xml:space="preserve"> مكتب شؤون العمل.</w:t>
      </w:r>
    </w:p>
    <w:p w:rsidR="00681C20" w:rsidRPr="009E3E8F" w:rsidRDefault="00681C20" w:rsidP="009E3E8F">
      <w:pPr>
        <w:pStyle w:val="SingleTxtGA"/>
        <w:tabs>
          <w:tab w:val="clear" w:pos="1928"/>
          <w:tab w:val="left" w:pos="2107"/>
        </w:tabs>
        <w:spacing w:line="300" w:lineRule="exact"/>
        <w:ind w:left="2135" w:hanging="1001"/>
        <w:rPr>
          <w:rFonts w:hint="cs"/>
          <w:i/>
          <w:iCs/>
          <w:spacing w:val="-2"/>
          <w:sz w:val="26"/>
          <w:szCs w:val="26"/>
          <w:rtl/>
        </w:rPr>
      </w:pPr>
      <w:r w:rsidRPr="009E3E8F">
        <w:rPr>
          <w:rFonts w:hint="cs"/>
          <w:i/>
          <w:iCs/>
          <w:spacing w:val="-2"/>
          <w:sz w:val="26"/>
          <w:szCs w:val="26"/>
          <w:rtl/>
        </w:rPr>
        <w:t>ملاحظات:</w:t>
      </w:r>
      <w:r w:rsidR="009E3E8F">
        <w:rPr>
          <w:rFonts w:hint="cs"/>
          <w:i/>
          <w:iCs/>
          <w:spacing w:val="-2"/>
          <w:sz w:val="26"/>
          <w:szCs w:val="26"/>
          <w:rtl/>
        </w:rPr>
        <w:tab/>
      </w:r>
      <w:r w:rsidRPr="009E3E8F">
        <w:rPr>
          <w:rFonts w:hint="cs"/>
          <w:i/>
          <w:iCs/>
          <w:spacing w:val="-2"/>
          <w:sz w:val="26"/>
          <w:szCs w:val="26"/>
          <w:rtl/>
        </w:rPr>
        <w:t>(1) يشير "التوظيف الفوري" إلى النجاح في التوظيف في خلال شهر واحد من انتهاء المتدرب للتدريب. (2) لا يزال جارياً.</w:t>
      </w:r>
    </w:p>
    <w:p w:rsidR="00681C20" w:rsidRDefault="00681C20" w:rsidP="00681C20">
      <w:pPr>
        <w:pStyle w:val="SingleTxtGA"/>
        <w:rPr>
          <w:rFonts w:hint="cs"/>
          <w:rtl/>
        </w:rPr>
      </w:pPr>
      <w:r>
        <w:rPr>
          <w:rFonts w:hint="cs"/>
          <w:rtl/>
        </w:rPr>
        <w:t>92-</w:t>
      </w:r>
      <w:r>
        <w:rPr>
          <w:rFonts w:hint="cs"/>
          <w:rtl/>
        </w:rPr>
        <w:tab/>
        <w:t>ولتشجيع المؤسسات والمنظمات غير الحكومية على العمل معاً لتوفير المزيد من فرص العمل للأشخاص ذوي الإعاقة، فإنها تستطيع أن تحصل على منح تصل إلى 000 500 من باتالات ماكاو لدى تنظيمها لأنشطة في صالح الأشخاص ذوي الإعاقة، كالتدريب المهني، والورش المحمية، وتوفير العمل الملائم، وكذلك تهيئة بيئة خالية من الحواجز (قرار وزير الاقتصاد والمالية 6/2004، الصادر في 19 كانون الثاني/يناير).</w:t>
      </w:r>
    </w:p>
    <w:p w:rsidR="00681C20" w:rsidRDefault="00681C20" w:rsidP="00681C20">
      <w:pPr>
        <w:pStyle w:val="SingleTxtGA"/>
        <w:rPr>
          <w:rFonts w:hint="cs"/>
          <w:rtl/>
        </w:rPr>
      </w:pPr>
      <w:r>
        <w:rPr>
          <w:rFonts w:hint="cs"/>
          <w:rtl/>
        </w:rPr>
        <w:t>93-</w:t>
      </w:r>
      <w:r>
        <w:rPr>
          <w:rFonts w:hint="cs"/>
          <w:rtl/>
        </w:rPr>
        <w:tab/>
        <w:t xml:space="preserve">وقد أعد مكتب شؤون العمل بالاشتراك مع مكتب الرعاية الاجتماعية برنامجي </w:t>
      </w:r>
      <w:r>
        <w:rPr>
          <w:rFonts w:hint="cs"/>
          <w:i/>
          <w:iCs/>
          <w:rtl/>
        </w:rPr>
        <w:t>"جائزة رب عمل الأشخاص ذوي الإعاقة"</w:t>
      </w:r>
      <w:r>
        <w:rPr>
          <w:rFonts w:hint="cs"/>
          <w:rtl/>
        </w:rPr>
        <w:t xml:space="preserve"> و</w:t>
      </w:r>
      <w:r>
        <w:rPr>
          <w:rFonts w:hint="cs"/>
          <w:i/>
          <w:iCs/>
          <w:rtl/>
        </w:rPr>
        <w:t>"جائزة الموظف المعوق المثالي"</w:t>
      </w:r>
      <w:r>
        <w:rPr>
          <w:rFonts w:hint="cs"/>
          <w:rtl/>
        </w:rPr>
        <w:t xml:space="preserve"> للتشجيع على توظيف الأشخاص ذوي الإعاقة وتحسين الاعتراف بقدرتهم على التوظف في المجتمع ودعمها. ولاقى هذان البرنامجان نجاحاً كبيراً ومن المقرر مواصلتهما.</w:t>
      </w:r>
    </w:p>
    <w:p w:rsidR="00681C20" w:rsidRDefault="00681C20" w:rsidP="00681C20">
      <w:pPr>
        <w:pStyle w:val="SingleTxtGA"/>
        <w:rPr>
          <w:rFonts w:hint="cs"/>
          <w:rtl/>
        </w:rPr>
      </w:pPr>
      <w:r>
        <w:rPr>
          <w:rFonts w:hint="cs"/>
          <w:rtl/>
        </w:rPr>
        <w:t>94-</w:t>
      </w:r>
      <w:r>
        <w:rPr>
          <w:rFonts w:hint="cs"/>
          <w:rtl/>
        </w:rPr>
        <w:tab/>
        <w:t>وتعتبر الجرائم المرتكبة ضد السلامة البدنية للموظف أو حريته أو شرفه أو كرامته سبباً عادلاً لكي ينهي الموظف عقده، مع احتفاظه بحقه في الحصول على تعويض. وينبغي التأكيد في هذا الشأن على أنه لم تقدَّم إلى مكتب شؤون العمل فيما بين عامي 2006 و2009 أي شكوى بالفصل التعسفي تتعلق بأشخاص ذوي إعاقة.</w:t>
      </w:r>
    </w:p>
    <w:p w:rsidR="00681C20" w:rsidRDefault="00681C20" w:rsidP="00681C20">
      <w:pPr>
        <w:pStyle w:val="SingleTxtGA"/>
        <w:rPr>
          <w:rFonts w:hint="cs"/>
          <w:rtl/>
        </w:rPr>
      </w:pPr>
      <w:r>
        <w:rPr>
          <w:rFonts w:hint="cs"/>
          <w:rtl/>
        </w:rPr>
        <w:t>95-</w:t>
      </w:r>
      <w:r>
        <w:rPr>
          <w:rFonts w:hint="cs"/>
          <w:rtl/>
        </w:rPr>
        <w:tab/>
        <w:t>وفيما يتصل بمسألة الإعاقات الناتجة عن الإصابة في مكان العمل، وعملاً بالمرسوم بقانون 40/95/م، الصادر في 14 آب/أغسطس، بشأن الإطار القانوني المتعلق بالتعويض عن الحوادث في مكان العمل والأمراض المهنية، يحق للموظفين الذين يصابون في حوادث مهنية فيصيبهم بذلك عجز دائم أن يحصلوا على تعويض يتناسب مع درجة انخفاض قدرتهم</w:t>
      </w:r>
      <w:r w:rsidR="001650EE">
        <w:rPr>
          <w:rFonts w:hint="cs"/>
          <w:rtl/>
        </w:rPr>
        <w:t xml:space="preserve">      </w:t>
      </w:r>
      <w:r>
        <w:rPr>
          <w:rFonts w:hint="cs"/>
          <w:rtl/>
        </w:rPr>
        <w:t xml:space="preserve"> على العمل.</w:t>
      </w:r>
    </w:p>
    <w:p w:rsidR="00681C20" w:rsidRDefault="001650EE" w:rsidP="001650EE">
      <w:pPr>
        <w:pStyle w:val="H1GA"/>
        <w:jc w:val="left"/>
        <w:rPr>
          <w:rFonts w:hint="cs"/>
          <w:rtl/>
        </w:rPr>
      </w:pPr>
      <w:r>
        <w:rPr>
          <w:rFonts w:hint="cs"/>
          <w:rtl/>
        </w:rPr>
        <w:tab/>
      </w:r>
      <w:r>
        <w:rPr>
          <w:rFonts w:hint="cs"/>
          <w:rtl/>
        </w:rPr>
        <w:tab/>
      </w:r>
      <w:r w:rsidR="00681C20">
        <w:rPr>
          <w:rFonts w:hint="cs"/>
          <w:rtl/>
        </w:rPr>
        <w:t>المادة 29</w:t>
      </w:r>
      <w:r w:rsidR="00681C20">
        <w:rPr>
          <w:rFonts w:hint="cs"/>
          <w:rtl/>
        </w:rPr>
        <w:br/>
        <w:t>(</w:t>
      </w:r>
      <w:r w:rsidR="00681C20" w:rsidRPr="007871FB">
        <w:rPr>
          <w:rtl/>
        </w:rPr>
        <w:t>المشاركة في الحياة السياسية والعامة</w:t>
      </w:r>
      <w:r w:rsidR="00681C20">
        <w:rPr>
          <w:rFonts w:hint="cs"/>
          <w:rtl/>
        </w:rPr>
        <w:t>)</w:t>
      </w:r>
    </w:p>
    <w:p w:rsidR="00681C20" w:rsidRDefault="00681C20" w:rsidP="001650EE">
      <w:pPr>
        <w:pStyle w:val="SingleTxtGA"/>
        <w:rPr>
          <w:rFonts w:hint="cs"/>
          <w:rtl/>
        </w:rPr>
      </w:pPr>
      <w:r>
        <w:rPr>
          <w:rFonts w:hint="cs"/>
          <w:rtl/>
        </w:rPr>
        <w:t>96-</w:t>
      </w:r>
      <w:r>
        <w:rPr>
          <w:rFonts w:hint="cs"/>
          <w:rtl/>
        </w:rPr>
        <w:tab/>
      </w:r>
      <w:r w:rsidRPr="00C07949">
        <w:rPr>
          <w:rtl/>
        </w:rPr>
        <w:t>تكفل المادة 26 من القانون الأساسي لجميع المقيمين في منطقة مكاو الإدارية الخاصة بصفة دائمة الحق في الانتخاب وفي ترشيح أنفسهم وفقاً للقانون</w:t>
      </w:r>
      <w:r>
        <w:rPr>
          <w:rFonts w:hint="cs"/>
          <w:rtl/>
        </w:rPr>
        <w:t xml:space="preserve">. وبالتالي، فإنه يحق لجميع السكان الدائمين البالغين 18 عاماً فأكثر أن يسجلوا أسماءهم للتصويت. وتحقيقاً للضمان التام لحق الأشخاص ذوي الإعاقة في الانتخاب على وجه التحديد، ينص القانون على أنه يجوز لهم، بناء على رغبتهم، أن يحصلوا على مساعدة من شخص من اختيارهم في أثناء التصويت. وأي شخص يؤتمن على ذلك فلا يصوت بأمانة أو يكشف عن تصويته يعاقَب بالسجن لمدة تصل إلى 3 سنوات (المواد 109، و111، و172 من القانون 3/2001، الصادر في 5 آذار/مارس، بشأن قانون الانتخاب للمجلس التشريعي، بصيغته المعدلة، </w:t>
      </w:r>
      <w:r w:rsidR="001650EE">
        <w:rPr>
          <w:rFonts w:hint="cs"/>
          <w:rtl/>
        </w:rPr>
        <w:t xml:space="preserve">       </w:t>
      </w:r>
      <w:r>
        <w:rPr>
          <w:rFonts w:hint="cs"/>
          <w:rtl/>
        </w:rPr>
        <w:t>والمواد 75، و76، و138 من القانون 3/2004، الصادر في 5 نيسان/أبريل، بشأن انتخاب المدير التنفيذي الأول، بصيغته المعدلة).</w:t>
      </w:r>
    </w:p>
    <w:p w:rsidR="00681C20" w:rsidRDefault="001650EE" w:rsidP="001650EE">
      <w:pPr>
        <w:pStyle w:val="H1GA"/>
        <w:jc w:val="left"/>
        <w:rPr>
          <w:rFonts w:hint="cs"/>
          <w:rtl/>
        </w:rPr>
      </w:pPr>
      <w:r>
        <w:rPr>
          <w:rFonts w:hint="cs"/>
          <w:rtl/>
        </w:rPr>
        <w:tab/>
      </w:r>
      <w:r>
        <w:rPr>
          <w:rFonts w:hint="cs"/>
          <w:rtl/>
        </w:rPr>
        <w:tab/>
      </w:r>
      <w:r w:rsidR="00681C20">
        <w:rPr>
          <w:rFonts w:hint="cs"/>
          <w:rtl/>
        </w:rPr>
        <w:t>المادة 30</w:t>
      </w:r>
      <w:r w:rsidR="00681C20">
        <w:rPr>
          <w:rFonts w:hint="cs"/>
          <w:rtl/>
        </w:rPr>
        <w:br/>
        <w:t>(</w:t>
      </w:r>
      <w:r w:rsidR="00681C20" w:rsidRPr="00F96F3C">
        <w:rPr>
          <w:rtl/>
        </w:rPr>
        <w:t>المشاركة في الحياة الثقافية وأنشطة الترفيه والتسلية</w:t>
      </w:r>
      <w:r w:rsidR="00681C20">
        <w:rPr>
          <w:rFonts w:hint="cs"/>
          <w:rtl/>
        </w:rPr>
        <w:t xml:space="preserve"> والرياضة)</w:t>
      </w:r>
    </w:p>
    <w:p w:rsidR="00681C20" w:rsidRDefault="00681C20" w:rsidP="00681C20">
      <w:pPr>
        <w:pStyle w:val="SingleTxtGA"/>
        <w:rPr>
          <w:rFonts w:hint="cs"/>
          <w:rtl/>
        </w:rPr>
      </w:pPr>
      <w:r>
        <w:rPr>
          <w:rFonts w:hint="cs"/>
          <w:rtl/>
        </w:rPr>
        <w:t>97-</w:t>
      </w:r>
      <w:r>
        <w:rPr>
          <w:rFonts w:hint="cs"/>
          <w:rtl/>
        </w:rPr>
        <w:tab/>
        <w:t>تعتبر الرياضة والثقافة والترفيه جزءا</w:t>
      </w:r>
      <w:r w:rsidR="001650EE">
        <w:rPr>
          <w:rFonts w:hint="cs"/>
          <w:rtl/>
        </w:rPr>
        <w:t>ً</w:t>
      </w:r>
      <w:r>
        <w:rPr>
          <w:rFonts w:hint="cs"/>
          <w:rtl/>
        </w:rPr>
        <w:t xml:space="preserve"> مكوناً لعملية إعادة تأهيل الأشخاص ذوي الإعاقة، مع كونها وسائط متميزة لاستعادة توازنهم البدني وتنمية قدرتهم على التفاعل الاجتماعي. وفي المجال الرياضي، تعتبر حملات الرياضة المناهضة للتمييز عنصراً رئيسياً </w:t>
      </w:r>
      <w:r w:rsidR="001650EE">
        <w:rPr>
          <w:rFonts w:hint="cs"/>
          <w:rtl/>
        </w:rPr>
        <w:t xml:space="preserve">     </w:t>
      </w:r>
      <w:r>
        <w:rPr>
          <w:rFonts w:hint="cs"/>
          <w:rtl/>
        </w:rPr>
        <w:t>لسياسة الرياضة.</w:t>
      </w:r>
    </w:p>
    <w:p w:rsidR="00681C20" w:rsidRDefault="00681C20" w:rsidP="00681C20">
      <w:pPr>
        <w:pStyle w:val="SingleTxtGA"/>
        <w:rPr>
          <w:rFonts w:hint="cs"/>
          <w:rtl/>
        </w:rPr>
      </w:pPr>
      <w:r>
        <w:rPr>
          <w:rFonts w:hint="cs"/>
          <w:rtl/>
        </w:rPr>
        <w:t>98-</w:t>
      </w:r>
      <w:r>
        <w:rPr>
          <w:rFonts w:hint="cs"/>
          <w:rtl/>
        </w:rPr>
        <w:tab/>
        <w:t xml:space="preserve">ولتشجيع الأشخاص ذوي الإعاقة على المشاركة في التمارين البدنية، يعقد مجلس ماكاو لتنمية الرياضة سنوياً يوماً للأشخاص ذوي الإعاقة اشترك فيه 370، و120 2، </w:t>
      </w:r>
      <w:r>
        <w:rPr>
          <w:rtl/>
        </w:rPr>
        <w:br/>
      </w:r>
      <w:r>
        <w:rPr>
          <w:rFonts w:hint="cs"/>
          <w:rtl/>
        </w:rPr>
        <w:t>و199 2، و320 1 شخصاً على التوالي فيما بين عامي 2006 و2009. كما أن دروس اللياقة والترفيه المتعلقة ببرنامج الرياضة للجميع تقدم إلى الأشخاص ذوي الإعاقة، مع تصميم دروس خاصة وفقاً لاحتياجاتهم الخاصة. وكما هو مذكور، تجهز جميع الأماكن الحديثة البناء بمرافق خالية من الحواجز، بما في ذلك المراحيض الخالية من الحواجز، والممرات المنحدرة، والمصاعد، ومناطق المشاهدة بالجلوس على الكراسي ذات العجلات، في حين أنه يجري تحديث معظم الأماكن الأقدم بحيث يتيسر وصول الأشخاص ذوي الإعاقة إليها.</w:t>
      </w:r>
    </w:p>
    <w:p w:rsidR="00681C20" w:rsidRDefault="00681C20" w:rsidP="00681C20">
      <w:pPr>
        <w:pStyle w:val="SingleTxtGA"/>
        <w:rPr>
          <w:rFonts w:hint="cs"/>
          <w:rtl/>
        </w:rPr>
      </w:pPr>
      <w:r>
        <w:rPr>
          <w:rFonts w:hint="cs"/>
          <w:rtl/>
        </w:rPr>
        <w:t>99-</w:t>
      </w:r>
      <w:r>
        <w:rPr>
          <w:rFonts w:hint="cs"/>
          <w:rtl/>
        </w:rPr>
        <w:tab/>
        <w:t>وفي الوقت الراهن، تقدم منطقة ماكاو إعانات لجميع الرابطات الرياضية للأشخاص ذوي الإعاقة (</w:t>
      </w:r>
      <w:r w:rsidRPr="0058613F">
        <w:rPr>
          <w:rFonts w:hint="cs"/>
          <w:i/>
          <w:iCs/>
          <w:rtl/>
        </w:rPr>
        <w:t>الألعاب الأولمبية الخاصة في ماكاو، واللجنة المشتركة بين ماكاو والصين للألعاب الأولمبية للأشخاص ذوي الإعاقة والرابطة المشتركة بين ماكاو والصين للترفيه والرياضة للأشخاص ذوي الإعاقة، ورابطة ماكاو الرياضية للصم</w:t>
      </w:r>
      <w:r>
        <w:rPr>
          <w:rFonts w:hint="cs"/>
          <w:rtl/>
        </w:rPr>
        <w:t>). ومنطقة ماكاو مسؤولة مع هذه الرابطات عن خطط التنمية في مجال الرياضة للأشخاص ذوي الإعاقة. ولكل من هذه المنظمات غير الحكومية تمثيل في لجنة الرياضة، بغرض تحسين الاتصال بين الحكومة والأشخاص ذوي الإعاقة، وتشجيع تنمية الرياضة من أجلهم. وبالإضافة إلى ذلك، تمنح حكومة منطقة ماكاو جوائز تتراوح قيمتها بين 000 2 و000 10 من باتالات ماكاو للرياضيين الذين يحققون نتائج رائعة في معظم المنافسات الرياضية للأشخاص ذوي الإعاقة (قرار وزير الشؤون والثقافة 37/2000، الصادر في 19 حزيران/</w:t>
      </w:r>
      <w:r w:rsidR="00CF2184">
        <w:rPr>
          <w:rFonts w:hint="cs"/>
          <w:rtl/>
        </w:rPr>
        <w:t>يونيه</w:t>
      </w:r>
      <w:r>
        <w:rPr>
          <w:rFonts w:hint="cs"/>
          <w:rtl/>
        </w:rPr>
        <w:t>، بصيغته المعدلة بالقرار 81/2007، الصادر في 10 أيلول/سبتمبر).</w:t>
      </w:r>
    </w:p>
    <w:p w:rsidR="00681C20" w:rsidRDefault="00681C20" w:rsidP="00916EB0">
      <w:pPr>
        <w:pStyle w:val="SingleTxtGA"/>
        <w:rPr>
          <w:rFonts w:hint="cs"/>
          <w:rtl/>
        </w:rPr>
      </w:pPr>
      <w:r>
        <w:rPr>
          <w:rFonts w:hint="cs"/>
          <w:rtl/>
        </w:rPr>
        <w:t>100-</w:t>
      </w:r>
      <w:r>
        <w:rPr>
          <w:rFonts w:hint="cs"/>
          <w:rtl/>
        </w:rPr>
        <w:tab/>
        <w:t>ومن حيث الأنشطة الترفيهية، فإن الأحداث الثقافية التي تنظمها حكومة منطقة ماكاو تتجه دائماً إلى عدم استهداف الربح. ومع ذلك، تقدَّم إلى الأشخاص ذوي الإعاقة تذاكر مخفضة بل ودخولاً مجانياً فضلاً عن المساعدة الخاصة (خدمات الحجز المبكر، والانتقال المجاني ذهاباً وإياباً، والجولات المصحوبة بالمرشدين). وتخصَّص في كل حدث ونشاط مهمين أماكن خاصة للمسنين والأشخاص ذوي الإعاقة. ومن ناحية أخرى، كان مكتب الرعاية الاجتماعية ينفذ في خلال السنوات الماضية خطة تمويل لتشجيع المنظمات غير الحكومية على تنظيم برامج تدريب للأشخاص ذوي الإعاقة لتنمية اهتماماتهم الخاصة وتنمية إمكاناتهم الفنية والفكرية. وفي عام 2008، مُنحت المنظمات غير الحكومية مبلغاً إجماليه 000 240 من باتالات ماكاو للاضطلاع بطائفة من الأنشطة. ولا تزال هذه الأنشطة جارية.</w:t>
      </w:r>
    </w:p>
    <w:p w:rsidR="00681C20" w:rsidRDefault="00681C20" w:rsidP="00916EB0">
      <w:pPr>
        <w:pStyle w:val="SingleTxtGA"/>
        <w:rPr>
          <w:rFonts w:hint="cs"/>
          <w:rtl/>
        </w:rPr>
      </w:pPr>
      <w:r>
        <w:rPr>
          <w:rFonts w:hint="cs"/>
          <w:rtl/>
        </w:rPr>
        <w:t>101-</w:t>
      </w:r>
      <w:r>
        <w:rPr>
          <w:rFonts w:hint="cs"/>
          <w:rtl/>
        </w:rPr>
        <w:tab/>
        <w:t>وفيما يتعلق بتعزيز ثقافة الصم، يؤدي مكتب الرعاية الاجتماعية دوراً نشطاً في تنمية لغة الإشارة، وذلك مثلاً بتقديم خدمات الترجمة الفورية إلى لغة الإشارة في الموقع، وتنظيم دورات قانونية مع الترجمة إلى لغة الإشارة، وتشجيع خدمات الترجمة الفورية لنشرات الأخبار التليفزيونية إلى لغة الإشارة، وتقديم إعانات إلى مؤسسات إعادة التأهيل لتأمين خدمات الترجمة الفورية إلى لغة الإشارة طوال أربع وعشرين ساعة، وفاءً باحتياجات الأشخاص المصابين بإعاقات سمعية على أمل تحقيق الحصول على المعلومات.</w:t>
      </w:r>
    </w:p>
    <w:p w:rsidR="00681C20" w:rsidRDefault="00916EB0" w:rsidP="00916EB0">
      <w:pPr>
        <w:pStyle w:val="H1GA"/>
        <w:spacing w:before="120"/>
        <w:jc w:val="left"/>
        <w:rPr>
          <w:rFonts w:hint="cs"/>
          <w:rtl/>
        </w:rPr>
      </w:pPr>
      <w:r>
        <w:rPr>
          <w:rFonts w:hint="cs"/>
          <w:rtl/>
        </w:rPr>
        <w:tab/>
      </w:r>
      <w:r>
        <w:rPr>
          <w:rFonts w:hint="cs"/>
          <w:rtl/>
        </w:rPr>
        <w:tab/>
      </w:r>
      <w:r w:rsidR="00681C20">
        <w:rPr>
          <w:rFonts w:hint="cs"/>
          <w:rtl/>
        </w:rPr>
        <w:t>المادة 31</w:t>
      </w:r>
      <w:r w:rsidR="00681C20">
        <w:rPr>
          <w:rFonts w:hint="cs"/>
          <w:rtl/>
        </w:rPr>
        <w:br/>
        <w:t>(</w:t>
      </w:r>
      <w:r w:rsidR="00681C20" w:rsidRPr="00FF6A4D">
        <w:rPr>
          <w:rtl/>
        </w:rPr>
        <w:t>جمع الإحصاءات والبيانات</w:t>
      </w:r>
      <w:r w:rsidR="00681C20">
        <w:rPr>
          <w:rFonts w:hint="cs"/>
          <w:rtl/>
        </w:rPr>
        <w:t>)</w:t>
      </w:r>
    </w:p>
    <w:p w:rsidR="00681C20" w:rsidRDefault="00681C20" w:rsidP="00916EB0">
      <w:pPr>
        <w:pStyle w:val="SingleTxtGA"/>
        <w:spacing w:line="360" w:lineRule="exact"/>
        <w:rPr>
          <w:rFonts w:hint="cs"/>
          <w:rtl/>
        </w:rPr>
      </w:pPr>
      <w:r>
        <w:rPr>
          <w:rFonts w:hint="cs"/>
          <w:rtl/>
        </w:rPr>
        <w:t>102-</w:t>
      </w:r>
      <w:r>
        <w:rPr>
          <w:rFonts w:hint="cs"/>
          <w:rtl/>
        </w:rPr>
        <w:tab/>
        <w:t xml:space="preserve">بالإضافة إلى ما سبق ذكره (في الفقرة 19) عن جمع المعلومات من أجل تعداد </w:t>
      </w:r>
      <w:r w:rsidR="00916EB0">
        <w:rPr>
          <w:rFonts w:hint="cs"/>
          <w:rtl/>
        </w:rPr>
        <w:t xml:space="preserve">       </w:t>
      </w:r>
      <w:r>
        <w:rPr>
          <w:rFonts w:hint="cs"/>
          <w:rtl/>
        </w:rPr>
        <w:t xml:space="preserve">عام 2011، من المهم الإشارة إلى أن قوانين منطقة ماكاو وأنظمتها المتعلقة بالنظام الإحصائي تكفل تماماً الامتثال للحقوق الأساسية وحماية البيانات. والجدير بالذكر أيضاً أن مكتب الرعاية الاجتماعية يحث بشدة على اعتماد نظام لتصنيف الإعاقات (بالاستناد إلى </w:t>
      </w:r>
      <w:r w:rsidRPr="008C3688">
        <w:rPr>
          <w:rtl/>
        </w:rPr>
        <w:t>التصنيف الدولي الجديد لتأدية الوظائف والإعاقة والصحة</w:t>
      </w:r>
      <w:r>
        <w:rPr>
          <w:rFonts w:hint="cs"/>
          <w:rtl/>
        </w:rPr>
        <w:t>) في منطقة ماكاو لاستخدامه في تقييم حالة الإعاقة للأشخاص ذوي الإعاقة، وكمرجع لوضع سياسة إعادة التأهيل والإشراف عليها وتقييمها. ومن المنتظر إنجاز النظام في هذه السنة.</w:t>
      </w:r>
    </w:p>
    <w:p w:rsidR="00681C20" w:rsidRDefault="00916EB0" w:rsidP="00916EB0">
      <w:pPr>
        <w:pStyle w:val="H1GA"/>
        <w:jc w:val="left"/>
        <w:rPr>
          <w:rFonts w:hint="cs"/>
          <w:rtl/>
        </w:rPr>
      </w:pPr>
      <w:r>
        <w:rPr>
          <w:rFonts w:hint="cs"/>
          <w:rtl/>
        </w:rPr>
        <w:tab/>
      </w:r>
      <w:r>
        <w:rPr>
          <w:rFonts w:hint="cs"/>
          <w:rtl/>
        </w:rPr>
        <w:tab/>
      </w:r>
      <w:r w:rsidR="00681C20">
        <w:rPr>
          <w:rFonts w:hint="cs"/>
          <w:rtl/>
        </w:rPr>
        <w:t>المادة 32 (التعاون الدولي)</w:t>
      </w:r>
      <w:r w:rsidR="00681C20">
        <w:rPr>
          <w:rtl/>
        </w:rPr>
        <w:br/>
      </w:r>
      <w:r w:rsidR="00681C20">
        <w:rPr>
          <w:rFonts w:hint="cs"/>
          <w:rtl/>
        </w:rPr>
        <w:t>والمادة 33 (التنفيذ والرصد)</w:t>
      </w:r>
    </w:p>
    <w:p w:rsidR="00681C20" w:rsidRDefault="00681C20" w:rsidP="00916EB0">
      <w:pPr>
        <w:pStyle w:val="SingleTxtGA"/>
        <w:spacing w:line="360" w:lineRule="exact"/>
        <w:rPr>
          <w:rFonts w:hint="cs"/>
          <w:rtl/>
        </w:rPr>
      </w:pPr>
      <w:r>
        <w:rPr>
          <w:rFonts w:hint="cs"/>
          <w:rtl/>
        </w:rPr>
        <w:t>103-</w:t>
      </w:r>
      <w:r>
        <w:rPr>
          <w:rFonts w:hint="cs"/>
          <w:rtl/>
        </w:rPr>
        <w:tab/>
        <w:t xml:space="preserve">تعرب منطقة ماكاو عن استعدادها لرفع مستويات التعاون الدولي الموجودة أصلاً في نطاق إمكاناتها وحدودها. وتنص المادة 136 من القانون الأساسي بالفعل على أنه يجوز لمنطقة ماكاو، بمبادرة منها، وباستخدام اسم "ماكاو، الصين"، أن تقيم علاقات وأن تبرم وتنفذ </w:t>
      </w:r>
      <w:r w:rsidRPr="008C13C9">
        <w:rPr>
          <w:rtl/>
        </w:rPr>
        <w:t xml:space="preserve">اتفاقات مع الدول والأقاليم الأجنبية والمنظمات الدولية ذات الصلة في المجالات المناسبة، بما في ذلك المجالات الاقتصادية والتجارية والمالية والنقدية وميادين الشحن والاتصالات والسياحة والثقافة </w:t>
      </w:r>
      <w:r>
        <w:rPr>
          <w:rFonts w:hint="cs"/>
          <w:rtl/>
        </w:rPr>
        <w:t xml:space="preserve">والعلم والتكنولوجيا </w:t>
      </w:r>
      <w:r w:rsidRPr="008C13C9">
        <w:rPr>
          <w:rtl/>
        </w:rPr>
        <w:t>والرياضة</w:t>
      </w:r>
      <w:r>
        <w:rPr>
          <w:rFonts w:hint="cs"/>
          <w:rtl/>
        </w:rPr>
        <w:t>.</w:t>
      </w:r>
    </w:p>
    <w:p w:rsidR="00681C20" w:rsidRDefault="00681C20" w:rsidP="00916EB0">
      <w:pPr>
        <w:pStyle w:val="SingleTxtGA"/>
        <w:spacing w:line="360" w:lineRule="exact"/>
        <w:rPr>
          <w:rFonts w:hint="cs"/>
          <w:rtl/>
        </w:rPr>
      </w:pPr>
      <w:r>
        <w:rPr>
          <w:rFonts w:hint="cs"/>
          <w:rtl/>
        </w:rPr>
        <w:t>104-</w:t>
      </w:r>
      <w:r>
        <w:rPr>
          <w:rFonts w:hint="cs"/>
          <w:rtl/>
        </w:rPr>
        <w:tab/>
        <w:t xml:space="preserve">وفي آذار/مارس 2010، وبعد التقييم الأولي لحالة منطقة ماكاو فيما يتعلق بتنفيذ الاتفاقية، طلبت حكومة منطقة ماكاو رسمياً من </w:t>
      </w:r>
      <w:r w:rsidRPr="00CD6303">
        <w:rPr>
          <w:rtl/>
        </w:rPr>
        <w:t>الحكومة الشعبية المركزية</w:t>
      </w:r>
      <w:r>
        <w:rPr>
          <w:rFonts w:hint="cs"/>
          <w:rtl/>
        </w:rPr>
        <w:t xml:space="preserve"> أن تبلغ الوديع بتعيين مكتب الرعاية الاجتماعية جهةَ تنسيق داخل المنطقة للمسائل المتعلقة بتنفيذ الاتفاقية.</w:t>
      </w:r>
    </w:p>
    <w:p w:rsidR="00681C20" w:rsidRDefault="00681C20" w:rsidP="00916EB0">
      <w:pPr>
        <w:pStyle w:val="SingleTxtGA"/>
        <w:spacing w:line="360" w:lineRule="exact"/>
        <w:rPr>
          <w:rFonts w:hint="cs"/>
          <w:spacing w:val="-2"/>
          <w:rtl/>
        </w:rPr>
      </w:pPr>
      <w:r w:rsidRPr="00916EB0">
        <w:rPr>
          <w:rFonts w:hint="cs"/>
          <w:spacing w:val="-2"/>
          <w:rtl/>
        </w:rPr>
        <w:t>105-</w:t>
      </w:r>
      <w:r w:rsidRPr="00916EB0">
        <w:rPr>
          <w:rFonts w:hint="cs"/>
          <w:spacing w:val="-2"/>
          <w:rtl/>
        </w:rPr>
        <w:tab/>
        <w:t xml:space="preserve">وفيما يتعلق بالرصد، فإلى جانب ما سبق بيانه (في الفقرات من 16 إلى 18)، ينبغي الإشارة إلى أن محاكم منطقة ماكاو تمارس السلطة القضائية مستقلةً، وأنها لا تخضع لأي شيء آخر سوى القانون، وأنها لا تخضع لأي تدخل. ومن المهم أيضاً في هذا الشأن توضيح أن المدعين العامين في النظام القانوني لمنطقة ماكاو هم أيضاً قضاة مستقلون وأحرار من أي تدخل. وتتمثل وظائفهم، في جملة أمور، في الحفاظ على الشرعية وتمثيل القصَّر وغيرهم من الأشخاص المنخفضي الأهلية القانونية في جميع الإجراءات الضرورية لممارسة حقوقهم ومصالحهم. ومن الكيانات المستقلة الأخرى ذات الصلة </w:t>
      </w:r>
      <w:r w:rsidRPr="00916EB0">
        <w:rPr>
          <w:rFonts w:hint="cs"/>
          <w:i/>
          <w:iCs/>
          <w:spacing w:val="-2"/>
          <w:rtl/>
        </w:rPr>
        <w:t>لجنة مكافحة الفساد</w:t>
      </w:r>
      <w:r w:rsidRPr="00916EB0">
        <w:rPr>
          <w:rFonts w:hint="cs"/>
          <w:spacing w:val="-2"/>
          <w:rtl/>
        </w:rPr>
        <w:t xml:space="preserve"> التي تضطلع بمهام </w:t>
      </w:r>
      <w:r w:rsidRPr="00916EB0">
        <w:rPr>
          <w:rFonts w:hint="cs"/>
          <w:i/>
          <w:iCs/>
          <w:spacing w:val="-2"/>
          <w:rtl/>
        </w:rPr>
        <w:t>ديوان المظالم</w:t>
      </w:r>
      <w:r w:rsidRPr="00916EB0">
        <w:rPr>
          <w:rFonts w:hint="cs"/>
          <w:spacing w:val="-2"/>
          <w:rtl/>
        </w:rPr>
        <w:t xml:space="preserve">. ومن بين أهدافها الرئيسية الترويج لحماية الحقوق والحريات، والحفاظ على المصالح المشروعة للأفراد، مع ضمان امتثال ممارسة السلطات العامة لمعايير العدل والشرعية والكفاءة. وليس رأي </w:t>
      </w:r>
      <w:r w:rsidRPr="00916EB0">
        <w:rPr>
          <w:rFonts w:hint="cs"/>
          <w:i/>
          <w:iCs/>
          <w:spacing w:val="-2"/>
          <w:rtl/>
        </w:rPr>
        <w:t>ديوان المظالم</w:t>
      </w:r>
      <w:r w:rsidRPr="00916EB0">
        <w:rPr>
          <w:rFonts w:hint="cs"/>
          <w:spacing w:val="-2"/>
          <w:rtl/>
        </w:rPr>
        <w:t xml:space="preserve"> ملزماً قانوناً، ولكنه كثيراً ما يُتبع في الواقع العملي.</w:t>
      </w:r>
    </w:p>
    <w:p w:rsidR="00916EB0" w:rsidRPr="00916EB0" w:rsidRDefault="00916EB0" w:rsidP="00916EB0">
      <w:pPr>
        <w:spacing w:before="120"/>
        <w:jc w:val="center"/>
        <w:rPr>
          <w:rFonts w:hint="cs"/>
          <w:u w:val="single"/>
          <w:rtl/>
        </w:rPr>
      </w:pPr>
      <w:r>
        <w:rPr>
          <w:u w:val="single"/>
          <w:rtl/>
        </w:rPr>
        <w:tab/>
      </w:r>
      <w:r>
        <w:rPr>
          <w:u w:val="single"/>
          <w:rtl/>
        </w:rPr>
        <w:tab/>
      </w:r>
      <w:r>
        <w:rPr>
          <w:u w:val="single"/>
          <w:rtl/>
        </w:rPr>
        <w:tab/>
      </w:r>
    </w:p>
    <w:sectPr w:rsidR="00916EB0" w:rsidRPr="00916EB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6E2" w:rsidRPr="00FE6865" w:rsidRDefault="006266E2" w:rsidP="00FE6865">
      <w:pPr>
        <w:pStyle w:val="Footer"/>
      </w:pPr>
    </w:p>
  </w:endnote>
  <w:endnote w:type="continuationSeparator" w:id="0">
    <w:p w:rsidR="006266E2" w:rsidRDefault="00626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C20" w:rsidRPr="00681C20" w:rsidRDefault="00681C20" w:rsidP="00681C20">
    <w:pPr>
      <w:pStyle w:val="Footer"/>
      <w:tabs>
        <w:tab w:val="right" w:pos="9598"/>
      </w:tabs>
    </w:pPr>
    <w:r>
      <w:t>GE.11-40790</w:t>
    </w:r>
    <w:r>
      <w:tab/>
    </w:r>
    <w:r w:rsidRPr="00681C20">
      <w:rPr>
        <w:b/>
        <w:sz w:val="18"/>
      </w:rPr>
      <w:fldChar w:fldCharType="begin"/>
    </w:r>
    <w:r w:rsidRPr="00681C20">
      <w:rPr>
        <w:b/>
        <w:sz w:val="18"/>
      </w:rPr>
      <w:instrText xml:space="preserve"> PAGE  \* MERGEFORMAT </w:instrText>
    </w:r>
    <w:r w:rsidRPr="00681C20">
      <w:rPr>
        <w:b/>
        <w:sz w:val="18"/>
      </w:rPr>
      <w:fldChar w:fldCharType="separate"/>
    </w:r>
    <w:r w:rsidR="00215519">
      <w:rPr>
        <w:b/>
        <w:noProof/>
        <w:sz w:val="18"/>
      </w:rPr>
      <w:t>2</w:t>
    </w:r>
    <w:r w:rsidRPr="00681C2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C20" w:rsidRPr="00681C20" w:rsidRDefault="00681C20" w:rsidP="00681C20">
    <w:pPr>
      <w:pStyle w:val="Footer"/>
      <w:tabs>
        <w:tab w:val="right" w:pos="9598"/>
      </w:tabs>
      <w:rPr>
        <w:b/>
        <w:sz w:val="18"/>
      </w:rPr>
    </w:pPr>
    <w:r w:rsidRPr="00681C20">
      <w:rPr>
        <w:b/>
        <w:sz w:val="18"/>
      </w:rPr>
      <w:fldChar w:fldCharType="begin"/>
    </w:r>
    <w:r w:rsidRPr="00681C20">
      <w:rPr>
        <w:b/>
        <w:sz w:val="18"/>
      </w:rPr>
      <w:instrText xml:space="preserve"> PAGE  \* MERGEFORMAT </w:instrText>
    </w:r>
    <w:r w:rsidRPr="00681C20">
      <w:rPr>
        <w:b/>
        <w:sz w:val="18"/>
      </w:rPr>
      <w:fldChar w:fldCharType="separate"/>
    </w:r>
    <w:r w:rsidR="00215519">
      <w:rPr>
        <w:b/>
        <w:noProof/>
        <w:sz w:val="18"/>
      </w:rPr>
      <w:t>3</w:t>
    </w:r>
    <w:r w:rsidRPr="00681C20">
      <w:rPr>
        <w:b/>
        <w:sz w:val="18"/>
      </w:rPr>
      <w:fldChar w:fldCharType="end"/>
    </w:r>
    <w:r>
      <w:rPr>
        <w:b/>
        <w:sz w:val="18"/>
      </w:rPr>
      <w:tab/>
    </w:r>
    <w:r>
      <w:t>GE.11-40790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D5F" w:rsidRDefault="00681C20" w:rsidP="00681C20">
    <w:pPr>
      <w:pStyle w:val="Footer"/>
      <w:jc w:val="right"/>
    </w:pPr>
    <w:r>
      <w:rPr>
        <w:sz w:val="20"/>
      </w:rPr>
      <w:t>(A)   GE.11-40790</w:t>
    </w:r>
    <w:r w:rsidR="00C45D5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270611    140711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6E2" w:rsidRDefault="006266E2" w:rsidP="0024127C">
      <w:pPr>
        <w:pStyle w:val="Footer"/>
        <w:bidi/>
        <w:spacing w:after="80" w:line="200" w:lineRule="exact"/>
        <w:ind w:left="680"/>
      </w:pPr>
      <w:r>
        <w:rPr>
          <w:rFonts w:hint="cs"/>
          <w:rtl/>
        </w:rPr>
        <w:t>__________</w:t>
      </w:r>
    </w:p>
  </w:footnote>
  <w:footnote w:type="continuationSeparator" w:id="0">
    <w:p w:rsidR="006266E2" w:rsidRDefault="006266E2" w:rsidP="0024127C">
      <w:pPr>
        <w:pStyle w:val="Footer"/>
        <w:bidi/>
        <w:spacing w:after="80" w:line="200" w:lineRule="exact"/>
        <w:ind w:left="680"/>
      </w:pPr>
      <w:r>
        <w:rPr>
          <w:rFonts w:hint="cs"/>
          <w:rtl/>
        </w:rPr>
        <w:t>__________</w:t>
      </w:r>
    </w:p>
  </w:footnote>
  <w:footnote w:id="1">
    <w:p w:rsidR="00681C20" w:rsidRDefault="00681C20" w:rsidP="00681C20">
      <w:pPr>
        <w:pStyle w:val="footnoteText0"/>
        <w:rPr>
          <w:rFonts w:hint="cs"/>
          <w:rtl/>
        </w:rPr>
      </w:pPr>
      <w:r>
        <w:rPr>
          <w:rtl/>
        </w:rPr>
        <w:tab/>
      </w:r>
      <w:r w:rsidRPr="00A07B27">
        <w:rPr>
          <w:rStyle w:val="FootnoteReference"/>
          <w:sz w:val="20"/>
          <w:vertAlign w:val="baseline"/>
          <w:rtl/>
        </w:rPr>
        <w:t>*</w:t>
      </w:r>
      <w:r>
        <w:rPr>
          <w:rtl/>
        </w:rPr>
        <w:tab/>
      </w:r>
      <w:r>
        <w:rPr>
          <w:rFonts w:hint="cs"/>
          <w:rtl/>
        </w:rPr>
        <w:t>وفقاً للمعلومات التي أحيلت إلى الدول الأطراف فيما يتعلق بتجهيز تقاريرها، لم تُحرّر هذه الوثيقة رسمياً قبل إرسالها إلى دوائر الترجمة التحريرية بالأمم المتحدة.</w:t>
      </w:r>
    </w:p>
    <w:p w:rsidR="00681C20" w:rsidRPr="001722C3" w:rsidRDefault="00681C20" w:rsidP="00681C20">
      <w:pPr>
        <w:pStyle w:val="footnoteText0"/>
        <w:rPr>
          <w:rFonts w:hint="cs"/>
          <w:rtl/>
        </w:rPr>
      </w:pPr>
      <w:r>
        <w:rPr>
          <w:rFonts w:hint="cs"/>
          <w:rtl/>
        </w:rPr>
        <w:tab/>
      </w:r>
      <w:r w:rsidRPr="006D5631">
        <w:rPr>
          <w:rFonts w:hint="cs"/>
          <w:rtl/>
        </w:rPr>
        <w:t>**</w:t>
      </w:r>
      <w:r>
        <w:rPr>
          <w:rFonts w:hint="cs"/>
          <w:rtl/>
        </w:rPr>
        <w:tab/>
        <w:t xml:space="preserve">للاطلاع على التقرير الأولي المقدم من حكومة الصين، انظر الوثيقة </w:t>
      </w:r>
      <w:r w:rsidRPr="00B72D0B">
        <w:rPr>
          <w:lang w:val="en-GB"/>
        </w:rPr>
        <w:t>CRPD/C/CHN/1</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C20" w:rsidRPr="00681C20" w:rsidRDefault="00681C20" w:rsidP="003847C7">
    <w:pPr>
      <w:pStyle w:val="Header"/>
      <w:jc w:val="right"/>
    </w:pPr>
    <w:r w:rsidRPr="00681C20">
      <w:t>CRPD/C/CHN</w:t>
    </w:r>
    <w:r w:rsidR="003847C7">
      <w:t>-MAC</w:t>
    </w:r>
    <w:r w:rsidRPr="00681C20">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D5F" w:rsidRPr="00681C20" w:rsidRDefault="00681C20" w:rsidP="00681C20">
    <w:pPr>
      <w:pStyle w:val="Header"/>
      <w:jc w:val="left"/>
    </w:pPr>
    <w:r w:rsidRPr="00681C20">
      <w:t>CRPD/C/CHN</w:t>
    </w:r>
    <w:r w:rsidR="003847C7">
      <w:t>-MAC/1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D5F" w:rsidRDefault="00C45D5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C45D5F" w:rsidRPr="002E4D7B" w:rsidRDefault="00C45D5F"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A1A262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CBD2AB1"/>
    <w:multiLevelType w:val="hybridMultilevel"/>
    <w:tmpl w:val="0BA8746E"/>
    <w:lvl w:ilvl="0" w:tplc="5E3A4EDA">
      <w:start w:val="1"/>
      <w:numFmt w:val="decimal"/>
      <w:lvlText w:val="%1-"/>
      <w:lvlJc w:val="left"/>
      <w:pPr>
        <w:tabs>
          <w:tab w:val="num" w:pos="180"/>
        </w:tabs>
        <w:ind w:left="1260" w:hanging="360"/>
      </w:pPr>
      <w:rPr>
        <w:rFonts w:cs="Traditional Arabic" w:hint="cs"/>
        <w:bCs w:val="0"/>
        <w:iCs w:val="0"/>
        <w:szCs w:val="30"/>
      </w:rPr>
    </w:lvl>
    <w:lvl w:ilvl="1" w:tplc="60EEE182">
      <w:numFmt w:val="bullet"/>
      <w:lvlText w:val="·"/>
      <w:lvlJc w:val="left"/>
      <w:pPr>
        <w:ind w:left="1800" w:hanging="360"/>
      </w:pPr>
      <w:rPr>
        <w:rFonts w:ascii="Times New Roman" w:eastAsia="Times New Roman" w:hAnsi="Times New Roman" w:hint="default"/>
        <w:color w:val="000000"/>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6A279F"/>
    <w:multiLevelType w:val="hybridMultilevel"/>
    <w:tmpl w:val="9F96E988"/>
    <w:lvl w:ilvl="0" w:tplc="34587604">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AD63CF4"/>
    <w:multiLevelType w:val="hybridMultilevel"/>
    <w:tmpl w:val="43EACE06"/>
    <w:lvl w:ilvl="0" w:tplc="04090001">
      <w:start w:val="1"/>
      <w:numFmt w:val="bullet"/>
      <w:lvlText w:val=""/>
      <w:lvlJc w:val="left"/>
      <w:pPr>
        <w:ind w:left="2708" w:hanging="360"/>
      </w:pPr>
      <w:rPr>
        <w:rFonts w:ascii="Symbol" w:hAnsi="Symbol" w:hint="default"/>
      </w:rPr>
    </w:lvl>
    <w:lvl w:ilvl="1" w:tplc="04090003" w:tentative="1">
      <w:start w:val="1"/>
      <w:numFmt w:val="bullet"/>
      <w:lvlText w:val="o"/>
      <w:lvlJc w:val="left"/>
      <w:pPr>
        <w:ind w:left="3428" w:hanging="360"/>
      </w:pPr>
      <w:rPr>
        <w:rFonts w:ascii="Courier New" w:hAnsi="Courier New" w:cs="Courier New" w:hint="default"/>
      </w:rPr>
    </w:lvl>
    <w:lvl w:ilvl="2" w:tplc="04090005" w:tentative="1">
      <w:start w:val="1"/>
      <w:numFmt w:val="bullet"/>
      <w:lvlText w:val=""/>
      <w:lvlJc w:val="left"/>
      <w:pPr>
        <w:ind w:left="4148" w:hanging="360"/>
      </w:pPr>
      <w:rPr>
        <w:rFonts w:ascii="Wingdings" w:hAnsi="Wingdings" w:hint="default"/>
      </w:rPr>
    </w:lvl>
    <w:lvl w:ilvl="3" w:tplc="04090001" w:tentative="1">
      <w:start w:val="1"/>
      <w:numFmt w:val="bullet"/>
      <w:lvlText w:val=""/>
      <w:lvlJc w:val="left"/>
      <w:pPr>
        <w:ind w:left="4868" w:hanging="360"/>
      </w:pPr>
      <w:rPr>
        <w:rFonts w:ascii="Symbol" w:hAnsi="Symbol" w:hint="default"/>
      </w:rPr>
    </w:lvl>
    <w:lvl w:ilvl="4" w:tplc="04090003" w:tentative="1">
      <w:start w:val="1"/>
      <w:numFmt w:val="bullet"/>
      <w:lvlText w:val="o"/>
      <w:lvlJc w:val="left"/>
      <w:pPr>
        <w:ind w:left="5588" w:hanging="360"/>
      </w:pPr>
      <w:rPr>
        <w:rFonts w:ascii="Courier New" w:hAnsi="Courier New" w:cs="Courier New" w:hint="default"/>
      </w:rPr>
    </w:lvl>
    <w:lvl w:ilvl="5" w:tplc="04090005" w:tentative="1">
      <w:start w:val="1"/>
      <w:numFmt w:val="bullet"/>
      <w:lvlText w:val=""/>
      <w:lvlJc w:val="left"/>
      <w:pPr>
        <w:ind w:left="6308" w:hanging="360"/>
      </w:pPr>
      <w:rPr>
        <w:rFonts w:ascii="Wingdings" w:hAnsi="Wingdings" w:hint="default"/>
      </w:rPr>
    </w:lvl>
    <w:lvl w:ilvl="6" w:tplc="04090001" w:tentative="1">
      <w:start w:val="1"/>
      <w:numFmt w:val="bullet"/>
      <w:lvlText w:val=""/>
      <w:lvlJc w:val="left"/>
      <w:pPr>
        <w:ind w:left="7028" w:hanging="360"/>
      </w:pPr>
      <w:rPr>
        <w:rFonts w:ascii="Symbol" w:hAnsi="Symbol" w:hint="default"/>
      </w:rPr>
    </w:lvl>
    <w:lvl w:ilvl="7" w:tplc="04090003" w:tentative="1">
      <w:start w:val="1"/>
      <w:numFmt w:val="bullet"/>
      <w:lvlText w:val="o"/>
      <w:lvlJc w:val="left"/>
      <w:pPr>
        <w:ind w:left="7748" w:hanging="360"/>
      </w:pPr>
      <w:rPr>
        <w:rFonts w:ascii="Courier New" w:hAnsi="Courier New" w:cs="Courier New" w:hint="default"/>
      </w:rPr>
    </w:lvl>
    <w:lvl w:ilvl="8" w:tplc="04090005" w:tentative="1">
      <w:start w:val="1"/>
      <w:numFmt w:val="bullet"/>
      <w:lvlText w:val=""/>
      <w:lvlJc w:val="left"/>
      <w:pPr>
        <w:ind w:left="8468" w:hanging="360"/>
      </w:pPr>
      <w:rPr>
        <w:rFonts w:ascii="Wingdings" w:hAnsi="Wingdings" w:hint="default"/>
      </w:r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8862366"/>
    <w:multiLevelType w:val="hybridMultilevel"/>
    <w:tmpl w:val="523E6D94"/>
    <w:lvl w:ilvl="0" w:tplc="0EF64B66">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2"/>
  </w:num>
  <w:num w:numId="3">
    <w:abstractNumId w:val="16"/>
  </w:num>
  <w:num w:numId="4">
    <w:abstractNumId w:val="14"/>
  </w:num>
  <w:num w:numId="5">
    <w:abstractNumId w:val="11"/>
  </w:num>
  <w:num w:numId="6">
    <w:abstractNumId w:val="25"/>
  </w:num>
  <w:num w:numId="7">
    <w:abstractNumId w:val="13"/>
  </w:num>
  <w:num w:numId="8">
    <w:abstractNumId w:val="12"/>
  </w:num>
  <w:num w:numId="9">
    <w:abstractNumId w:val="15"/>
  </w:num>
  <w:num w:numId="10">
    <w:abstractNumId w:val="24"/>
  </w:num>
  <w:num w:numId="11">
    <w:abstractNumId w:val="2"/>
  </w:num>
  <w:num w:numId="12">
    <w:abstractNumId w:val="16"/>
  </w:num>
  <w:num w:numId="13">
    <w:abstractNumId w:val="14"/>
  </w:num>
  <w:num w:numId="14">
    <w:abstractNumId w:val="11"/>
  </w:num>
  <w:num w:numId="15">
    <w:abstractNumId w:val="25"/>
  </w:num>
  <w:num w:numId="16">
    <w:abstractNumId w:val="2"/>
  </w:num>
  <w:num w:numId="17">
    <w:abstractNumId w:val="16"/>
  </w:num>
  <w:num w:numId="18">
    <w:abstractNumId w:val="14"/>
  </w:num>
  <w:num w:numId="19">
    <w:abstractNumId w:val="11"/>
  </w:num>
  <w:num w:numId="20">
    <w:abstractNumId w:val="25"/>
  </w:num>
  <w:num w:numId="21">
    <w:abstractNumId w:val="2"/>
  </w:num>
  <w:num w:numId="22">
    <w:abstractNumId w:val="16"/>
  </w:num>
  <w:num w:numId="23">
    <w:abstractNumId w:val="11"/>
  </w:num>
  <w:num w:numId="24">
    <w:abstractNumId w:val="25"/>
  </w:num>
  <w:num w:numId="25">
    <w:abstractNumId w:val="16"/>
  </w:num>
  <w:num w:numId="26">
    <w:abstractNumId w:val="2"/>
  </w:num>
  <w:num w:numId="27">
    <w:abstractNumId w:val="4"/>
  </w:num>
  <w:num w:numId="28">
    <w:abstractNumId w:val="3"/>
  </w:num>
  <w:num w:numId="29">
    <w:abstractNumId w:val="19"/>
  </w:num>
  <w:num w:numId="30">
    <w:abstractNumId w:val="5"/>
  </w:num>
  <w:num w:numId="31">
    <w:abstractNumId w:val="10"/>
  </w:num>
  <w:num w:numId="32">
    <w:abstractNumId w:val="17"/>
  </w:num>
  <w:num w:numId="33">
    <w:abstractNumId w:val="21"/>
  </w:num>
  <w:num w:numId="34">
    <w:abstractNumId w:val="26"/>
  </w:num>
  <w:num w:numId="35">
    <w:abstractNumId w:val="6"/>
  </w:num>
  <w:num w:numId="36">
    <w:abstractNumId w:val="20"/>
  </w:num>
  <w:num w:numId="37">
    <w:abstractNumId w:val="23"/>
  </w:num>
  <w:num w:numId="38">
    <w:abstractNumId w:val="1"/>
  </w:num>
  <w:num w:numId="39">
    <w:abstractNumId w:val="8"/>
  </w:num>
  <w:num w:numId="40">
    <w:abstractNumId w:val="22"/>
  </w:num>
  <w:num w:numId="41">
    <w:abstractNumId w:val="7"/>
  </w:num>
  <w:num w:numId="42">
    <w:abstractNumId w:val="9"/>
  </w:num>
  <w:num w:numId="43">
    <w:abstractNumId w:val="18"/>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D5F"/>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032B"/>
    <w:rsid w:val="00140127"/>
    <w:rsid w:val="001455A0"/>
    <w:rsid w:val="001602A3"/>
    <w:rsid w:val="001650EE"/>
    <w:rsid w:val="001A5161"/>
    <w:rsid w:val="001A60BD"/>
    <w:rsid w:val="001B1104"/>
    <w:rsid w:val="00215519"/>
    <w:rsid w:val="00232277"/>
    <w:rsid w:val="0023736D"/>
    <w:rsid w:val="0024127C"/>
    <w:rsid w:val="00257225"/>
    <w:rsid w:val="002E4D7B"/>
    <w:rsid w:val="00310160"/>
    <w:rsid w:val="00341A8C"/>
    <w:rsid w:val="003519E6"/>
    <w:rsid w:val="003702E5"/>
    <w:rsid w:val="0038155D"/>
    <w:rsid w:val="003847C7"/>
    <w:rsid w:val="00397E4F"/>
    <w:rsid w:val="003B4356"/>
    <w:rsid w:val="003F08A8"/>
    <w:rsid w:val="004250E3"/>
    <w:rsid w:val="00461655"/>
    <w:rsid w:val="00461F81"/>
    <w:rsid w:val="00472A81"/>
    <w:rsid w:val="004A20A6"/>
    <w:rsid w:val="004B2C92"/>
    <w:rsid w:val="004D6A3A"/>
    <w:rsid w:val="004F4AD7"/>
    <w:rsid w:val="00557CD3"/>
    <w:rsid w:val="00557EAD"/>
    <w:rsid w:val="00571432"/>
    <w:rsid w:val="005732A2"/>
    <w:rsid w:val="005762A5"/>
    <w:rsid w:val="00590BA3"/>
    <w:rsid w:val="00594EFE"/>
    <w:rsid w:val="005B46D9"/>
    <w:rsid w:val="005B7AE0"/>
    <w:rsid w:val="005F0A7A"/>
    <w:rsid w:val="005F146F"/>
    <w:rsid w:val="005F71B6"/>
    <w:rsid w:val="006164BD"/>
    <w:rsid w:val="006266E2"/>
    <w:rsid w:val="00654786"/>
    <w:rsid w:val="00660FD4"/>
    <w:rsid w:val="00681C20"/>
    <w:rsid w:val="006A3ED9"/>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A6242"/>
    <w:rsid w:val="008B4BC6"/>
    <w:rsid w:val="008D70D4"/>
    <w:rsid w:val="00901E57"/>
    <w:rsid w:val="009070DF"/>
    <w:rsid w:val="00916EB0"/>
    <w:rsid w:val="00935EA2"/>
    <w:rsid w:val="00935F0E"/>
    <w:rsid w:val="0095208F"/>
    <w:rsid w:val="00977B3F"/>
    <w:rsid w:val="009814AE"/>
    <w:rsid w:val="009901D3"/>
    <w:rsid w:val="00996BBE"/>
    <w:rsid w:val="009B2C03"/>
    <w:rsid w:val="009D1DD5"/>
    <w:rsid w:val="009D41A7"/>
    <w:rsid w:val="009E3E8F"/>
    <w:rsid w:val="009F722C"/>
    <w:rsid w:val="00A1410D"/>
    <w:rsid w:val="00A26157"/>
    <w:rsid w:val="00A265C3"/>
    <w:rsid w:val="00A33AF7"/>
    <w:rsid w:val="00A43F9A"/>
    <w:rsid w:val="00A524C5"/>
    <w:rsid w:val="00A53F38"/>
    <w:rsid w:val="00A543D4"/>
    <w:rsid w:val="00AD0014"/>
    <w:rsid w:val="00AD4CF2"/>
    <w:rsid w:val="00AF0BBA"/>
    <w:rsid w:val="00AF6A9C"/>
    <w:rsid w:val="00B30468"/>
    <w:rsid w:val="00B44E31"/>
    <w:rsid w:val="00B77A5F"/>
    <w:rsid w:val="00BA4F7E"/>
    <w:rsid w:val="00BB2C41"/>
    <w:rsid w:val="00BC2E49"/>
    <w:rsid w:val="00BC55C8"/>
    <w:rsid w:val="00BC5C10"/>
    <w:rsid w:val="00BE2964"/>
    <w:rsid w:val="00C21623"/>
    <w:rsid w:val="00C24FBD"/>
    <w:rsid w:val="00C45D5F"/>
    <w:rsid w:val="00C473BA"/>
    <w:rsid w:val="00C611ED"/>
    <w:rsid w:val="00C6490A"/>
    <w:rsid w:val="00C64FE1"/>
    <w:rsid w:val="00C74296"/>
    <w:rsid w:val="00C8345E"/>
    <w:rsid w:val="00CA5F7C"/>
    <w:rsid w:val="00CF2184"/>
    <w:rsid w:val="00D51067"/>
    <w:rsid w:val="00D75657"/>
    <w:rsid w:val="00D960AD"/>
    <w:rsid w:val="00DA0E0E"/>
    <w:rsid w:val="00DB0C39"/>
    <w:rsid w:val="00DB7679"/>
    <w:rsid w:val="00DF1702"/>
    <w:rsid w:val="00DF4DD8"/>
    <w:rsid w:val="00DF668E"/>
    <w:rsid w:val="00E04826"/>
    <w:rsid w:val="00E14D2B"/>
    <w:rsid w:val="00E20DBA"/>
    <w:rsid w:val="00E50A23"/>
    <w:rsid w:val="00E6524A"/>
    <w:rsid w:val="00E660D6"/>
    <w:rsid w:val="00E707A0"/>
    <w:rsid w:val="00E771AB"/>
    <w:rsid w:val="00EA796F"/>
    <w:rsid w:val="00EB077B"/>
    <w:rsid w:val="00EC50B9"/>
    <w:rsid w:val="00ED26A0"/>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681C20"/>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681C20"/>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681C20"/>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681C20"/>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681C20"/>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681C20"/>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semiHidden/>
    <w:rsid w:val="00FE6865"/>
    <w:rPr>
      <w:vertAlign w:val="superscript"/>
    </w:rPr>
  </w:style>
  <w:style w:type="numbering" w:customStyle="1" w:styleId="1">
    <w:name w:val="بلا قائمة1"/>
    <w:next w:val="NoList"/>
    <w:semiHidden/>
    <w:rsid w:val="00681C20"/>
  </w:style>
  <w:style w:type="paragraph" w:customStyle="1" w:styleId="SingleTxtG">
    <w:name w:val="_ Single Txt_G"/>
    <w:basedOn w:val="Normal"/>
    <w:link w:val="SingleTxtGChar"/>
    <w:rsid w:val="00681C20"/>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681C20"/>
    <w:rPr>
      <w:lang w:val="en-GB" w:eastAsia="en-US" w:bidi="ar-SA"/>
    </w:rPr>
  </w:style>
  <w:style w:type="paragraph" w:customStyle="1" w:styleId="HMG">
    <w:name w:val="_ H __M_G"/>
    <w:basedOn w:val="Normal"/>
    <w:next w:val="Normal"/>
    <w:rsid w:val="00681C2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681C2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10">
    <w:name w:val="شبكة جدول1"/>
    <w:basedOn w:val="TableNormal"/>
    <w:next w:val="TableGrid"/>
    <w:semiHidden/>
    <w:rsid w:val="00681C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681C20"/>
    <w:rPr>
      <w:color w:val="auto"/>
      <w:u w:val="none"/>
    </w:rPr>
  </w:style>
  <w:style w:type="character" w:styleId="FollowedHyperlink">
    <w:name w:val="FollowedHyperlink"/>
    <w:semiHidden/>
    <w:rsid w:val="00681C20"/>
    <w:rPr>
      <w:color w:val="auto"/>
      <w:u w:val="none"/>
    </w:rPr>
  </w:style>
  <w:style w:type="paragraph" w:customStyle="1" w:styleId="SMG">
    <w:name w:val="__S_M_G"/>
    <w:basedOn w:val="Normal"/>
    <w:next w:val="Normal"/>
    <w:rsid w:val="00681C2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681C2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681C20"/>
    <w:pPr>
      <w:keepNext/>
      <w:keepLines/>
      <w:suppressAutoHyphens/>
      <w:bidi w:val="0"/>
      <w:spacing w:before="240" w:after="240" w:line="300" w:lineRule="exact"/>
      <w:ind w:left="1134" w:right="1134"/>
      <w:jc w:val="left"/>
    </w:pPr>
    <w:rPr>
      <w:rFonts w:cs="Times New Roman"/>
      <w:b/>
      <w:sz w:val="28"/>
      <w:szCs w:val="20"/>
      <w:lang w:val="en-GB"/>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link w:val="FootnoteText"/>
    <w:semiHidden/>
    <w:locked/>
    <w:rsid w:val="00681C20"/>
    <w:rPr>
      <w:rFonts w:cs="Traditional Arabic"/>
      <w:lang w:val="en-US" w:eastAsia="en-US" w:bidi="ar-SA"/>
    </w:rPr>
  </w:style>
  <w:style w:type="paragraph" w:customStyle="1" w:styleId="XLargeG">
    <w:name w:val="__XLarge_G"/>
    <w:basedOn w:val="Normal"/>
    <w:next w:val="Normal"/>
    <w:rsid w:val="00681C2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681C20"/>
    <w:pPr>
      <w:numPr>
        <w:numId w:val="40"/>
      </w:numPr>
      <w:tabs>
        <w:tab w:val="clear" w:pos="2268"/>
        <w:tab w:val="num" w:pos="1701"/>
      </w:tabs>
      <w:suppressAutoHyphens/>
      <w:bidi w:val="0"/>
      <w:spacing w:after="120"/>
      <w:ind w:left="1701" w:right="1134"/>
      <w:jc w:val="both"/>
    </w:pPr>
    <w:rPr>
      <w:rFonts w:cs="Times New Roman"/>
      <w:szCs w:val="20"/>
      <w:lang w:val="en-GB"/>
    </w:rPr>
  </w:style>
  <w:style w:type="paragraph" w:customStyle="1" w:styleId="Bullet2G">
    <w:name w:val="_Bullet 2_G"/>
    <w:basedOn w:val="Normal"/>
    <w:rsid w:val="00681C20"/>
    <w:pPr>
      <w:tabs>
        <w:tab w:val="num" w:pos="2041"/>
      </w:tabs>
      <w:suppressAutoHyphens/>
      <w:bidi w:val="0"/>
      <w:spacing w:after="120"/>
      <w:ind w:left="2041" w:right="1134" w:hanging="397"/>
      <w:jc w:val="both"/>
    </w:pPr>
    <w:rPr>
      <w:rFonts w:cs="Times New Roman"/>
      <w:szCs w:val="20"/>
      <w:lang w:val="en-GB"/>
    </w:rPr>
  </w:style>
  <w:style w:type="paragraph" w:customStyle="1" w:styleId="H1G">
    <w:name w:val="_ H_1_G"/>
    <w:basedOn w:val="Normal"/>
    <w:next w:val="Normal"/>
    <w:rsid w:val="00681C2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681C2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681C2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681C2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681C20"/>
    <w:pPr>
      <w:suppressAutoHyphens/>
      <w:bidi w:val="0"/>
      <w:spacing w:after="120"/>
      <w:jc w:val="left"/>
    </w:pPr>
    <w:rPr>
      <w:rFonts w:cs="Times New Roman"/>
      <w:szCs w:val="20"/>
      <w:lang w:val="en-GB"/>
    </w:rPr>
  </w:style>
  <w:style w:type="paragraph" w:styleId="BodyText3">
    <w:name w:val="Body Text 3"/>
    <w:basedOn w:val="Normal"/>
    <w:rsid w:val="00681C20"/>
    <w:pPr>
      <w:spacing w:line="240" w:lineRule="auto"/>
      <w:jc w:val="both"/>
    </w:pPr>
    <w:rPr>
      <w:rFonts w:cs="Arabic Transparent"/>
      <w:b/>
      <w:bCs/>
      <w:sz w:val="32"/>
      <w:szCs w:val="32"/>
      <w:lang w:val="fr-FR" w:eastAsia="fr-FR" w:bidi="ar-TN"/>
    </w:rPr>
  </w:style>
  <w:style w:type="paragraph" w:customStyle="1" w:styleId="SingleTxt">
    <w:name w:val="__Single Txt"/>
    <w:basedOn w:val="Normal"/>
    <w:rsid w:val="00681C20"/>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Title">
    <w:name w:val="Title"/>
    <w:basedOn w:val="Normal"/>
    <w:qFormat/>
    <w:rsid w:val="00681C20"/>
    <w:pPr>
      <w:bidi w:val="0"/>
      <w:spacing w:line="240" w:lineRule="auto"/>
      <w:jc w:val="center"/>
    </w:pPr>
    <w:rPr>
      <w:rFonts w:cs="Times New Roman"/>
      <w:b/>
      <w:bCs/>
      <w:sz w:val="52"/>
      <w:szCs w:val="52"/>
      <w:lang w:val="fr-FR" w:eastAsia="fr-FR" w:bidi="ar-TN"/>
    </w:rPr>
  </w:style>
  <w:style w:type="paragraph" w:styleId="BodyTextIndent">
    <w:name w:val="Body Text Indent"/>
    <w:basedOn w:val="Normal"/>
    <w:rsid w:val="00681C20"/>
    <w:pPr>
      <w:spacing w:line="240" w:lineRule="auto"/>
      <w:ind w:firstLine="720"/>
      <w:jc w:val="both"/>
    </w:pPr>
    <w:rPr>
      <w:rFonts w:cs="Arabic Transparent"/>
      <w:sz w:val="32"/>
      <w:szCs w:val="32"/>
      <w:lang w:val="fr-FR" w:eastAsia="fr-FR" w:bidi="ar-TN"/>
    </w:rPr>
  </w:style>
  <w:style w:type="paragraph" w:customStyle="1" w:styleId="HCh">
    <w:name w:val="_ H _Ch"/>
    <w:basedOn w:val="Normal"/>
    <w:next w:val="Normal"/>
    <w:rsid w:val="00681C20"/>
    <w:pPr>
      <w:keepNext/>
      <w:keepLines/>
      <w:suppressAutoHyphens/>
      <w:spacing w:line="450" w:lineRule="exact"/>
      <w:outlineLvl w:val="0"/>
    </w:pPr>
    <w:rPr>
      <w:b/>
      <w:bCs/>
      <w:spacing w:val="-2"/>
      <w:w w:val="103"/>
      <w:kern w:val="14"/>
      <w:sz w:val="28"/>
      <w:szCs w:val="38"/>
    </w:rPr>
  </w:style>
  <w:style w:type="paragraph" w:customStyle="1" w:styleId="H23">
    <w:name w:val="_ H_2/3"/>
    <w:basedOn w:val="Normal"/>
    <w:next w:val="SingleTxt"/>
    <w:rsid w:val="00681C20"/>
    <w:pPr>
      <w:keepNext/>
      <w:keepLines/>
      <w:suppressAutoHyphens/>
      <w:spacing w:line="400" w:lineRule="exact"/>
      <w:jc w:val="both"/>
      <w:outlineLvl w:val="1"/>
    </w:pPr>
    <w:rPr>
      <w:b/>
      <w:bCs/>
      <w:spacing w:val="2"/>
      <w:w w:val="103"/>
      <w:kern w:val="14"/>
    </w:rPr>
  </w:style>
  <w:style w:type="character" w:customStyle="1" w:styleId="CharCharChar">
    <w:name w:val=" Char Char Char"/>
    <w:semiHidden/>
    <w:rsid w:val="00681C20"/>
    <w:rPr>
      <w:sz w:val="24"/>
      <w:lang w:val="en-GB" w:eastAsia="en-US" w:bidi="ar-SA"/>
    </w:rPr>
  </w:style>
  <w:style w:type="character" w:customStyle="1" w:styleId="SingleTxtGAChar">
    <w:name w:val="_ Single Txt_GA Char"/>
    <w:link w:val="SingleTxtGA"/>
    <w:rsid w:val="00681C20"/>
    <w:rPr>
      <w:rFonts w:cs="Traditional Arabic"/>
      <w:szCs w:val="30"/>
      <w:lang w:val="en-US" w:eastAsia="en-US" w:bidi="ar-SA"/>
    </w:rPr>
  </w:style>
  <w:style w:type="paragraph" w:styleId="ListBullet">
    <w:name w:val="List Bullet"/>
    <w:basedOn w:val="Normal"/>
    <w:rsid w:val="00681C20"/>
    <w:pPr>
      <w:numPr>
        <w:numId w:val="4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31</Pages>
  <Words>9135</Words>
  <Characters>52074</Characters>
  <Application>Microsoft Office Word</Application>
  <DocSecurity>4</DocSecurity>
  <Lines>433</Lines>
  <Paragraphs>122</Paragraphs>
  <ScaleCrop>false</ScaleCrop>
  <HeadingPairs>
    <vt:vector size="2" baseType="variant">
      <vt:variant>
        <vt:lpstr>العنوان</vt:lpstr>
      </vt:variant>
      <vt:variant>
        <vt:i4>1</vt:i4>
      </vt:variant>
    </vt:vector>
  </HeadingPairs>
  <TitlesOfParts>
    <vt:vector size="1" baseType="lpstr">
      <vt:lpstr>CRPD/C/CHN/1/Add.2</vt:lpstr>
    </vt:vector>
  </TitlesOfParts>
  <Company>CSD</Company>
  <LinksUpToDate>false</LinksUpToDate>
  <CharactersWithSpaces>61087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CRPD/C/CHN/1/Add.2</dc:title>
  <dc:subject/>
  <dc:creator>HAMOUDA</dc:creator>
  <cp:keywords/>
  <dc:description/>
  <cp:lastModifiedBy>Admieng</cp:lastModifiedBy>
  <cp:revision>2</cp:revision>
  <cp:lastPrinted>2011-07-15T07:25:00Z</cp:lastPrinted>
  <dcterms:created xsi:type="dcterms:W3CDTF">2011-07-15T07:28:00Z</dcterms:created>
  <dcterms:modified xsi:type="dcterms:W3CDTF">2011-07-15T07:28:00Z</dcterms:modified>
</cp:coreProperties>
</file>