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3320"/>
        <w:gridCol w:w="2420"/>
        <w:gridCol w:w="2619"/>
      </w:tblGrid>
      <w:tr w:rsidR="008855BE" w:rsidRPr="004E6131" w:rsidTr="004C4817">
        <w:trPr>
          <w:trHeight w:hRule="exact" w:val="851"/>
        </w:trPr>
        <w:tc>
          <w:tcPr>
            <w:tcW w:w="4600" w:type="dxa"/>
            <w:gridSpan w:val="2"/>
            <w:tcBorders>
              <w:bottom w:val="single" w:sz="4" w:space="0" w:color="auto"/>
            </w:tcBorders>
            <w:vAlign w:val="bottom"/>
          </w:tcPr>
          <w:p w:rsidR="008855BE" w:rsidRPr="00260E88" w:rsidRDefault="008855BE" w:rsidP="004C4817">
            <w:pPr>
              <w:spacing w:after="80" w:line="300" w:lineRule="exact"/>
              <w:rPr>
                <w:sz w:val="28"/>
              </w:rPr>
            </w:pPr>
            <w:bookmarkStart w:id="0" w:name="_GoBack"/>
            <w:bookmarkEnd w:id="0"/>
            <w:r>
              <w:rPr>
                <w:sz w:val="28"/>
              </w:rPr>
              <w:t>Организация Объединенных Наций</w:t>
            </w:r>
          </w:p>
        </w:tc>
        <w:tc>
          <w:tcPr>
            <w:tcW w:w="5039" w:type="dxa"/>
            <w:gridSpan w:val="2"/>
            <w:tcBorders>
              <w:bottom w:val="single" w:sz="4" w:space="0" w:color="auto"/>
            </w:tcBorders>
            <w:vAlign w:val="bottom"/>
          </w:tcPr>
          <w:p w:rsidR="008855BE" w:rsidRPr="004E6131" w:rsidRDefault="008855BE" w:rsidP="004C4817">
            <w:pPr>
              <w:jc w:val="right"/>
              <w:rPr>
                <w:lang w:val="en-US"/>
              </w:rPr>
            </w:pPr>
            <w:r w:rsidRPr="00230EEB">
              <w:rPr>
                <w:sz w:val="40"/>
                <w:szCs w:val="40"/>
                <w:lang w:val="en-US"/>
              </w:rPr>
              <w:t>CAT</w:t>
            </w:r>
            <w:r w:rsidRPr="004E6131">
              <w:rPr>
                <w:lang w:val="en-US"/>
              </w:rPr>
              <w:t>/</w:t>
            </w:r>
            <w:r w:rsidRPr="004E6131">
              <w:rPr>
                <w:lang w:val="en-US"/>
              </w:rPr>
              <w:fldChar w:fldCharType="begin"/>
            </w:r>
            <w:r w:rsidRPr="004E6131">
              <w:rPr>
                <w:lang w:val="en-US"/>
              </w:rPr>
              <w:instrText xml:space="preserve"> FILLIN  "Введите часть символа после CAT/"  \* MERGEFORMAT </w:instrText>
            </w:r>
            <w:r w:rsidRPr="004E6131">
              <w:rPr>
                <w:lang w:val="en-US"/>
              </w:rPr>
              <w:fldChar w:fldCharType="separate"/>
            </w:r>
            <w:r w:rsidR="004C4817">
              <w:rPr>
                <w:lang w:val="en-US"/>
              </w:rPr>
              <w:t>C/57/4</w:t>
            </w:r>
            <w:r w:rsidRPr="004E6131">
              <w:rPr>
                <w:lang w:val="en-US"/>
              </w:rPr>
              <w:fldChar w:fldCharType="end"/>
            </w:r>
          </w:p>
        </w:tc>
      </w:tr>
      <w:tr w:rsidR="008855BE" w:rsidRPr="00767C58" w:rsidTr="004C4817">
        <w:trPr>
          <w:trHeight w:hRule="exact" w:val="2565"/>
        </w:trPr>
        <w:tc>
          <w:tcPr>
            <w:tcW w:w="1280" w:type="dxa"/>
            <w:tcBorders>
              <w:top w:val="single" w:sz="4" w:space="0" w:color="auto"/>
              <w:bottom w:val="single" w:sz="12" w:space="0" w:color="auto"/>
            </w:tcBorders>
          </w:tcPr>
          <w:p w:rsidR="008855BE" w:rsidRPr="00635870" w:rsidRDefault="008855BE" w:rsidP="004C4817">
            <w:pPr>
              <w:spacing w:before="120"/>
              <w:jc w:val="center"/>
            </w:pPr>
            <w:r>
              <w:rPr>
                <w:noProof/>
                <w:lang w:eastAsia="ru-RU"/>
              </w:rPr>
              <w:drawing>
                <wp:inline distT="0" distB="0" distL="0" distR="0" wp14:anchorId="21EDB7D7" wp14:editId="37B2678E">
                  <wp:extent cx="714375" cy="591820"/>
                  <wp:effectExtent l="0" t="0" r="9525" b="0"/>
                  <wp:docPr id="1" name="Рисунок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1820"/>
                          </a:xfrm>
                          <a:prstGeom prst="rect">
                            <a:avLst/>
                          </a:prstGeom>
                          <a:noFill/>
                          <a:ln>
                            <a:noFill/>
                          </a:ln>
                        </pic:spPr>
                      </pic:pic>
                    </a:graphicData>
                  </a:graphic>
                </wp:inline>
              </w:drawing>
            </w:r>
          </w:p>
        </w:tc>
        <w:tc>
          <w:tcPr>
            <w:tcW w:w="5740" w:type="dxa"/>
            <w:gridSpan w:val="2"/>
            <w:tcBorders>
              <w:top w:val="single" w:sz="4" w:space="0" w:color="auto"/>
              <w:bottom w:val="single" w:sz="12" w:space="0" w:color="auto"/>
            </w:tcBorders>
          </w:tcPr>
          <w:p w:rsidR="008855BE" w:rsidRPr="00F90607" w:rsidRDefault="008855BE" w:rsidP="004C4817">
            <w:pPr>
              <w:suppressAutoHyphens/>
              <w:spacing w:before="120" w:line="360" w:lineRule="exact"/>
              <w:rPr>
                <w:b/>
                <w:spacing w:val="-4"/>
                <w:w w:val="100"/>
                <w:sz w:val="34"/>
                <w:szCs w:val="34"/>
              </w:rPr>
            </w:pPr>
            <w:r w:rsidRPr="00F90607">
              <w:rPr>
                <w:b/>
                <w:spacing w:val="-4"/>
                <w:w w:val="100"/>
                <w:sz w:val="34"/>
                <w:szCs w:val="34"/>
              </w:rPr>
              <w:t xml:space="preserve">Конвенция против пыток и </w:t>
            </w:r>
            <w:r w:rsidRPr="00F90607">
              <w:rPr>
                <w:b/>
                <w:spacing w:val="-4"/>
                <w:w w:val="100"/>
                <w:sz w:val="34"/>
                <w:szCs w:val="34"/>
              </w:rPr>
              <w:br/>
              <w:t xml:space="preserve">других жестоких, бесчеловечных </w:t>
            </w:r>
            <w:r w:rsidRPr="00F90607">
              <w:rPr>
                <w:b/>
                <w:spacing w:val="-4"/>
                <w:w w:val="100"/>
                <w:sz w:val="34"/>
                <w:szCs w:val="34"/>
              </w:rPr>
              <w:br/>
              <w:t>или унижающих достоинство видов обращения и наказания</w:t>
            </w:r>
          </w:p>
        </w:tc>
        <w:tc>
          <w:tcPr>
            <w:tcW w:w="2619" w:type="dxa"/>
            <w:tcBorders>
              <w:top w:val="single" w:sz="4" w:space="0" w:color="auto"/>
              <w:bottom w:val="single" w:sz="12" w:space="0" w:color="auto"/>
            </w:tcBorders>
          </w:tcPr>
          <w:p w:rsidR="008855BE" w:rsidRPr="004E6131" w:rsidRDefault="008855BE" w:rsidP="004C4817">
            <w:pPr>
              <w:spacing w:before="240"/>
            </w:pPr>
            <w:r w:rsidRPr="004E6131">
              <w:rPr>
                <w:lang w:val="en-US"/>
              </w:rPr>
              <w:t>Distr</w:t>
            </w:r>
            <w:r w:rsidRPr="004E6131">
              <w:t xml:space="preserve">.: </w:t>
            </w:r>
            <w:bookmarkStart w:id="1" w:name="ПолеСоСписком1"/>
            <w:r w:rsidRPr="004E6131">
              <w:rPr>
                <w:lang w:val="en-US"/>
              </w:rPr>
              <w:fldChar w:fldCharType="begin">
                <w:ffData>
                  <w:name w:val="ПолеСоСписком1"/>
                  <w:enabled/>
                  <w:calcOnExit w:val="0"/>
                  <w:ddList>
                    <w:listEntry w:val="General"/>
                    <w:listEntry w:val="Limited"/>
                    <w:listEntry w:val="Restricted"/>
                  </w:ddList>
                </w:ffData>
              </w:fldChar>
            </w:r>
            <w:r w:rsidRPr="004E6131">
              <w:instrText xml:space="preserve"> </w:instrText>
            </w:r>
            <w:r w:rsidRPr="004E6131">
              <w:rPr>
                <w:lang w:val="en-US"/>
              </w:rPr>
              <w:instrText>FORMDROPDOWN</w:instrText>
            </w:r>
            <w:r w:rsidRPr="004E6131">
              <w:instrText xml:space="preserve"> </w:instrText>
            </w:r>
            <w:r w:rsidR="00882193">
              <w:rPr>
                <w:lang w:val="en-US"/>
              </w:rPr>
            </w:r>
            <w:r w:rsidR="00882193">
              <w:rPr>
                <w:lang w:val="en-US"/>
              </w:rPr>
              <w:fldChar w:fldCharType="separate"/>
            </w:r>
            <w:r w:rsidRPr="004E6131">
              <w:rPr>
                <w:lang w:val="en-US"/>
              </w:rPr>
              <w:fldChar w:fldCharType="end"/>
            </w:r>
            <w:bookmarkEnd w:id="1"/>
          </w:p>
          <w:p w:rsidR="008855BE" w:rsidRPr="004E6131" w:rsidRDefault="008855BE" w:rsidP="004C4817">
            <w:r w:rsidRPr="004E6131">
              <w:rPr>
                <w:lang w:val="en-US"/>
              </w:rPr>
              <w:fldChar w:fldCharType="begin"/>
            </w:r>
            <w:r w:rsidRPr="004E6131">
              <w:instrText xml:space="preserve"> </w:instrText>
            </w:r>
            <w:r w:rsidRPr="004E6131">
              <w:rPr>
                <w:lang w:val="en-US"/>
              </w:rPr>
              <w:instrText>FILLIN</w:instrText>
            </w:r>
            <w:r w:rsidRPr="004E6131">
              <w:instrText xml:space="preserve">  "Введите дату документа" \* </w:instrText>
            </w:r>
            <w:r w:rsidRPr="004E6131">
              <w:rPr>
                <w:lang w:val="en-US"/>
              </w:rPr>
              <w:instrText>MERGEFORMAT</w:instrText>
            </w:r>
            <w:r w:rsidRPr="004E6131">
              <w:instrText xml:space="preserve"> </w:instrText>
            </w:r>
            <w:r w:rsidRPr="004E6131">
              <w:rPr>
                <w:lang w:val="en-US"/>
              </w:rPr>
              <w:fldChar w:fldCharType="separate"/>
            </w:r>
            <w:r w:rsidR="004C4817">
              <w:rPr>
                <w:lang w:val="en-US"/>
              </w:rPr>
              <w:t>22 March 2016</w:t>
            </w:r>
            <w:r w:rsidRPr="004E6131">
              <w:rPr>
                <w:lang w:val="en-US"/>
              </w:rPr>
              <w:fldChar w:fldCharType="end"/>
            </w:r>
          </w:p>
          <w:p w:rsidR="008855BE" w:rsidRPr="004E6131" w:rsidRDefault="008855BE" w:rsidP="004C4817">
            <w:r w:rsidRPr="004E6131">
              <w:rPr>
                <w:lang w:val="en-US"/>
              </w:rPr>
              <w:t>Russian</w:t>
            </w:r>
          </w:p>
          <w:p w:rsidR="008855BE" w:rsidRPr="004E6131" w:rsidRDefault="008855BE" w:rsidP="004C4817">
            <w:r w:rsidRPr="004E6131">
              <w:rPr>
                <w:lang w:val="en-US"/>
              </w:rPr>
              <w:t>Original</w:t>
            </w:r>
            <w:r w:rsidRPr="004E6131">
              <w:t xml:space="preserve">: </w:t>
            </w:r>
            <w:bookmarkStart w:id="2" w:name="ПолеСоСписком2"/>
            <w:r w:rsidRPr="004E6131">
              <w:rPr>
                <w:lang w:val="en-US"/>
              </w:rPr>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4E6131">
              <w:instrText xml:space="preserve"> </w:instrText>
            </w:r>
            <w:r w:rsidRPr="004E6131">
              <w:rPr>
                <w:lang w:val="en-US"/>
              </w:rPr>
              <w:instrText>FORMDROPDOWN</w:instrText>
            </w:r>
            <w:r w:rsidRPr="004E6131">
              <w:instrText xml:space="preserve"> </w:instrText>
            </w:r>
            <w:r w:rsidR="00882193">
              <w:rPr>
                <w:lang w:val="en-US"/>
              </w:rPr>
            </w:r>
            <w:r w:rsidR="00882193">
              <w:rPr>
                <w:lang w:val="en-US"/>
              </w:rPr>
              <w:fldChar w:fldCharType="separate"/>
            </w:r>
            <w:r w:rsidRPr="004E6131">
              <w:rPr>
                <w:lang w:val="en-US"/>
              </w:rPr>
              <w:fldChar w:fldCharType="end"/>
            </w:r>
            <w:bookmarkEnd w:id="2"/>
          </w:p>
          <w:p w:rsidR="008855BE" w:rsidRPr="00767C58" w:rsidRDefault="008855BE" w:rsidP="004C4817"/>
        </w:tc>
      </w:tr>
    </w:tbl>
    <w:p w:rsidR="004C4817" w:rsidRPr="00972995" w:rsidRDefault="004C4817" w:rsidP="00FE6372">
      <w:pPr>
        <w:spacing w:before="120"/>
        <w:rPr>
          <w:b/>
          <w:bCs/>
          <w:sz w:val="24"/>
          <w:szCs w:val="24"/>
        </w:rPr>
      </w:pPr>
      <w:r>
        <w:rPr>
          <w:b/>
          <w:bCs/>
          <w:sz w:val="24"/>
          <w:szCs w:val="24"/>
        </w:rPr>
        <w:t>К</w:t>
      </w:r>
      <w:r w:rsidRPr="00972995">
        <w:rPr>
          <w:b/>
          <w:bCs/>
          <w:sz w:val="24"/>
          <w:szCs w:val="24"/>
        </w:rPr>
        <w:t>омитет против пыток</w:t>
      </w:r>
    </w:p>
    <w:p w:rsidR="004C4817" w:rsidRPr="00972995" w:rsidRDefault="004C4817" w:rsidP="004C4817">
      <w:pPr>
        <w:rPr>
          <w:b/>
          <w:bCs/>
        </w:rPr>
      </w:pPr>
      <w:r w:rsidRPr="00972995">
        <w:rPr>
          <w:b/>
          <w:bCs/>
        </w:rPr>
        <w:t>Пятьдесят седьмая сессия</w:t>
      </w:r>
    </w:p>
    <w:p w:rsidR="004C4817" w:rsidRPr="00972995" w:rsidRDefault="004C4817" w:rsidP="004C4817">
      <w:pPr>
        <w:rPr>
          <w:bCs/>
        </w:rPr>
      </w:pPr>
      <w:r w:rsidRPr="00972995">
        <w:rPr>
          <w:bCs/>
        </w:rPr>
        <w:t>18 апреля</w:t>
      </w:r>
      <w:r>
        <w:rPr>
          <w:bCs/>
        </w:rPr>
        <w:t> –</w:t>
      </w:r>
      <w:r w:rsidRPr="00972995">
        <w:rPr>
          <w:bCs/>
        </w:rPr>
        <w:t xml:space="preserve"> 13 мая 2016 года</w:t>
      </w:r>
    </w:p>
    <w:p w:rsidR="004C4817" w:rsidRPr="00972995" w:rsidRDefault="004C4817" w:rsidP="004C4817">
      <w:pPr>
        <w:rPr>
          <w:bCs/>
        </w:rPr>
      </w:pPr>
      <w:r w:rsidRPr="00972995">
        <w:rPr>
          <w:bCs/>
        </w:rPr>
        <w:t>Пункт 5 предварительной повестки дня</w:t>
      </w:r>
    </w:p>
    <w:p w:rsidR="004C4817" w:rsidRPr="00972995" w:rsidRDefault="004C4817" w:rsidP="00351CDD">
      <w:pPr>
        <w:pStyle w:val="SingleTxtG"/>
        <w:ind w:left="0"/>
        <w:rPr>
          <w:b/>
          <w:lang w:val="ru-RU"/>
        </w:rPr>
      </w:pPr>
      <w:r w:rsidRPr="00972995">
        <w:rPr>
          <w:b/>
          <w:lang w:val="ru-RU"/>
        </w:rPr>
        <w:t>Организационные и другие вопросы</w:t>
      </w:r>
    </w:p>
    <w:p w:rsidR="004C4817" w:rsidRDefault="004C4817" w:rsidP="00AB184A">
      <w:pPr>
        <w:pStyle w:val="HChGR"/>
      </w:pPr>
      <w:r w:rsidRPr="00972995">
        <w:tab/>
      </w:r>
      <w:r w:rsidRPr="00972995">
        <w:tab/>
        <w:t>Девятый ежегодный доклад Подкомитета по</w:t>
      </w:r>
      <w:r w:rsidR="00351CDD">
        <w:t> </w:t>
      </w:r>
      <w:r w:rsidRPr="00972995">
        <w:t>предупреждению пыток и других жестоких, бесчеловечных или унижающих достоинство видов обращения и наказания</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5E0" w:firstRow="1" w:lastRow="1" w:firstColumn="1" w:lastColumn="1" w:noHBand="0" w:noVBand="1"/>
      </w:tblPr>
      <w:tblGrid>
        <w:gridCol w:w="9639"/>
      </w:tblGrid>
      <w:tr w:rsidR="004C4817" w:rsidTr="000E09E6">
        <w:tc>
          <w:tcPr>
            <w:tcW w:w="9639" w:type="dxa"/>
            <w:shd w:val="clear" w:color="auto" w:fill="auto"/>
          </w:tcPr>
          <w:p w:rsidR="004C4817" w:rsidRPr="004C4817" w:rsidRDefault="004C4817" w:rsidP="00980DEC">
            <w:pPr>
              <w:suppressAutoHyphens/>
              <w:spacing w:before="240" w:after="120"/>
              <w:ind w:left="255"/>
              <w:rPr>
                <w:i/>
                <w:sz w:val="24"/>
              </w:rPr>
            </w:pPr>
            <w:r w:rsidRPr="004C4817">
              <w:rPr>
                <w:i/>
                <w:sz w:val="24"/>
              </w:rPr>
              <w:t>Резюме</w:t>
            </w:r>
          </w:p>
        </w:tc>
      </w:tr>
      <w:tr w:rsidR="004C4817" w:rsidTr="000E09E6">
        <w:tc>
          <w:tcPr>
            <w:tcW w:w="9639" w:type="dxa"/>
            <w:shd w:val="clear" w:color="auto" w:fill="auto"/>
          </w:tcPr>
          <w:p w:rsidR="004C4817" w:rsidRPr="00972995" w:rsidRDefault="004C4817" w:rsidP="00980DEC">
            <w:pPr>
              <w:pStyle w:val="SingleTxtGR"/>
            </w:pPr>
            <w:r>
              <w:tab/>
            </w:r>
            <w:r w:rsidRPr="00972995">
              <w:t>В девятом ежегодном докладе Подкомитета по предупреждению пыток и других жестоких, бесчеловечных или унижающих достоинство видов о</w:t>
            </w:r>
            <w:r w:rsidRPr="00972995">
              <w:t>б</w:t>
            </w:r>
            <w:r w:rsidRPr="00972995">
              <w:t>ращения и наказания рассматривается работа Комитета в 2015 году.</w:t>
            </w:r>
          </w:p>
        </w:tc>
      </w:tr>
      <w:tr w:rsidR="004C4817" w:rsidTr="000E09E6">
        <w:tc>
          <w:tcPr>
            <w:tcW w:w="9639" w:type="dxa"/>
            <w:shd w:val="clear" w:color="auto" w:fill="auto"/>
          </w:tcPr>
          <w:p w:rsidR="004C4817" w:rsidRPr="00972995" w:rsidRDefault="004C4817" w:rsidP="00980DEC">
            <w:pPr>
              <w:pStyle w:val="SingleTxtGR"/>
            </w:pPr>
            <w:r>
              <w:tab/>
            </w:r>
            <w:r w:rsidRPr="00972995">
              <w:t>После краткого введения в разделе II приводится обновленная инфо</w:t>
            </w:r>
            <w:r w:rsidRPr="00972995">
              <w:t>р</w:t>
            </w:r>
            <w:r w:rsidRPr="00972995">
              <w:t>мация о событиях, связанных с системой Факультативного протокола к Ко</w:t>
            </w:r>
            <w:r w:rsidRPr="00972995">
              <w:t>н</w:t>
            </w:r>
            <w:r w:rsidRPr="00972995">
              <w:t>венции против пыток, включая посещения, увеличение числа государств-участников и назначенных национальных превентивных механизмов и фун</w:t>
            </w:r>
            <w:r w:rsidRPr="00972995">
              <w:t>к</w:t>
            </w:r>
            <w:r w:rsidRPr="00972995">
              <w:t>ционирование Специального фонда, учрежденного Факультативным проток</w:t>
            </w:r>
            <w:r w:rsidRPr="00972995">
              <w:t>о</w:t>
            </w:r>
            <w:r w:rsidRPr="00972995">
              <w:t>лом.</w:t>
            </w:r>
          </w:p>
        </w:tc>
      </w:tr>
      <w:tr w:rsidR="004C4817" w:rsidTr="000E09E6">
        <w:tc>
          <w:tcPr>
            <w:tcW w:w="9639" w:type="dxa"/>
            <w:shd w:val="clear" w:color="auto" w:fill="auto"/>
          </w:tcPr>
          <w:p w:rsidR="004C4817" w:rsidRPr="00972995" w:rsidRDefault="004C4817" w:rsidP="00980DEC">
            <w:pPr>
              <w:pStyle w:val="SingleTxtGR"/>
            </w:pPr>
            <w:r>
              <w:tab/>
            </w:r>
            <w:r w:rsidRPr="00972995">
              <w:t>В разделе III рассматриваются области сотрудничества между Подк</w:t>
            </w:r>
            <w:r w:rsidRPr="00972995">
              <w:t>о</w:t>
            </w:r>
            <w:r w:rsidRPr="00972995">
              <w:t>митетом и другими международными и региональными органами и гражда</w:t>
            </w:r>
            <w:r w:rsidRPr="00972995">
              <w:t>н</w:t>
            </w:r>
            <w:r w:rsidRPr="00972995">
              <w:t>ским обществом.</w:t>
            </w:r>
          </w:p>
        </w:tc>
      </w:tr>
      <w:tr w:rsidR="004C4817" w:rsidTr="00724109">
        <w:tc>
          <w:tcPr>
            <w:tcW w:w="9639" w:type="dxa"/>
            <w:tcBorders>
              <w:bottom w:val="nil"/>
            </w:tcBorders>
            <w:shd w:val="clear" w:color="auto" w:fill="auto"/>
          </w:tcPr>
          <w:p w:rsidR="004C4817" w:rsidRPr="00972995" w:rsidRDefault="004C4817" w:rsidP="00980DEC">
            <w:pPr>
              <w:pStyle w:val="SingleTxtGR"/>
            </w:pPr>
            <w:r>
              <w:tab/>
            </w:r>
            <w:r w:rsidRPr="00972995">
              <w:t>В разделе IV представлена информация, касающаяся практических м</w:t>
            </w:r>
            <w:r w:rsidRPr="00972995">
              <w:t>е</w:t>
            </w:r>
            <w:r w:rsidRPr="00972995">
              <w:t>тодов работы Комитета, включая предварительные выводы по некоторым в</w:t>
            </w:r>
            <w:r w:rsidRPr="00972995">
              <w:t>о</w:t>
            </w:r>
            <w:r w:rsidRPr="00972995">
              <w:t>просам существа.</w:t>
            </w:r>
          </w:p>
        </w:tc>
      </w:tr>
      <w:tr w:rsidR="004C4817" w:rsidTr="00724109">
        <w:tc>
          <w:tcPr>
            <w:tcW w:w="9639" w:type="dxa"/>
            <w:tcBorders>
              <w:top w:val="nil"/>
              <w:bottom w:val="nil"/>
            </w:tcBorders>
            <w:shd w:val="clear" w:color="auto" w:fill="auto"/>
          </w:tcPr>
          <w:p w:rsidR="004C4817" w:rsidRPr="00972995" w:rsidRDefault="004C4817" w:rsidP="00980DEC">
            <w:pPr>
              <w:pStyle w:val="SingleTxtGR"/>
            </w:pPr>
            <w:r>
              <w:tab/>
            </w:r>
            <w:r w:rsidRPr="00972995">
              <w:t>В разделе V излагаются мнения Подкомитета по поводу предупрежд</w:t>
            </w:r>
            <w:r w:rsidRPr="00972995">
              <w:t>е</w:t>
            </w:r>
            <w:r w:rsidRPr="00972995">
              <w:t xml:space="preserve">ния применения пыток и других жестоких, бесчеловечных или унижающих достоинство видов обращения и наказания в отношении лесбиянок, </w:t>
            </w:r>
            <w:proofErr w:type="spellStart"/>
            <w:r w:rsidRPr="00972995">
              <w:t>геев</w:t>
            </w:r>
            <w:proofErr w:type="spellEnd"/>
            <w:r w:rsidRPr="00972995">
              <w:t xml:space="preserve">, </w:t>
            </w:r>
            <w:r w:rsidR="00D65CC2">
              <w:br/>
            </w:r>
            <w:r w:rsidRPr="00972995">
              <w:t>б</w:t>
            </w:r>
            <w:r w:rsidRPr="00972995">
              <w:t>и</w:t>
            </w:r>
            <w:r w:rsidRPr="00972995">
              <w:t>сексуалов, транссексуалов и интерсексуалов.</w:t>
            </w:r>
          </w:p>
        </w:tc>
      </w:tr>
      <w:tr w:rsidR="004C4817" w:rsidTr="00724109">
        <w:tc>
          <w:tcPr>
            <w:tcW w:w="9639" w:type="dxa"/>
            <w:tcBorders>
              <w:top w:val="nil"/>
              <w:bottom w:val="nil"/>
            </w:tcBorders>
            <w:shd w:val="clear" w:color="auto" w:fill="auto"/>
          </w:tcPr>
          <w:p w:rsidR="004C4817" w:rsidRPr="00972995" w:rsidRDefault="004C4817" w:rsidP="00980DEC">
            <w:pPr>
              <w:pStyle w:val="SingleTxtGR"/>
              <w:keepNext/>
              <w:keepLines/>
            </w:pPr>
            <w:r>
              <w:tab/>
            </w:r>
            <w:r w:rsidRPr="00FB40DC">
              <w:rPr>
                <w:spacing w:val="2"/>
              </w:rPr>
              <w:t xml:space="preserve">В разделе VI анализируются программа работы Подкомитета на 2016 год </w:t>
            </w:r>
            <w:r w:rsidRPr="00972995">
              <w:t>и практические проблемы, возникающие перед Подкомитетом по мере с</w:t>
            </w:r>
            <w:r w:rsidRPr="00972995">
              <w:t>о</w:t>
            </w:r>
            <w:r w:rsidRPr="00972995">
              <w:t>вершенствования им своей работы.</w:t>
            </w:r>
          </w:p>
        </w:tc>
      </w:tr>
      <w:tr w:rsidR="004C4817" w:rsidTr="00724109">
        <w:tc>
          <w:tcPr>
            <w:tcW w:w="9639" w:type="dxa"/>
            <w:tcBorders>
              <w:top w:val="nil"/>
            </w:tcBorders>
            <w:shd w:val="clear" w:color="auto" w:fill="auto"/>
          </w:tcPr>
          <w:p w:rsidR="004C4817" w:rsidRPr="00972995" w:rsidRDefault="004C4817" w:rsidP="00980DEC">
            <w:pPr>
              <w:pStyle w:val="SingleTxtGR"/>
              <w:keepNext/>
              <w:keepLines/>
            </w:pPr>
            <w:r>
              <w:tab/>
            </w:r>
            <w:r w:rsidRPr="00972995">
              <w:t>В приложении содержится подборка рекомендаций, вынесенных По</w:t>
            </w:r>
            <w:r w:rsidRPr="00972995">
              <w:t>д</w:t>
            </w:r>
            <w:r w:rsidRPr="00972995">
              <w:t>комитетом в 2015 году в ответ на просьбы национальных превентивных м</w:t>
            </w:r>
            <w:r w:rsidRPr="00972995">
              <w:t>е</w:t>
            </w:r>
            <w:r w:rsidRPr="00972995">
              <w:t>ханизмов.</w:t>
            </w:r>
          </w:p>
        </w:tc>
      </w:tr>
    </w:tbl>
    <w:p w:rsidR="004C4817" w:rsidRPr="00F627DB" w:rsidRDefault="004C4817" w:rsidP="00980DEC">
      <w:pPr>
        <w:pStyle w:val="SingleTxtGR"/>
        <w:pageBreakBefore/>
        <w:suppressAutoHyphens/>
        <w:ind w:left="0" w:right="0"/>
        <w:jc w:val="left"/>
        <w:rPr>
          <w:sz w:val="28"/>
        </w:rPr>
      </w:pPr>
      <w:r w:rsidRPr="00F627DB">
        <w:rPr>
          <w:sz w:val="28"/>
        </w:rPr>
        <w:t>Содержание</w:t>
      </w:r>
    </w:p>
    <w:p w:rsidR="004C4817" w:rsidRPr="00E77EB3" w:rsidRDefault="004C4817" w:rsidP="004C4817">
      <w:pPr>
        <w:pStyle w:val="SingleTxtGR"/>
        <w:tabs>
          <w:tab w:val="clear" w:pos="1701"/>
          <w:tab w:val="clear" w:pos="2268"/>
          <w:tab w:val="clear" w:pos="2835"/>
          <w:tab w:val="clear" w:pos="3402"/>
          <w:tab w:val="clear" w:pos="3969"/>
          <w:tab w:val="right" w:pos="9638"/>
        </w:tabs>
        <w:suppressAutoHyphens/>
        <w:ind w:left="283" w:right="0"/>
        <w:jc w:val="left"/>
        <w:rPr>
          <w:sz w:val="18"/>
        </w:rPr>
      </w:pPr>
      <w:r>
        <w:rPr>
          <w:b/>
          <w:i/>
          <w:sz w:val="18"/>
        </w:rPr>
        <w:tab/>
      </w:r>
      <w:r w:rsidRPr="00E77EB3">
        <w:rPr>
          <w:i/>
          <w:sz w:val="18"/>
        </w:rPr>
        <w:t>Стр.</w:t>
      </w:r>
    </w:p>
    <w:p w:rsidR="004C4817" w:rsidRPr="00ED257A" w:rsidRDefault="004C4817" w:rsidP="004C4817">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rPr>
          <w:b/>
        </w:rPr>
        <w:tab/>
      </w:r>
      <w:r w:rsidRPr="004C4817">
        <w:t>I.</w:t>
      </w:r>
      <w:r w:rsidRPr="004C4817">
        <w:tab/>
        <w:t>Введение</w:t>
      </w:r>
      <w:r w:rsidRPr="004C4817">
        <w:tab/>
      </w:r>
      <w:r w:rsidRPr="004C4817">
        <w:tab/>
      </w:r>
      <w:r w:rsidR="00ED257A" w:rsidRPr="00ED257A">
        <w:t>4</w:t>
      </w:r>
    </w:p>
    <w:p w:rsidR="004C4817" w:rsidRPr="00ED257A" w:rsidRDefault="004C4817" w:rsidP="004C4817">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rPr>
          <w:lang w:val="en-US"/>
        </w:rPr>
      </w:pPr>
      <w:r w:rsidRPr="004C4817">
        <w:tab/>
        <w:t>II.</w:t>
      </w:r>
      <w:r w:rsidRPr="004C4817">
        <w:tab/>
        <w:t>Обзорный год</w:t>
      </w:r>
      <w:r w:rsidRPr="004C4817">
        <w:tab/>
      </w:r>
      <w:r w:rsidRPr="004C4817">
        <w:tab/>
      </w:r>
      <w:r w:rsidR="00ED257A">
        <w:rPr>
          <w:lang w:val="en-US"/>
        </w:rPr>
        <w:t>4</w:t>
      </w:r>
    </w:p>
    <w:p w:rsidR="004C4817" w:rsidRPr="00ED257A" w:rsidRDefault="004C4817" w:rsidP="004C4817">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rsidRPr="004C4817">
        <w:tab/>
      </w:r>
      <w:r w:rsidRPr="004C4817">
        <w:tab/>
        <w:t>A.</w:t>
      </w:r>
      <w:r w:rsidRPr="004C4817">
        <w:tab/>
        <w:t>Участие в системе Факультативного протокола</w:t>
      </w:r>
      <w:r w:rsidRPr="004C4817">
        <w:tab/>
      </w:r>
      <w:r w:rsidRPr="004C4817">
        <w:tab/>
      </w:r>
      <w:r w:rsidR="00ED257A" w:rsidRPr="00ED257A">
        <w:t>4</w:t>
      </w:r>
    </w:p>
    <w:p w:rsidR="004C4817" w:rsidRPr="00ED257A" w:rsidRDefault="004C4817" w:rsidP="004C4817">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rsidRPr="004C4817">
        <w:tab/>
      </w:r>
      <w:r w:rsidRPr="004C4817">
        <w:tab/>
        <w:t>B.</w:t>
      </w:r>
      <w:r w:rsidRPr="004C4817">
        <w:tab/>
        <w:t>Вопросы, касающиеся организации работы и членского состава</w:t>
      </w:r>
      <w:r w:rsidRPr="004C4817">
        <w:tab/>
      </w:r>
      <w:r w:rsidRPr="004C4817">
        <w:tab/>
      </w:r>
      <w:r w:rsidR="00ED257A" w:rsidRPr="00ED257A">
        <w:t>4</w:t>
      </w:r>
    </w:p>
    <w:p w:rsidR="004C4817" w:rsidRPr="00ED257A" w:rsidRDefault="004C4817" w:rsidP="004C4817">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rsidRPr="004C4817">
        <w:tab/>
      </w:r>
      <w:r w:rsidRPr="004C4817">
        <w:tab/>
        <w:t>C.</w:t>
      </w:r>
      <w:r w:rsidRPr="004C4817">
        <w:tab/>
        <w:t>Посещения, проведенные за отчетный период</w:t>
      </w:r>
      <w:r w:rsidRPr="004C4817">
        <w:tab/>
      </w:r>
      <w:r w:rsidRPr="004C4817">
        <w:tab/>
      </w:r>
      <w:r w:rsidR="00ED257A" w:rsidRPr="00ED257A">
        <w:t>5</w:t>
      </w:r>
    </w:p>
    <w:p w:rsidR="004C4817" w:rsidRPr="00ED257A" w:rsidRDefault="004C4817" w:rsidP="00B113CB">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1559" w:right="0" w:hanging="1559"/>
        <w:jc w:val="left"/>
      </w:pPr>
      <w:r w:rsidRPr="004C4817">
        <w:tab/>
      </w:r>
      <w:r w:rsidRPr="004C4817">
        <w:tab/>
        <w:t>D.</w:t>
      </w:r>
      <w:r w:rsidRPr="004C4817">
        <w:tab/>
        <w:t>Диалог в связи с посещениями, включая публикацию докла</w:t>
      </w:r>
      <w:r w:rsidR="00C034B9">
        <w:t>дов</w:t>
      </w:r>
      <w:r w:rsidR="00F627DB">
        <w:t xml:space="preserve"> </w:t>
      </w:r>
      <w:r w:rsidR="00F627DB">
        <w:br/>
      </w:r>
      <w:r w:rsidRPr="004C4817">
        <w:t>Подкомитета</w:t>
      </w:r>
      <w:r w:rsidR="00B113CB">
        <w:t xml:space="preserve"> </w:t>
      </w:r>
      <w:r w:rsidRPr="004C4817">
        <w:t xml:space="preserve">государствами-участниками и национальными </w:t>
      </w:r>
      <w:r w:rsidR="00F627DB">
        <w:br/>
      </w:r>
      <w:r w:rsidRPr="004C4817">
        <w:t>превентивными механизмами</w:t>
      </w:r>
      <w:r w:rsidRPr="004C4817">
        <w:tab/>
      </w:r>
      <w:r w:rsidR="00ED257A">
        <w:tab/>
      </w:r>
      <w:r w:rsidR="00ED257A" w:rsidRPr="00ED257A">
        <w:t>6</w:t>
      </w:r>
    </w:p>
    <w:p w:rsidR="004C4817" w:rsidRPr="00ED257A" w:rsidRDefault="004C4817" w:rsidP="004C4817">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rsidRPr="004C4817">
        <w:tab/>
      </w:r>
      <w:r w:rsidRPr="004C4817">
        <w:tab/>
        <w:t>E.</w:t>
      </w:r>
      <w:r w:rsidRPr="004C4817">
        <w:tab/>
        <w:t>Положение дел с национальными превентивными механизмами</w:t>
      </w:r>
      <w:r w:rsidRPr="004C4817">
        <w:tab/>
      </w:r>
      <w:r w:rsidR="00ED257A">
        <w:tab/>
      </w:r>
      <w:r w:rsidR="00ED257A" w:rsidRPr="00ED257A">
        <w:t>7</w:t>
      </w:r>
    </w:p>
    <w:p w:rsidR="004C4817" w:rsidRPr="00ED257A" w:rsidRDefault="004C4817" w:rsidP="004C4817">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rsidRPr="004C4817">
        <w:tab/>
      </w:r>
      <w:r w:rsidRPr="004C4817">
        <w:tab/>
        <w:t>F.</w:t>
      </w:r>
      <w:r w:rsidRPr="004C4817">
        <w:tab/>
        <w:t>Специальный фонд, созданный Факультативным протоколом</w:t>
      </w:r>
      <w:r w:rsidRPr="004C4817">
        <w:tab/>
      </w:r>
      <w:r w:rsidR="00ED257A">
        <w:tab/>
      </w:r>
      <w:r w:rsidR="00ED257A" w:rsidRPr="00ED257A">
        <w:t>8</w:t>
      </w:r>
    </w:p>
    <w:p w:rsidR="004C4817" w:rsidRPr="00ED257A" w:rsidRDefault="004C4817" w:rsidP="004C4817">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rsidRPr="004C4817">
        <w:tab/>
        <w:t>III.</w:t>
      </w:r>
      <w:r w:rsidRPr="004C4817">
        <w:tab/>
        <w:t>Взаимодействие с другими органами в области предупреждения пыток</w:t>
      </w:r>
      <w:r w:rsidRPr="004C4817">
        <w:tab/>
      </w:r>
      <w:r w:rsidR="00ED257A">
        <w:tab/>
      </w:r>
      <w:r w:rsidR="00ED257A" w:rsidRPr="00ED257A">
        <w:t>9</w:t>
      </w:r>
    </w:p>
    <w:p w:rsidR="004C4817" w:rsidRPr="00ED257A" w:rsidRDefault="004C4817" w:rsidP="004C4817">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rsidRPr="004C4817">
        <w:tab/>
      </w:r>
      <w:r w:rsidRPr="004C4817">
        <w:tab/>
        <w:t>A.</w:t>
      </w:r>
      <w:r w:rsidRPr="004C4817">
        <w:tab/>
        <w:t>Международное сотрудничество</w:t>
      </w:r>
      <w:r w:rsidRPr="004C4817">
        <w:tab/>
      </w:r>
      <w:r w:rsidR="00ED257A">
        <w:tab/>
      </w:r>
      <w:r w:rsidR="00ED257A" w:rsidRPr="00ED257A">
        <w:t>9</w:t>
      </w:r>
    </w:p>
    <w:p w:rsidR="004C4817" w:rsidRPr="00ED257A" w:rsidRDefault="004C4817" w:rsidP="004C4817">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rsidRPr="004C4817">
        <w:tab/>
      </w:r>
      <w:r w:rsidRPr="004C4817">
        <w:tab/>
        <w:t>B.</w:t>
      </w:r>
      <w:r w:rsidRPr="004C4817">
        <w:tab/>
        <w:t>Региональное сотрудничество</w:t>
      </w:r>
      <w:r w:rsidRPr="004C4817">
        <w:tab/>
      </w:r>
      <w:r w:rsidR="00ED257A">
        <w:tab/>
      </w:r>
      <w:r w:rsidR="00ED257A" w:rsidRPr="00ED257A">
        <w:t>10</w:t>
      </w:r>
    </w:p>
    <w:p w:rsidR="004C4817" w:rsidRPr="00ED257A" w:rsidRDefault="004C4817" w:rsidP="004C4817">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rsidRPr="004C4817">
        <w:tab/>
      </w:r>
      <w:r w:rsidRPr="004C4817">
        <w:tab/>
        <w:t>C.</w:t>
      </w:r>
      <w:r w:rsidRPr="004C4817">
        <w:tab/>
        <w:t>Гражданское общество</w:t>
      </w:r>
      <w:r w:rsidRPr="004C4817">
        <w:tab/>
      </w:r>
      <w:r w:rsidR="00E77EB3">
        <w:tab/>
      </w:r>
      <w:r w:rsidR="00ED257A" w:rsidRPr="00ED257A">
        <w:t>10</w:t>
      </w:r>
    </w:p>
    <w:p w:rsidR="004C4817" w:rsidRPr="00ED257A" w:rsidRDefault="004C4817" w:rsidP="00B113CB">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1140" w:right="0" w:hanging="1140"/>
        <w:jc w:val="left"/>
      </w:pPr>
      <w:r w:rsidRPr="004C4817">
        <w:tab/>
        <w:t>IV.</w:t>
      </w:r>
      <w:r w:rsidRPr="004C4817">
        <w:tab/>
        <w:t xml:space="preserve">Заслуживающие внимания вопросы, которые возникли в связи с работой </w:t>
      </w:r>
      <w:r w:rsidR="00B113CB">
        <w:br/>
      </w:r>
      <w:r w:rsidRPr="004C4817">
        <w:t>Подкомитета</w:t>
      </w:r>
      <w:r w:rsidR="00B113CB">
        <w:t xml:space="preserve"> </w:t>
      </w:r>
      <w:r w:rsidRPr="004C4817">
        <w:t>за обзорный период</w:t>
      </w:r>
      <w:r w:rsidRPr="004C4817">
        <w:tab/>
      </w:r>
      <w:r w:rsidRPr="004C4817">
        <w:tab/>
      </w:r>
      <w:r w:rsidR="00ED257A" w:rsidRPr="00ED257A">
        <w:t>10</w:t>
      </w:r>
    </w:p>
    <w:p w:rsidR="004C4817" w:rsidRPr="00ED257A" w:rsidRDefault="004C4817" w:rsidP="004C4817">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rsidRPr="004C4817">
        <w:tab/>
      </w:r>
      <w:r w:rsidRPr="004C4817">
        <w:tab/>
        <w:t>A.</w:t>
      </w:r>
      <w:r w:rsidRPr="004C4817">
        <w:tab/>
        <w:t>Изменения в членском составе</w:t>
      </w:r>
      <w:r w:rsidRPr="004C4817">
        <w:tab/>
      </w:r>
      <w:r w:rsidRPr="004C4817">
        <w:tab/>
      </w:r>
      <w:r w:rsidR="00ED257A" w:rsidRPr="00ED257A">
        <w:t>10</w:t>
      </w:r>
    </w:p>
    <w:p w:rsidR="004C4817" w:rsidRPr="00ED257A" w:rsidRDefault="004C4817" w:rsidP="004C4817">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rsidRPr="004C4817">
        <w:tab/>
      </w:r>
      <w:r w:rsidRPr="004C4817">
        <w:tab/>
        <w:t>B.</w:t>
      </w:r>
      <w:r w:rsidRPr="004C4817">
        <w:tab/>
        <w:t>Развитие практических методов работы</w:t>
      </w:r>
      <w:r w:rsidRPr="004C4817">
        <w:tab/>
      </w:r>
      <w:r w:rsidRPr="004C4817">
        <w:tab/>
      </w:r>
      <w:r w:rsidR="00ED257A">
        <w:t>1</w:t>
      </w:r>
      <w:r w:rsidR="00ED257A" w:rsidRPr="00ED257A">
        <w:t>1</w:t>
      </w:r>
    </w:p>
    <w:p w:rsidR="004C4817" w:rsidRPr="00ED257A" w:rsidRDefault="004C4817" w:rsidP="00B113CB">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right="0" w:hanging="1134"/>
        <w:jc w:val="left"/>
      </w:pPr>
      <w:r w:rsidRPr="004C4817">
        <w:tab/>
        <w:t>V.</w:t>
      </w:r>
      <w:r w:rsidRPr="004C4817">
        <w:tab/>
        <w:t xml:space="preserve">Вопросы существа: предупреждение применения пыток и других жестоких, </w:t>
      </w:r>
      <w:r w:rsidR="00B113CB">
        <w:br/>
      </w:r>
      <w:r w:rsidRPr="004C4817">
        <w:t>бесчеловечных</w:t>
      </w:r>
      <w:r w:rsidR="00B113CB">
        <w:t xml:space="preserve"> </w:t>
      </w:r>
      <w:r w:rsidRPr="004C4817">
        <w:t xml:space="preserve">или унижающих достоинство видов обращения и наказания </w:t>
      </w:r>
      <w:r w:rsidR="00B113CB">
        <w:br/>
      </w:r>
      <w:r w:rsidRPr="004C4817">
        <w:t xml:space="preserve">в отношении лесбиянок, гомосексуалистов, бисексуалов, трансгендеров </w:t>
      </w:r>
      <w:r w:rsidR="00B113CB">
        <w:br/>
      </w:r>
      <w:r w:rsidRPr="004C4817">
        <w:t>и интерсексуалов</w:t>
      </w:r>
      <w:r w:rsidRPr="004C4817">
        <w:tab/>
      </w:r>
      <w:r w:rsidRPr="004C4817">
        <w:tab/>
      </w:r>
      <w:r w:rsidR="00ED257A">
        <w:t>1</w:t>
      </w:r>
      <w:r w:rsidR="00ED257A" w:rsidRPr="00ED257A">
        <w:t>3</w:t>
      </w:r>
    </w:p>
    <w:p w:rsidR="004C4817" w:rsidRPr="00ED257A" w:rsidRDefault="004C4817" w:rsidP="004C4817">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rsidRPr="004C4817">
        <w:tab/>
      </w:r>
      <w:r w:rsidRPr="004C4817">
        <w:tab/>
        <w:t>A.</w:t>
      </w:r>
      <w:r w:rsidRPr="004C4817">
        <w:tab/>
        <w:t>Введение</w:t>
      </w:r>
      <w:r w:rsidRPr="004C4817">
        <w:tab/>
      </w:r>
      <w:r w:rsidRPr="004C4817">
        <w:tab/>
      </w:r>
      <w:r w:rsidR="00ED257A">
        <w:t>1</w:t>
      </w:r>
      <w:r w:rsidR="00ED257A" w:rsidRPr="00ED257A">
        <w:t>3</w:t>
      </w:r>
    </w:p>
    <w:p w:rsidR="004C4817" w:rsidRPr="00ED257A" w:rsidRDefault="004C4817" w:rsidP="00B113CB">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1559" w:right="0" w:hanging="1559"/>
        <w:jc w:val="left"/>
      </w:pPr>
      <w:r w:rsidRPr="004C4817">
        <w:tab/>
      </w:r>
      <w:r w:rsidRPr="004C4817">
        <w:tab/>
        <w:t>B.</w:t>
      </w:r>
      <w:r w:rsidRPr="004C4817">
        <w:tab/>
        <w:t xml:space="preserve">Лесбиянки, </w:t>
      </w:r>
      <w:proofErr w:type="spellStart"/>
      <w:r w:rsidRPr="004C4817">
        <w:t>геи</w:t>
      </w:r>
      <w:proofErr w:type="spellEnd"/>
      <w:r w:rsidRPr="004C4817">
        <w:t>, бисексуалы, транссексуалы и интерсексуалы, сексуальная</w:t>
      </w:r>
      <w:r w:rsidRPr="004C4817">
        <w:br/>
        <w:t>ориентация и гендерная идентичность</w:t>
      </w:r>
      <w:r w:rsidRPr="004C4817">
        <w:tab/>
      </w:r>
      <w:r w:rsidRPr="004C4817">
        <w:tab/>
      </w:r>
      <w:r w:rsidR="00ED257A">
        <w:t>1</w:t>
      </w:r>
      <w:r w:rsidR="00ED257A" w:rsidRPr="00ED257A">
        <w:t>4</w:t>
      </w:r>
    </w:p>
    <w:p w:rsidR="004C4817" w:rsidRPr="00ED257A" w:rsidRDefault="004C4817" w:rsidP="00B113CB">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1559" w:right="0" w:hanging="1559"/>
        <w:jc w:val="left"/>
      </w:pPr>
      <w:r w:rsidRPr="004C4817">
        <w:tab/>
      </w:r>
      <w:r w:rsidRPr="004C4817">
        <w:tab/>
        <w:t>C.</w:t>
      </w:r>
      <w:r w:rsidRPr="004C4817">
        <w:tab/>
        <w:t xml:space="preserve">Применение пыток и других жестоких, бесчеловечных или унижающих </w:t>
      </w:r>
      <w:r w:rsidR="00B113CB">
        <w:br/>
      </w:r>
      <w:r w:rsidRPr="004C4817">
        <w:t>достоинство</w:t>
      </w:r>
      <w:r w:rsidR="00B113CB">
        <w:t xml:space="preserve"> </w:t>
      </w:r>
      <w:r w:rsidRPr="004C4817">
        <w:t xml:space="preserve">видов обращения и наказания в отношении лесбиянок, </w:t>
      </w:r>
      <w:r w:rsidR="00B113CB">
        <w:br/>
      </w:r>
      <w:r w:rsidRPr="004C4817">
        <w:t>гомосексуалистов,</w:t>
      </w:r>
      <w:r w:rsidR="00B113CB">
        <w:t xml:space="preserve"> </w:t>
      </w:r>
      <w:r w:rsidRPr="004C4817">
        <w:t>бисексуалов, трансгендеров и интерсексуалов</w:t>
      </w:r>
      <w:r w:rsidRPr="004C4817">
        <w:tab/>
      </w:r>
      <w:r w:rsidRPr="004C4817">
        <w:tab/>
      </w:r>
      <w:r w:rsidR="00ED257A">
        <w:t>1</w:t>
      </w:r>
      <w:r w:rsidR="00ED257A" w:rsidRPr="00ED257A">
        <w:t>5</w:t>
      </w:r>
    </w:p>
    <w:p w:rsidR="004C4817" w:rsidRPr="00ED257A" w:rsidRDefault="004C4817" w:rsidP="004C4817">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rsidRPr="004C4817">
        <w:tab/>
      </w:r>
      <w:r w:rsidRPr="004C4817">
        <w:tab/>
        <w:t>D.</w:t>
      </w:r>
      <w:r w:rsidRPr="004C4817">
        <w:tab/>
        <w:t>Обязанность по предупреждению</w:t>
      </w:r>
      <w:r w:rsidRPr="004C4817">
        <w:tab/>
      </w:r>
      <w:r w:rsidRPr="004C4817">
        <w:tab/>
      </w:r>
      <w:r w:rsidR="00ED257A">
        <w:t>1</w:t>
      </w:r>
      <w:r w:rsidR="00ED257A" w:rsidRPr="00ED257A">
        <w:t>9</w:t>
      </w:r>
    </w:p>
    <w:p w:rsidR="004C4817" w:rsidRPr="00ED257A" w:rsidRDefault="004C4817" w:rsidP="004C4817">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rsidRPr="004C4817">
        <w:tab/>
        <w:t>VI.</w:t>
      </w:r>
      <w:r w:rsidRPr="004C4817">
        <w:tab/>
        <w:t>Перспективы на будущее</w:t>
      </w:r>
      <w:r w:rsidRPr="004C4817">
        <w:tab/>
      </w:r>
      <w:r w:rsidRPr="004C4817">
        <w:tab/>
      </w:r>
      <w:r w:rsidR="00ED257A">
        <w:t>2</w:t>
      </w:r>
      <w:r w:rsidR="00ED257A" w:rsidRPr="00ED257A">
        <w:t>1</w:t>
      </w:r>
    </w:p>
    <w:p w:rsidR="004C4817" w:rsidRPr="00ED257A" w:rsidRDefault="004C4817" w:rsidP="004C4817">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rsidRPr="004C4817">
        <w:tab/>
      </w:r>
      <w:r w:rsidRPr="004C4817">
        <w:tab/>
        <w:t>A.</w:t>
      </w:r>
      <w:r w:rsidRPr="004C4817">
        <w:tab/>
        <w:t>План будущей работы</w:t>
      </w:r>
      <w:r w:rsidRPr="004C4817">
        <w:tab/>
      </w:r>
      <w:r w:rsidRPr="004C4817">
        <w:tab/>
      </w:r>
      <w:r w:rsidR="00ED257A">
        <w:t>2</w:t>
      </w:r>
      <w:r w:rsidR="00ED257A" w:rsidRPr="00ED257A">
        <w:t>3</w:t>
      </w:r>
    </w:p>
    <w:p w:rsidR="004C4817" w:rsidRPr="00ED257A" w:rsidRDefault="004C4817" w:rsidP="004C4817">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rPr>
          <w:lang w:val="en-US"/>
        </w:rPr>
      </w:pPr>
      <w:r w:rsidRPr="004C4817">
        <w:tab/>
      </w:r>
      <w:r w:rsidRPr="004C4817">
        <w:tab/>
        <w:t>B.</w:t>
      </w:r>
      <w:r w:rsidRPr="004C4817">
        <w:tab/>
        <w:t>Ежегодные доклады</w:t>
      </w:r>
      <w:r w:rsidRPr="004C4817">
        <w:tab/>
      </w:r>
      <w:r w:rsidRPr="004C4817">
        <w:tab/>
      </w:r>
      <w:r w:rsidR="00ED257A">
        <w:t>2</w:t>
      </w:r>
      <w:r w:rsidR="00ED257A">
        <w:rPr>
          <w:lang w:val="en-US"/>
        </w:rPr>
        <w:t>3</w:t>
      </w:r>
    </w:p>
    <w:p w:rsidR="004C4817" w:rsidRPr="004C4817" w:rsidRDefault="004C4817" w:rsidP="004C4817">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left="0" w:right="0"/>
        <w:jc w:val="left"/>
      </w:pPr>
      <w:r w:rsidRPr="004C4817">
        <w:t>Приложение</w:t>
      </w:r>
    </w:p>
    <w:p w:rsidR="004C4817" w:rsidRPr="00ED257A" w:rsidRDefault="004C4817" w:rsidP="00B113CB">
      <w:pPr>
        <w:pStyle w:val="SingleTxtGR"/>
        <w:tabs>
          <w:tab w:val="clear" w:pos="1701"/>
          <w:tab w:val="clear" w:pos="2268"/>
          <w:tab w:val="clear" w:pos="2835"/>
          <w:tab w:val="clear" w:pos="3402"/>
          <w:tab w:val="clear" w:pos="3969"/>
          <w:tab w:val="right" w:pos="850"/>
          <w:tab w:val="left" w:pos="1134"/>
          <w:tab w:val="left" w:pos="1559"/>
          <w:tab w:val="left" w:pos="1984"/>
          <w:tab w:val="left" w:leader="dot" w:pos="8787"/>
          <w:tab w:val="right" w:pos="9638"/>
        </w:tabs>
        <w:suppressAutoHyphens/>
        <w:ind w:right="0"/>
        <w:jc w:val="left"/>
      </w:pPr>
      <w:r w:rsidRPr="004C4817">
        <w:t>Подборка рекомендаций, вынесенных Подкомитетом в ответ на просьбы</w:t>
      </w:r>
      <w:r w:rsidRPr="004C4817">
        <w:br/>
        <w:t>национальных превентивных механизмов</w:t>
      </w:r>
      <w:r w:rsidRPr="004C4817">
        <w:tab/>
      </w:r>
      <w:r w:rsidRPr="004C4817">
        <w:tab/>
      </w:r>
      <w:r w:rsidR="00ED257A">
        <w:t>2</w:t>
      </w:r>
      <w:r w:rsidR="00ED257A" w:rsidRPr="00ED257A">
        <w:t>4</w:t>
      </w:r>
    </w:p>
    <w:p w:rsidR="004C4817" w:rsidRPr="004C4817" w:rsidRDefault="004C4817" w:rsidP="002E6BB5">
      <w:pPr>
        <w:pStyle w:val="HChGR"/>
      </w:pPr>
      <w:r w:rsidRPr="004C4817">
        <w:br w:type="page"/>
      </w:r>
      <w:r w:rsidRPr="004C4817">
        <w:tab/>
        <w:t>I.</w:t>
      </w:r>
      <w:r w:rsidRPr="004C4817">
        <w:tab/>
        <w:t>Введение</w:t>
      </w:r>
    </w:p>
    <w:p w:rsidR="004C4817" w:rsidRPr="004C4817" w:rsidRDefault="004C4817" w:rsidP="004C4817">
      <w:pPr>
        <w:pStyle w:val="SingleTxtGR"/>
      </w:pPr>
      <w:r w:rsidRPr="004C4817">
        <w:rPr>
          <w:bCs/>
        </w:rPr>
        <w:t>1.</w:t>
      </w:r>
      <w:r w:rsidRPr="004C4817">
        <w:rPr>
          <w:bCs/>
        </w:rPr>
        <w:tab/>
      </w:r>
      <w:r w:rsidRPr="004C4817">
        <w:t>В соответствии с пунктом 3 статьи 16 Факультативного протокола к Ко</w:t>
      </w:r>
      <w:r w:rsidRPr="004C4817">
        <w:t>н</w:t>
      </w:r>
      <w:r w:rsidRPr="004C4817">
        <w:t>венции против пыток и других жестоких, бесчеловечных или унижающих д</w:t>
      </w:r>
      <w:r w:rsidRPr="004C4817">
        <w:t>о</w:t>
      </w:r>
      <w:r w:rsidRPr="004C4817">
        <w:t>стоинство видов обращения и наказания девятый ежегодный доклад, охватыв</w:t>
      </w:r>
      <w:r w:rsidRPr="004C4817">
        <w:t>а</w:t>
      </w:r>
      <w:r w:rsidRPr="004C4817">
        <w:t>ющий деятельность Подкомитета с 1 января по 31 декабря 2015 года, был пр</w:t>
      </w:r>
      <w:r w:rsidRPr="004C4817">
        <w:t>и</w:t>
      </w:r>
      <w:r w:rsidRPr="004C4817">
        <w:t>нят Подкомитетом на его двадцать восьмой сессии в феврале 2016 года.</w:t>
      </w:r>
    </w:p>
    <w:p w:rsidR="004C4817" w:rsidRPr="004C4817" w:rsidRDefault="004C4817" w:rsidP="002E6BB5">
      <w:pPr>
        <w:pStyle w:val="HChGR"/>
      </w:pPr>
      <w:r w:rsidRPr="004C4817">
        <w:tab/>
        <w:t>II.</w:t>
      </w:r>
      <w:r w:rsidRPr="004C4817">
        <w:tab/>
        <w:t>Обзорный год</w:t>
      </w:r>
    </w:p>
    <w:p w:rsidR="004C4817" w:rsidRPr="004C4817" w:rsidRDefault="004C4817" w:rsidP="002E6BB5">
      <w:pPr>
        <w:pStyle w:val="H1GR"/>
      </w:pPr>
      <w:r w:rsidRPr="004C4817">
        <w:tab/>
        <w:t>A.</w:t>
      </w:r>
      <w:r w:rsidRPr="004C4817">
        <w:tab/>
        <w:t>Участие в системе Факультативного протокола</w:t>
      </w:r>
    </w:p>
    <w:p w:rsidR="004C4817" w:rsidRPr="004C4817" w:rsidRDefault="004C4817" w:rsidP="004C4817">
      <w:pPr>
        <w:pStyle w:val="SingleTxtGR"/>
      </w:pPr>
      <w:r w:rsidRPr="004C4817">
        <w:rPr>
          <w:bCs/>
        </w:rPr>
        <w:t>2.</w:t>
      </w:r>
      <w:r w:rsidRPr="004C4817">
        <w:rPr>
          <w:bCs/>
        </w:rPr>
        <w:tab/>
      </w:r>
      <w:r w:rsidRPr="004C4817">
        <w:t>По состоянию на 31 декабря 2015 года участниками Факультативного п</w:t>
      </w:r>
      <w:r w:rsidR="007437E5">
        <w:t>ротокола являлись 80 государств</w:t>
      </w:r>
      <w:r w:rsidRPr="007437E5">
        <w:rPr>
          <w:sz w:val="18"/>
          <w:szCs w:val="18"/>
          <w:vertAlign w:val="superscript"/>
        </w:rPr>
        <w:footnoteReference w:id="1"/>
      </w:r>
      <w:r w:rsidRPr="004C4817">
        <w:t>. В 2015 году ратифицировали Факультати</w:t>
      </w:r>
      <w:r w:rsidRPr="004C4817">
        <w:t>в</w:t>
      </w:r>
      <w:r w:rsidRPr="004C4817">
        <w:t>ный протокол или присоединились к нему четыре государства: Белиз (4 сентя</w:t>
      </w:r>
      <w:r w:rsidRPr="004C4817">
        <w:t>б</w:t>
      </w:r>
      <w:r w:rsidRPr="004C4817">
        <w:t>ря), Монголия (12 февраля), Руанда (30 июня) и Южный Судан (30 апреля).</w:t>
      </w:r>
    </w:p>
    <w:p w:rsidR="004C4817" w:rsidRPr="004C4817" w:rsidRDefault="004C4817" w:rsidP="004C4817">
      <w:pPr>
        <w:pStyle w:val="SingleTxtGR"/>
      </w:pPr>
      <w:r w:rsidRPr="004C4817">
        <w:rPr>
          <w:bCs/>
        </w:rPr>
        <w:t>3.</w:t>
      </w:r>
      <w:r w:rsidRPr="004C4817">
        <w:rPr>
          <w:bCs/>
        </w:rPr>
        <w:tab/>
      </w:r>
      <w:r w:rsidRPr="004C4817">
        <w:t>Схема регионального участия выглядела следующим образом:</w:t>
      </w:r>
    </w:p>
    <w:tbl>
      <w:tblPr>
        <w:tblStyle w:val="TabTxt"/>
        <w:tblW w:w="6327" w:type="dxa"/>
        <w:tblInd w:w="1694" w:type="dxa"/>
        <w:tblBorders>
          <w:top w:val="none" w:sz="0" w:space="0" w:color="auto"/>
          <w:bottom w:val="none" w:sz="0" w:space="0" w:color="auto"/>
        </w:tblBorders>
        <w:tblLook w:val="05E0" w:firstRow="1" w:lastRow="1" w:firstColumn="1" w:lastColumn="1" w:noHBand="0" w:noVBand="1"/>
      </w:tblPr>
      <w:tblGrid>
        <w:gridCol w:w="5361"/>
        <w:gridCol w:w="966"/>
      </w:tblGrid>
      <w:tr w:rsidR="00F627DB" w:rsidRPr="00F627DB" w:rsidTr="00CA0080">
        <w:tc>
          <w:tcPr>
            <w:tcW w:w="5361" w:type="dxa"/>
          </w:tcPr>
          <w:p w:rsidR="00F627DB" w:rsidRPr="00F627DB" w:rsidRDefault="00F627DB" w:rsidP="00F627DB">
            <w:r w:rsidRPr="00F627DB">
              <w:t>Африканские государства</w:t>
            </w:r>
          </w:p>
        </w:tc>
        <w:tc>
          <w:tcPr>
            <w:cnfStyle w:val="000100000000" w:firstRow="0" w:lastRow="0" w:firstColumn="0" w:lastColumn="1" w:oddVBand="0" w:evenVBand="0" w:oddHBand="0" w:evenHBand="0" w:firstRowFirstColumn="0" w:firstRowLastColumn="0" w:lastRowFirstColumn="0" w:lastRowLastColumn="0"/>
            <w:tcW w:w="966"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F627DB" w:rsidRPr="00F627DB" w:rsidRDefault="00F627DB" w:rsidP="00FD1ACD">
            <w:pPr>
              <w:jc w:val="right"/>
            </w:pPr>
            <w:r w:rsidRPr="00F627DB">
              <w:t>18</w:t>
            </w:r>
          </w:p>
        </w:tc>
      </w:tr>
      <w:tr w:rsidR="00F627DB" w:rsidRPr="00F627DB" w:rsidTr="00CA0080">
        <w:tc>
          <w:tcPr>
            <w:tcW w:w="5361" w:type="dxa"/>
          </w:tcPr>
          <w:p w:rsidR="00F627DB" w:rsidRPr="00F627DB" w:rsidRDefault="00F627DB" w:rsidP="00F627DB">
            <w:r w:rsidRPr="00F627DB">
              <w:t>Государства Азиатско-Тихоокеанского региона</w:t>
            </w:r>
          </w:p>
        </w:tc>
        <w:tc>
          <w:tcPr>
            <w:cnfStyle w:val="000100000000" w:firstRow="0" w:lastRow="0" w:firstColumn="0" w:lastColumn="1" w:oddVBand="0" w:evenVBand="0" w:oddHBand="0" w:evenHBand="0" w:firstRowFirstColumn="0" w:firstRowLastColumn="0" w:lastRowFirstColumn="0" w:lastRowLastColumn="0"/>
            <w:tcW w:w="966" w:type="dxa"/>
            <w:tcBorders>
              <w:left w:val="none" w:sz="0" w:space="0" w:color="auto"/>
              <w:bottom w:val="none" w:sz="0" w:space="0" w:color="auto"/>
              <w:right w:val="none" w:sz="0" w:space="0" w:color="auto"/>
              <w:tl2br w:val="none" w:sz="0" w:space="0" w:color="auto"/>
              <w:tr2bl w:val="none" w:sz="0" w:space="0" w:color="auto"/>
            </w:tcBorders>
          </w:tcPr>
          <w:p w:rsidR="00F627DB" w:rsidRPr="00F627DB" w:rsidRDefault="00F627DB" w:rsidP="00FD1ACD">
            <w:pPr>
              <w:jc w:val="right"/>
            </w:pPr>
            <w:r w:rsidRPr="00F627DB">
              <w:t>9</w:t>
            </w:r>
          </w:p>
        </w:tc>
      </w:tr>
      <w:tr w:rsidR="00F627DB" w:rsidRPr="00F627DB" w:rsidTr="00CA0080">
        <w:tc>
          <w:tcPr>
            <w:tcW w:w="5361" w:type="dxa"/>
          </w:tcPr>
          <w:p w:rsidR="00F627DB" w:rsidRPr="00F627DB" w:rsidRDefault="00F627DB" w:rsidP="00F627DB">
            <w:r w:rsidRPr="00F627DB">
              <w:t>Восточноевропейские государства</w:t>
            </w:r>
          </w:p>
        </w:tc>
        <w:tc>
          <w:tcPr>
            <w:cnfStyle w:val="000100000000" w:firstRow="0" w:lastRow="0" w:firstColumn="0" w:lastColumn="1" w:oddVBand="0" w:evenVBand="0" w:oddHBand="0" w:evenHBand="0" w:firstRowFirstColumn="0" w:firstRowLastColumn="0" w:lastRowFirstColumn="0" w:lastRowLastColumn="0"/>
            <w:tcW w:w="966" w:type="dxa"/>
            <w:tcBorders>
              <w:left w:val="none" w:sz="0" w:space="0" w:color="auto"/>
              <w:bottom w:val="none" w:sz="0" w:space="0" w:color="auto"/>
              <w:right w:val="none" w:sz="0" w:space="0" w:color="auto"/>
              <w:tl2br w:val="none" w:sz="0" w:space="0" w:color="auto"/>
              <w:tr2bl w:val="none" w:sz="0" w:space="0" w:color="auto"/>
            </w:tcBorders>
          </w:tcPr>
          <w:p w:rsidR="00F627DB" w:rsidRPr="00F627DB" w:rsidRDefault="00F627DB" w:rsidP="00FD1ACD">
            <w:pPr>
              <w:jc w:val="right"/>
            </w:pPr>
            <w:r w:rsidRPr="00F627DB">
              <w:t>19</w:t>
            </w:r>
          </w:p>
        </w:tc>
      </w:tr>
      <w:tr w:rsidR="00F627DB" w:rsidRPr="00F627DB" w:rsidTr="00CA0080">
        <w:tc>
          <w:tcPr>
            <w:tcW w:w="5361" w:type="dxa"/>
          </w:tcPr>
          <w:p w:rsidR="00F627DB" w:rsidRPr="00F627DB" w:rsidRDefault="00F627DB" w:rsidP="00F627DB">
            <w:r w:rsidRPr="00F627DB">
              <w:t>Государства Латинской Америки и Карибского бассе</w:t>
            </w:r>
            <w:r w:rsidRPr="00F627DB">
              <w:t>й</w:t>
            </w:r>
            <w:r w:rsidRPr="00F627DB">
              <w:t>на</w:t>
            </w:r>
          </w:p>
        </w:tc>
        <w:tc>
          <w:tcPr>
            <w:cnfStyle w:val="000100000000" w:firstRow="0" w:lastRow="0" w:firstColumn="0" w:lastColumn="1" w:oddVBand="0" w:evenVBand="0" w:oddHBand="0" w:evenHBand="0" w:firstRowFirstColumn="0" w:firstRowLastColumn="0" w:lastRowFirstColumn="0" w:lastRowLastColumn="0"/>
            <w:tcW w:w="966" w:type="dxa"/>
            <w:tcBorders>
              <w:left w:val="none" w:sz="0" w:space="0" w:color="auto"/>
              <w:bottom w:val="none" w:sz="0" w:space="0" w:color="auto"/>
              <w:right w:val="none" w:sz="0" w:space="0" w:color="auto"/>
              <w:tl2br w:val="none" w:sz="0" w:space="0" w:color="auto"/>
              <w:tr2bl w:val="none" w:sz="0" w:space="0" w:color="auto"/>
            </w:tcBorders>
          </w:tcPr>
          <w:p w:rsidR="00F627DB" w:rsidRPr="00F627DB" w:rsidRDefault="00F627DB" w:rsidP="00FD1ACD">
            <w:pPr>
              <w:jc w:val="right"/>
            </w:pPr>
            <w:r w:rsidRPr="00F627DB">
              <w:t>15</w:t>
            </w:r>
          </w:p>
        </w:tc>
      </w:tr>
      <w:tr w:rsidR="00F627DB" w:rsidRPr="00F627DB" w:rsidTr="00CA0080">
        <w:tc>
          <w:tcPr>
            <w:tcW w:w="5361" w:type="dxa"/>
          </w:tcPr>
          <w:p w:rsidR="00F627DB" w:rsidRPr="00F627DB" w:rsidRDefault="00F627DB" w:rsidP="00F627DB">
            <w:r w:rsidRPr="00F627DB">
              <w:t>Западноевропейские и другие государства</w:t>
            </w:r>
          </w:p>
        </w:tc>
        <w:tc>
          <w:tcPr>
            <w:cnfStyle w:val="000100000000" w:firstRow="0" w:lastRow="0" w:firstColumn="0" w:lastColumn="1" w:oddVBand="0" w:evenVBand="0" w:oddHBand="0" w:evenHBand="0" w:firstRowFirstColumn="0" w:firstRowLastColumn="0" w:lastRowFirstColumn="0" w:lastRowLastColumn="0"/>
            <w:tcW w:w="966" w:type="dxa"/>
            <w:tcBorders>
              <w:left w:val="none" w:sz="0" w:space="0" w:color="auto"/>
              <w:bottom w:val="none" w:sz="0" w:space="0" w:color="auto"/>
              <w:right w:val="none" w:sz="0" w:space="0" w:color="auto"/>
              <w:tl2br w:val="none" w:sz="0" w:space="0" w:color="auto"/>
              <w:tr2bl w:val="none" w:sz="0" w:space="0" w:color="auto"/>
            </w:tcBorders>
          </w:tcPr>
          <w:p w:rsidR="00F627DB" w:rsidRPr="00F627DB" w:rsidRDefault="00F627DB" w:rsidP="00FD1ACD">
            <w:pPr>
              <w:jc w:val="right"/>
            </w:pPr>
            <w:r w:rsidRPr="00F627DB">
              <w:t>19</w:t>
            </w:r>
          </w:p>
        </w:tc>
      </w:tr>
    </w:tbl>
    <w:p w:rsidR="004C4817" w:rsidRPr="004C4817" w:rsidRDefault="004C4817" w:rsidP="004C4817">
      <w:pPr>
        <w:pStyle w:val="SingleTxtGR"/>
      </w:pPr>
      <w:r w:rsidRPr="004C4817">
        <w:rPr>
          <w:bCs/>
        </w:rPr>
        <w:t>4.</w:t>
      </w:r>
      <w:r w:rsidRPr="004C4817">
        <w:rPr>
          <w:bCs/>
        </w:rPr>
        <w:tab/>
      </w:r>
      <w:r w:rsidRPr="004C4817">
        <w:t>Разбивка по регионам 18 государств, которые подписали Факультативный протокол, являлась следующей:</w:t>
      </w:r>
    </w:p>
    <w:tbl>
      <w:tblPr>
        <w:tblStyle w:val="TabTxt"/>
        <w:tblW w:w="6341" w:type="dxa"/>
        <w:tblInd w:w="1694" w:type="dxa"/>
        <w:tblBorders>
          <w:top w:val="none" w:sz="0" w:space="0" w:color="auto"/>
          <w:bottom w:val="none" w:sz="0" w:space="0" w:color="auto"/>
        </w:tblBorders>
        <w:tblLook w:val="05E0" w:firstRow="1" w:lastRow="1" w:firstColumn="1" w:lastColumn="1" w:noHBand="0" w:noVBand="1"/>
      </w:tblPr>
      <w:tblGrid>
        <w:gridCol w:w="5422"/>
        <w:gridCol w:w="919"/>
      </w:tblGrid>
      <w:tr w:rsidR="00FD1ACD" w:rsidRPr="00FD1ACD" w:rsidTr="00CA0080">
        <w:tc>
          <w:tcPr>
            <w:tcW w:w="5422" w:type="dxa"/>
          </w:tcPr>
          <w:p w:rsidR="00FD1ACD" w:rsidRPr="00FD1ACD" w:rsidRDefault="00FD1ACD" w:rsidP="00FD1ACD">
            <w:r w:rsidRPr="00FD1ACD">
              <w:t>Африканские государства</w:t>
            </w:r>
          </w:p>
        </w:tc>
        <w:tc>
          <w:tcPr>
            <w:cnfStyle w:val="000100000000" w:firstRow="0" w:lastRow="0" w:firstColumn="0" w:lastColumn="1" w:oddVBand="0" w:evenVBand="0" w:oddHBand="0" w:evenHBand="0" w:firstRowFirstColumn="0" w:firstRowLastColumn="0" w:lastRowFirstColumn="0" w:lastRowLastColumn="0"/>
            <w:tcW w:w="919" w:type="dxa"/>
            <w:tcBorders>
              <w:top w:val="none" w:sz="0" w:space="0" w:color="auto"/>
              <w:left w:val="none" w:sz="0" w:space="0" w:color="auto"/>
              <w:bottom w:val="none" w:sz="0" w:space="0" w:color="auto"/>
              <w:right w:val="none" w:sz="0" w:space="0" w:color="auto"/>
              <w:tl2br w:val="none" w:sz="0" w:space="0" w:color="auto"/>
              <w:tr2bl w:val="none" w:sz="0" w:space="0" w:color="auto"/>
            </w:tcBorders>
          </w:tcPr>
          <w:p w:rsidR="00FD1ACD" w:rsidRPr="00FD1ACD" w:rsidRDefault="00FD1ACD" w:rsidP="00FD1ACD">
            <w:pPr>
              <w:jc w:val="right"/>
            </w:pPr>
            <w:r w:rsidRPr="00FD1ACD">
              <w:t>12</w:t>
            </w:r>
          </w:p>
        </w:tc>
      </w:tr>
      <w:tr w:rsidR="00FD1ACD" w:rsidRPr="00FD1ACD" w:rsidTr="00CA0080">
        <w:tc>
          <w:tcPr>
            <w:tcW w:w="5422" w:type="dxa"/>
          </w:tcPr>
          <w:p w:rsidR="00FD1ACD" w:rsidRPr="00FD1ACD" w:rsidRDefault="00FD1ACD" w:rsidP="00FD1ACD">
            <w:r w:rsidRPr="00FD1ACD">
              <w:t>Государства Азиатско-</w:t>
            </w:r>
            <w:r>
              <w:t>Т</w:t>
            </w:r>
            <w:r w:rsidRPr="00FD1ACD">
              <w:t>ихоокеанского региона</w:t>
            </w:r>
          </w:p>
        </w:tc>
        <w:tc>
          <w:tcPr>
            <w:cnfStyle w:val="000100000000" w:firstRow="0" w:lastRow="0" w:firstColumn="0" w:lastColumn="1" w:oddVBand="0" w:evenVBand="0" w:oddHBand="0" w:evenHBand="0" w:firstRowFirstColumn="0" w:firstRowLastColumn="0" w:lastRowFirstColumn="0" w:lastRowLastColumn="0"/>
            <w:tcW w:w="919" w:type="dxa"/>
            <w:tcBorders>
              <w:left w:val="none" w:sz="0" w:space="0" w:color="auto"/>
              <w:bottom w:val="none" w:sz="0" w:space="0" w:color="auto"/>
              <w:right w:val="none" w:sz="0" w:space="0" w:color="auto"/>
              <w:tl2br w:val="none" w:sz="0" w:space="0" w:color="auto"/>
              <w:tr2bl w:val="none" w:sz="0" w:space="0" w:color="auto"/>
            </w:tcBorders>
          </w:tcPr>
          <w:p w:rsidR="00FD1ACD" w:rsidRPr="00FD1ACD" w:rsidRDefault="00FD1ACD" w:rsidP="00FD1ACD">
            <w:pPr>
              <w:jc w:val="right"/>
            </w:pPr>
            <w:r w:rsidRPr="00FD1ACD">
              <w:t>1</w:t>
            </w:r>
          </w:p>
        </w:tc>
      </w:tr>
      <w:tr w:rsidR="00FD1ACD" w:rsidRPr="00FD1ACD" w:rsidTr="00CA0080">
        <w:tc>
          <w:tcPr>
            <w:tcW w:w="5422" w:type="dxa"/>
          </w:tcPr>
          <w:p w:rsidR="00FD1ACD" w:rsidRPr="00FD1ACD" w:rsidRDefault="00FD1ACD" w:rsidP="00FD1ACD">
            <w:r w:rsidRPr="00FD1ACD">
              <w:t>Восточноевропейские государства</w:t>
            </w:r>
          </w:p>
        </w:tc>
        <w:tc>
          <w:tcPr>
            <w:cnfStyle w:val="000100000000" w:firstRow="0" w:lastRow="0" w:firstColumn="0" w:lastColumn="1" w:oddVBand="0" w:evenVBand="0" w:oddHBand="0" w:evenHBand="0" w:firstRowFirstColumn="0" w:firstRowLastColumn="0" w:lastRowFirstColumn="0" w:lastRowLastColumn="0"/>
            <w:tcW w:w="919" w:type="dxa"/>
            <w:tcBorders>
              <w:left w:val="none" w:sz="0" w:space="0" w:color="auto"/>
              <w:bottom w:val="none" w:sz="0" w:space="0" w:color="auto"/>
              <w:right w:val="none" w:sz="0" w:space="0" w:color="auto"/>
              <w:tl2br w:val="none" w:sz="0" w:space="0" w:color="auto"/>
              <w:tr2bl w:val="none" w:sz="0" w:space="0" w:color="auto"/>
            </w:tcBorders>
          </w:tcPr>
          <w:p w:rsidR="00FD1ACD" w:rsidRPr="00FD1ACD" w:rsidRDefault="00FD1ACD" w:rsidP="00FD1ACD">
            <w:pPr>
              <w:jc w:val="right"/>
            </w:pPr>
            <w:r w:rsidRPr="00FD1ACD">
              <w:t>0</w:t>
            </w:r>
          </w:p>
        </w:tc>
      </w:tr>
      <w:tr w:rsidR="00FD1ACD" w:rsidRPr="00FD1ACD" w:rsidTr="00CA0080">
        <w:tc>
          <w:tcPr>
            <w:tcW w:w="5422" w:type="dxa"/>
          </w:tcPr>
          <w:p w:rsidR="00FD1ACD" w:rsidRPr="00FD1ACD" w:rsidRDefault="00FD1ACD" w:rsidP="00FD1ACD">
            <w:r w:rsidRPr="00FD1ACD">
              <w:t>Государства Латинской Америки и Карибского бассе</w:t>
            </w:r>
            <w:r w:rsidRPr="00FD1ACD">
              <w:t>й</w:t>
            </w:r>
            <w:r w:rsidRPr="00FD1ACD">
              <w:t>на</w:t>
            </w:r>
          </w:p>
        </w:tc>
        <w:tc>
          <w:tcPr>
            <w:cnfStyle w:val="000100000000" w:firstRow="0" w:lastRow="0" w:firstColumn="0" w:lastColumn="1" w:oddVBand="0" w:evenVBand="0" w:oddHBand="0" w:evenHBand="0" w:firstRowFirstColumn="0" w:firstRowLastColumn="0" w:lastRowFirstColumn="0" w:lastRowLastColumn="0"/>
            <w:tcW w:w="919" w:type="dxa"/>
            <w:tcBorders>
              <w:left w:val="none" w:sz="0" w:space="0" w:color="auto"/>
              <w:bottom w:val="none" w:sz="0" w:space="0" w:color="auto"/>
              <w:right w:val="none" w:sz="0" w:space="0" w:color="auto"/>
              <w:tl2br w:val="none" w:sz="0" w:space="0" w:color="auto"/>
              <w:tr2bl w:val="none" w:sz="0" w:space="0" w:color="auto"/>
            </w:tcBorders>
          </w:tcPr>
          <w:p w:rsidR="00FD1ACD" w:rsidRPr="00FD1ACD" w:rsidRDefault="00FD1ACD" w:rsidP="00FD1ACD">
            <w:pPr>
              <w:jc w:val="right"/>
            </w:pPr>
            <w:r w:rsidRPr="00FD1ACD">
              <w:t>1</w:t>
            </w:r>
          </w:p>
        </w:tc>
      </w:tr>
      <w:tr w:rsidR="00FD1ACD" w:rsidRPr="00FD1ACD" w:rsidTr="00CA0080">
        <w:tc>
          <w:tcPr>
            <w:tcW w:w="5422" w:type="dxa"/>
          </w:tcPr>
          <w:p w:rsidR="00FD1ACD" w:rsidRPr="00FD1ACD" w:rsidRDefault="00FD1ACD" w:rsidP="00FD1ACD">
            <w:r w:rsidRPr="00FD1ACD">
              <w:t>Западноевропейские и другие государства</w:t>
            </w:r>
          </w:p>
        </w:tc>
        <w:tc>
          <w:tcPr>
            <w:cnfStyle w:val="000100000000" w:firstRow="0" w:lastRow="0" w:firstColumn="0" w:lastColumn="1" w:oddVBand="0" w:evenVBand="0" w:oddHBand="0" w:evenHBand="0" w:firstRowFirstColumn="0" w:firstRowLastColumn="0" w:lastRowFirstColumn="0" w:lastRowLastColumn="0"/>
            <w:tcW w:w="919" w:type="dxa"/>
            <w:tcBorders>
              <w:left w:val="none" w:sz="0" w:space="0" w:color="auto"/>
              <w:bottom w:val="none" w:sz="0" w:space="0" w:color="auto"/>
              <w:right w:val="none" w:sz="0" w:space="0" w:color="auto"/>
              <w:tl2br w:val="none" w:sz="0" w:space="0" w:color="auto"/>
              <w:tr2bl w:val="none" w:sz="0" w:space="0" w:color="auto"/>
            </w:tcBorders>
          </w:tcPr>
          <w:p w:rsidR="00FD1ACD" w:rsidRPr="00FD1ACD" w:rsidRDefault="00FD1ACD" w:rsidP="00FD1ACD">
            <w:pPr>
              <w:jc w:val="right"/>
            </w:pPr>
            <w:r w:rsidRPr="00FD1ACD">
              <w:t>4</w:t>
            </w:r>
          </w:p>
        </w:tc>
      </w:tr>
    </w:tbl>
    <w:p w:rsidR="004C4817" w:rsidRPr="004C4817" w:rsidRDefault="004C4817" w:rsidP="007437E5">
      <w:pPr>
        <w:pStyle w:val="H1GR"/>
      </w:pPr>
      <w:r w:rsidRPr="004C4817">
        <w:tab/>
        <w:t>B.</w:t>
      </w:r>
      <w:r w:rsidRPr="004C4817">
        <w:tab/>
        <w:t>Вопросы, касающиеся организации работы и членского состава</w:t>
      </w:r>
    </w:p>
    <w:p w:rsidR="004C4817" w:rsidRPr="004C4817" w:rsidRDefault="004C4817" w:rsidP="004C4817">
      <w:pPr>
        <w:pStyle w:val="SingleTxtGR"/>
        <w:rPr>
          <w:bCs/>
        </w:rPr>
      </w:pPr>
      <w:r w:rsidRPr="004C4817">
        <w:rPr>
          <w:bCs/>
        </w:rPr>
        <w:t>5.</w:t>
      </w:r>
      <w:r w:rsidRPr="004C4817">
        <w:rPr>
          <w:bCs/>
        </w:rPr>
        <w:tab/>
      </w:r>
      <w:r w:rsidR="007437E5">
        <w:t>За отчетный период (1 января –</w:t>
      </w:r>
      <w:r w:rsidRPr="004C4817">
        <w:t xml:space="preserve"> 31 декабря 2015 года) Подкомитет провел три однонедельных сессии в Женеве: </w:t>
      </w:r>
      <w:r w:rsidRPr="004C4817">
        <w:rPr>
          <w:bCs/>
        </w:rPr>
        <w:t>двадцать пятую сессию (16</w:t>
      </w:r>
      <w:r w:rsidR="007437E5">
        <w:rPr>
          <w:bCs/>
        </w:rPr>
        <w:t>–</w:t>
      </w:r>
      <w:r w:rsidRPr="004C4817">
        <w:rPr>
          <w:bCs/>
        </w:rPr>
        <w:t>20 февра</w:t>
      </w:r>
      <w:r w:rsidR="007437E5">
        <w:rPr>
          <w:bCs/>
        </w:rPr>
        <w:t>ля), двадцать шестую сессию (15–</w:t>
      </w:r>
      <w:r w:rsidRPr="004C4817">
        <w:rPr>
          <w:bCs/>
        </w:rPr>
        <w:t>19 июня) и двадцать седьмую сессию (16</w:t>
      </w:r>
      <w:r w:rsidR="007437E5">
        <w:rPr>
          <w:bCs/>
        </w:rPr>
        <w:t>–</w:t>
      </w:r>
      <w:r w:rsidRPr="004C4817">
        <w:rPr>
          <w:bCs/>
        </w:rPr>
        <w:t>20 н</w:t>
      </w:r>
      <w:r w:rsidRPr="004C4817">
        <w:rPr>
          <w:bCs/>
        </w:rPr>
        <w:t>о</w:t>
      </w:r>
      <w:r w:rsidRPr="004C4817">
        <w:rPr>
          <w:bCs/>
        </w:rPr>
        <w:t>ября).</w:t>
      </w:r>
    </w:p>
    <w:p w:rsidR="004C4817" w:rsidRPr="004C4817" w:rsidRDefault="004C4817" w:rsidP="00726DE9">
      <w:pPr>
        <w:pStyle w:val="SingleTxtGR"/>
        <w:keepNext/>
        <w:keepLines/>
      </w:pPr>
      <w:r w:rsidRPr="004C4817">
        <w:rPr>
          <w:bCs/>
        </w:rPr>
        <w:t>6.</w:t>
      </w:r>
      <w:r w:rsidRPr="004C4817">
        <w:rPr>
          <w:bCs/>
        </w:rPr>
        <w:tab/>
        <w:t>На пятом совещании государств </w:t>
      </w:r>
      <w:r w:rsidR="007437E5">
        <w:rPr>
          <w:bCs/>
        </w:rPr>
        <w:t>–</w:t>
      </w:r>
      <w:r w:rsidRPr="004C4817">
        <w:rPr>
          <w:bCs/>
        </w:rPr>
        <w:t xml:space="preserve"> участников Факультативного проток</w:t>
      </w:r>
      <w:r w:rsidRPr="004C4817">
        <w:rPr>
          <w:bCs/>
        </w:rPr>
        <w:t>о</w:t>
      </w:r>
      <w:r w:rsidRPr="004C4817">
        <w:rPr>
          <w:bCs/>
        </w:rPr>
        <w:t>ла, проведенном 23 октября 2014 года, были избраны 13 членов для заполнения вакансий, открывавшихся в отношении членов, срок полномочий которых ист</w:t>
      </w:r>
      <w:r w:rsidRPr="004C4817">
        <w:rPr>
          <w:bCs/>
        </w:rPr>
        <w:t>е</w:t>
      </w:r>
      <w:r w:rsidRPr="004C4817">
        <w:rPr>
          <w:bCs/>
        </w:rPr>
        <w:t xml:space="preserve">кал 31 декабря 2014 года. </w:t>
      </w:r>
      <w:r w:rsidRPr="004C4817">
        <w:t>Срок полномочий вновь избранных членов начал о</w:t>
      </w:r>
      <w:r w:rsidRPr="004C4817">
        <w:t>т</w:t>
      </w:r>
      <w:r w:rsidRPr="004C4817">
        <w:t xml:space="preserve">считываться 1 января 2015 года и истечет 31 декабря </w:t>
      </w:r>
      <w:r w:rsidR="007437E5">
        <w:t>2018 года</w:t>
      </w:r>
      <w:r w:rsidRPr="000720C5">
        <w:rPr>
          <w:sz w:val="18"/>
          <w:szCs w:val="18"/>
          <w:vertAlign w:val="superscript"/>
        </w:rPr>
        <w:footnoteReference w:id="2"/>
      </w:r>
      <w:r w:rsidRPr="004C4817">
        <w:t>. Прежде чем приступить к исполнению своих обязанностей, вновь избранные члены сделали торжественное заявление на открытии двадцать пятой сессии Подкомитета.</w:t>
      </w:r>
    </w:p>
    <w:p w:rsidR="004C4817" w:rsidRPr="007B6E80" w:rsidRDefault="004C4817" w:rsidP="004C4817">
      <w:pPr>
        <w:pStyle w:val="SingleTxtGR"/>
        <w:rPr>
          <w:spacing w:val="2"/>
        </w:rPr>
      </w:pPr>
      <w:r w:rsidRPr="004C4817">
        <w:rPr>
          <w:bCs/>
        </w:rPr>
        <w:t>7.</w:t>
      </w:r>
      <w:r w:rsidRPr="004C4817">
        <w:rPr>
          <w:bCs/>
        </w:rPr>
        <w:tab/>
      </w:r>
      <w:r w:rsidRPr="004C4817">
        <w:t xml:space="preserve">Бюро Подкомитета было избрано на двадцать пятой сессии. Функции Председателя выполнял Малколм Эванс. Заместителями Председателя были: Энрике </w:t>
      </w:r>
      <w:proofErr w:type="spellStart"/>
      <w:r w:rsidRPr="004C4817">
        <w:t>Андрес</w:t>
      </w:r>
      <w:proofErr w:type="spellEnd"/>
      <w:r w:rsidRPr="004C4817">
        <w:t xml:space="preserve"> Фонт </w:t>
      </w:r>
      <w:r w:rsidR="007437E5">
        <w:t>–</w:t>
      </w:r>
      <w:r w:rsidRPr="004C4817">
        <w:t xml:space="preserve"> посещения; </w:t>
      </w:r>
      <w:proofErr w:type="spellStart"/>
      <w:r w:rsidRPr="004C4817">
        <w:t>Сьюзан</w:t>
      </w:r>
      <w:proofErr w:type="spellEnd"/>
      <w:r w:rsidRPr="004C4817">
        <w:t xml:space="preserve"> </w:t>
      </w:r>
      <w:proofErr w:type="spellStart"/>
      <w:r w:rsidRPr="004C4817">
        <w:t>Джаббур</w:t>
      </w:r>
      <w:proofErr w:type="spellEnd"/>
      <w:r w:rsidRPr="004C4817">
        <w:t> </w:t>
      </w:r>
      <w:r w:rsidR="007437E5">
        <w:t>–</w:t>
      </w:r>
      <w:r w:rsidRPr="004C4817">
        <w:t xml:space="preserve"> внешние сношения; </w:t>
      </w:r>
      <w:r w:rsidR="007B6E80">
        <w:br/>
      </w:r>
      <w:r w:rsidRPr="004C4817">
        <w:t xml:space="preserve">Пол Лам </w:t>
      </w:r>
      <w:proofErr w:type="spellStart"/>
      <w:r w:rsidRPr="004C4817">
        <w:t>Шан</w:t>
      </w:r>
      <w:proofErr w:type="spellEnd"/>
      <w:r w:rsidRPr="004C4817">
        <w:t xml:space="preserve"> Линь </w:t>
      </w:r>
      <w:r w:rsidR="007437E5">
        <w:t>–</w:t>
      </w:r>
      <w:r w:rsidRPr="007B6E80">
        <w:rPr>
          <w:spacing w:val="2"/>
        </w:rPr>
        <w:t xml:space="preserve"> национальные превентивные механизмы; и </w:t>
      </w:r>
      <w:proofErr w:type="spellStart"/>
      <w:r w:rsidRPr="007B6E80">
        <w:rPr>
          <w:spacing w:val="2"/>
        </w:rPr>
        <w:t>Айша</w:t>
      </w:r>
      <w:proofErr w:type="spellEnd"/>
      <w:r w:rsidRPr="007B6E80">
        <w:rPr>
          <w:spacing w:val="2"/>
        </w:rPr>
        <w:t xml:space="preserve"> </w:t>
      </w:r>
      <w:proofErr w:type="spellStart"/>
      <w:r w:rsidRPr="007B6E80">
        <w:rPr>
          <w:spacing w:val="2"/>
        </w:rPr>
        <w:t>Шуджуне</w:t>
      </w:r>
      <w:proofErr w:type="spellEnd"/>
      <w:r w:rsidRPr="007B6E80">
        <w:rPr>
          <w:spacing w:val="2"/>
        </w:rPr>
        <w:t xml:space="preserve"> Мухаммад </w:t>
      </w:r>
      <w:r w:rsidR="007437E5" w:rsidRPr="007B6E80">
        <w:rPr>
          <w:spacing w:val="2"/>
        </w:rPr>
        <w:t>–</w:t>
      </w:r>
      <w:r w:rsidRPr="007B6E80">
        <w:rPr>
          <w:spacing w:val="2"/>
        </w:rPr>
        <w:t xml:space="preserve"> правоприменительная практика и докладчик Подкомит</w:t>
      </w:r>
      <w:r w:rsidRPr="007B6E80">
        <w:rPr>
          <w:spacing w:val="2"/>
        </w:rPr>
        <w:t>е</w:t>
      </w:r>
      <w:r w:rsidRPr="007B6E80">
        <w:rPr>
          <w:spacing w:val="2"/>
        </w:rPr>
        <w:t>та.</w:t>
      </w:r>
    </w:p>
    <w:p w:rsidR="004C4817" w:rsidRPr="004C4817" w:rsidRDefault="004C4817" w:rsidP="004C4817">
      <w:pPr>
        <w:pStyle w:val="SingleTxtGR"/>
      </w:pPr>
      <w:r w:rsidRPr="004C4817">
        <w:rPr>
          <w:bCs/>
        </w:rPr>
        <w:t>8.</w:t>
      </w:r>
      <w:r w:rsidRPr="004C4817">
        <w:rPr>
          <w:bCs/>
        </w:rPr>
        <w:tab/>
      </w:r>
      <w:r w:rsidRPr="004C4817">
        <w:t>После двадцать пятой сессии руководителями региональных групп были: Африка </w:t>
      </w:r>
      <w:r w:rsidR="007437E5">
        <w:t>–</w:t>
      </w:r>
      <w:r w:rsidRPr="004C4817">
        <w:t xml:space="preserve"> </w:t>
      </w:r>
      <w:proofErr w:type="spellStart"/>
      <w:r w:rsidRPr="004C4817">
        <w:t>Ханс-Йорг</w:t>
      </w:r>
      <w:proofErr w:type="spellEnd"/>
      <w:r w:rsidRPr="004C4817">
        <w:t xml:space="preserve"> </w:t>
      </w:r>
      <w:proofErr w:type="spellStart"/>
      <w:r w:rsidRPr="004C4817">
        <w:t>Баннварт</w:t>
      </w:r>
      <w:proofErr w:type="spellEnd"/>
      <w:r w:rsidRPr="004C4817">
        <w:t>; Азия и Тихий океан </w:t>
      </w:r>
      <w:r w:rsidR="007437E5">
        <w:t>–</w:t>
      </w:r>
      <w:r w:rsidRPr="004C4817">
        <w:t xml:space="preserve"> Лоуэлл </w:t>
      </w:r>
      <w:proofErr w:type="spellStart"/>
      <w:r w:rsidRPr="004C4817">
        <w:t>Годдард</w:t>
      </w:r>
      <w:proofErr w:type="spellEnd"/>
      <w:r w:rsidRPr="004C4817">
        <w:t>; Европа </w:t>
      </w:r>
      <w:r w:rsidR="007437E5">
        <w:t>–</w:t>
      </w:r>
      <w:r w:rsidRPr="004C4817">
        <w:t xml:space="preserve"> Мари </w:t>
      </w:r>
      <w:proofErr w:type="spellStart"/>
      <w:r w:rsidRPr="004C4817">
        <w:t>Амос</w:t>
      </w:r>
      <w:proofErr w:type="spellEnd"/>
      <w:r w:rsidRPr="004C4817">
        <w:t>; и Латинская Америка </w:t>
      </w:r>
      <w:r w:rsidR="007437E5">
        <w:t>–</w:t>
      </w:r>
      <w:r w:rsidRPr="004C4817">
        <w:t xml:space="preserve"> </w:t>
      </w:r>
      <w:proofErr w:type="spellStart"/>
      <w:r w:rsidRPr="004C4817">
        <w:t>Фелипе</w:t>
      </w:r>
      <w:proofErr w:type="spellEnd"/>
      <w:r w:rsidRPr="004C4817">
        <w:t xml:space="preserve"> </w:t>
      </w:r>
      <w:proofErr w:type="spellStart"/>
      <w:r w:rsidRPr="004C4817">
        <w:t>Вильявисенсио</w:t>
      </w:r>
      <w:proofErr w:type="spellEnd"/>
      <w:r w:rsidRPr="004C4817">
        <w:t xml:space="preserve"> </w:t>
      </w:r>
      <w:proofErr w:type="spellStart"/>
      <w:r w:rsidRPr="004C4817">
        <w:t>Террерос</w:t>
      </w:r>
      <w:proofErr w:type="spellEnd"/>
      <w:r w:rsidRPr="004C4817">
        <w:t>. Реги</w:t>
      </w:r>
      <w:r w:rsidRPr="004C4817">
        <w:t>о</w:t>
      </w:r>
      <w:r w:rsidRPr="004C4817">
        <w:t>нальные группы рассматривают осуществление Факультативного протокола в их регионе, представляя доклад Подкомитету на пленарном заседании и вынося в соответствующих случаях рекомендации.</w:t>
      </w:r>
    </w:p>
    <w:p w:rsidR="004C4817" w:rsidRPr="004C4817" w:rsidRDefault="004C4817" w:rsidP="004C4817">
      <w:pPr>
        <w:pStyle w:val="SingleTxtGR"/>
      </w:pPr>
      <w:r w:rsidRPr="004C4817">
        <w:rPr>
          <w:bCs/>
        </w:rPr>
        <w:t>9.</w:t>
      </w:r>
      <w:r w:rsidRPr="004C4817">
        <w:rPr>
          <w:bCs/>
        </w:rPr>
        <w:tab/>
      </w:r>
      <w:r w:rsidRPr="004C4817">
        <w:t>Постоянные и специальные рабочие группы Подкомитета проводили свои заседания в 2015 году на каждой сессии. Дополнительная информация об этих совещаниях содержится в разделе IV, ниже. Заседания в формате подгрупп и рабочих групп облегчают обсуждение широкого круга вопросов с более углу</w:t>
      </w:r>
      <w:r w:rsidRPr="004C4817">
        <w:t>б</w:t>
      </w:r>
      <w:r w:rsidRPr="004C4817">
        <w:t>ленной ориентацией и более всесторонним подходом.</w:t>
      </w:r>
    </w:p>
    <w:p w:rsidR="004C4817" w:rsidRPr="004C4817" w:rsidRDefault="004C4817" w:rsidP="004C4817">
      <w:pPr>
        <w:pStyle w:val="SingleTxtGR"/>
        <w:rPr>
          <w:bCs/>
        </w:rPr>
      </w:pPr>
      <w:r w:rsidRPr="004C4817">
        <w:rPr>
          <w:bCs/>
        </w:rPr>
        <w:t>10.</w:t>
      </w:r>
      <w:r w:rsidRPr="004C4817">
        <w:rPr>
          <w:bCs/>
        </w:rPr>
        <w:tab/>
        <w:t>Международный совет по реабилитации жертв пыток организовал 18</w:t>
      </w:r>
      <w:r w:rsidR="007437E5">
        <w:rPr>
          <w:bCs/>
        </w:rPr>
        <w:t> </w:t>
      </w:r>
      <w:r w:rsidRPr="004C4817">
        <w:rPr>
          <w:bCs/>
        </w:rPr>
        <w:t>июня для Подкомитета семинар по укреплению потенциала, посвященный Руководству по эффективному расследованию и документированию пыток и других жестоких, бесчеловечных или унижающих достоинство видов обращ</w:t>
      </w:r>
      <w:r w:rsidRPr="004C4817">
        <w:rPr>
          <w:bCs/>
        </w:rPr>
        <w:t>е</w:t>
      </w:r>
      <w:r w:rsidRPr="004C4817">
        <w:rPr>
          <w:bCs/>
        </w:rPr>
        <w:t>ния и наказания (Стамбульскому протоколу).</w:t>
      </w:r>
    </w:p>
    <w:p w:rsidR="004C4817" w:rsidRPr="004C4817" w:rsidRDefault="004C4817" w:rsidP="007437E5">
      <w:pPr>
        <w:pStyle w:val="H1GR"/>
      </w:pPr>
      <w:r w:rsidRPr="004C4817">
        <w:tab/>
        <w:t>C.</w:t>
      </w:r>
      <w:r w:rsidRPr="004C4817">
        <w:tab/>
        <w:t>Посещения, проведенные за отчетный период</w:t>
      </w:r>
    </w:p>
    <w:p w:rsidR="004C4817" w:rsidRPr="004C4817" w:rsidRDefault="004C4817" w:rsidP="004C4817">
      <w:pPr>
        <w:pStyle w:val="SingleTxtGR"/>
        <w:rPr>
          <w:bCs/>
        </w:rPr>
      </w:pPr>
      <w:r w:rsidRPr="004C4817">
        <w:rPr>
          <w:bCs/>
        </w:rPr>
        <w:t>11.</w:t>
      </w:r>
      <w:r w:rsidRPr="004C4817">
        <w:rPr>
          <w:bCs/>
        </w:rPr>
        <w:tab/>
        <w:t>На своей двадцать шестой сессии Подкомитет рассмотрел свой подход к посещениям. Для того чтобы максимально увеличить их превентивный поте</w:t>
      </w:r>
      <w:r w:rsidRPr="004C4817">
        <w:rPr>
          <w:bCs/>
        </w:rPr>
        <w:t>н</w:t>
      </w:r>
      <w:r w:rsidRPr="004C4817">
        <w:rPr>
          <w:bCs/>
        </w:rPr>
        <w:t>циал, Подкомитет решил, что будущие посещения не будут ограничиваться лишь аспектом предупреждения, а сосредоточатся на всех проблемах, которые Подкомитет сочтет целесообразным рассмотреть. Соответственно, с 19 июня 2015 года Подкомитет не будет классифицировать посещения в зависимости от их различных форм, за исключением краткосрочных последующих посещений, совершаемых после посещения, осуществленного в соответствии с пунктом 4 статьи 13 Факультативного протокола. Подкомитет, однако, будет по-прежнему определять конкретные цели каждого посещения, отражая то, что он считает наиболее уместным в конкретных обстоятельствах.</w:t>
      </w:r>
    </w:p>
    <w:p w:rsidR="004C4817" w:rsidRPr="004C4817" w:rsidRDefault="004C4817" w:rsidP="004C4817">
      <w:pPr>
        <w:pStyle w:val="SingleTxtGR"/>
      </w:pPr>
      <w:r w:rsidRPr="004C4817">
        <w:rPr>
          <w:bCs/>
        </w:rPr>
        <w:t>12.</w:t>
      </w:r>
      <w:r w:rsidRPr="004C4817">
        <w:rPr>
          <w:bCs/>
        </w:rPr>
        <w:tab/>
      </w:r>
      <w:r w:rsidRPr="004C4817">
        <w:t>Подкомитет совершил в 2015 году восемь официальных посещений.</w:t>
      </w:r>
    </w:p>
    <w:p w:rsidR="004C4817" w:rsidRPr="004C4817" w:rsidRDefault="004C4817" w:rsidP="00726DE9">
      <w:pPr>
        <w:pStyle w:val="SingleTxtGR"/>
        <w:keepNext/>
        <w:keepLines/>
      </w:pPr>
      <w:r w:rsidRPr="004C4817">
        <w:rPr>
          <w:bCs/>
        </w:rPr>
        <w:t>13.</w:t>
      </w:r>
      <w:r w:rsidRPr="004C4817">
        <w:rPr>
          <w:bCs/>
        </w:rPr>
        <w:tab/>
      </w:r>
      <w:r w:rsidRPr="004C4817">
        <w:t>Он возобновил и завершил свое посещение Азербайджана в соответствии с его мандатом согласно статье 11</w:t>
      </w:r>
      <w:r w:rsidR="007B6E80">
        <w:t xml:space="preserve"> </w:t>
      </w:r>
      <w:r w:rsidRPr="004C4817">
        <w:t>а</w:t>
      </w:r>
      <w:r w:rsidR="007B6E80">
        <w:t>)</w:t>
      </w:r>
      <w:r w:rsidRPr="004C4817">
        <w:t xml:space="preserve"> Факультативного протокола (16</w:t>
      </w:r>
      <w:r w:rsidR="007437E5">
        <w:t>–</w:t>
      </w:r>
      <w:r w:rsidRPr="004C4817">
        <w:t>24 апр</w:t>
      </w:r>
      <w:r w:rsidRPr="004C4817">
        <w:t>е</w:t>
      </w:r>
      <w:r w:rsidRPr="004C4817">
        <w:t>ля), что отражает его практику, изложенную в пункте 3 его заявления относ</w:t>
      </w:r>
      <w:r w:rsidRPr="004C4817">
        <w:t>и</w:t>
      </w:r>
      <w:r w:rsidRPr="004C4817">
        <w:t>тельно обязательств государств-участников содействовать проведению Подк</w:t>
      </w:r>
      <w:r w:rsidRPr="004C4817">
        <w:t>о</w:t>
      </w:r>
      <w:r w:rsidRPr="004C4817">
        <w:t>митетом своих посещений (CAT/OP/24/1). Посещение было ранее приостано</w:t>
      </w:r>
      <w:r w:rsidRPr="004C4817">
        <w:t>в</w:t>
      </w:r>
      <w:r w:rsidRPr="004C4817">
        <w:t>лено 14</w:t>
      </w:r>
      <w:r w:rsidR="007437E5">
        <w:t> </w:t>
      </w:r>
      <w:r w:rsidRPr="004C4817">
        <w:t>сентября 2014 года.</w:t>
      </w:r>
    </w:p>
    <w:p w:rsidR="004C4817" w:rsidRPr="004C4817" w:rsidRDefault="004C4817" w:rsidP="004C4817">
      <w:pPr>
        <w:pStyle w:val="SingleTxtGR"/>
      </w:pPr>
      <w:r w:rsidRPr="004C4817">
        <w:rPr>
          <w:bCs/>
        </w:rPr>
        <w:t>14.</w:t>
      </w:r>
      <w:r w:rsidRPr="004C4817">
        <w:rPr>
          <w:bCs/>
        </w:rPr>
        <w:tab/>
      </w:r>
      <w:r w:rsidRPr="004C4817">
        <w:t>Подкомитет совершил семь поездок в соответствии с его мандатом, предусмотренным статьями 11, 12 и 13 Факультативного протокола, а именно в Науру (4</w:t>
      </w:r>
      <w:r w:rsidR="007437E5">
        <w:t>–</w:t>
      </w:r>
      <w:r w:rsidRPr="004C4817">
        <w:t>8 мая), Гватемалу (11</w:t>
      </w:r>
      <w:r w:rsidR="007437E5">
        <w:t>–</w:t>
      </w:r>
      <w:r w:rsidRPr="004C4817">
        <w:t>20 мая), Филиппины (25 мая </w:t>
      </w:r>
      <w:r w:rsidR="007437E5">
        <w:t>–</w:t>
      </w:r>
      <w:r w:rsidRPr="004C4817">
        <w:t xml:space="preserve"> 3 июня), Ниде</w:t>
      </w:r>
      <w:r w:rsidRPr="004C4817">
        <w:t>р</w:t>
      </w:r>
      <w:r w:rsidRPr="004C4817">
        <w:t>ланды (28</w:t>
      </w:r>
      <w:r w:rsidR="007437E5">
        <w:t>–</w:t>
      </w:r>
      <w:r w:rsidRPr="004C4817">
        <w:t>31 июля), Италию (16</w:t>
      </w:r>
      <w:r w:rsidR="007437E5">
        <w:t>–</w:t>
      </w:r>
      <w:r w:rsidRPr="004C4817">
        <w:t>22 сентября), Турцию (6</w:t>
      </w:r>
      <w:r w:rsidR="007437E5">
        <w:t>–</w:t>
      </w:r>
      <w:r w:rsidRPr="004C4817">
        <w:t>9 октября) и Браз</w:t>
      </w:r>
      <w:r w:rsidRPr="004C4817">
        <w:t>и</w:t>
      </w:r>
      <w:r w:rsidRPr="004C4817">
        <w:t>лию (19</w:t>
      </w:r>
      <w:r w:rsidR="007437E5">
        <w:t>–</w:t>
      </w:r>
      <w:r w:rsidRPr="004C4817">
        <w:t>30 октября). Запланированное посещение Бенина было отложено до 2016 года по оперативным соображениям.</w:t>
      </w:r>
    </w:p>
    <w:p w:rsidR="004C4817" w:rsidRPr="004C4817" w:rsidRDefault="004C4817" w:rsidP="004C4817">
      <w:pPr>
        <w:pStyle w:val="SingleTxtGR"/>
      </w:pPr>
      <w:r w:rsidRPr="004C4817">
        <w:rPr>
          <w:bCs/>
        </w:rPr>
        <w:t>15.</w:t>
      </w:r>
      <w:r w:rsidRPr="004C4817">
        <w:rPr>
          <w:bCs/>
        </w:rPr>
        <w:tab/>
      </w:r>
      <w:r w:rsidRPr="004C4817">
        <w:t>С дополнительной информацией о вышеупомянутых посещениях можно ознакомиться в пресс-релизах, выпущенных после каждого посещения.</w:t>
      </w:r>
    </w:p>
    <w:p w:rsidR="004C4817" w:rsidRPr="004C4817" w:rsidRDefault="004C4817" w:rsidP="007437E5">
      <w:pPr>
        <w:pStyle w:val="H1GR"/>
      </w:pPr>
      <w:r w:rsidRPr="004C4817">
        <w:tab/>
        <w:t>D.</w:t>
      </w:r>
      <w:r w:rsidRPr="004C4817">
        <w:tab/>
        <w:t>Диалог в связи с посещениями, включая публикацию докладов Подкомитета государствами-участниками и национальными превентивными механизмами</w:t>
      </w:r>
    </w:p>
    <w:p w:rsidR="004C4817" w:rsidRPr="004C4817" w:rsidRDefault="004C4817" w:rsidP="004C4817">
      <w:pPr>
        <w:pStyle w:val="SingleTxtGR"/>
      </w:pPr>
      <w:r w:rsidRPr="004C4817">
        <w:rPr>
          <w:bCs/>
        </w:rPr>
        <w:t>16.</w:t>
      </w:r>
      <w:r w:rsidRPr="004C4817">
        <w:rPr>
          <w:bCs/>
        </w:rPr>
        <w:tab/>
      </w:r>
      <w:r w:rsidRPr="004C4817">
        <w:t>Существенные аспекты диалога, связанные с посещениями, носят конф</w:t>
      </w:r>
      <w:r w:rsidRPr="004C4817">
        <w:t>и</w:t>
      </w:r>
      <w:r w:rsidRPr="004C4817">
        <w:t>денциальный характер. Доклады предаются гласности только с согласия пол</w:t>
      </w:r>
      <w:r w:rsidRPr="004C4817">
        <w:t>у</w:t>
      </w:r>
      <w:r w:rsidRPr="004C4817">
        <w:t>чателя. К концу 2015 года Подкомитет препроводил в общей сложности 39 д</w:t>
      </w:r>
      <w:r w:rsidRPr="004C4817">
        <w:t>о</w:t>
      </w:r>
      <w:r w:rsidRPr="004C4817">
        <w:t>кладов о посещениях государствам-участникам и национальным превентивным механизмам, в том числе четыре доклада в течение отчетного периода Эквад</w:t>
      </w:r>
      <w:r w:rsidRPr="004C4817">
        <w:t>о</w:t>
      </w:r>
      <w:r w:rsidRPr="004C4817">
        <w:t>ру, Мальдивским Островам, Мальте и Науру. Двадцать один доклад о посещ</w:t>
      </w:r>
      <w:r w:rsidRPr="004C4817">
        <w:t>е</w:t>
      </w:r>
      <w:r w:rsidRPr="004C4817">
        <w:t>ниях Подкомитета был опубликован по просьбам получателей в соответствии с пунктом 2 статьи 16 Факультативного протокола, включая один доклад в теч</w:t>
      </w:r>
      <w:r w:rsidRPr="004C4817">
        <w:t>е</w:t>
      </w:r>
      <w:r w:rsidRPr="004C4817">
        <w:t>ние отчетного периода национальному превентивному механизму Эквадора. Полностью соблюдая принцип конфиденциальности и право на конфиденц</w:t>
      </w:r>
      <w:r w:rsidRPr="004C4817">
        <w:t>и</w:t>
      </w:r>
      <w:r w:rsidRPr="004C4817">
        <w:t>альность, закрепленные в Факультативном протоколе, Подкомитет считает, что публикация его докладов о посещениях отражает дух транспарентности, на к</w:t>
      </w:r>
      <w:r w:rsidRPr="004C4817">
        <w:t>о</w:t>
      </w:r>
      <w:r w:rsidRPr="004C4817">
        <w:t>тором основаны превентивные посещения, и призывает получателей докладов санкционировать их публикацию.</w:t>
      </w:r>
    </w:p>
    <w:p w:rsidR="004C4817" w:rsidRPr="004C4817" w:rsidRDefault="004C4817" w:rsidP="004C4817">
      <w:pPr>
        <w:pStyle w:val="SingleTxtGR"/>
      </w:pPr>
      <w:r w:rsidRPr="004C4817">
        <w:rPr>
          <w:bCs/>
        </w:rPr>
        <w:t>17.</w:t>
      </w:r>
      <w:r w:rsidRPr="004C4817">
        <w:rPr>
          <w:bCs/>
        </w:rPr>
        <w:tab/>
      </w:r>
      <w:r w:rsidRPr="004C4817">
        <w:t>В соответствии с устоявшейся практикой получателям предлагается отв</w:t>
      </w:r>
      <w:r w:rsidRPr="004C4817">
        <w:t>е</w:t>
      </w:r>
      <w:r w:rsidRPr="004C4817">
        <w:t>тить на доклады о посещениях в течение шести месяцев с момента их препр</w:t>
      </w:r>
      <w:r w:rsidRPr="004C4817">
        <w:t>о</w:t>
      </w:r>
      <w:r w:rsidRPr="004C4817">
        <w:t>вождения с полным отчетом о мерах, принятых для осуществления содерж</w:t>
      </w:r>
      <w:r w:rsidRPr="004C4817">
        <w:t>а</w:t>
      </w:r>
      <w:r w:rsidRPr="004C4817">
        <w:t>щихся в них рекомендаций. В отчетный период Подкомитет получил ответ от Габона на свой доклад. Подкомитет считает просроченными ответы следующих государств-участников: Гондураса, Камбоджи, Кыргызстана, Либерии, Мали, Мальты, Нигерии, Перу, Республики Молдова и Сенегала. Подкомитет считает просроченными ответы национальных превентивных механизмов следующих государств-участников: Армении, Республики Молдова и Сенегала.</w:t>
      </w:r>
    </w:p>
    <w:p w:rsidR="004C4817" w:rsidRPr="004C4817" w:rsidRDefault="004C4817" w:rsidP="004C4817">
      <w:pPr>
        <w:pStyle w:val="SingleTxtGR"/>
      </w:pPr>
      <w:r w:rsidRPr="004C4817">
        <w:rPr>
          <w:bCs/>
        </w:rPr>
        <w:t>18.</w:t>
      </w:r>
      <w:r w:rsidRPr="004C4817">
        <w:rPr>
          <w:bCs/>
        </w:rPr>
        <w:tab/>
      </w:r>
      <w:r w:rsidRPr="004C4817">
        <w:t>На своей двадцать пятой сессии Подкомитет постановил упорядочить свою процедуру последующих действий, прекратив представлять письменные ответы на полученные ответы. Чтобы содействовать более эффективной и более интерактивной процедуре последующих действий, было решено, что в конце каждого посещения государств</w:t>
      </w:r>
      <w:r w:rsidR="007B6E80">
        <w:t>у</w:t>
      </w:r>
      <w:r w:rsidRPr="004C4817">
        <w:t>-участнику будет предложено обсудить и согл</w:t>
      </w:r>
      <w:r w:rsidRPr="004C4817">
        <w:t>а</w:t>
      </w:r>
      <w:r w:rsidRPr="004C4817">
        <w:t>совать наиболее эффективные способы ведения диалога с членами Подкомит</w:t>
      </w:r>
      <w:r w:rsidRPr="004C4817">
        <w:t>е</w:t>
      </w:r>
      <w:r w:rsidRPr="004C4817">
        <w:t>та. Кроме того, на сессии, проводимой после каждого посещения, будет пров</w:t>
      </w:r>
      <w:r w:rsidRPr="004C4817">
        <w:t>о</w:t>
      </w:r>
      <w:r w:rsidRPr="004C4817">
        <w:t>диться совещание либо лично, либо путем проведения электронных конфере</w:t>
      </w:r>
      <w:r w:rsidRPr="004C4817">
        <w:t>н</w:t>
      </w:r>
      <w:r w:rsidRPr="004C4817">
        <w:t>ций, либо с участием Постоянного представительства, в зависимости от обсто</w:t>
      </w:r>
      <w:r w:rsidRPr="004C4817">
        <w:t>я</w:t>
      </w:r>
      <w:r w:rsidRPr="004C4817">
        <w:t>тельств, чтобы инициировать более конкретный процесс диалога после пос</w:t>
      </w:r>
      <w:r w:rsidRPr="004C4817">
        <w:t>е</w:t>
      </w:r>
      <w:r w:rsidRPr="004C4817">
        <w:t>щения.</w:t>
      </w:r>
    </w:p>
    <w:p w:rsidR="004C4817" w:rsidRPr="004C4817" w:rsidRDefault="004C4817" w:rsidP="007437E5">
      <w:pPr>
        <w:pStyle w:val="H1GR"/>
      </w:pPr>
      <w:r w:rsidRPr="004C4817">
        <w:tab/>
        <w:t>E.</w:t>
      </w:r>
      <w:r w:rsidRPr="004C4817">
        <w:tab/>
        <w:t>Положение дел с национальными превентивными механизмами</w:t>
      </w:r>
    </w:p>
    <w:p w:rsidR="004C4817" w:rsidRPr="004C4817" w:rsidRDefault="004C4817" w:rsidP="004C4817">
      <w:pPr>
        <w:pStyle w:val="SingleTxtGR"/>
      </w:pPr>
      <w:r w:rsidRPr="004C4817">
        <w:rPr>
          <w:bCs/>
        </w:rPr>
        <w:t>19.</w:t>
      </w:r>
      <w:r w:rsidRPr="004C4817">
        <w:rPr>
          <w:bCs/>
        </w:rPr>
        <w:tab/>
      </w:r>
      <w:r w:rsidRPr="004C4817">
        <w:t>Из 80 государств </w:t>
      </w:r>
      <w:r w:rsidR="007437E5">
        <w:t>–</w:t>
      </w:r>
      <w:r w:rsidRPr="004C4817">
        <w:t xml:space="preserve"> участников Факультативного протокола 54 официал</w:t>
      </w:r>
      <w:r w:rsidRPr="004C4817">
        <w:t>ь</w:t>
      </w:r>
      <w:r w:rsidRPr="004C4817">
        <w:t>но уведомили Подкомитет о назначении своих национальных превентивных м</w:t>
      </w:r>
      <w:r w:rsidRPr="004C4817">
        <w:t>е</w:t>
      </w:r>
      <w:r w:rsidRPr="004C4817">
        <w:t>ханизмов, о чем на веб-сайте Подкомитета имеется соответствующая информ</w:t>
      </w:r>
      <w:r w:rsidRPr="004C4817">
        <w:t>а</w:t>
      </w:r>
      <w:r w:rsidRPr="004C4817">
        <w:t>ция.</w:t>
      </w:r>
    </w:p>
    <w:p w:rsidR="004C4817" w:rsidRPr="004C4817" w:rsidRDefault="004C4817" w:rsidP="004C4817">
      <w:pPr>
        <w:pStyle w:val="SingleTxtGR"/>
      </w:pPr>
      <w:r w:rsidRPr="004C4817">
        <w:rPr>
          <w:bCs/>
        </w:rPr>
        <w:t>20.</w:t>
      </w:r>
      <w:r w:rsidRPr="004C4817">
        <w:rPr>
          <w:bCs/>
        </w:rPr>
        <w:tab/>
      </w:r>
      <w:r w:rsidRPr="004C4817">
        <w:t>В 2015 году Подкомитет получил три официальных уведомления о назн</w:t>
      </w:r>
      <w:r w:rsidRPr="004C4817">
        <w:t>а</w:t>
      </w:r>
      <w:r w:rsidRPr="004C4817">
        <w:t>чении </w:t>
      </w:r>
      <w:r w:rsidR="007437E5">
        <w:t>–</w:t>
      </w:r>
      <w:r w:rsidRPr="004C4817">
        <w:t xml:space="preserve"> от Казахстана, Кыргызстана и Румынии.</w:t>
      </w:r>
    </w:p>
    <w:p w:rsidR="004C4817" w:rsidRPr="004C4817" w:rsidRDefault="004C4817" w:rsidP="004C4817">
      <w:pPr>
        <w:pStyle w:val="SingleTxtGR"/>
      </w:pPr>
      <w:r w:rsidRPr="004C4817">
        <w:rPr>
          <w:bCs/>
        </w:rPr>
        <w:t>21.</w:t>
      </w:r>
      <w:r w:rsidRPr="004C4817">
        <w:rPr>
          <w:bCs/>
        </w:rPr>
        <w:tab/>
      </w:r>
      <w:r w:rsidRPr="004C4817">
        <w:t>По состоянию на конец 2015 года одногодичный предельный срок для назначения национального превентивного механизма, предусмотренный в ст</w:t>
      </w:r>
      <w:r w:rsidRPr="004C4817">
        <w:t>а</w:t>
      </w:r>
      <w:r w:rsidRPr="004C4817">
        <w:t>тье 17 Факультативного протокола, пока еще не истек для четырех государств-участников: Белиза, Монголии, Руанды и Южного Судана.</w:t>
      </w:r>
    </w:p>
    <w:p w:rsidR="004C4817" w:rsidRPr="004C4817" w:rsidRDefault="004C4817" w:rsidP="004C4817">
      <w:pPr>
        <w:pStyle w:val="SingleTxtGR"/>
      </w:pPr>
      <w:r w:rsidRPr="004C4817">
        <w:rPr>
          <w:bCs/>
        </w:rPr>
        <w:t>22.</w:t>
      </w:r>
      <w:r w:rsidRPr="004C4817">
        <w:rPr>
          <w:bCs/>
        </w:rPr>
        <w:tab/>
      </w:r>
      <w:r w:rsidRPr="004C4817">
        <w:t>По состоянию на 31 декабря 2015 года не выполнили свои обязательства по статье 17 Факультативного протокола 19 государств-участников. Это то же количество, что и в конце 2014 года. Это вызывает большую обеспокоенность Подкомитета, особенно в связи с тем, что, как представляется, процесс выпо</w:t>
      </w:r>
      <w:r w:rsidRPr="004C4817">
        <w:t>л</w:t>
      </w:r>
      <w:r w:rsidRPr="004C4817">
        <w:t>нения своих обязательств некоторыми государствами-участниками продвигае</w:t>
      </w:r>
      <w:r w:rsidRPr="004C4817">
        <w:t>т</w:t>
      </w:r>
      <w:r w:rsidRPr="004C4817">
        <w:t>ся медленно. На каждой сессии Подкомитета региональные группы оценивают прогресс в выполнении обязательств каждого государства-участника, вынося надлежащие рекомендации для пленарного заседания в отношении того, каким образом Подкомитет может лучше всего предоставить консультативные услуги и помощь соответствующим государствам-участникам согласно своему мандату по статье 11</w:t>
      </w:r>
      <w:r w:rsidR="007A1FE6">
        <w:t xml:space="preserve"> </w:t>
      </w:r>
      <w:r w:rsidRPr="004C4817">
        <w:t>b</w:t>
      </w:r>
      <w:r w:rsidR="007A1FE6">
        <w:t xml:space="preserve">) </w:t>
      </w:r>
      <w:r w:rsidRPr="004C4817">
        <w:t>i</w:t>
      </w:r>
      <w:r w:rsidR="007A1FE6">
        <w:t>)</w:t>
      </w:r>
      <w:r w:rsidRPr="004C4817">
        <w:t xml:space="preserve"> Факультативного протокола. На своей двадцать седьмой се</w:t>
      </w:r>
      <w:r w:rsidRPr="004C4817">
        <w:t>с</w:t>
      </w:r>
      <w:r w:rsidRPr="004C4817">
        <w:t>сии Подкомитет постановил просить свои региональные группы выявить те государства-участники, которые, как представляется, добиваются незначител</w:t>
      </w:r>
      <w:r w:rsidRPr="004C4817">
        <w:t>ь</w:t>
      </w:r>
      <w:r w:rsidRPr="004C4817">
        <w:t>ного реального прогресса, и представить доклад на пленарном заседании в ходе двадцать восьмой сессии, чтобы Подкомитет смог озвучить свою обеспокое</w:t>
      </w:r>
      <w:r w:rsidRPr="004C4817">
        <w:t>н</w:t>
      </w:r>
      <w:r w:rsidRPr="004C4817">
        <w:t>ность.</w:t>
      </w:r>
    </w:p>
    <w:p w:rsidR="004C4817" w:rsidRPr="004C4817" w:rsidRDefault="004C4817" w:rsidP="004C4817">
      <w:pPr>
        <w:pStyle w:val="SingleTxtGR"/>
      </w:pPr>
      <w:r w:rsidRPr="004C4817">
        <w:rPr>
          <w:bCs/>
        </w:rPr>
        <w:t>23.</w:t>
      </w:r>
      <w:r w:rsidRPr="004C4817">
        <w:rPr>
          <w:bCs/>
        </w:rPr>
        <w:tab/>
      </w:r>
      <w:r w:rsidRPr="004C4817">
        <w:t>Подкомитет продолжал вести на своих сессиях диалог с государствами-участниками по вопросу о назначении или функционировании их национал</w:t>
      </w:r>
      <w:r w:rsidRPr="004C4817">
        <w:t>ь</w:t>
      </w:r>
      <w:r w:rsidRPr="004C4817">
        <w:t>ных превентивных механизмов. На своих двадцать пятой, двадцать шестой и двадцать седьмой сессиях он провел встречи с должностными лицами Пост</w:t>
      </w:r>
      <w:r w:rsidRPr="004C4817">
        <w:t>о</w:t>
      </w:r>
      <w:r w:rsidRPr="004C4817">
        <w:t>янных представительств Болгарии, Гватемалы, Гондураса, Перу, Польши, бы</w:t>
      </w:r>
      <w:r w:rsidRPr="004C4817">
        <w:t>в</w:t>
      </w:r>
      <w:r w:rsidRPr="004C4817">
        <w:t>шей югославской Республики Македония, Украины и Эквадора. Он провел по</w:t>
      </w:r>
      <w:r w:rsidRPr="004C4817">
        <w:t>д</w:t>
      </w:r>
      <w:r w:rsidRPr="004C4817">
        <w:t>готовительные встречи с представителями всех государств-участников, которые он планировал посетить, и в соответствии со своей новой практикой предложил также представителям государств-участников, которые он посетил после его предыдущей сессии, встретиться с ним. Подкомитет также встретился с делег</w:t>
      </w:r>
      <w:r w:rsidRPr="004C4817">
        <w:t>а</w:t>
      </w:r>
      <w:r w:rsidRPr="004C4817">
        <w:t>цией Европейского союза для того, чтобы обсудить обращение с лицами, ищ</w:t>
      </w:r>
      <w:r w:rsidRPr="004C4817">
        <w:t>у</w:t>
      </w:r>
      <w:r w:rsidRPr="004C4817">
        <w:t>щими убежища. На двадцать шестой сессии Подкомитет провел с государств</w:t>
      </w:r>
      <w:r w:rsidRPr="004C4817">
        <w:t>а</w:t>
      </w:r>
      <w:r w:rsidRPr="004C4817">
        <w:t>ми </w:t>
      </w:r>
      <w:r w:rsidR="007437E5">
        <w:t>–</w:t>
      </w:r>
      <w:r w:rsidRPr="004C4817">
        <w:t xml:space="preserve"> участниками Факультативного протокола совещание, в котором приняли участие представители 22 государств: Азербайджана, Буркина-Фасо, Гватем</w:t>
      </w:r>
      <w:r w:rsidRPr="004C4817">
        <w:t>а</w:t>
      </w:r>
      <w:r w:rsidRPr="004C4817">
        <w:t>лы, Германии, Греции, Дании, Испании, Италии, Люксембурга, Маврикия, Мальдивских Островов, Никарагуа, Норвегии, Республики Молдова, Румынии, Соединенного Королевства Великобритании и Северной Ирландии, Того, Укр</w:t>
      </w:r>
      <w:r w:rsidRPr="004C4817">
        <w:t>а</w:t>
      </w:r>
      <w:r w:rsidRPr="004C4817">
        <w:t>ины, Финляндии, Хорватии, Швейцарии и Эквадора. Государства-участники получили обновленную информацию о недавней деятельности Подкомитета, обсудили процесс укрепления системы договорных органов и рассмотрели б</w:t>
      </w:r>
      <w:r w:rsidRPr="004C4817">
        <w:t>у</w:t>
      </w:r>
      <w:r w:rsidRPr="004C4817">
        <w:t>дущие направления работы Подкомитета.</w:t>
      </w:r>
    </w:p>
    <w:p w:rsidR="004C4817" w:rsidRPr="004C4817" w:rsidRDefault="004C4817" w:rsidP="004C4817">
      <w:pPr>
        <w:pStyle w:val="SingleTxtGR"/>
        <w:rPr>
          <w:iCs/>
        </w:rPr>
      </w:pPr>
      <w:r w:rsidRPr="004C4817">
        <w:rPr>
          <w:bCs/>
        </w:rPr>
        <w:t>24.</w:t>
      </w:r>
      <w:r w:rsidRPr="004C4817">
        <w:rPr>
          <w:bCs/>
        </w:rPr>
        <w:tab/>
      </w:r>
      <w:r w:rsidRPr="004C4817">
        <w:t>Подкомитет установил и поддерживал контакты с самими национальн</w:t>
      </w:r>
      <w:r w:rsidRPr="004C4817">
        <w:t>ы</w:t>
      </w:r>
      <w:r w:rsidRPr="004C4817">
        <w:t>ми превентивными механизмами в соответствии со своим мандатом по ст</w:t>
      </w:r>
      <w:r w:rsidRPr="004C4817">
        <w:t>а</w:t>
      </w:r>
      <w:r w:rsidRPr="004C4817">
        <w:t>тье</w:t>
      </w:r>
      <w:r w:rsidR="007A1FE6">
        <w:t> </w:t>
      </w:r>
      <w:r w:rsidRPr="004C4817">
        <w:t>11</w:t>
      </w:r>
      <w:r w:rsidR="007A1FE6">
        <w:t> </w:t>
      </w:r>
      <w:r w:rsidRPr="004C4817">
        <w:t>b</w:t>
      </w:r>
      <w:r w:rsidR="007A1FE6">
        <w:t>) </w:t>
      </w:r>
      <w:proofErr w:type="spellStart"/>
      <w:r w:rsidRPr="004C4817">
        <w:t>ii</w:t>
      </w:r>
      <w:proofErr w:type="spellEnd"/>
      <w:r w:rsidR="007A1FE6">
        <w:t>)</w:t>
      </w:r>
      <w:r w:rsidRPr="004C4817">
        <w:t xml:space="preserve"> Факультативного протокола. Подкомитет провел видеоконференции с представителями национальных превентивных механизмов Мальты, Украины и Эквадора и встретился с представителями национального превентивного м</w:t>
      </w:r>
      <w:r w:rsidRPr="004C4817">
        <w:t>е</w:t>
      </w:r>
      <w:r w:rsidRPr="004C4817">
        <w:t xml:space="preserve">ханизма Франции. </w:t>
      </w:r>
      <w:r w:rsidRPr="004C4817">
        <w:rPr>
          <w:iCs/>
        </w:rPr>
        <w:t>Он также встретился с представителями Австралийской к</w:t>
      </w:r>
      <w:r w:rsidRPr="004C4817">
        <w:rPr>
          <w:iCs/>
        </w:rPr>
        <w:t>о</w:t>
      </w:r>
      <w:r w:rsidRPr="004C4817">
        <w:rPr>
          <w:iCs/>
        </w:rPr>
        <w:t>миссии по правам человека.</w:t>
      </w:r>
    </w:p>
    <w:p w:rsidR="004C4817" w:rsidRPr="004C4817" w:rsidRDefault="004C4817" w:rsidP="004C4817">
      <w:pPr>
        <w:pStyle w:val="SingleTxtGR"/>
      </w:pPr>
      <w:r w:rsidRPr="004C4817">
        <w:rPr>
          <w:bCs/>
        </w:rPr>
        <w:t>25.</w:t>
      </w:r>
      <w:r w:rsidRPr="004C4817">
        <w:rPr>
          <w:bCs/>
        </w:rPr>
        <w:tab/>
      </w:r>
      <w:r w:rsidRPr="004C4817">
        <w:t>Подкомитет и его члены продолжали получать приглашения принять уч</w:t>
      </w:r>
      <w:r w:rsidRPr="004C4817">
        <w:t>а</w:t>
      </w:r>
      <w:r w:rsidRPr="004C4817">
        <w:t>стие в многочисленных национальных, региональных и международных сов</w:t>
      </w:r>
      <w:r w:rsidRPr="004C4817">
        <w:t>е</w:t>
      </w:r>
      <w:r w:rsidRPr="004C4817">
        <w:t>щаниях, которые были посвящены, в частности, вопросам назначения, создания и налаживания деятельности национальных превентивных механизмов и в ц</w:t>
      </w:r>
      <w:r w:rsidRPr="004C4817">
        <w:t>е</w:t>
      </w:r>
      <w:r w:rsidRPr="004C4817">
        <w:t>лом Факультативному протоколу. Информация, касающаяся этих событий, им</w:t>
      </w:r>
      <w:r w:rsidRPr="004C4817">
        <w:t>е</w:t>
      </w:r>
      <w:r w:rsidRPr="004C4817">
        <w:t>ется на веб-сайте Подкомитета. Подкомитет признателен организаторам этих и всех других мероприятий, на которые он был приглашен. Он с сожалением о</w:t>
      </w:r>
      <w:r w:rsidRPr="004C4817">
        <w:t>т</w:t>
      </w:r>
      <w:r w:rsidRPr="004C4817">
        <w:t>мечает, что его участие по-прежнему обусловлено финансовой поддержкой др</w:t>
      </w:r>
      <w:r w:rsidRPr="004C4817">
        <w:t>у</w:t>
      </w:r>
      <w:r w:rsidRPr="004C4817">
        <w:t>гих сторон, поскольку он не располагает собственными средствами для фина</w:t>
      </w:r>
      <w:r w:rsidRPr="004C4817">
        <w:t>н</w:t>
      </w:r>
      <w:r w:rsidRPr="004C4817">
        <w:t>сирования участия своих членов.</w:t>
      </w:r>
    </w:p>
    <w:p w:rsidR="004C4817" w:rsidRPr="004C4817" w:rsidRDefault="004C4817" w:rsidP="004C4817">
      <w:pPr>
        <w:pStyle w:val="SingleTxtGR"/>
      </w:pPr>
      <w:r w:rsidRPr="004C4817">
        <w:rPr>
          <w:bCs/>
        </w:rPr>
        <w:t>26.</w:t>
      </w:r>
      <w:r w:rsidRPr="004C4817">
        <w:rPr>
          <w:bCs/>
        </w:rPr>
        <w:tab/>
      </w:r>
      <w:r w:rsidRPr="004C4817">
        <w:t>В ходе 2015 года Подкомитет оказал содействие национальным преве</w:t>
      </w:r>
      <w:r w:rsidRPr="004C4817">
        <w:t>н</w:t>
      </w:r>
      <w:r w:rsidRPr="004C4817">
        <w:t>тивным механизмам, откликнувшись на ряд просьб о помощи в связи с толк</w:t>
      </w:r>
      <w:r w:rsidRPr="004C4817">
        <w:t>о</w:t>
      </w:r>
      <w:r w:rsidRPr="004C4817">
        <w:t>ванием положений Факультативного протокола и применением превентивного подхода к конкретным ситуациям. Поскольку такие рекомендации представляют общий интерес, к настоящему докладу была приложена подборка вынесенных рекомендаций, которая была размещена на веб-сайте Подкомитета.</w:t>
      </w:r>
    </w:p>
    <w:p w:rsidR="004C4817" w:rsidRPr="004C4817" w:rsidRDefault="004C4817" w:rsidP="007437E5">
      <w:pPr>
        <w:pStyle w:val="H1GR"/>
      </w:pPr>
      <w:r w:rsidRPr="004C4817">
        <w:tab/>
        <w:t>F.</w:t>
      </w:r>
      <w:r w:rsidRPr="004C4817">
        <w:tab/>
        <w:t xml:space="preserve">Специальный фонд, созданный Факультативным протоколом </w:t>
      </w:r>
    </w:p>
    <w:p w:rsidR="004C4817" w:rsidRPr="004C4817" w:rsidRDefault="004C4817" w:rsidP="004C4817">
      <w:pPr>
        <w:pStyle w:val="SingleTxtGR"/>
      </w:pPr>
      <w:r w:rsidRPr="004C4817">
        <w:rPr>
          <w:bCs/>
        </w:rPr>
        <w:t>27.</w:t>
      </w:r>
      <w:r w:rsidRPr="004C4817">
        <w:rPr>
          <w:bCs/>
        </w:rPr>
        <w:tab/>
      </w:r>
      <w:r w:rsidRPr="004C4817">
        <w:t>Цель Специального фонда, созданного согласно пункту 1 статьи 26 Ф</w:t>
      </w:r>
      <w:r w:rsidRPr="004C4817">
        <w:t>а</w:t>
      </w:r>
      <w:r w:rsidRPr="004C4817">
        <w:t>культативного протокола, состоит в том, чтобы содействовать финансированию осуществления рекомендаций Подкомитета, вынесенных после посещения того или иного государства-участника, и созданию и/или эффективному функцион</w:t>
      </w:r>
      <w:r w:rsidRPr="004C4817">
        <w:t>и</w:t>
      </w:r>
      <w:r w:rsidRPr="004C4817">
        <w:t>рованию национальных превентивных</w:t>
      </w:r>
      <w:r w:rsidR="00B1591B">
        <w:t xml:space="preserve"> механизмов</w:t>
      </w:r>
      <w:r w:rsidRPr="00B1591B">
        <w:rPr>
          <w:sz w:val="18"/>
          <w:szCs w:val="18"/>
          <w:vertAlign w:val="superscript"/>
        </w:rPr>
        <w:footnoteReference w:id="3"/>
      </w:r>
      <w:r w:rsidRPr="004C4817">
        <w:t xml:space="preserve">. Подкомитет глубоко </w:t>
      </w:r>
      <w:r w:rsidR="007A1FE6">
        <w:br/>
      </w:r>
      <w:r w:rsidRPr="004C4817">
        <w:t>обеспокоен тем, что в 2015 году был сделан л</w:t>
      </w:r>
      <w:r w:rsidR="000720C5">
        <w:t xml:space="preserve">ишь один взнос в размере </w:t>
      </w:r>
      <w:r w:rsidR="007A1FE6">
        <w:br/>
      </w:r>
      <w:r w:rsidR="000720C5">
        <w:t>30 000</w:t>
      </w:r>
      <w:r w:rsidRPr="004C4817">
        <w:t xml:space="preserve"> долл. США. Для подержания и укрепления Специального фонда и его деятел</w:t>
      </w:r>
      <w:r w:rsidRPr="004C4817">
        <w:t>ь</w:t>
      </w:r>
      <w:r w:rsidRPr="004C4817">
        <w:t>ности срочно необходимы дополнительные взносы.</w:t>
      </w:r>
    </w:p>
    <w:p w:rsidR="004C4817" w:rsidRPr="004C4817" w:rsidRDefault="004C4817" w:rsidP="004C4817">
      <w:pPr>
        <w:pStyle w:val="SingleTxtGR"/>
      </w:pPr>
      <w:r w:rsidRPr="004C4817">
        <w:rPr>
          <w:bCs/>
        </w:rPr>
        <w:t>28.</w:t>
      </w:r>
      <w:r w:rsidRPr="004C4817">
        <w:rPr>
          <w:bCs/>
        </w:rPr>
        <w:tab/>
      </w:r>
      <w:r w:rsidRPr="004C4817">
        <w:t>Подкомитет уверен в том, что нынешняя схема управления Специальным фондом, построенная на сотрудничестве, отражает чаяния разработчиков Ф</w:t>
      </w:r>
      <w:r w:rsidRPr="004C4817">
        <w:t>а</w:t>
      </w:r>
      <w:r w:rsidRPr="004C4817">
        <w:t>культативного протокола. В частности, Подкомитет считает, что адресные, уч</w:t>
      </w:r>
      <w:r w:rsidRPr="004C4817">
        <w:t>и</w:t>
      </w:r>
      <w:r w:rsidRPr="004C4817">
        <w:t xml:space="preserve">тывающие </w:t>
      </w:r>
      <w:proofErr w:type="spellStart"/>
      <w:r w:rsidRPr="004C4817">
        <w:t>страновую</w:t>
      </w:r>
      <w:proofErr w:type="spellEnd"/>
      <w:r w:rsidRPr="004C4817">
        <w:t xml:space="preserve"> специфику руководящие указания, которые могут быть вынесены Подкомитетом в отношении его рекомендаций, имеют существенно важное значение для максимального усиления превентивного воздействия в</w:t>
      </w:r>
      <w:r w:rsidRPr="004C4817">
        <w:t>ы</w:t>
      </w:r>
      <w:r w:rsidRPr="004C4817">
        <w:t>данных субсидий. Подкомитет надеется, что Фонд будет по-прежнему подде</w:t>
      </w:r>
      <w:r w:rsidRPr="004C4817">
        <w:t>р</w:t>
      </w:r>
      <w:r w:rsidRPr="004C4817">
        <w:t>живать проекты, имеющие существенное значение для эффективного пред</w:t>
      </w:r>
      <w:r w:rsidRPr="004C4817">
        <w:t>у</w:t>
      </w:r>
      <w:r w:rsidRPr="004C4817">
        <w:t>преждения пыток и неправомерного обращения, и призывает государства пр</w:t>
      </w:r>
      <w:r w:rsidRPr="004C4817">
        <w:t>о</w:t>
      </w:r>
      <w:r w:rsidRPr="004C4817">
        <w:t>должить финансовую поддержку Фонда. Подкомитет создал рабочую группу для рассмотрения с секретариатом Фонда вопроса о том, как можно поддерж</w:t>
      </w:r>
      <w:r w:rsidRPr="004C4817">
        <w:t>и</w:t>
      </w:r>
      <w:r w:rsidRPr="004C4817">
        <w:t>вать и повысить эффективность работы Фонда и уровень информированности о нем. Рабочая группа рассмотрит также административные процедуры Фонда и изучить варианты и возможность создания консультативного механизма для надзора за его деятельностью.</w:t>
      </w:r>
    </w:p>
    <w:p w:rsidR="004C4817" w:rsidRPr="004C4817" w:rsidRDefault="004C4817" w:rsidP="00B1591B">
      <w:pPr>
        <w:pStyle w:val="HChGR"/>
      </w:pPr>
      <w:r w:rsidRPr="004C4817">
        <w:tab/>
        <w:t>III.</w:t>
      </w:r>
      <w:r w:rsidRPr="004C4817">
        <w:tab/>
        <w:t>Взаимодействие с другими органами в области предупреждения пыток</w:t>
      </w:r>
    </w:p>
    <w:p w:rsidR="004C4817" w:rsidRPr="004C4817" w:rsidRDefault="004C4817" w:rsidP="00B1591B">
      <w:pPr>
        <w:pStyle w:val="H1GR"/>
      </w:pPr>
      <w:r w:rsidRPr="004C4817">
        <w:tab/>
        <w:t>A.</w:t>
      </w:r>
      <w:r w:rsidRPr="004C4817">
        <w:tab/>
        <w:t>Международное сотрудничество</w:t>
      </w:r>
    </w:p>
    <w:p w:rsidR="004C4817" w:rsidRPr="004C4817" w:rsidRDefault="004C4817" w:rsidP="00B1591B">
      <w:pPr>
        <w:pStyle w:val="H23GR"/>
      </w:pPr>
      <w:r w:rsidRPr="004C4817">
        <w:tab/>
        <w:t>1.</w:t>
      </w:r>
      <w:r w:rsidRPr="004C4817">
        <w:tab/>
        <w:t>Сотрудничество с другими органами Организации Объединенных Наций</w:t>
      </w:r>
    </w:p>
    <w:p w:rsidR="004C4817" w:rsidRPr="004C4817" w:rsidRDefault="004C4817" w:rsidP="004C4817">
      <w:pPr>
        <w:pStyle w:val="SingleTxtGR"/>
      </w:pPr>
      <w:r w:rsidRPr="004C4817">
        <w:rPr>
          <w:bCs/>
        </w:rPr>
        <w:t>29.</w:t>
      </w:r>
      <w:r w:rsidRPr="004C4817">
        <w:rPr>
          <w:bCs/>
        </w:rPr>
        <w:tab/>
      </w:r>
      <w:r w:rsidRPr="004C4817">
        <w:t>Подкомитет и Комитет провели в Женеве 18 ноября 2015 года совмес</w:t>
      </w:r>
      <w:r w:rsidRPr="004C4817">
        <w:t>т</w:t>
      </w:r>
      <w:r w:rsidRPr="004C4817">
        <w:t>ную встречу для обсуждения вопросов, касающихся предотвращения примен</w:t>
      </w:r>
      <w:r w:rsidRPr="004C4817">
        <w:t>е</w:t>
      </w:r>
      <w:r w:rsidRPr="004C4817">
        <w:t xml:space="preserve">ния пыток и жестокого обращения в отношении лесбиянок, </w:t>
      </w:r>
      <w:proofErr w:type="spellStart"/>
      <w:r w:rsidRPr="004C4817">
        <w:t>геев</w:t>
      </w:r>
      <w:proofErr w:type="spellEnd"/>
      <w:r w:rsidRPr="004C4817">
        <w:t xml:space="preserve">, бисексуалов, транссексуалов и интерсексуалов. Международная ассоциация лесбиянок, </w:t>
      </w:r>
      <w:proofErr w:type="spellStart"/>
      <w:r w:rsidRPr="004C4817">
        <w:t>геев</w:t>
      </w:r>
      <w:proofErr w:type="spellEnd"/>
      <w:r w:rsidRPr="004C4817">
        <w:t>, бисексуалов, трансгендеров и интерсексуалов (МАЛГ) и Ассоциация по пред</w:t>
      </w:r>
      <w:r w:rsidRPr="004C4817">
        <w:t>у</w:t>
      </w:r>
      <w:r w:rsidRPr="004C4817">
        <w:t>преждению пыток (АПП) способствовали проведению этого совещания и пр</w:t>
      </w:r>
      <w:r w:rsidRPr="004C4817">
        <w:t>и</w:t>
      </w:r>
      <w:r w:rsidRPr="004C4817">
        <w:t>няли участие в его работе.</w:t>
      </w:r>
    </w:p>
    <w:p w:rsidR="004C4817" w:rsidRPr="004C4817" w:rsidRDefault="004C4817" w:rsidP="004C4817">
      <w:pPr>
        <w:pStyle w:val="SingleTxtGR"/>
      </w:pPr>
      <w:r w:rsidRPr="004C4817">
        <w:rPr>
          <w:bCs/>
        </w:rPr>
        <w:t>30.</w:t>
      </w:r>
      <w:r w:rsidRPr="004C4817">
        <w:rPr>
          <w:bCs/>
        </w:rPr>
        <w:tab/>
      </w:r>
      <w:r w:rsidRPr="004C4817">
        <w:t>В соответствии с резолюцией Генеральной Ассамблеи и совместно с Председателем Комитета против пыток и Специальным докладчиком по вопр</w:t>
      </w:r>
      <w:r w:rsidRPr="004C4817">
        <w:t>о</w:t>
      </w:r>
      <w:r w:rsidRPr="004C4817">
        <w:t>су о пытках и других жестоких, бесчеловечных или унижающих достоинство видах обращения и наказания Председатель Подкомитета представил восьмой ежегодный доклад Подкомитета Генеральной Ассамблее на ее семидесятой се</w:t>
      </w:r>
      <w:r w:rsidRPr="004C4817">
        <w:t>с</w:t>
      </w:r>
      <w:r w:rsidR="00B1591B">
        <w:t>сии 20 октября 2015 года</w:t>
      </w:r>
      <w:r w:rsidRPr="00B1591B">
        <w:rPr>
          <w:sz w:val="18"/>
          <w:szCs w:val="18"/>
          <w:vertAlign w:val="superscript"/>
        </w:rPr>
        <w:footnoteReference w:id="4"/>
      </w:r>
      <w:r w:rsidRPr="004C4817">
        <w:t>.</w:t>
      </w:r>
    </w:p>
    <w:p w:rsidR="004C4817" w:rsidRPr="004C4817" w:rsidRDefault="004C4817" w:rsidP="004C4817">
      <w:pPr>
        <w:pStyle w:val="SingleTxtGR"/>
      </w:pPr>
      <w:r w:rsidRPr="004C4817">
        <w:rPr>
          <w:bCs/>
        </w:rPr>
        <w:t>31.</w:t>
      </w:r>
      <w:r w:rsidRPr="004C4817">
        <w:rPr>
          <w:bCs/>
        </w:rPr>
        <w:tab/>
      </w:r>
      <w:r w:rsidRPr="004C4817">
        <w:t>Подкомитет продолжил свое участие в ежегодных совещаниях председ</w:t>
      </w:r>
      <w:r w:rsidRPr="004C4817">
        <w:t>а</w:t>
      </w:r>
      <w:r w:rsidRPr="004C4817">
        <w:t>телей договорных органов по правам человека. На своем двадцать седьмом с</w:t>
      </w:r>
      <w:r w:rsidRPr="004C4817">
        <w:t>о</w:t>
      </w:r>
      <w:r w:rsidRPr="004C4817">
        <w:t>вещании, состоявшемся в Сан-Хосе в июне 2015 года, председатели одобрили Руководящие принципы по борьбе с запугиванием и репрессалиями (Руковод</w:t>
      </w:r>
      <w:r w:rsidRPr="004C4817">
        <w:t>я</w:t>
      </w:r>
      <w:r w:rsidRPr="004C4817">
        <w:t>щие принципы Сан-Хосе), которые Подкомитет одобрил затем на своей дв</w:t>
      </w:r>
      <w:r w:rsidRPr="004C4817">
        <w:t>а</w:t>
      </w:r>
      <w:r w:rsidRPr="004C4817">
        <w:t>дцать седьмой сессии. Подкомитет рассмотрел и изменил свою политику по в</w:t>
      </w:r>
      <w:r w:rsidRPr="004C4817">
        <w:t>о</w:t>
      </w:r>
      <w:r w:rsidRPr="004C4817">
        <w:t>просу о репрессалиях (CAT/OP/6) с учетом Руководящих принципов Сан-Хосе и принял пересмотренные руководящие принципы Подкомитета на своей дв</w:t>
      </w:r>
      <w:r w:rsidRPr="004C4817">
        <w:t>а</w:t>
      </w:r>
      <w:r w:rsidRPr="004C4817">
        <w:t>дцать восьмой сессии. Подкомитет также обсудил ход осуществления резол</w:t>
      </w:r>
      <w:r w:rsidRPr="004C4817">
        <w:t>ю</w:t>
      </w:r>
      <w:r w:rsidRPr="004C4817">
        <w:t>ции 68/268 Генеральной Ассамблеи. Он продолжал следить за своей деятельн</w:t>
      </w:r>
      <w:r w:rsidRPr="004C4817">
        <w:t>о</w:t>
      </w:r>
      <w:r w:rsidRPr="004C4817">
        <w:t>стью в целях обеспечения соответствия Руководящим принципам в отношении независимости и беспристрастности членов договорных органов по правам ч</w:t>
      </w:r>
      <w:r w:rsidRPr="004C4817">
        <w:t>е</w:t>
      </w:r>
      <w:r w:rsidRPr="004C4817">
        <w:t>ловека (</w:t>
      </w:r>
      <w:proofErr w:type="spellStart"/>
      <w:r w:rsidRPr="004C4817">
        <w:t>Аддис-Абебские</w:t>
      </w:r>
      <w:proofErr w:type="spellEnd"/>
      <w:r w:rsidRPr="004C4817">
        <w:t xml:space="preserve"> руководящие принципы). Он также участвовал во мн</w:t>
      </w:r>
      <w:r w:rsidRPr="004C4817">
        <w:t>о</w:t>
      </w:r>
      <w:r w:rsidRPr="004C4817">
        <w:t>гих других мероприятиях Управления Верховного комиссара Организации Об</w:t>
      </w:r>
      <w:r w:rsidRPr="004C4817">
        <w:t>ъ</w:t>
      </w:r>
      <w:r w:rsidRPr="004C4817">
        <w:t>единенных Наций по правам человека (УВКПЧ).</w:t>
      </w:r>
    </w:p>
    <w:p w:rsidR="004C4817" w:rsidRPr="004C4817" w:rsidRDefault="004C4817" w:rsidP="00726DE9">
      <w:pPr>
        <w:pStyle w:val="SingleTxtGR"/>
        <w:keepNext/>
        <w:keepLines/>
      </w:pPr>
      <w:r w:rsidRPr="004C4817">
        <w:rPr>
          <w:bCs/>
        </w:rPr>
        <w:t>32.</w:t>
      </w:r>
      <w:r w:rsidRPr="004C4817">
        <w:rPr>
          <w:bCs/>
        </w:rPr>
        <w:tab/>
        <w:t>Подкомитет вместе со Специальным докладчиком по вопросу о пытках, Комитетом против пыток и Советом попечителей Добровольного фонда Орг</w:t>
      </w:r>
      <w:r w:rsidRPr="004C4817">
        <w:rPr>
          <w:bCs/>
        </w:rPr>
        <w:t>а</w:t>
      </w:r>
      <w:r w:rsidRPr="004C4817">
        <w:rPr>
          <w:bCs/>
        </w:rPr>
        <w:t>низации Объединенных Наций для жертв пыток участвовал в подготовке зая</w:t>
      </w:r>
      <w:r w:rsidRPr="004C4817">
        <w:rPr>
          <w:bCs/>
        </w:rPr>
        <w:t>в</w:t>
      </w:r>
      <w:r w:rsidRPr="004C4817">
        <w:rPr>
          <w:bCs/>
        </w:rPr>
        <w:t>ления по случаю Международного дня в поддержку жертв пыток (26 июня).</w:t>
      </w:r>
      <w:r w:rsidRPr="004C4817">
        <w:t xml:space="preserve"> Подкомитет продолжал систематически сотрудничать с другими механизмами, в том числе путем передачи в Комитет против пыток своих рекомендаций в о</w:t>
      </w:r>
      <w:r w:rsidRPr="004C4817">
        <w:t>т</w:t>
      </w:r>
      <w:r w:rsidRPr="004C4817">
        <w:t>ношении государств</w:t>
      </w:r>
      <w:r w:rsidR="00726DE9">
        <w:t xml:space="preserve"> </w:t>
      </w:r>
      <w:r w:rsidR="007437E5">
        <w:t>–</w:t>
      </w:r>
      <w:r w:rsidRPr="004C4817">
        <w:t xml:space="preserve"> участников Факультативного протокола, доклады кот</w:t>
      </w:r>
      <w:r w:rsidRPr="004C4817">
        <w:t>о</w:t>
      </w:r>
      <w:r w:rsidRPr="004C4817">
        <w:t>рых должны рассматриваться на предстоящих сессиях Комитета.</w:t>
      </w:r>
    </w:p>
    <w:p w:rsidR="004C4817" w:rsidRPr="004C4817" w:rsidRDefault="004C4817" w:rsidP="004C4817">
      <w:pPr>
        <w:pStyle w:val="SingleTxtGR"/>
      </w:pPr>
      <w:r w:rsidRPr="004C4817">
        <w:rPr>
          <w:bCs/>
        </w:rPr>
        <w:t>33.</w:t>
      </w:r>
      <w:r w:rsidRPr="004C4817">
        <w:rPr>
          <w:bCs/>
        </w:rPr>
        <w:tab/>
      </w:r>
      <w:r w:rsidRPr="004C4817">
        <w:t>Подкомитет продолжал сотрудничать с Управлением Верховного коми</w:t>
      </w:r>
      <w:r w:rsidRPr="004C4817">
        <w:t>с</w:t>
      </w:r>
      <w:r w:rsidRPr="004C4817">
        <w:t>сара Организации Объединенных Наций по делам беженцев, в том числе на с</w:t>
      </w:r>
      <w:r w:rsidRPr="004C4817">
        <w:t>о</w:t>
      </w:r>
      <w:r w:rsidRPr="004C4817">
        <w:t>вещании, состоявшемся в ходе двадцать седьмой сессии Подкомитета, а также со Всемирной организацией здравоохранения и Управлением Организации Объединенных Наций по наркотикам и преступности.</w:t>
      </w:r>
    </w:p>
    <w:p w:rsidR="004C4817" w:rsidRPr="004C4817" w:rsidRDefault="004C4817" w:rsidP="00B1591B">
      <w:pPr>
        <w:pStyle w:val="H23GR"/>
      </w:pPr>
      <w:r w:rsidRPr="004C4817">
        <w:tab/>
        <w:t>2.</w:t>
      </w:r>
      <w:r w:rsidRPr="004C4817">
        <w:tab/>
        <w:t>Сотрудничество с другими соответствующими международными организациями</w:t>
      </w:r>
    </w:p>
    <w:p w:rsidR="004C4817" w:rsidRPr="004C4817" w:rsidRDefault="004C4817" w:rsidP="004C4817">
      <w:pPr>
        <w:pStyle w:val="SingleTxtGR"/>
      </w:pPr>
      <w:r w:rsidRPr="004C4817">
        <w:rPr>
          <w:bCs/>
        </w:rPr>
        <w:t>34.</w:t>
      </w:r>
      <w:r w:rsidRPr="004C4817">
        <w:rPr>
          <w:bCs/>
        </w:rPr>
        <w:tab/>
      </w:r>
      <w:r w:rsidRPr="004C4817">
        <w:t xml:space="preserve">Подкомитет продолжил сотрудничество с Международным комитетом Красного Креста, особенно в контексте поездок на места и работы его двадцать </w:t>
      </w:r>
      <w:r w:rsidR="00C05D7C">
        <w:t>шестой</w:t>
      </w:r>
      <w:r w:rsidRPr="004C4817">
        <w:t xml:space="preserve"> сессии.</w:t>
      </w:r>
    </w:p>
    <w:p w:rsidR="004C4817" w:rsidRPr="004C4817" w:rsidRDefault="004C4817" w:rsidP="00B1591B">
      <w:pPr>
        <w:pStyle w:val="H1GR"/>
      </w:pPr>
      <w:r w:rsidRPr="004C4817">
        <w:tab/>
        <w:t>B.</w:t>
      </w:r>
      <w:r w:rsidRPr="004C4817">
        <w:tab/>
        <w:t>Региональное сотрудничество</w:t>
      </w:r>
    </w:p>
    <w:p w:rsidR="004C4817" w:rsidRPr="004C4817" w:rsidRDefault="004C4817" w:rsidP="004C4817">
      <w:pPr>
        <w:pStyle w:val="SingleTxtGR"/>
      </w:pPr>
      <w:r w:rsidRPr="004C4817">
        <w:rPr>
          <w:bCs/>
        </w:rPr>
        <w:t>35.</w:t>
      </w:r>
      <w:r w:rsidRPr="004C4817">
        <w:rPr>
          <w:bCs/>
        </w:rPr>
        <w:tab/>
      </w:r>
      <w:r w:rsidRPr="004C4817">
        <w:t>Через посредство руководителей своих региональных групп Подкомитет продолжал сотрудничать с региональными партнерами, включая Африканскую комиссию по правам человека и народов, Межамериканскую комиссию по пр</w:t>
      </w:r>
      <w:r w:rsidRPr="004C4817">
        <w:t>а</w:t>
      </w:r>
      <w:r w:rsidRPr="004C4817">
        <w:t>вам человека, Совет Европы, Европейский комитет по предупреждению пыток и бесчеловечного или унижающего достоинство обращения или наказания и Европейскую комиссию.</w:t>
      </w:r>
    </w:p>
    <w:p w:rsidR="004C4817" w:rsidRPr="004C4817" w:rsidRDefault="004C4817" w:rsidP="00B1591B">
      <w:pPr>
        <w:pStyle w:val="H1GR"/>
      </w:pPr>
      <w:r w:rsidRPr="004C4817">
        <w:tab/>
        <w:t>C.</w:t>
      </w:r>
      <w:r w:rsidRPr="004C4817">
        <w:tab/>
        <w:t>Гражданское общество</w:t>
      </w:r>
    </w:p>
    <w:p w:rsidR="004C4817" w:rsidRPr="004C4817" w:rsidRDefault="004C4817" w:rsidP="004C4817">
      <w:pPr>
        <w:pStyle w:val="SingleTxtGR"/>
      </w:pPr>
      <w:r w:rsidRPr="004C4817">
        <w:rPr>
          <w:bCs/>
        </w:rPr>
        <w:t>36.</w:t>
      </w:r>
      <w:r w:rsidRPr="004C4817">
        <w:rPr>
          <w:bCs/>
        </w:rPr>
        <w:tab/>
      </w:r>
      <w:r w:rsidRPr="004C4817">
        <w:t>Подкомитет по-прежнему пользовался поддержкой гражданского общ</w:t>
      </w:r>
      <w:r w:rsidRPr="004C4817">
        <w:t>е</w:t>
      </w:r>
      <w:r w:rsidRPr="004C4817">
        <w:t>ства, особенно АПП и нескольких учебных заведений. Он также опирался на свои контакты с организациями гражданского общества во время посещений и благодарит их всех за их работу по пропаганде Факультативного протокола и его поддержке. Подкомитет особо благодарит МАЛГ и АПП за содействие пр</w:t>
      </w:r>
      <w:r w:rsidRPr="004C4817">
        <w:t>о</w:t>
      </w:r>
      <w:r w:rsidRPr="004C4817">
        <w:t>ведению совместного совещания с Комитетом против пыток по вопросу о пр</w:t>
      </w:r>
      <w:r w:rsidRPr="004C4817">
        <w:t>е</w:t>
      </w:r>
      <w:r w:rsidRPr="004C4817">
        <w:t xml:space="preserve">дупреждении применения пыток в отношении лесбиянок, </w:t>
      </w:r>
      <w:proofErr w:type="spellStart"/>
      <w:r w:rsidRPr="004C4817">
        <w:t>геев</w:t>
      </w:r>
      <w:proofErr w:type="spellEnd"/>
      <w:r w:rsidRPr="004C4817">
        <w:t>, бисексуалов, транссексуалов и интерсексуалов.</w:t>
      </w:r>
    </w:p>
    <w:p w:rsidR="004C4817" w:rsidRPr="004C4817" w:rsidRDefault="004C4817" w:rsidP="00B1591B">
      <w:pPr>
        <w:pStyle w:val="HChGR"/>
      </w:pPr>
      <w:bookmarkStart w:id="3" w:name="wp1018786"/>
      <w:bookmarkStart w:id="4" w:name="wp1018788"/>
      <w:bookmarkEnd w:id="3"/>
      <w:bookmarkEnd w:id="4"/>
      <w:r w:rsidRPr="004C4817">
        <w:tab/>
        <w:t>IV.</w:t>
      </w:r>
      <w:r w:rsidRPr="004C4817">
        <w:tab/>
        <w:t xml:space="preserve">Заслуживающие внимания вопросы, которые возникли в связи с работой Подкомитета </w:t>
      </w:r>
      <w:r w:rsidR="00C05D7C">
        <w:br/>
      </w:r>
      <w:r w:rsidRPr="004C4817">
        <w:t>за обзорный период</w:t>
      </w:r>
    </w:p>
    <w:p w:rsidR="004C4817" w:rsidRPr="004C4817" w:rsidRDefault="004C4817" w:rsidP="00B1591B">
      <w:pPr>
        <w:pStyle w:val="H1GR"/>
      </w:pPr>
      <w:r w:rsidRPr="004C4817">
        <w:tab/>
        <w:t>A.</w:t>
      </w:r>
      <w:r w:rsidRPr="004C4817">
        <w:tab/>
        <w:t>Изменения в членском составе</w:t>
      </w:r>
    </w:p>
    <w:p w:rsidR="004C4817" w:rsidRPr="004C4817" w:rsidRDefault="004C4817" w:rsidP="004C4817">
      <w:pPr>
        <w:pStyle w:val="SingleTxtGR"/>
        <w:rPr>
          <w:bCs/>
        </w:rPr>
      </w:pPr>
      <w:r w:rsidRPr="004C4817">
        <w:rPr>
          <w:bCs/>
        </w:rPr>
        <w:t>37.</w:t>
      </w:r>
      <w:r w:rsidRPr="004C4817">
        <w:rPr>
          <w:bCs/>
        </w:rPr>
        <w:tab/>
        <w:t>Подкомитет приветствовал 13 вновь избранных членов и поздравляет своих новых и повторно занимающих свои посты членов с их избранием, отм</w:t>
      </w:r>
      <w:r w:rsidRPr="004C4817">
        <w:rPr>
          <w:bCs/>
        </w:rPr>
        <w:t>е</w:t>
      </w:r>
      <w:r w:rsidRPr="004C4817">
        <w:rPr>
          <w:bCs/>
        </w:rPr>
        <w:t>чая, что они привносят со своим приходом опыт и экспертные знания в разн</w:t>
      </w:r>
      <w:r w:rsidRPr="004C4817">
        <w:rPr>
          <w:bCs/>
        </w:rPr>
        <w:t>о</w:t>
      </w:r>
      <w:r w:rsidRPr="004C4817">
        <w:rPr>
          <w:bCs/>
        </w:rPr>
        <w:t>образных областях, имеющих актуальное отношение к работе Подкомитета. Подкомитет выражает благодарность своим членам, срок полномочий которых истек, включая тех, которые не могли быть переизбраны вследствие истечения их второго срока полномочий. Срок полномочий первоначального состава По</w:t>
      </w:r>
      <w:r w:rsidRPr="004C4817">
        <w:rPr>
          <w:bCs/>
        </w:rPr>
        <w:t>д</w:t>
      </w:r>
      <w:r w:rsidRPr="004C4817">
        <w:rPr>
          <w:bCs/>
        </w:rPr>
        <w:t>комитета, таким образом, истек, и его состав воссоздается в соответствии с принципами ротации, предусмотренными Факультативным протоколом. Пол</w:t>
      </w:r>
      <w:r w:rsidRPr="004C4817">
        <w:rPr>
          <w:bCs/>
        </w:rPr>
        <w:t>у</w:t>
      </w:r>
      <w:r w:rsidRPr="004C4817">
        <w:rPr>
          <w:bCs/>
        </w:rPr>
        <w:t>чая значительную выгоду от новых перспектив, которые открывают его новые члены, Подкомитет осознает вместе с тем значительную потерю опыта, кот</w:t>
      </w:r>
      <w:r w:rsidRPr="004C4817">
        <w:rPr>
          <w:bCs/>
        </w:rPr>
        <w:t>о</w:t>
      </w:r>
      <w:r w:rsidRPr="004C4817">
        <w:rPr>
          <w:bCs/>
        </w:rPr>
        <w:t>рую влечет за собой ротация, и отмечает последствия для сохранения с течен</w:t>
      </w:r>
      <w:r w:rsidRPr="004C4817">
        <w:rPr>
          <w:bCs/>
        </w:rPr>
        <w:t>и</w:t>
      </w:r>
      <w:r w:rsidRPr="004C4817">
        <w:rPr>
          <w:bCs/>
        </w:rPr>
        <w:t>ем времени диалога, проводимого на основе посещений. Опыт его бывших чл</w:t>
      </w:r>
      <w:r w:rsidRPr="004C4817">
        <w:rPr>
          <w:bCs/>
        </w:rPr>
        <w:t>е</w:t>
      </w:r>
      <w:r w:rsidRPr="004C4817">
        <w:rPr>
          <w:bCs/>
        </w:rPr>
        <w:t>нов помогал формировать пересмотренный подход к диалогу по итогам пос</w:t>
      </w:r>
      <w:r w:rsidRPr="004C4817">
        <w:rPr>
          <w:bCs/>
        </w:rPr>
        <w:t>е</w:t>
      </w:r>
      <w:r w:rsidRPr="004C4817">
        <w:rPr>
          <w:bCs/>
        </w:rPr>
        <w:t>щений, который направлен на более быстрый и интенсивный диалог, провод</w:t>
      </w:r>
      <w:r w:rsidRPr="004C4817">
        <w:rPr>
          <w:bCs/>
        </w:rPr>
        <w:t>и</w:t>
      </w:r>
      <w:r w:rsidRPr="004C4817">
        <w:rPr>
          <w:bCs/>
        </w:rPr>
        <w:t>мый в более сжатые сроки и позволяющий воспользоваться опытом членов, участвующих в посещениях стран.</w:t>
      </w:r>
    </w:p>
    <w:p w:rsidR="004C4817" w:rsidRPr="004C4817" w:rsidRDefault="004C4817" w:rsidP="004C4817">
      <w:pPr>
        <w:pStyle w:val="SingleTxtGR"/>
      </w:pPr>
      <w:r w:rsidRPr="004C4817">
        <w:rPr>
          <w:bCs/>
        </w:rPr>
        <w:t>38.</w:t>
      </w:r>
      <w:r w:rsidRPr="004C4817">
        <w:rPr>
          <w:bCs/>
        </w:rPr>
        <w:tab/>
      </w:r>
      <w:r w:rsidRPr="004C4817">
        <w:t>Подкомитет с удовлетворением отмечает, что его новые члены впервые прошли однодневную вводную обучающую программу до начала срока их по</w:t>
      </w:r>
      <w:r w:rsidRPr="004C4817">
        <w:t>л</w:t>
      </w:r>
      <w:r w:rsidRPr="004C4817">
        <w:t>номочий. Подкомитет, однако, сожалеет, что у него нет необходимого потенци</w:t>
      </w:r>
      <w:r w:rsidRPr="004C4817">
        <w:t>а</w:t>
      </w:r>
      <w:r w:rsidRPr="004C4817">
        <w:t>ла для проведения вводной обучающей программы столь же эффективно, как ему того хотелось бы, особенно из-за отсутствия достаточных возможностей для устного перевода, и считает, что необходимо дополнительно проанализир</w:t>
      </w:r>
      <w:r w:rsidRPr="004C4817">
        <w:t>о</w:t>
      </w:r>
      <w:r w:rsidRPr="004C4817">
        <w:t>вать то, как лучше всего организовать надлежащую подготовку по вопросам особой полевой деятельности Подкомитета.</w:t>
      </w:r>
    </w:p>
    <w:p w:rsidR="004C4817" w:rsidRPr="004C4817" w:rsidRDefault="004C4817" w:rsidP="00B1591B">
      <w:pPr>
        <w:pStyle w:val="H1GR"/>
      </w:pPr>
      <w:r w:rsidRPr="004C4817">
        <w:tab/>
        <w:t>B.</w:t>
      </w:r>
      <w:r w:rsidRPr="004C4817">
        <w:tab/>
        <w:t>Развитие практических методов работы</w:t>
      </w:r>
    </w:p>
    <w:p w:rsidR="004C4817" w:rsidRPr="004C4817" w:rsidRDefault="004C4817" w:rsidP="00B1591B">
      <w:pPr>
        <w:pStyle w:val="H23GR"/>
      </w:pPr>
      <w:r w:rsidRPr="004C4817">
        <w:tab/>
        <w:t>1.</w:t>
      </w:r>
      <w:r w:rsidRPr="004C4817">
        <w:tab/>
        <w:t>Посещения</w:t>
      </w:r>
    </w:p>
    <w:p w:rsidR="004C4817" w:rsidRPr="004C4817" w:rsidRDefault="004C4817" w:rsidP="004C4817">
      <w:pPr>
        <w:pStyle w:val="SingleTxtGR"/>
      </w:pPr>
      <w:r w:rsidRPr="004C4817">
        <w:rPr>
          <w:bCs/>
        </w:rPr>
        <w:t>39.</w:t>
      </w:r>
      <w:r w:rsidRPr="004C4817">
        <w:rPr>
          <w:bCs/>
        </w:rPr>
        <w:tab/>
      </w:r>
      <w:r w:rsidRPr="004C4817">
        <w:t>Хотя посещения являются одной из основных функций Подкомитета, каждый год удается осуществлять лишь ограниченное количество посещений из-за нехватки финансовых и людских ресурсов в УВКПЧ. Тем не менее в 2015</w:t>
      </w:r>
      <w:r w:rsidR="00B1591B">
        <w:t> </w:t>
      </w:r>
      <w:r w:rsidRPr="004C4817">
        <w:t>году Подкомитет расширил свою программу посещений, проведя восемь посещений, посвященных различным аспектам, включая поездку в Нидерла</w:t>
      </w:r>
      <w:r w:rsidRPr="004C4817">
        <w:t>н</w:t>
      </w:r>
      <w:r w:rsidRPr="004C4817">
        <w:t>ды, которая первоначально была запланирована на 2014 год, и возобновленное посещение Азербайджана после поездки, приостановленной в 2014 году.</w:t>
      </w:r>
    </w:p>
    <w:p w:rsidR="004C4817" w:rsidRPr="004C4817" w:rsidRDefault="004C4817" w:rsidP="004C4817">
      <w:pPr>
        <w:pStyle w:val="SingleTxtGR"/>
      </w:pPr>
      <w:r w:rsidRPr="004C4817">
        <w:rPr>
          <w:bCs/>
        </w:rPr>
        <w:t>40.</w:t>
      </w:r>
      <w:r w:rsidRPr="004C4817">
        <w:rPr>
          <w:bCs/>
        </w:rPr>
        <w:tab/>
      </w:r>
      <w:r w:rsidRPr="004C4817">
        <w:t>В предыдущие годы Подкомитет находил инновационные способы вза</w:t>
      </w:r>
      <w:r w:rsidRPr="004C4817">
        <w:t>и</w:t>
      </w:r>
      <w:r w:rsidRPr="004C4817">
        <w:t>модействия с национальными превентивными механизмами и государствами-участниками, разрабатывая различные виды посещений, которые позволили бы ему выполнить свой мандат в соответствии с пунктом 1</w:t>
      </w:r>
      <w:r w:rsidR="00C05D7C">
        <w:t xml:space="preserve"> </w:t>
      </w:r>
      <w:r w:rsidRPr="004C4817">
        <w:t>b</w:t>
      </w:r>
      <w:r w:rsidR="00C05D7C">
        <w:t>)</w:t>
      </w:r>
      <w:r w:rsidRPr="004C4817">
        <w:t xml:space="preserve"> статьи 11 Факульт</w:t>
      </w:r>
      <w:r w:rsidRPr="004C4817">
        <w:t>а</w:t>
      </w:r>
      <w:r w:rsidRPr="004C4817">
        <w:t>тивного протокола. Хотя Подкомитету было полезно сосредоточиться на ко</w:t>
      </w:r>
      <w:r w:rsidRPr="004C4817">
        <w:t>н</w:t>
      </w:r>
      <w:r w:rsidRPr="004C4817">
        <w:t>кретных вопросах в ходе этих различных видов посещений, такая классифик</w:t>
      </w:r>
      <w:r w:rsidRPr="004C4817">
        <w:t>а</w:t>
      </w:r>
      <w:r w:rsidRPr="004C4817">
        <w:t>ция оказывала временами ограничительное воздействие и затрудняла Подком</w:t>
      </w:r>
      <w:r w:rsidRPr="004C4817">
        <w:t>и</w:t>
      </w:r>
      <w:r w:rsidRPr="004C4817">
        <w:t>тету полноценное и динамичное осуществление своего мандата. Поэтому По</w:t>
      </w:r>
      <w:r w:rsidRPr="004C4817">
        <w:t>д</w:t>
      </w:r>
      <w:r w:rsidRPr="004C4817">
        <w:t>комитет решил отказаться от классификации своих посещений и составлять начиная с 2016 года план, наиболее соответствующий требованиям каждого п</w:t>
      </w:r>
      <w:r w:rsidRPr="004C4817">
        <w:t>о</w:t>
      </w:r>
      <w:r w:rsidRPr="004C4817">
        <w:t>сещения.</w:t>
      </w:r>
    </w:p>
    <w:p w:rsidR="004C4817" w:rsidRPr="004C4817" w:rsidRDefault="004C4817" w:rsidP="00B1591B">
      <w:pPr>
        <w:pStyle w:val="H23GR"/>
      </w:pPr>
      <w:r w:rsidRPr="004C4817">
        <w:tab/>
        <w:t>2.</w:t>
      </w:r>
      <w:r w:rsidRPr="004C4817">
        <w:tab/>
        <w:t>Рабочие группы</w:t>
      </w:r>
    </w:p>
    <w:p w:rsidR="004C4817" w:rsidRPr="004C4817" w:rsidRDefault="004C4817" w:rsidP="004C4817">
      <w:pPr>
        <w:pStyle w:val="SingleTxtGR"/>
      </w:pPr>
      <w:r w:rsidRPr="004C4817">
        <w:rPr>
          <w:bCs/>
        </w:rPr>
        <w:t>41.</w:t>
      </w:r>
      <w:r w:rsidRPr="004C4817">
        <w:rPr>
          <w:bCs/>
        </w:rPr>
        <w:tab/>
      </w:r>
      <w:r w:rsidRPr="004C4817">
        <w:t>Рабочая группа по медицинским вопросам представила доклад о подходе Подкомитета по предупреждению пыток и других жестоких, бесчеловечных или унижающих достоинство видов обращения и наказания к вопросу о правах лиц, помещенных в медицинское учреждение и проходящих лечение без их осозна</w:t>
      </w:r>
      <w:r w:rsidRPr="004C4817">
        <w:t>н</w:t>
      </w:r>
      <w:r w:rsidRPr="004C4817">
        <w:t>ного согласия (CAT/OP/27/2), который был принят Подкомитетом на его дв</w:t>
      </w:r>
      <w:r w:rsidRPr="004C4817">
        <w:t>а</w:t>
      </w:r>
      <w:r w:rsidRPr="004C4817">
        <w:t>дцать седьмой сессии в качестве официального документа, и о проведении оценки оказания медицинской помощи в местах лишения свободы. Рабочая группа также начала и продолжила работу над созданием реферативного исто</w:t>
      </w:r>
      <w:r w:rsidRPr="004C4817">
        <w:t>ч</w:t>
      </w:r>
      <w:r w:rsidRPr="004C4817">
        <w:t>ника по вопросам медико-санитарной помощи, который будет представлять с</w:t>
      </w:r>
      <w:r w:rsidRPr="004C4817">
        <w:t>о</w:t>
      </w:r>
      <w:r w:rsidRPr="004C4817">
        <w:t>бой сборник рекомендаций относительно медико-санитарной помощи, вын</w:t>
      </w:r>
      <w:r w:rsidRPr="004C4817">
        <w:t>е</w:t>
      </w:r>
      <w:r w:rsidRPr="004C4817">
        <w:t>сенных в докладах Подкомитета по итогам посещений.</w:t>
      </w:r>
    </w:p>
    <w:p w:rsidR="004C4817" w:rsidRPr="004C4817" w:rsidRDefault="004C4817" w:rsidP="004C4817">
      <w:pPr>
        <w:pStyle w:val="SingleTxtGR"/>
      </w:pPr>
      <w:r w:rsidRPr="004C4817">
        <w:rPr>
          <w:bCs/>
        </w:rPr>
        <w:t>42.</w:t>
      </w:r>
      <w:r w:rsidRPr="004C4817">
        <w:rPr>
          <w:bCs/>
        </w:rPr>
        <w:tab/>
      </w:r>
      <w:r w:rsidRPr="004C4817">
        <w:t>Рабочая группа по процедурным вопросам приняла рабочие документы, касающиеся определения термина «место лишения свободы» в связи со сферой применения статьи 4 Факультативного протокола; личного досмотра сотрудн</w:t>
      </w:r>
      <w:r w:rsidRPr="004C4817">
        <w:t>и</w:t>
      </w:r>
      <w:r w:rsidRPr="004C4817">
        <w:t>ков национального превентивного механизма в контексте мониторинга посещ</w:t>
      </w:r>
      <w:r w:rsidRPr="004C4817">
        <w:t>е</w:t>
      </w:r>
      <w:r w:rsidRPr="004C4817">
        <w:t>ний; и применения принципа конфиденциальности в работе национальных пр</w:t>
      </w:r>
      <w:r w:rsidRPr="004C4817">
        <w:t>е</w:t>
      </w:r>
      <w:r w:rsidRPr="004C4817">
        <w:t>вентивных механизмов. Подкомитет надеется, что будет осуществлен перевод этих рабочих документов на его рабочие языки и что они будут размещены на его веб-сайте. Эти документы были подготовлены в ответ на просьбы наци</w:t>
      </w:r>
      <w:r w:rsidRPr="004C4817">
        <w:t>о</w:t>
      </w:r>
      <w:r w:rsidRPr="004C4817">
        <w:t>нальных превентивных механизмов об оказании методической помощи. Подк</w:t>
      </w:r>
      <w:r w:rsidRPr="004C4817">
        <w:t>о</w:t>
      </w:r>
      <w:r w:rsidRPr="004C4817">
        <w:t>митет поощряет такие просьбы и надеется, что публичная презентация сборн</w:t>
      </w:r>
      <w:r w:rsidRPr="004C4817">
        <w:t>и</w:t>
      </w:r>
      <w:r w:rsidRPr="004C4817">
        <w:t>ка таких позиционных документов будет представлять общий интерес. Рабочая группа также начала работу по пересмотру политики Подкомитета в области репрессалий в свете Руководящих принципов Сан-Хосе.</w:t>
      </w:r>
    </w:p>
    <w:p w:rsidR="004C4817" w:rsidRPr="004C4817" w:rsidRDefault="004C4817" w:rsidP="004C4817">
      <w:pPr>
        <w:pStyle w:val="SingleTxtGR"/>
      </w:pPr>
      <w:r w:rsidRPr="004C4817">
        <w:rPr>
          <w:bCs/>
        </w:rPr>
        <w:t>43.</w:t>
      </w:r>
      <w:r w:rsidRPr="004C4817">
        <w:rPr>
          <w:bCs/>
        </w:rPr>
        <w:tab/>
      </w:r>
      <w:r w:rsidRPr="004C4817">
        <w:t>Рабочая группа по тематическим вопросам и существующей правовой практике завершила свою работу по разработке позиции Подкомитета по в</w:t>
      </w:r>
      <w:r w:rsidRPr="004C4817">
        <w:t>о</w:t>
      </w:r>
      <w:r w:rsidRPr="004C4817">
        <w:t>просу о предупреждении применения пыток и других жестоких, бесчеловечных или унижающих достоинство видов обращения и наказания в отношении ле</w:t>
      </w:r>
      <w:r w:rsidRPr="004C4817">
        <w:t>с</w:t>
      </w:r>
      <w:r w:rsidRPr="004C4817">
        <w:t xml:space="preserve">биянок, </w:t>
      </w:r>
      <w:proofErr w:type="spellStart"/>
      <w:r w:rsidRPr="004C4817">
        <w:t>геев</w:t>
      </w:r>
      <w:proofErr w:type="spellEnd"/>
      <w:r w:rsidRPr="004C4817">
        <w:t>, бисексуалов, транссексуалов и интерсексуалов (см. раздел V н</w:t>
      </w:r>
      <w:r w:rsidRPr="004C4817">
        <w:t>и</w:t>
      </w:r>
      <w:r w:rsidRPr="004C4817">
        <w:t>же) и своего документа по предупреждению применения пыток и жестокого о</w:t>
      </w:r>
      <w:r w:rsidRPr="004C4817">
        <w:t>б</w:t>
      </w:r>
      <w:r w:rsidRPr="004C4817">
        <w:t>ращения в отношении женщин, лишенных свободы (CAT/OP/27/1), который был принят Подкомитетом на его двадцать седьмой сессии.</w:t>
      </w:r>
    </w:p>
    <w:p w:rsidR="004C4817" w:rsidRPr="00A23524" w:rsidRDefault="004C4817" w:rsidP="004C4817">
      <w:pPr>
        <w:pStyle w:val="SingleTxtGR"/>
        <w:rPr>
          <w:spacing w:val="2"/>
        </w:rPr>
      </w:pPr>
      <w:r w:rsidRPr="004C4817">
        <w:rPr>
          <w:bCs/>
        </w:rPr>
        <w:t>44.</w:t>
      </w:r>
      <w:r w:rsidRPr="004C4817">
        <w:rPr>
          <w:bCs/>
        </w:rPr>
        <w:tab/>
      </w:r>
      <w:r w:rsidRPr="004C4817">
        <w:t>Специальная межсессионная рабочая группа по инструментам самооце</w:t>
      </w:r>
      <w:r w:rsidRPr="004C4817">
        <w:t>н</w:t>
      </w:r>
      <w:r w:rsidRPr="004C4817">
        <w:t>ки национальных превентивных механизмов прекратила свою деятельность п</w:t>
      </w:r>
      <w:r w:rsidRPr="004C4817">
        <w:t>о</w:t>
      </w:r>
      <w:r w:rsidRPr="004C4817">
        <w:t>сле завершения своей работы</w:t>
      </w:r>
      <w:r w:rsidRPr="00A23524">
        <w:rPr>
          <w:spacing w:val="2"/>
        </w:rPr>
        <w:t>. Подкомитетом была принята обновленная версия этого инструмента (CAT/OP/1/Rev.1), которая имеется на веб-сайте Подкомит</w:t>
      </w:r>
      <w:r w:rsidRPr="00A23524">
        <w:rPr>
          <w:spacing w:val="2"/>
        </w:rPr>
        <w:t>е</w:t>
      </w:r>
      <w:r w:rsidRPr="00A23524">
        <w:rPr>
          <w:spacing w:val="2"/>
        </w:rPr>
        <w:t>та.</w:t>
      </w:r>
    </w:p>
    <w:p w:rsidR="004C4817" w:rsidRPr="004C4817" w:rsidRDefault="004C4817" w:rsidP="004C4817">
      <w:pPr>
        <w:pStyle w:val="SingleTxtGR"/>
      </w:pPr>
      <w:r w:rsidRPr="004C4817">
        <w:rPr>
          <w:bCs/>
        </w:rPr>
        <w:t>45.</w:t>
      </w:r>
      <w:r w:rsidRPr="004C4817">
        <w:rPr>
          <w:bCs/>
        </w:rPr>
        <w:tab/>
      </w:r>
      <w:r w:rsidRPr="004C4817">
        <w:t xml:space="preserve">Была создана специальная рабочая группа по Специальному фонду, учрежденному Факультативным протоколом, в составе Энрике </w:t>
      </w:r>
      <w:proofErr w:type="spellStart"/>
      <w:r w:rsidRPr="004C4817">
        <w:t>Андреса</w:t>
      </w:r>
      <w:proofErr w:type="spellEnd"/>
      <w:r w:rsidRPr="004C4817">
        <w:t xml:space="preserve"> Фонта, Лоуэлла </w:t>
      </w:r>
      <w:proofErr w:type="spellStart"/>
      <w:r w:rsidRPr="004C4817">
        <w:t>Годдарда</w:t>
      </w:r>
      <w:proofErr w:type="spellEnd"/>
      <w:r w:rsidRPr="004C4817">
        <w:t xml:space="preserve">, </w:t>
      </w:r>
      <w:proofErr w:type="spellStart"/>
      <w:r w:rsidRPr="004C4817">
        <w:t>Лорены</w:t>
      </w:r>
      <w:proofErr w:type="spellEnd"/>
      <w:r w:rsidRPr="004C4817">
        <w:t xml:space="preserve"> Гонсалес </w:t>
      </w:r>
      <w:proofErr w:type="spellStart"/>
      <w:r w:rsidRPr="004C4817">
        <w:t>Пинто</w:t>
      </w:r>
      <w:proofErr w:type="spellEnd"/>
      <w:r w:rsidRPr="004C4817">
        <w:t xml:space="preserve">, </w:t>
      </w:r>
      <w:proofErr w:type="spellStart"/>
      <w:r w:rsidRPr="004C4817">
        <w:t>Сьюзан</w:t>
      </w:r>
      <w:proofErr w:type="spellEnd"/>
      <w:r w:rsidRPr="004C4817">
        <w:t xml:space="preserve"> </w:t>
      </w:r>
      <w:proofErr w:type="spellStart"/>
      <w:r w:rsidRPr="004C4817">
        <w:t>Джаббур</w:t>
      </w:r>
      <w:proofErr w:type="spellEnd"/>
      <w:r w:rsidRPr="004C4817">
        <w:t xml:space="preserve">, </w:t>
      </w:r>
      <w:proofErr w:type="spellStart"/>
      <w:r w:rsidRPr="004C4817">
        <w:t>Джун</w:t>
      </w:r>
      <w:proofErr w:type="spellEnd"/>
      <w:r w:rsidRPr="004C4817">
        <w:t xml:space="preserve"> Лопес, Виктора Мадригала-</w:t>
      </w:r>
      <w:proofErr w:type="spellStart"/>
      <w:r w:rsidRPr="004C4817">
        <w:t>Борлоса</w:t>
      </w:r>
      <w:proofErr w:type="spellEnd"/>
      <w:r w:rsidRPr="004C4817">
        <w:t xml:space="preserve"> и Катрин Поле́. Она будет поддерживать связь с секретариатом Специального фонда для изучения вопроса о том, как улучшить функционирование Фонда.</w:t>
      </w:r>
    </w:p>
    <w:p w:rsidR="004C4817" w:rsidRPr="004C4817" w:rsidRDefault="004C4817" w:rsidP="00B1591B">
      <w:pPr>
        <w:pStyle w:val="H23GR"/>
      </w:pPr>
      <w:r w:rsidRPr="004C4817">
        <w:tab/>
        <w:t>3.</w:t>
      </w:r>
      <w:r w:rsidRPr="004C4817">
        <w:tab/>
        <w:t xml:space="preserve">Региональные группы </w:t>
      </w:r>
    </w:p>
    <w:p w:rsidR="004C4817" w:rsidRPr="004C4817" w:rsidRDefault="004C4817" w:rsidP="004C4817">
      <w:pPr>
        <w:pStyle w:val="SingleTxtGR"/>
      </w:pPr>
      <w:r w:rsidRPr="004C4817">
        <w:rPr>
          <w:bCs/>
        </w:rPr>
        <w:t>46.</w:t>
      </w:r>
      <w:r w:rsidRPr="004C4817">
        <w:rPr>
          <w:bCs/>
        </w:rPr>
        <w:tab/>
      </w:r>
      <w:r w:rsidRPr="004C4817">
        <w:t>Региональные группы и докладчики по странам часто продолжали вести диалог и поддерживать связь с национальными превентивными механизмами, упрощая обмен информацией и сообщениями. Учитывая различные размеры разнообразных региональных групп и уровни участия в них, они выбрали мет</w:t>
      </w:r>
      <w:r w:rsidRPr="004C4817">
        <w:t>о</w:t>
      </w:r>
      <w:r w:rsidRPr="004C4817">
        <w:t>ды работы, которые лучше всего соответствуют их потребностям, в частности возросшее использование видеоконференций для обеспечения более широкого информационно-пропагандистского охвата и большей эффективности.</w:t>
      </w:r>
    </w:p>
    <w:p w:rsidR="004C4817" w:rsidRPr="004C4817" w:rsidRDefault="004C4817" w:rsidP="00B1591B">
      <w:pPr>
        <w:pStyle w:val="H23GR"/>
      </w:pPr>
      <w:r w:rsidRPr="004C4817">
        <w:tab/>
        <w:t>4.</w:t>
      </w:r>
      <w:r w:rsidRPr="004C4817">
        <w:tab/>
        <w:t xml:space="preserve">Разработка документов с изложением позиции Подкомитета </w:t>
      </w:r>
    </w:p>
    <w:p w:rsidR="004C4817" w:rsidRPr="004C4817" w:rsidRDefault="004C4817" w:rsidP="00CE423D">
      <w:pPr>
        <w:pStyle w:val="SingleTxtGR"/>
        <w:keepNext/>
        <w:keepLines/>
      </w:pPr>
      <w:r w:rsidRPr="004C4817">
        <w:rPr>
          <w:bCs/>
        </w:rPr>
        <w:t>47.</w:t>
      </w:r>
      <w:r w:rsidRPr="004C4817">
        <w:rPr>
          <w:bCs/>
        </w:rPr>
        <w:tab/>
      </w:r>
      <w:r w:rsidRPr="004C4817">
        <w:t>Рабочая группа по тематическим вопросам и существующей правовой практике готовит в настоящее время позиционные документы по предупрежд</w:t>
      </w:r>
      <w:r w:rsidRPr="004C4817">
        <w:t>е</w:t>
      </w:r>
      <w:r w:rsidRPr="004C4817">
        <w:t xml:space="preserve">нию пыток при переводе или перемещении лиц, лишенных свободы; </w:t>
      </w:r>
      <w:r w:rsidRPr="004C4817">
        <w:rPr>
          <w:bCs/>
        </w:rPr>
        <w:t>предупр</w:t>
      </w:r>
      <w:r w:rsidRPr="004C4817">
        <w:rPr>
          <w:bCs/>
        </w:rPr>
        <w:t>е</w:t>
      </w:r>
      <w:r w:rsidRPr="004C4817">
        <w:rPr>
          <w:bCs/>
        </w:rPr>
        <w:t>ждению применения пыток в отношении мигрантов и беженцев; и по вопросу о независимости национальных превентивных механизмов, особенно тех, кот</w:t>
      </w:r>
      <w:r w:rsidRPr="004C4817">
        <w:rPr>
          <w:bCs/>
        </w:rPr>
        <w:t>о</w:t>
      </w:r>
      <w:r w:rsidRPr="004C4817">
        <w:rPr>
          <w:bCs/>
        </w:rPr>
        <w:t>рые функционируют при управлениях омбудсменов и национальных правоз</w:t>
      </w:r>
      <w:r w:rsidRPr="004C4817">
        <w:rPr>
          <w:bCs/>
        </w:rPr>
        <w:t>а</w:t>
      </w:r>
      <w:r w:rsidRPr="004C4817">
        <w:rPr>
          <w:bCs/>
        </w:rPr>
        <w:t xml:space="preserve">щитных учреждениях. </w:t>
      </w:r>
      <w:r w:rsidRPr="004C4817">
        <w:t>Как и в предыдущие годы, Подкомитет приветствует комментарии и вклад в подготовку этих документов.</w:t>
      </w:r>
    </w:p>
    <w:p w:rsidR="004C4817" w:rsidRPr="004C4817" w:rsidRDefault="004C4817" w:rsidP="00B1591B">
      <w:pPr>
        <w:pStyle w:val="HChGR"/>
      </w:pPr>
      <w:r w:rsidRPr="004C4817">
        <w:tab/>
        <w:t>V.</w:t>
      </w:r>
      <w:r w:rsidRPr="004C4817">
        <w:tab/>
        <w:t>Вопросы существа: предупреждение применения пыток и других жестоких, бесчеловечных или</w:t>
      </w:r>
      <w:r w:rsidR="00B1591B">
        <w:t> </w:t>
      </w:r>
      <w:r w:rsidRPr="004C4817">
        <w:t>унижающих достоинство видов обращения и</w:t>
      </w:r>
      <w:r w:rsidR="00B1591B">
        <w:t> </w:t>
      </w:r>
      <w:r w:rsidRPr="004C4817">
        <w:t>наказания в отношении лесбиянок, гомосексуалистов, бисексуалов, трансгендеров и</w:t>
      </w:r>
      <w:r w:rsidR="00B1591B">
        <w:t> </w:t>
      </w:r>
      <w:r w:rsidRPr="004C4817">
        <w:t>интерсексуалов</w:t>
      </w:r>
    </w:p>
    <w:p w:rsidR="004C4817" w:rsidRPr="004C4817" w:rsidRDefault="004C4817" w:rsidP="00B1591B">
      <w:pPr>
        <w:pStyle w:val="H1GR"/>
      </w:pPr>
      <w:r w:rsidRPr="004C4817">
        <w:tab/>
        <w:t>A.</w:t>
      </w:r>
      <w:r w:rsidRPr="004C4817">
        <w:tab/>
        <w:t>Введение</w:t>
      </w:r>
    </w:p>
    <w:p w:rsidR="004C4817" w:rsidRPr="004C4817" w:rsidRDefault="004C4817" w:rsidP="004C4817">
      <w:pPr>
        <w:pStyle w:val="SingleTxtGR"/>
      </w:pPr>
      <w:r w:rsidRPr="004C4817">
        <w:rPr>
          <w:bCs/>
        </w:rPr>
        <w:t>48.</w:t>
      </w:r>
      <w:r w:rsidRPr="004C4817">
        <w:rPr>
          <w:bCs/>
        </w:rPr>
        <w:tab/>
      </w:r>
      <w:r w:rsidRPr="004C4817">
        <w:t>Часто лица подвергаются множественным и крайним формам дискрим</w:t>
      </w:r>
      <w:r w:rsidRPr="004C4817">
        <w:t>и</w:t>
      </w:r>
      <w:r w:rsidRPr="004C4817">
        <w:t>нации в виде пыток и других жестоких, бесчеловечных или унижающих дост</w:t>
      </w:r>
      <w:r w:rsidRPr="004C4817">
        <w:t>о</w:t>
      </w:r>
      <w:r w:rsidRPr="004C4817">
        <w:t>инство видов обращения и наказания в связи с их сексуальной ориентацией или гендерной идентичностью. Специальный докладчик по вопросу о пытках и др</w:t>
      </w:r>
      <w:r w:rsidRPr="004C4817">
        <w:t>у</w:t>
      </w:r>
      <w:r w:rsidRPr="004C4817">
        <w:t xml:space="preserve">гих жестоких, бесчеловечных или унижающих достоинство видах обращения и наказания заметил, что члены сексуальных меньшинств непропорционально подвергаются такому обращению, поскольку они не соответствуют социально принятым представлениям о взаимоотношениях полов (А/56/156, пункт 19), </w:t>
      </w:r>
      <w:r w:rsidR="00A23524">
        <w:br/>
      </w:r>
      <w:r w:rsidRPr="004C4817">
        <w:t>и Подкомитет согласен с этим замечанием. Связанная с этим стигматизация может способствовать обезличиванию жертвы, что является одним из факторов, ведущих к пыткам и жестокому обращению (там же).</w:t>
      </w:r>
    </w:p>
    <w:p w:rsidR="004C4817" w:rsidRPr="004C4817" w:rsidRDefault="004C4817" w:rsidP="004C4817">
      <w:pPr>
        <w:pStyle w:val="SingleTxtGR"/>
      </w:pPr>
      <w:r w:rsidRPr="004C4817">
        <w:rPr>
          <w:bCs/>
        </w:rPr>
        <w:t>49.</w:t>
      </w:r>
      <w:r w:rsidRPr="004C4817">
        <w:rPr>
          <w:bCs/>
        </w:rPr>
        <w:tab/>
      </w:r>
      <w:r w:rsidRPr="004C4817">
        <w:t>В своей резолюции 27/32 Совет по правам человека выразил серьезную обеспокоенность по поводу актов насилия и дискриминации во всех регионах мира, совершаемых в отношении лиц по причине их сексуальной ориентации и гендерной идентичности. Существует множество свидетельств, позволяющих заключить, что применение пыток и жестокого обращения в отношении лесб</w:t>
      </w:r>
      <w:r w:rsidRPr="004C4817">
        <w:t>и</w:t>
      </w:r>
      <w:r w:rsidRPr="004C4817">
        <w:t xml:space="preserve">янок, </w:t>
      </w:r>
      <w:proofErr w:type="spellStart"/>
      <w:r w:rsidRPr="004C4817">
        <w:t>геев</w:t>
      </w:r>
      <w:proofErr w:type="spellEnd"/>
      <w:r w:rsidRPr="004C4817">
        <w:t>, бисексуалов, транссексуалов и интерсексуалов представляет собой эндемическую проблему, как это было подтверждено Верховным комиссаром Организации Объединенных Наций по правам человека (А/HRC/19/41), и что такое обращение происходит в полицейских участках, тюрьмах, больницах и других медицинских учреждениях, в местах содержания под стражей, предн</w:t>
      </w:r>
      <w:r w:rsidRPr="004C4817">
        <w:t>а</w:t>
      </w:r>
      <w:r w:rsidRPr="004C4817">
        <w:t>значенных для военных, несовершеннолетних и мигрантов, и других местах с</w:t>
      </w:r>
      <w:r w:rsidRPr="004C4817">
        <w:t>о</w:t>
      </w:r>
      <w:r w:rsidRPr="004C4817">
        <w:t>держания под стражей, о которых говорится в статье 4 Факультативного прот</w:t>
      </w:r>
      <w:r w:rsidRPr="004C4817">
        <w:t>о</w:t>
      </w:r>
      <w:r w:rsidRPr="004C4817">
        <w:t>кола.</w:t>
      </w:r>
    </w:p>
    <w:p w:rsidR="004C4817" w:rsidRPr="004C4817" w:rsidRDefault="004C4817" w:rsidP="004C4817">
      <w:pPr>
        <w:pStyle w:val="SingleTxtGR"/>
      </w:pPr>
      <w:r w:rsidRPr="004C4817">
        <w:rPr>
          <w:bCs/>
        </w:rPr>
        <w:t>50.</w:t>
      </w:r>
      <w:r w:rsidRPr="004C4817">
        <w:rPr>
          <w:bCs/>
        </w:rPr>
        <w:tab/>
      </w:r>
      <w:r w:rsidRPr="004C4817">
        <w:t>Государство обязано разрабатывать и осуществлять законодательные, а</w:t>
      </w:r>
      <w:r w:rsidRPr="004C4817">
        <w:t>д</w:t>
      </w:r>
      <w:r w:rsidRPr="004C4817">
        <w:t>министративные и судебные меры для предупреждения пыток и других жест</w:t>
      </w:r>
      <w:r w:rsidRPr="004C4817">
        <w:t>о</w:t>
      </w:r>
      <w:r w:rsidRPr="004C4817">
        <w:t>ких, бесчеловечных или унижающих достоинство видов обращения и наказ</w:t>
      </w:r>
      <w:r w:rsidRPr="004C4817">
        <w:t>а</w:t>
      </w:r>
      <w:r w:rsidRPr="004C4817">
        <w:t>ния. Эффективное соблюдение частично зависит от адекватного понимания причин, характера и последствий проблем, с которыми сталкиваются конкре</w:t>
      </w:r>
      <w:r w:rsidRPr="004C4817">
        <w:t>т</w:t>
      </w:r>
      <w:r w:rsidRPr="004C4817">
        <w:t xml:space="preserve">ные группы, общины и слои населения. В случае лесбиянок, </w:t>
      </w:r>
      <w:proofErr w:type="spellStart"/>
      <w:r w:rsidRPr="004C4817">
        <w:t>геев</w:t>
      </w:r>
      <w:proofErr w:type="spellEnd"/>
      <w:r w:rsidRPr="004C4817">
        <w:t>, бисексуалов, транссексуалов и интерсексуалов государства-участники и другие субъекты и</w:t>
      </w:r>
      <w:r w:rsidRPr="004C4817">
        <w:t>с</w:t>
      </w:r>
      <w:r w:rsidRPr="004C4817">
        <w:t>пользуют для выполнения своей обязанности по предупреждению, междун</w:t>
      </w:r>
      <w:r w:rsidRPr="004C4817">
        <w:t>а</w:t>
      </w:r>
      <w:r w:rsidRPr="004C4817">
        <w:t xml:space="preserve">родное право, как это разъясняется в </w:t>
      </w:r>
      <w:proofErr w:type="spellStart"/>
      <w:r w:rsidRPr="004C4817">
        <w:t>Джокьякартских</w:t>
      </w:r>
      <w:proofErr w:type="spellEnd"/>
      <w:r w:rsidRPr="004C4817">
        <w:t xml:space="preserve"> принципах применения международно-правовых норм о правах человека в отношении сексуальной ориентации и гендерной идентичности.</w:t>
      </w:r>
    </w:p>
    <w:p w:rsidR="004C4817" w:rsidRPr="004C4817" w:rsidRDefault="004C4817" w:rsidP="0094154C">
      <w:pPr>
        <w:pStyle w:val="H1GR"/>
      </w:pPr>
      <w:r w:rsidRPr="004C4817">
        <w:tab/>
        <w:t>B.</w:t>
      </w:r>
      <w:r w:rsidRPr="004C4817">
        <w:tab/>
        <w:t xml:space="preserve">Лесбиянки, </w:t>
      </w:r>
      <w:proofErr w:type="spellStart"/>
      <w:r w:rsidRPr="004C4817">
        <w:t>геи</w:t>
      </w:r>
      <w:proofErr w:type="spellEnd"/>
      <w:r w:rsidRPr="004C4817">
        <w:t>, бисексуалы, транссексуалы и интерсексуалы, сексуальная ориентация и гендерная идентичность</w:t>
      </w:r>
    </w:p>
    <w:p w:rsidR="004C4817" w:rsidRPr="004C4817" w:rsidRDefault="004C4817" w:rsidP="004C4817">
      <w:pPr>
        <w:pStyle w:val="SingleTxtGR"/>
      </w:pPr>
      <w:r w:rsidRPr="004C4817">
        <w:rPr>
          <w:bCs/>
        </w:rPr>
        <w:t>51.</w:t>
      </w:r>
      <w:r w:rsidRPr="004C4817">
        <w:rPr>
          <w:bCs/>
        </w:rPr>
        <w:tab/>
      </w:r>
      <w:r w:rsidRPr="004C4817">
        <w:t xml:space="preserve">Проблемы прав человека, с которыми сталкиваются лесбиянки, </w:t>
      </w:r>
      <w:proofErr w:type="spellStart"/>
      <w:r w:rsidRPr="004C4817">
        <w:t>геи</w:t>
      </w:r>
      <w:proofErr w:type="spellEnd"/>
      <w:r w:rsidRPr="004C4817">
        <w:t>, б</w:t>
      </w:r>
      <w:r w:rsidRPr="004C4817">
        <w:t>и</w:t>
      </w:r>
      <w:r w:rsidRPr="004C4817">
        <w:t>сексуалы, транссексуалы и интерсексуалы</w:t>
      </w:r>
      <w:r w:rsidR="00A23524">
        <w:t>,</w:t>
      </w:r>
      <w:r w:rsidRPr="004C4817">
        <w:t xml:space="preserve"> включают в себя различные виды предубеждений, стереотипов и предрассудков в отношении биологического п</w:t>
      </w:r>
      <w:r w:rsidRPr="004C4817">
        <w:t>о</w:t>
      </w:r>
      <w:r w:rsidRPr="004C4817">
        <w:t>ла, сексуальной ориентации, социального пола, гендерной идентичности и ге</w:t>
      </w:r>
      <w:r w:rsidRPr="004C4817">
        <w:t>н</w:t>
      </w:r>
      <w:r w:rsidRPr="004C4817">
        <w:t>дерного самовыражения.</w:t>
      </w:r>
    </w:p>
    <w:p w:rsidR="004C4817" w:rsidRPr="004C4817" w:rsidRDefault="004C4817" w:rsidP="004C4817">
      <w:pPr>
        <w:pStyle w:val="SingleTxtGR"/>
      </w:pPr>
      <w:r w:rsidRPr="004C4817">
        <w:rPr>
          <w:bCs/>
        </w:rPr>
        <w:t>52.</w:t>
      </w:r>
      <w:r w:rsidRPr="004C4817">
        <w:rPr>
          <w:bCs/>
        </w:rPr>
        <w:tab/>
      </w:r>
      <w:r w:rsidRPr="004C4817">
        <w:t>Различные органы и организации толкуют термин «пол» как относящийся к биологическим различ</w:t>
      </w:r>
      <w:r w:rsidR="0094154C">
        <w:t>иям между мужчинами и женщинами</w:t>
      </w:r>
      <w:r w:rsidRPr="0094154C">
        <w:rPr>
          <w:sz w:val="18"/>
          <w:szCs w:val="18"/>
          <w:vertAlign w:val="superscript"/>
        </w:rPr>
        <w:footnoteReference w:id="5"/>
      </w:r>
      <w:r w:rsidRPr="004C4817">
        <w:t>, физиологич</w:t>
      </w:r>
      <w:r w:rsidRPr="004C4817">
        <w:t>е</w:t>
      </w:r>
      <w:r w:rsidR="0094154C">
        <w:t>ским характеристикам</w:t>
      </w:r>
      <w:r w:rsidRPr="0094154C">
        <w:rPr>
          <w:sz w:val="18"/>
          <w:szCs w:val="18"/>
          <w:vertAlign w:val="superscript"/>
        </w:rPr>
        <w:footnoteReference w:id="6"/>
      </w:r>
      <w:r w:rsidRPr="004C4817">
        <w:t>, совокупности биологических характеристик, которые определяют все многообразие людей лишь по же</w:t>
      </w:r>
      <w:r w:rsidR="0094154C">
        <w:t>нскому и мужскому роду</w:t>
      </w:r>
      <w:r w:rsidRPr="0094154C">
        <w:rPr>
          <w:sz w:val="18"/>
          <w:szCs w:val="18"/>
          <w:vertAlign w:val="superscript"/>
        </w:rPr>
        <w:footnoteReference w:id="7"/>
      </w:r>
      <w:r w:rsidRPr="004C4817">
        <w:t xml:space="preserve">, </w:t>
      </w:r>
      <w:r w:rsidR="00A23524">
        <w:br/>
      </w:r>
      <w:r w:rsidRPr="004C4817">
        <w:t>и как общий биологический образ, отсылающий к генетическим, гормонал</w:t>
      </w:r>
      <w:r w:rsidRPr="004C4817">
        <w:t>ь</w:t>
      </w:r>
      <w:r w:rsidRPr="004C4817">
        <w:t>ным, анатомическим и физиологическим характеристикам, на основании кот</w:t>
      </w:r>
      <w:r w:rsidRPr="004C4817">
        <w:t>о</w:t>
      </w:r>
      <w:r w:rsidRPr="004C4817">
        <w:t>рых ч</w:t>
      </w:r>
      <w:r w:rsidRPr="004C4817">
        <w:t>е</w:t>
      </w:r>
      <w:r w:rsidRPr="004C4817">
        <w:t>ловек приписывается при р</w:t>
      </w:r>
      <w:r w:rsidR="0094154C">
        <w:t>ождении к мужчинам или женщинам</w:t>
      </w:r>
      <w:r w:rsidRPr="0094154C">
        <w:rPr>
          <w:sz w:val="18"/>
          <w:szCs w:val="18"/>
          <w:vertAlign w:val="superscript"/>
        </w:rPr>
        <w:footnoteReference w:id="8"/>
      </w:r>
      <w:r w:rsidRPr="004C4817">
        <w:t>.</w:t>
      </w:r>
    </w:p>
    <w:p w:rsidR="004C4817" w:rsidRPr="004C4817" w:rsidRDefault="004C4817" w:rsidP="004C4817">
      <w:pPr>
        <w:pStyle w:val="SingleTxtGR"/>
      </w:pPr>
      <w:r w:rsidRPr="004C4817">
        <w:rPr>
          <w:bCs/>
        </w:rPr>
        <w:t>53.</w:t>
      </w:r>
      <w:r w:rsidRPr="004C4817">
        <w:rPr>
          <w:bCs/>
        </w:rPr>
        <w:tab/>
      </w:r>
      <w:r w:rsidRPr="004C4817">
        <w:t>Термин «гендерная принадлежность» относится к социально обусловле</w:t>
      </w:r>
      <w:r w:rsidRPr="004C4817">
        <w:t>н</w:t>
      </w:r>
      <w:r w:rsidRPr="004C4817">
        <w:t>ным самобытным признакам, атрибутам и ролям, отводимым женщинам и му</w:t>
      </w:r>
      <w:r w:rsidRPr="004C4817">
        <w:t>ж</w:t>
      </w:r>
      <w:r w:rsidRPr="004C4817">
        <w:t>чинам, к социально-культурному значению, которое общество прида</w:t>
      </w:r>
      <w:r w:rsidR="0094154C">
        <w:t>ет этим биологическим различиям</w:t>
      </w:r>
      <w:r w:rsidRPr="0094154C">
        <w:rPr>
          <w:sz w:val="18"/>
          <w:szCs w:val="18"/>
          <w:vertAlign w:val="superscript"/>
        </w:rPr>
        <w:footnoteReference w:id="9"/>
      </w:r>
      <w:r w:rsidRPr="004C4817">
        <w:t>. В этом контексте гендерная идентичность может пониматься как глубокое осознание тем или иным лицом внутренних и индив</w:t>
      </w:r>
      <w:r w:rsidRPr="004C4817">
        <w:t>и</w:t>
      </w:r>
      <w:r w:rsidRPr="004C4817">
        <w:t>дуальных особенностей гендерной принадлежности, которая может как совп</w:t>
      </w:r>
      <w:r w:rsidRPr="004C4817">
        <w:t>а</w:t>
      </w:r>
      <w:r w:rsidRPr="004C4817">
        <w:t>дать, так и не совпадать с полом по рождению, включая индивидуальное ощ</w:t>
      </w:r>
      <w:r w:rsidRPr="004C4817">
        <w:t>у</w:t>
      </w:r>
      <w:r w:rsidRPr="004C4817">
        <w:t>щение своего тела (при наличии свободной воли может сопровождаться изм</w:t>
      </w:r>
      <w:r w:rsidRPr="004C4817">
        <w:t>е</w:t>
      </w:r>
      <w:r w:rsidRPr="004C4817">
        <w:t>нением внешности или физиологических функций медицинскими, хирургич</w:t>
      </w:r>
      <w:r w:rsidRPr="004C4817">
        <w:t>е</w:t>
      </w:r>
      <w:r w:rsidRPr="004C4817">
        <w:t>скими или иными средствами) и другие проявления, такие как одежд</w:t>
      </w:r>
      <w:r w:rsidR="0094154C">
        <w:t>а, речь и особенности поведения</w:t>
      </w:r>
      <w:r w:rsidRPr="0094154C">
        <w:rPr>
          <w:sz w:val="18"/>
          <w:szCs w:val="18"/>
          <w:vertAlign w:val="superscript"/>
        </w:rPr>
        <w:footnoteReference w:id="10"/>
      </w:r>
      <w:r w:rsidRPr="004C4817">
        <w:t xml:space="preserve">. Гендерная идентичность включает в себя категорию </w:t>
      </w:r>
      <w:proofErr w:type="spellStart"/>
      <w:r w:rsidRPr="004C4817">
        <w:t>трансгендерности</w:t>
      </w:r>
      <w:proofErr w:type="spellEnd"/>
      <w:r w:rsidRPr="004C4817">
        <w:t>, или транса, общим знаменателем которой является то, что биологический пол и гендерная идентичность человека не отвечают тому, что традиционно понимается как соответствие. К подкатегориям, не обязательно подразумевающим изменения тела, относятся лица, которые выражают свою гендерную идентичность </w:t>
      </w:r>
      <w:r w:rsidR="007437E5">
        <w:t>–</w:t>
      </w:r>
      <w:r w:rsidRPr="004C4817">
        <w:t xml:space="preserve"> на постоянной или временной основе </w:t>
      </w:r>
      <w:r w:rsidR="007437E5">
        <w:t>–</w:t>
      </w:r>
      <w:r w:rsidRPr="004C4817">
        <w:t xml:space="preserve"> с помощью предметов одежды, поведения и манер, присущих полу, противоположному т</w:t>
      </w:r>
      <w:r w:rsidRPr="004C4817">
        <w:t>о</w:t>
      </w:r>
      <w:r w:rsidRPr="004C4817">
        <w:t>му, который в социальном и культурном отношении ассоциируется с их биол</w:t>
      </w:r>
      <w:r w:rsidRPr="004C4817">
        <w:t>о</w:t>
      </w:r>
      <w:r w:rsidRPr="004C4817">
        <w:t>гическим полом.</w:t>
      </w:r>
    </w:p>
    <w:p w:rsidR="004C4817" w:rsidRPr="004C4817" w:rsidRDefault="004C4817" w:rsidP="004C4817">
      <w:pPr>
        <w:pStyle w:val="SingleTxtGR"/>
      </w:pPr>
      <w:r w:rsidRPr="004C4817">
        <w:rPr>
          <w:bCs/>
        </w:rPr>
        <w:t>54.</w:t>
      </w:r>
      <w:r w:rsidRPr="004C4817">
        <w:rPr>
          <w:bCs/>
        </w:rPr>
        <w:tab/>
      </w:r>
      <w:r w:rsidRPr="004C4817">
        <w:t>Сексуальная ориентация человека не зависит от биологического пола и определяется как способность того или иного лица к глубокой эмоциональной, приязненной и сексуальной привязанности к лицам другого пола или того же пола, или нескольких полов, а также к вступлению с такими лицами в инти</w:t>
      </w:r>
      <w:r w:rsidRPr="004C4817">
        <w:t>м</w:t>
      </w:r>
      <w:r w:rsidR="0094154C">
        <w:t>ные и половые отношения</w:t>
      </w:r>
      <w:r w:rsidRPr="0094154C">
        <w:rPr>
          <w:sz w:val="18"/>
          <w:szCs w:val="18"/>
          <w:vertAlign w:val="superscript"/>
        </w:rPr>
        <w:footnoteReference w:id="11"/>
      </w:r>
      <w:r w:rsidRPr="004C4817">
        <w:t>.</w:t>
      </w:r>
    </w:p>
    <w:p w:rsidR="004C4817" w:rsidRPr="004C4817" w:rsidRDefault="004C4817" w:rsidP="004C4817">
      <w:pPr>
        <w:pStyle w:val="SingleTxtGR"/>
      </w:pPr>
      <w:r w:rsidRPr="004C4817">
        <w:rPr>
          <w:bCs/>
        </w:rPr>
        <w:t>55.</w:t>
      </w:r>
      <w:r w:rsidRPr="004C4817">
        <w:rPr>
          <w:bCs/>
        </w:rPr>
        <w:tab/>
      </w:r>
      <w:r w:rsidRPr="004C4817">
        <w:t>Интерсексуалы рождаются с физическими или биологическими полов</w:t>
      </w:r>
      <w:r w:rsidRPr="004C4817">
        <w:t>ы</w:t>
      </w:r>
      <w:r w:rsidRPr="004C4817">
        <w:t>ми характеристиками, включая анатомию половой системы, репродуктивные органы и/или хромосомные структуры, которые не соответствуют типичным о</w:t>
      </w:r>
      <w:r w:rsidR="0094154C">
        <w:t>пределениям мужчины или женщины</w:t>
      </w:r>
      <w:r w:rsidRPr="0094154C">
        <w:rPr>
          <w:sz w:val="18"/>
          <w:szCs w:val="18"/>
          <w:vertAlign w:val="superscript"/>
        </w:rPr>
        <w:footnoteReference w:id="12"/>
      </w:r>
      <w:r w:rsidRPr="004C4817">
        <w:t>.</w:t>
      </w:r>
    </w:p>
    <w:p w:rsidR="004C4817" w:rsidRPr="004C4817" w:rsidRDefault="004C4817" w:rsidP="0094154C">
      <w:pPr>
        <w:pStyle w:val="H1GR"/>
      </w:pPr>
      <w:r w:rsidRPr="004C4817">
        <w:tab/>
        <w:t>C.</w:t>
      </w:r>
      <w:r w:rsidRPr="004C4817">
        <w:tab/>
        <w:t>Применение пыток и других жестоких, бесчеловечных или</w:t>
      </w:r>
      <w:r w:rsidR="0094154C">
        <w:t> </w:t>
      </w:r>
      <w:r w:rsidRPr="004C4817">
        <w:t>унижающих достоинство видов обращения и наказания в</w:t>
      </w:r>
      <w:r w:rsidR="0094154C">
        <w:t> </w:t>
      </w:r>
      <w:r w:rsidRPr="004C4817">
        <w:t>отношении лесбиянок, гомосексуалистов, бисексуалов, трансгендеров и интерсексуалов</w:t>
      </w:r>
    </w:p>
    <w:p w:rsidR="004C4817" w:rsidRPr="004C4817" w:rsidRDefault="004C4817" w:rsidP="004C4817">
      <w:pPr>
        <w:pStyle w:val="SingleTxtGR"/>
      </w:pPr>
      <w:r w:rsidRPr="004C4817">
        <w:rPr>
          <w:bCs/>
        </w:rPr>
        <w:t>56.</w:t>
      </w:r>
      <w:r w:rsidRPr="004C4817">
        <w:rPr>
          <w:bCs/>
        </w:rPr>
        <w:tab/>
      </w:r>
      <w:r w:rsidRPr="004C4817">
        <w:t>Дискриминация может проявляться напрямую или косвенно; умышленно или неумышленно; де-факто, когда она проявляется на практике; или де-юре, когда она восходит к закону или правовой норме.</w:t>
      </w:r>
    </w:p>
    <w:p w:rsidR="004C4817" w:rsidRPr="004C4817" w:rsidRDefault="004C4817" w:rsidP="004C4817">
      <w:pPr>
        <w:pStyle w:val="SingleTxtGR"/>
      </w:pPr>
      <w:r w:rsidRPr="004C4817">
        <w:rPr>
          <w:bCs/>
        </w:rPr>
        <w:t>57.</w:t>
      </w:r>
      <w:r w:rsidRPr="004C4817">
        <w:rPr>
          <w:bCs/>
        </w:rPr>
        <w:tab/>
      </w:r>
      <w:r w:rsidRPr="004C4817">
        <w:t xml:space="preserve">Дискриминация, существующая де-юре, особенно актуальна в случае лесбиянок, </w:t>
      </w:r>
      <w:proofErr w:type="spellStart"/>
      <w:r w:rsidRPr="004C4817">
        <w:t>геев</w:t>
      </w:r>
      <w:proofErr w:type="spellEnd"/>
      <w:r w:rsidRPr="004C4817">
        <w:t>, бисексуалов, транссексуалов и интерсексуалов, а жестокое о</w:t>
      </w:r>
      <w:r w:rsidRPr="004C4817">
        <w:t>б</w:t>
      </w:r>
      <w:r w:rsidRPr="004C4817">
        <w:t xml:space="preserve">ращение по отношению к ним вытекает из существования правовых норм: </w:t>
      </w:r>
      <w:r w:rsidR="00A23524">
        <w:br/>
      </w:r>
      <w:r w:rsidRPr="004C4817">
        <w:t>в 76</w:t>
      </w:r>
      <w:r w:rsidR="0094154C">
        <w:t> </w:t>
      </w:r>
      <w:r w:rsidRPr="004C4817">
        <w:t>странах сохраняются законы, криминализирующие виды сексуальной ор</w:t>
      </w:r>
      <w:r w:rsidRPr="004C4817">
        <w:t>и</w:t>
      </w:r>
      <w:r w:rsidRPr="004C4817">
        <w:t>ентации или гендерной идентичности, традиционно запрещающие некоторые половые акты между взрослыми лицами одного пола или некоторые проявления гендерного самовыражения. В некоторых случаях формулировки соотносятся с расплывчатыми и недетерминированными концепциями, такими как «престу</w:t>
      </w:r>
      <w:r w:rsidRPr="004C4817">
        <w:t>п</w:t>
      </w:r>
      <w:r w:rsidRPr="004C4817">
        <w:t>ления против закона природы» и «нравственности» или «распутство». Наказ</w:t>
      </w:r>
      <w:r w:rsidRPr="004C4817">
        <w:t>а</w:t>
      </w:r>
      <w:r w:rsidRPr="004C4817">
        <w:t>ния включают пожизненное тюремное заключение в некоторых странах и смертную казнь в восьми странах.</w:t>
      </w:r>
    </w:p>
    <w:p w:rsidR="004C4817" w:rsidRPr="004C4817" w:rsidRDefault="004C4817" w:rsidP="004C4817">
      <w:pPr>
        <w:pStyle w:val="SingleTxtGR"/>
      </w:pPr>
      <w:r w:rsidRPr="004C4817">
        <w:rPr>
          <w:bCs/>
        </w:rPr>
        <w:t>58.</w:t>
      </w:r>
      <w:r w:rsidRPr="004C4817">
        <w:rPr>
          <w:bCs/>
        </w:rPr>
        <w:tab/>
      </w:r>
      <w:r w:rsidRPr="004C4817">
        <w:t>Криминализация, связанная с сексуальной ориентацией и гендерной идентичностью, способствует применению пыток и жестокого обращения: в тех случаях, когда однополые сексуальные связи являются незаконными, сексуал</w:t>
      </w:r>
      <w:r w:rsidRPr="004C4817">
        <w:t>ь</w:t>
      </w:r>
      <w:r w:rsidRPr="004C4817">
        <w:t>ная ориентация может считаться проблемой, которую следует скорректировать, замалчивать или использовать с целью легитимации насилия в отношении лиц, поддерживающих такие связи (А/HRC/14/20, пункт 23). Такие законы спосо</w:t>
      </w:r>
      <w:r w:rsidRPr="004C4817">
        <w:t>б</w:t>
      </w:r>
      <w:r w:rsidRPr="004C4817">
        <w:t xml:space="preserve">ствуют созданию социальной среды, оправдывающей злоупотребления, так как априори считается, что лесбиянки, </w:t>
      </w:r>
      <w:proofErr w:type="spellStart"/>
      <w:r w:rsidRPr="004C4817">
        <w:t>геи</w:t>
      </w:r>
      <w:proofErr w:type="spellEnd"/>
      <w:r w:rsidRPr="004C4817">
        <w:t>, бисексуалы, транссексуалы и интерсе</w:t>
      </w:r>
      <w:r w:rsidRPr="004C4817">
        <w:t>к</w:t>
      </w:r>
      <w:r w:rsidRPr="004C4817">
        <w:t>суалы участвуют в незаконной деятельности. Поэтому вполне логично сделать вывод о том, что полиция реже расследует прест</w:t>
      </w:r>
      <w:r w:rsidR="00873FCB">
        <w:t>упления, совершаемые против них</w:t>
      </w:r>
      <w:r w:rsidRPr="00873FCB">
        <w:rPr>
          <w:sz w:val="18"/>
          <w:szCs w:val="18"/>
          <w:vertAlign w:val="superscript"/>
        </w:rPr>
        <w:footnoteReference w:id="13"/>
      </w:r>
      <w:r w:rsidRPr="004C4817">
        <w:t xml:space="preserve">. Последствия такого восприятия также препятствуют соответствующим усилиям государства по защите неприкосновенности или жизни лесбиянок, </w:t>
      </w:r>
      <w:proofErr w:type="spellStart"/>
      <w:r w:rsidRPr="004C4817">
        <w:t>г</w:t>
      </w:r>
      <w:r w:rsidRPr="004C4817">
        <w:t>е</w:t>
      </w:r>
      <w:r w:rsidRPr="004C4817">
        <w:t>ев</w:t>
      </w:r>
      <w:proofErr w:type="spellEnd"/>
      <w:r w:rsidRPr="004C4817">
        <w:t>, бисексуалов, транссексуалов и интерсексуалов. Например, в одной стране, где криминализованы однополые половые отношения, Подкомитет был инфо</w:t>
      </w:r>
      <w:r w:rsidRPr="004C4817">
        <w:t>р</w:t>
      </w:r>
      <w:r w:rsidRPr="004C4817">
        <w:t>мирован о том, что распространение презервативов в мужских тюрьмах ра</w:t>
      </w:r>
      <w:r w:rsidRPr="004C4817">
        <w:t>с</w:t>
      </w:r>
      <w:r w:rsidRPr="004C4817">
        <w:t>сматривается как потворство преступлению и поэтому запрещено, в результате чего заключенные подвергаются более высокому риску заражения ВИЧ-инфекцией.</w:t>
      </w:r>
    </w:p>
    <w:p w:rsidR="004C4817" w:rsidRPr="004C4817" w:rsidRDefault="004C4817" w:rsidP="004C4817">
      <w:pPr>
        <w:pStyle w:val="SingleTxtGR"/>
      </w:pPr>
      <w:r w:rsidRPr="004C4817">
        <w:rPr>
          <w:bCs/>
        </w:rPr>
        <w:t>59.</w:t>
      </w:r>
      <w:r w:rsidRPr="004C4817">
        <w:rPr>
          <w:bCs/>
        </w:rPr>
        <w:tab/>
      </w:r>
      <w:r w:rsidRPr="004C4817">
        <w:t>Еще одной серьезной проблемой является нехватка статистических да</w:t>
      </w:r>
      <w:r w:rsidRPr="004C4817">
        <w:t>н</w:t>
      </w:r>
      <w:r w:rsidRPr="004C4817">
        <w:t>ных о жестоком обращении и пытках в связи с сексуальной ориентацией и ге</w:t>
      </w:r>
      <w:r w:rsidRPr="004C4817">
        <w:t>н</w:t>
      </w:r>
      <w:r w:rsidRPr="004C4817">
        <w:t>дерной идентичностью в результате отсутствия надлежащих методов самоиде</w:t>
      </w:r>
      <w:r w:rsidRPr="004C4817">
        <w:t>н</w:t>
      </w:r>
      <w:r w:rsidRPr="004C4817">
        <w:t>тификации, сбора и обработки данных. Как отметило УВКПЧ, официальная статистика тяготеет к занижению числа инцидентов, а предвзятая и неточная классификация дел оборачивается неверной идентификацией, сокрытием и з</w:t>
      </w:r>
      <w:r w:rsidRPr="004C4817">
        <w:t>а</w:t>
      </w:r>
      <w:r w:rsidRPr="004C4817">
        <w:t>ниженной отчетностью (А/HRC/29/23, пункт 25). Систематическое отсутствие сбора данных часто приводит практически к затушевыванию трудностей и пр</w:t>
      </w:r>
      <w:r w:rsidRPr="004C4817">
        <w:t>о</w:t>
      </w:r>
      <w:r w:rsidRPr="004C4817">
        <w:t xml:space="preserve">блем, с которыми сталкиваются лесбиянки, </w:t>
      </w:r>
      <w:proofErr w:type="spellStart"/>
      <w:r w:rsidRPr="004C4817">
        <w:t>геи</w:t>
      </w:r>
      <w:proofErr w:type="spellEnd"/>
      <w:r w:rsidRPr="004C4817">
        <w:t>, бисексуалы, транссексуалы и интерсексуалы. Распространенность инфекционных заболеваний, передающи</w:t>
      </w:r>
      <w:r w:rsidRPr="004C4817">
        <w:t>х</w:t>
      </w:r>
      <w:r w:rsidRPr="004C4817">
        <w:t>ся половым путем, среди трансгендеров в 40 раз выше, чем среди населения в целом, однако этот тревожный показатель может так и остаться незамеченным без разбивки данных по гендерной идентично</w:t>
      </w:r>
      <w:r w:rsidR="0094154C">
        <w:t>сти</w:t>
      </w:r>
      <w:r w:rsidRPr="0094154C">
        <w:rPr>
          <w:sz w:val="18"/>
          <w:szCs w:val="18"/>
          <w:vertAlign w:val="superscript"/>
        </w:rPr>
        <w:footnoteReference w:id="14"/>
      </w:r>
      <w:r w:rsidRPr="004C4817">
        <w:t>.</w:t>
      </w:r>
    </w:p>
    <w:p w:rsidR="004C4817" w:rsidRPr="004C4817" w:rsidRDefault="004C4817" w:rsidP="004C4817">
      <w:pPr>
        <w:pStyle w:val="SingleTxtGR"/>
      </w:pPr>
      <w:r w:rsidRPr="004C4817">
        <w:rPr>
          <w:bCs/>
        </w:rPr>
        <w:t>60.</w:t>
      </w:r>
      <w:r w:rsidRPr="004C4817">
        <w:rPr>
          <w:bCs/>
        </w:rPr>
        <w:tab/>
      </w:r>
      <w:r w:rsidRPr="004C4817">
        <w:t xml:space="preserve">Проблема насилия в отношении лесбиянок, </w:t>
      </w:r>
      <w:proofErr w:type="spellStart"/>
      <w:r w:rsidRPr="004C4817">
        <w:t>геев</w:t>
      </w:r>
      <w:proofErr w:type="spellEnd"/>
      <w:r w:rsidRPr="004C4817">
        <w:t>, бисексуалов, транссе</w:t>
      </w:r>
      <w:r w:rsidRPr="004C4817">
        <w:t>к</w:t>
      </w:r>
      <w:r w:rsidRPr="004C4817">
        <w:t>суалов и интерсексуалов усугубляется в условиях лишения свободы. Такие лица часто подве</w:t>
      </w:r>
      <w:r w:rsidR="006C40FB">
        <w:t>ргаются серьезной дискриминации</w:t>
      </w:r>
      <w:r w:rsidRPr="004C4817">
        <w:t xml:space="preserve"> даже до ареста, так как прои</w:t>
      </w:r>
      <w:r w:rsidRPr="004C4817">
        <w:t>з</w:t>
      </w:r>
      <w:r w:rsidRPr="004C4817">
        <w:t xml:space="preserve">вольное задержание может произойти в результате </w:t>
      </w:r>
      <w:proofErr w:type="spellStart"/>
      <w:r w:rsidRPr="004C4817">
        <w:t>гомофо</w:t>
      </w:r>
      <w:r w:rsidR="0094154C">
        <w:t>бной</w:t>
      </w:r>
      <w:proofErr w:type="spellEnd"/>
      <w:r w:rsidR="0094154C">
        <w:t xml:space="preserve"> и </w:t>
      </w:r>
      <w:proofErr w:type="spellStart"/>
      <w:r w:rsidR="0094154C">
        <w:t>трансфобной</w:t>
      </w:r>
      <w:proofErr w:type="spellEnd"/>
      <w:r w:rsidR="0094154C">
        <w:t xml:space="preserve"> предвзятости</w:t>
      </w:r>
      <w:r w:rsidRPr="0094154C">
        <w:rPr>
          <w:sz w:val="18"/>
          <w:szCs w:val="18"/>
          <w:vertAlign w:val="superscript"/>
        </w:rPr>
        <w:footnoteReference w:id="15"/>
      </w:r>
      <w:r w:rsidRPr="004C4817">
        <w:t xml:space="preserve">. Около </w:t>
      </w:r>
      <w:r w:rsidR="006C40FB">
        <w:t>7%</w:t>
      </w:r>
      <w:r w:rsidRPr="004C4817">
        <w:t xml:space="preserve"> трансгендеров, участвовавших в одном исследовании, сообщили, что они были арестованы или помещены в камеру вследствие п</w:t>
      </w:r>
      <w:r w:rsidR="0094154C">
        <w:t>ре</w:t>
      </w:r>
      <w:r w:rsidR="0094154C">
        <w:t>д</w:t>
      </w:r>
      <w:r w:rsidR="0094154C">
        <w:t>взятости сотрудников полиции</w:t>
      </w:r>
      <w:r w:rsidRPr="0094154C">
        <w:rPr>
          <w:sz w:val="18"/>
          <w:szCs w:val="18"/>
          <w:vertAlign w:val="superscript"/>
        </w:rPr>
        <w:footnoteReference w:id="16"/>
      </w:r>
      <w:r w:rsidRPr="004C4817">
        <w:t>, являющейся предрассудком, часто усугубля</w:t>
      </w:r>
      <w:r w:rsidRPr="004C4817">
        <w:t>е</w:t>
      </w:r>
      <w:r w:rsidRPr="004C4817">
        <w:t>мым трудностями, обусловленными отсутствием документов, удостоверяющих личность, или документов, соответствующих их явному полу. Ряд сообщений касаются использования унижающих достоинство выражений, прикосновений и обращения во время ареста. За очень немногими исключениями государстве</w:t>
      </w:r>
      <w:r w:rsidRPr="004C4817">
        <w:t>н</w:t>
      </w:r>
      <w:r w:rsidRPr="004C4817">
        <w:t xml:space="preserve">ные служащие не обучены понимать потребности лесбиянок, </w:t>
      </w:r>
      <w:proofErr w:type="spellStart"/>
      <w:r w:rsidRPr="004C4817">
        <w:t>геев</w:t>
      </w:r>
      <w:proofErr w:type="spellEnd"/>
      <w:r w:rsidRPr="004C4817">
        <w:t>, бисексуалов, транссексуалов и интерсексуалов, и не существует институциональной полит</w:t>
      </w:r>
      <w:r w:rsidRPr="004C4817">
        <w:t>и</w:t>
      </w:r>
      <w:r w:rsidRPr="004C4817">
        <w:t>ки и методов, позволяющих адекватно решать проблемы самоидентификации, классификации, оценки риска и размещения. Это приводит к насилию в отн</w:t>
      </w:r>
      <w:r w:rsidRPr="004C4817">
        <w:t>о</w:t>
      </w:r>
      <w:r w:rsidRPr="004C4817">
        <w:t>шении таких лиц и отсутствию доступа к необходимым ресурсам и услугам, т</w:t>
      </w:r>
      <w:r w:rsidRPr="004C4817">
        <w:t>а</w:t>
      </w:r>
      <w:r w:rsidRPr="004C4817">
        <w:t>ким как медицинская и психиатрическая помощь.</w:t>
      </w:r>
    </w:p>
    <w:p w:rsidR="004C4817" w:rsidRPr="004C4817" w:rsidRDefault="004C4817" w:rsidP="00CE423D">
      <w:pPr>
        <w:pStyle w:val="SingleTxtGR"/>
        <w:keepNext/>
        <w:keepLines/>
      </w:pPr>
      <w:r w:rsidRPr="004C4817">
        <w:rPr>
          <w:bCs/>
        </w:rPr>
        <w:t>61.</w:t>
      </w:r>
      <w:r w:rsidRPr="004C4817">
        <w:rPr>
          <w:bCs/>
        </w:rPr>
        <w:tab/>
      </w:r>
      <w:r w:rsidRPr="004C4817">
        <w:t>Как Специальный докладчик по вопросу о пытках, так и Подкомитет о</w:t>
      </w:r>
      <w:r w:rsidRPr="004C4817">
        <w:t>т</w:t>
      </w:r>
      <w:r w:rsidRPr="004C4817">
        <w:t>метили, что в местах содержания задержанных обычно поддерживается жесткая иерархия и что лица, находящиеся на дне иерархии, включая гомосексуалистов, лесбиянок, бисексуалов и транссексуалов, обычно страдают от двойной или даже тройной дис</w:t>
      </w:r>
      <w:r w:rsidR="0094154C">
        <w:t>криминации</w:t>
      </w:r>
      <w:r w:rsidRPr="0094154C">
        <w:rPr>
          <w:sz w:val="18"/>
          <w:szCs w:val="18"/>
          <w:vertAlign w:val="superscript"/>
        </w:rPr>
        <w:footnoteReference w:id="17"/>
      </w:r>
      <w:r w:rsidRPr="004C4817">
        <w:t>. Не являются редкостью жалобы на оскорбл</w:t>
      </w:r>
      <w:r w:rsidRPr="004C4817">
        <w:t>е</w:t>
      </w:r>
      <w:r w:rsidRPr="004C4817">
        <w:t xml:space="preserve">ния, избиения, содержание в одиночных </w:t>
      </w:r>
      <w:r w:rsidR="00873FCB">
        <w:t>камерах и целевые формы насилия</w:t>
      </w:r>
      <w:r w:rsidRPr="00873FCB">
        <w:rPr>
          <w:sz w:val="18"/>
          <w:szCs w:val="18"/>
          <w:vertAlign w:val="superscript"/>
        </w:rPr>
        <w:footnoteReference w:id="18"/>
      </w:r>
      <w:r w:rsidRPr="004C4817">
        <w:t>. Жестокое обращение сопровождается дискриминацией, основанной на воспр</w:t>
      </w:r>
      <w:r w:rsidRPr="004C4817">
        <w:t>и</w:t>
      </w:r>
      <w:r w:rsidRPr="004C4817">
        <w:t>ятиях или предубеждениях, например в случаях, когда мужчин, подозреваемых в гомосексуальном поведении, подвергают медицинскому обследованию анал</w:t>
      </w:r>
      <w:r w:rsidRPr="004C4817">
        <w:t>ь</w:t>
      </w:r>
      <w:r w:rsidRPr="004C4817">
        <w:t>ной области без их согласия, чтобы «доказать» или «опровергнуть» их гомосе</w:t>
      </w:r>
      <w:r w:rsidRPr="004C4817">
        <w:t>к</w:t>
      </w:r>
      <w:r w:rsidR="0094154C">
        <w:t>суальность</w:t>
      </w:r>
      <w:r w:rsidRPr="0094154C">
        <w:rPr>
          <w:sz w:val="18"/>
          <w:szCs w:val="18"/>
          <w:vertAlign w:val="superscript"/>
        </w:rPr>
        <w:footnoteReference w:id="19"/>
      </w:r>
      <w:r w:rsidRPr="004C4817">
        <w:t>.</w:t>
      </w:r>
    </w:p>
    <w:p w:rsidR="004C4817" w:rsidRPr="004C4817" w:rsidRDefault="004C4817" w:rsidP="004C4817">
      <w:pPr>
        <w:pStyle w:val="SingleTxtGR"/>
      </w:pPr>
      <w:r w:rsidRPr="004C4817">
        <w:rPr>
          <w:bCs/>
        </w:rPr>
        <w:t>62.</w:t>
      </w:r>
      <w:r w:rsidRPr="004C4817">
        <w:rPr>
          <w:bCs/>
        </w:rPr>
        <w:tab/>
      </w:r>
      <w:r w:rsidRPr="004C4817">
        <w:t>Насилие может совершаться сокамерниками или персоналом мест соде</w:t>
      </w:r>
      <w:r w:rsidRPr="004C4817">
        <w:t>р</w:t>
      </w:r>
      <w:r w:rsidRPr="004C4817">
        <w:t xml:space="preserve">жания под стражей. По данным некоторых исследований, </w:t>
      </w:r>
      <w:proofErr w:type="spellStart"/>
      <w:r w:rsidRPr="004C4817">
        <w:t>негетеросексуальные</w:t>
      </w:r>
      <w:proofErr w:type="spellEnd"/>
      <w:r w:rsidRPr="004C4817">
        <w:t xml:space="preserve"> заключенные могут в </w:t>
      </w:r>
      <w:r w:rsidR="00FF0933" w:rsidRPr="00FF0933">
        <w:t>10</w:t>
      </w:r>
      <w:r w:rsidRPr="004C4817">
        <w:t xml:space="preserve"> раз чаще, чем гетеросексуальные заключенные, по</w:t>
      </w:r>
      <w:r w:rsidRPr="004C4817">
        <w:t>д</w:t>
      </w:r>
      <w:r w:rsidRPr="004C4817">
        <w:t xml:space="preserve">вергнуться сексуальному насилию со стороны других заключенных и в </w:t>
      </w:r>
      <w:r w:rsidR="00FF0933" w:rsidRPr="008D371B">
        <w:t>3</w:t>
      </w:r>
      <w:r w:rsidRPr="004C4817">
        <w:t xml:space="preserve"> раза чаще </w:t>
      </w:r>
      <w:r w:rsidR="007437E5">
        <w:t>–</w:t>
      </w:r>
      <w:r w:rsidR="0094154C">
        <w:t xml:space="preserve"> со стороны тюремного персонала</w:t>
      </w:r>
      <w:r w:rsidRPr="0094154C">
        <w:rPr>
          <w:sz w:val="18"/>
          <w:szCs w:val="18"/>
          <w:vertAlign w:val="superscript"/>
        </w:rPr>
        <w:footnoteReference w:id="20"/>
      </w:r>
      <w:r w:rsidRPr="004C4817">
        <w:t>. В случае транссексуалов вероя</w:t>
      </w:r>
      <w:r w:rsidRPr="004C4817">
        <w:t>т</w:t>
      </w:r>
      <w:r w:rsidRPr="004C4817">
        <w:t xml:space="preserve">ность подвергнуться сексуальному насилию со стороны сокамерников </w:t>
      </w:r>
      <w:r w:rsidR="006C40FB">
        <w:br/>
      </w:r>
      <w:r w:rsidRPr="004C4817">
        <w:t>в 13 раз</w:t>
      </w:r>
      <w:r w:rsidR="0094154C">
        <w:t xml:space="preserve"> выше, чем в случае </w:t>
      </w:r>
      <w:proofErr w:type="spellStart"/>
      <w:r w:rsidR="0094154C">
        <w:t>цисгендеров</w:t>
      </w:r>
      <w:proofErr w:type="spellEnd"/>
      <w:r w:rsidRPr="0094154C">
        <w:rPr>
          <w:sz w:val="18"/>
          <w:szCs w:val="18"/>
          <w:vertAlign w:val="superscript"/>
        </w:rPr>
        <w:footnoteReference w:id="21"/>
      </w:r>
      <w:r w:rsidRPr="004C4817">
        <w:t>.</w:t>
      </w:r>
    </w:p>
    <w:p w:rsidR="004C4817" w:rsidRPr="004C4817" w:rsidRDefault="004C4817" w:rsidP="004C4817">
      <w:pPr>
        <w:pStyle w:val="SingleTxtGR"/>
      </w:pPr>
      <w:r w:rsidRPr="004C4817">
        <w:rPr>
          <w:bCs/>
        </w:rPr>
        <w:t>63.</w:t>
      </w:r>
      <w:r w:rsidRPr="004C4817">
        <w:rPr>
          <w:bCs/>
        </w:rPr>
        <w:tab/>
      </w:r>
      <w:r w:rsidRPr="004C4817">
        <w:t>Исследования по проблемам сексуального надругательства в исправ</w:t>
      </w:r>
      <w:r w:rsidRPr="004C4817">
        <w:t>и</w:t>
      </w:r>
      <w:r w:rsidRPr="004C4817">
        <w:t xml:space="preserve">тельных учреждениях последовательно подтверждают уязвимость мужчин и женщин </w:t>
      </w:r>
      <w:proofErr w:type="spellStart"/>
      <w:r w:rsidRPr="004C4817">
        <w:t>негетеросексуальной</w:t>
      </w:r>
      <w:proofErr w:type="spellEnd"/>
      <w:r w:rsidRPr="004C4817">
        <w:t xml:space="preserve"> ориентации и </w:t>
      </w:r>
      <w:proofErr w:type="spellStart"/>
      <w:r w:rsidRPr="004C4817">
        <w:t>трансгендерных</w:t>
      </w:r>
      <w:proofErr w:type="spellEnd"/>
      <w:r w:rsidRPr="004C4817">
        <w:t xml:space="preserve"> лиц. Основные статистические данные, обнародованные в таких исследованиях, были по</w:t>
      </w:r>
      <w:r w:rsidRPr="004C4817">
        <w:t>д</w:t>
      </w:r>
      <w:r w:rsidRPr="004C4817">
        <w:t>тверждены опытом членов Подкомитета; например, один заключенный-гей с</w:t>
      </w:r>
      <w:r w:rsidRPr="004C4817">
        <w:t>о</w:t>
      </w:r>
      <w:r w:rsidRPr="004C4817">
        <w:t>общил Подкомитету, что его неоднократно насиловали и заставляли ходить в коротких юбках (CAT/OP/PRY/1, пункт 214), а лесбиянки сообщили, что они подвергались так называемому «исправительному изнасилованию».</w:t>
      </w:r>
    </w:p>
    <w:p w:rsidR="004C4817" w:rsidRPr="004C4817" w:rsidRDefault="004C4817" w:rsidP="004C4817">
      <w:pPr>
        <w:pStyle w:val="SingleTxtGR"/>
      </w:pPr>
      <w:r w:rsidRPr="004C4817">
        <w:rPr>
          <w:bCs/>
        </w:rPr>
        <w:t>64.</w:t>
      </w:r>
      <w:r w:rsidRPr="004C4817">
        <w:rPr>
          <w:bCs/>
        </w:rPr>
        <w:tab/>
      </w:r>
      <w:r w:rsidRPr="004C4817">
        <w:t>Даже меры, которые, казалось бы, должны выполнять защитную фун</w:t>
      </w:r>
      <w:r w:rsidRPr="004C4817">
        <w:t>к</w:t>
      </w:r>
      <w:r w:rsidRPr="004C4817">
        <w:t>цию, могут часто действовать в ущерб интересам отдельных лиц. Власти обы</w:t>
      </w:r>
      <w:r w:rsidRPr="004C4817">
        <w:t>ч</w:t>
      </w:r>
      <w:r w:rsidRPr="004C4817">
        <w:t>но полагаются на длительные сроки защитного попечительства, изоляции или одиночного заключения к</w:t>
      </w:r>
      <w:r w:rsidR="0094154C">
        <w:t>ак на формы защиты по умолчанию</w:t>
      </w:r>
      <w:r w:rsidRPr="0094154C">
        <w:rPr>
          <w:sz w:val="18"/>
          <w:szCs w:val="18"/>
          <w:vertAlign w:val="superscript"/>
        </w:rPr>
        <w:footnoteReference w:id="22"/>
      </w:r>
      <w:r w:rsidRPr="004C4817">
        <w:t>, но эти меры чрезвычайно обременительны для человека и ограничивают доступ к возмо</w:t>
      </w:r>
      <w:r w:rsidRPr="004C4817">
        <w:t>ж</w:t>
      </w:r>
      <w:r w:rsidRPr="004C4817">
        <w:t>ностям в области образования, занятости и программ, которые влияют на уменьшение срока за хорошее поведение и условно-досрочное освобождение. В</w:t>
      </w:r>
      <w:r w:rsidR="0094154C">
        <w:t> </w:t>
      </w:r>
      <w:r w:rsidRPr="004C4817">
        <w:t xml:space="preserve">результате лесбиянки, </w:t>
      </w:r>
      <w:proofErr w:type="spellStart"/>
      <w:r w:rsidRPr="004C4817">
        <w:t>геи</w:t>
      </w:r>
      <w:proofErr w:type="spellEnd"/>
      <w:r w:rsidRPr="004C4817">
        <w:t>, бисексуалы и трансгендеры могут не только отб</w:t>
      </w:r>
      <w:r w:rsidRPr="004C4817">
        <w:t>ы</w:t>
      </w:r>
      <w:r w:rsidRPr="004C4817">
        <w:t>вать наказание в изоляции, но также отбывать больший срок.</w:t>
      </w:r>
    </w:p>
    <w:p w:rsidR="004C4817" w:rsidRPr="004C4817" w:rsidRDefault="004C4817" w:rsidP="004C4817">
      <w:pPr>
        <w:pStyle w:val="SingleTxtGR"/>
      </w:pPr>
      <w:r w:rsidRPr="004C4817">
        <w:rPr>
          <w:bCs/>
        </w:rPr>
        <w:t>65.</w:t>
      </w:r>
      <w:r w:rsidRPr="004C4817">
        <w:rPr>
          <w:bCs/>
        </w:rPr>
        <w:tab/>
      </w:r>
      <w:r w:rsidRPr="004C4817">
        <w:t>Комитет с особой обеспокоенностью отмечает абсолютное пренебреж</w:t>
      </w:r>
      <w:r w:rsidRPr="004C4817">
        <w:t>е</w:t>
      </w:r>
      <w:r w:rsidRPr="004C4817">
        <w:t>ние к положению женщин и мужчин из числа транссексуалов в местах соде</w:t>
      </w:r>
      <w:r w:rsidRPr="004C4817">
        <w:t>р</w:t>
      </w:r>
      <w:r w:rsidRPr="004C4817">
        <w:t>жания под стражей. Прежде всего, отсутствие надлежащей политики и методов идентификации, регистрации и содержания под стражей имеет тяжелые после</w:t>
      </w:r>
      <w:r w:rsidRPr="004C4817">
        <w:t>д</w:t>
      </w:r>
      <w:r w:rsidRPr="004C4817">
        <w:t>ствия: получение точной индивидуальной информации о гендерной идентичн</w:t>
      </w:r>
      <w:r w:rsidRPr="004C4817">
        <w:t>о</w:t>
      </w:r>
      <w:r w:rsidRPr="004C4817">
        <w:t>сти жизненно важно для определения надлежащего лечения, включая горм</w:t>
      </w:r>
      <w:r w:rsidRPr="004C4817">
        <w:t>о</w:t>
      </w:r>
      <w:r w:rsidRPr="004C4817">
        <w:t>нальное и прочее лечение, связанное с гендерным переходом. В случае отсу</w:t>
      </w:r>
      <w:r w:rsidRPr="004C4817">
        <w:t>т</w:t>
      </w:r>
      <w:r w:rsidRPr="004C4817">
        <w:t>ствия механизмов получения такой информации возникают серьезные мед</w:t>
      </w:r>
      <w:r w:rsidRPr="004C4817">
        <w:t>и</w:t>
      </w:r>
      <w:r w:rsidRPr="004C4817">
        <w:t>цинские последствия.</w:t>
      </w:r>
    </w:p>
    <w:p w:rsidR="004C4817" w:rsidRPr="004C4817" w:rsidRDefault="004C4817" w:rsidP="004C4817">
      <w:pPr>
        <w:pStyle w:val="SingleTxtGR"/>
      </w:pPr>
      <w:r w:rsidRPr="004C4817">
        <w:rPr>
          <w:bCs/>
        </w:rPr>
        <w:t>66.</w:t>
      </w:r>
      <w:r w:rsidRPr="004C4817">
        <w:rPr>
          <w:bCs/>
        </w:rPr>
        <w:tab/>
      </w:r>
      <w:r w:rsidRPr="004C4817">
        <w:t>Отсутствие институциональной политики и методов, предназначенных для адекватного решения проблем, связанных с самоидентификацией, класс</w:t>
      </w:r>
      <w:r w:rsidRPr="004C4817">
        <w:t>и</w:t>
      </w:r>
      <w:r w:rsidRPr="004C4817">
        <w:t>фикацией, оценкой риска и помещением в учреждения, приводит в некоторых случаях к тому, что женщин-транссексуалов помещают в мужские тюрьмы, где они подвергаются высокому риску изнасилования, происходящего зачастую при пособничестве тюремного персонала. Во время посещений членами Подком</w:t>
      </w:r>
      <w:r w:rsidRPr="004C4817">
        <w:t>и</w:t>
      </w:r>
      <w:r w:rsidRPr="004C4817">
        <w:t>тета им стало известно, что лишенные свободы транссексуалы часто подверг</w:t>
      </w:r>
      <w:r w:rsidRPr="004C4817">
        <w:t>а</w:t>
      </w:r>
      <w:r w:rsidRPr="004C4817">
        <w:t>ются избиениям и вынуждены изображать сцены сексуального характера перед сокамерниками и что такая практика часто поддерживается охранниками, кот</w:t>
      </w:r>
      <w:r w:rsidRPr="004C4817">
        <w:t>о</w:t>
      </w:r>
      <w:r w:rsidRPr="004C4817">
        <w:t>рые взимают плату за просмотр. Их также заставляют принимать душ в прису</w:t>
      </w:r>
      <w:r w:rsidRPr="004C4817">
        <w:t>т</w:t>
      </w:r>
      <w:r w:rsidRPr="004C4817">
        <w:t>ствии лиц противоположного пола, подвергают личному досмотру, производ</w:t>
      </w:r>
      <w:r w:rsidRPr="004C4817">
        <w:t>и</w:t>
      </w:r>
      <w:r w:rsidRPr="004C4817">
        <w:t>мому сотрудниками противоположного пола, а иногда и ощупывают с еди</w:t>
      </w:r>
      <w:r w:rsidRPr="004C4817">
        <w:t>н</w:t>
      </w:r>
      <w:r w:rsidRPr="004C4817">
        <w:t>ственной целью определить характер их гениталий. Подкомитету стало извес</w:t>
      </w:r>
      <w:r w:rsidRPr="004C4817">
        <w:t>т</w:t>
      </w:r>
      <w:r w:rsidRPr="004C4817">
        <w:t>но о гибели женщин-транссексуалов в местах лишения свободы, в том числе о случаях смертей после проникновения в анальную область при помощи биты (CAT/OP/PRY/1, пункт 214).</w:t>
      </w:r>
    </w:p>
    <w:p w:rsidR="004C4817" w:rsidRPr="004C4817" w:rsidRDefault="004C4817" w:rsidP="004C4817">
      <w:pPr>
        <w:pStyle w:val="SingleTxtGR"/>
      </w:pPr>
      <w:r w:rsidRPr="004C4817">
        <w:rPr>
          <w:bCs/>
        </w:rPr>
        <w:t>67.</w:t>
      </w:r>
      <w:r w:rsidRPr="004C4817">
        <w:rPr>
          <w:bCs/>
        </w:rPr>
        <w:tab/>
      </w:r>
      <w:r w:rsidRPr="004C4817">
        <w:t xml:space="preserve">Эти проблемы также возникают, когда лишение свободы происходит </w:t>
      </w:r>
      <w:r w:rsidR="00A70216">
        <w:br/>
      </w:r>
      <w:r w:rsidRPr="004C4817">
        <w:t xml:space="preserve">в других обстоятельствах. Например, мигранты из числа лесбиянок, </w:t>
      </w:r>
      <w:proofErr w:type="spellStart"/>
      <w:r w:rsidRPr="004C4817">
        <w:t>геев</w:t>
      </w:r>
      <w:proofErr w:type="spellEnd"/>
      <w:r w:rsidRPr="004C4817">
        <w:t>, б</w:t>
      </w:r>
      <w:r w:rsidRPr="004C4817">
        <w:t>и</w:t>
      </w:r>
      <w:r w:rsidRPr="004C4817">
        <w:t>сексуалов, транссексуалов и интерсексуалов часто страдают от серьезных пс</w:t>
      </w:r>
      <w:r w:rsidRPr="004C4817">
        <w:t>и</w:t>
      </w:r>
      <w:r w:rsidRPr="004C4817">
        <w:t>хических последствий жестокого обращения с ними в стране их происхожд</w:t>
      </w:r>
      <w:r w:rsidRPr="004C4817">
        <w:t>е</w:t>
      </w:r>
      <w:r w:rsidRPr="004C4817">
        <w:t>ния. Так как психиатрическая помощь в миграционных учреждениях практич</w:t>
      </w:r>
      <w:r w:rsidRPr="004C4817">
        <w:t>е</w:t>
      </w:r>
      <w:r w:rsidRPr="004C4817">
        <w:t>ски отсутствует, эти симптомы часто усугубляются и часто происходит повто</w:t>
      </w:r>
      <w:r w:rsidRPr="004C4817">
        <w:t>р</w:t>
      </w:r>
      <w:r w:rsidRPr="004C4817">
        <w:t>ная психологическая травма. Эти проблемы распространяются на жестокое о</w:t>
      </w:r>
      <w:r w:rsidRPr="004C4817">
        <w:t>б</w:t>
      </w:r>
      <w:r w:rsidRPr="004C4817">
        <w:t>ращение (A/HRC/19/61/Add.4, пункт 172) и нарушение принципа недопустим</w:t>
      </w:r>
      <w:r w:rsidRPr="004C4817">
        <w:t>о</w:t>
      </w:r>
      <w:r w:rsidRPr="004C4817">
        <w:t>сти принудительного возвращения.</w:t>
      </w:r>
    </w:p>
    <w:p w:rsidR="004C4817" w:rsidRPr="004C4817" w:rsidRDefault="004C4817" w:rsidP="004C4817">
      <w:pPr>
        <w:pStyle w:val="SingleTxtGR"/>
      </w:pPr>
      <w:r w:rsidRPr="004C4817">
        <w:rPr>
          <w:bCs/>
        </w:rPr>
        <w:t>68.</w:t>
      </w:r>
      <w:r w:rsidRPr="004C4817">
        <w:rPr>
          <w:bCs/>
        </w:rPr>
        <w:tab/>
      </w:r>
      <w:r w:rsidRPr="004C4817">
        <w:t xml:space="preserve">В медицинских учреждениях жестокое обращение и пытки включают </w:t>
      </w:r>
      <w:r w:rsidR="00A70216">
        <w:br/>
      </w:r>
      <w:r w:rsidRPr="004C4817">
        <w:t>в себя отказ от оказания надлежащего медицинского ухода в соответствии с гендерной принадлежностью, словесные оскорбления и публичное унижение, психиатрическую экспертизу, стерилизацию, а также гормональную терапию и операции по изменению гениталий под предлогом так называемой «восстан</w:t>
      </w:r>
      <w:r w:rsidRPr="004C4817">
        <w:t>о</w:t>
      </w:r>
      <w:r w:rsidRPr="004C4817">
        <w:t>вительной терапии». Особенно важно установить факты жестокого обращения и дискриминации в медицинских учреждениях, так как гомосексуализм по-прежнему рассматривается некоторыми медицинскими работниками как пат</w:t>
      </w:r>
      <w:r w:rsidRPr="004C4817">
        <w:t>о</w:t>
      </w:r>
      <w:r w:rsidRPr="004C4817">
        <w:t xml:space="preserve">логия, несмотря на то, что Всемирная организация здравоохранения исключила его из международной классификации болезней (МКБ-10) в 1992 году. Сегодня транссексуалов и интерсексуалов продолжают </w:t>
      </w:r>
      <w:proofErr w:type="spellStart"/>
      <w:r w:rsidRPr="004C4817">
        <w:t>патологизировать</w:t>
      </w:r>
      <w:proofErr w:type="spellEnd"/>
      <w:r w:rsidRPr="004C4817">
        <w:t xml:space="preserve"> в медицинских учреждениях на основании медицинской классификации.</w:t>
      </w:r>
    </w:p>
    <w:p w:rsidR="004C4817" w:rsidRPr="004C4817" w:rsidRDefault="004C4817" w:rsidP="00CE423D">
      <w:pPr>
        <w:pStyle w:val="SingleTxtGR"/>
        <w:keepNext/>
        <w:keepLines/>
      </w:pPr>
      <w:r w:rsidRPr="004C4817">
        <w:rPr>
          <w:bCs/>
        </w:rPr>
        <w:t>69.</w:t>
      </w:r>
      <w:r w:rsidRPr="004C4817">
        <w:rPr>
          <w:bCs/>
        </w:rPr>
        <w:tab/>
      </w:r>
      <w:r w:rsidRPr="004C4817">
        <w:t>Комитет по ликвидации дискриминации в отношении женщин и Спец</w:t>
      </w:r>
      <w:r w:rsidRPr="004C4817">
        <w:t>и</w:t>
      </w:r>
      <w:r w:rsidRPr="004C4817">
        <w:t>альный докладчик по вопросу о пытках выразили обеспокоенность в связи с тем, что женщины из числа лесбиянок, бисексуалов, трансгендеров и интерсе</w:t>
      </w:r>
      <w:r w:rsidRPr="004C4817">
        <w:t>к</w:t>
      </w:r>
      <w:r w:rsidRPr="004C4817">
        <w:t>суалов являются «жертвами злоупотреблений и жестокого обращения со стор</w:t>
      </w:r>
      <w:r w:rsidRPr="004C4817">
        <w:t>о</w:t>
      </w:r>
      <w:r w:rsidRPr="004C4817">
        <w:t>ны сотрудников медицинских учреждений» (A/HRC/19/41, пункт 56). Речь идет о так называемой «конверсионной терапии», при проведении которой предст</w:t>
      </w:r>
      <w:r w:rsidRPr="004C4817">
        <w:t>а</w:t>
      </w:r>
      <w:r w:rsidRPr="004C4817">
        <w:t>вители сексуальных меньшинств, как утверждается, насильственно заключ</w:t>
      </w:r>
      <w:r w:rsidRPr="004C4817">
        <w:t>а</w:t>
      </w:r>
      <w:r w:rsidRPr="004C4817">
        <w:t xml:space="preserve">лись в медицинские учреждения и подвергались насильственному обращению, в том числе </w:t>
      </w:r>
      <w:proofErr w:type="spellStart"/>
      <w:r w:rsidRPr="004C4817">
        <w:t>электрошокотерапии</w:t>
      </w:r>
      <w:proofErr w:type="spellEnd"/>
      <w:r w:rsidRPr="004C4817">
        <w:t xml:space="preserve"> и другим видам «терапии, направленной на выработку </w:t>
      </w:r>
      <w:proofErr w:type="spellStart"/>
      <w:r w:rsidRPr="004C4817">
        <w:t>рефлексоотвращения</w:t>
      </w:r>
      <w:proofErr w:type="spellEnd"/>
      <w:r w:rsidRPr="004C4817">
        <w:t>», что, по сообщениям, приводило к психолог</w:t>
      </w:r>
      <w:r w:rsidRPr="004C4817">
        <w:t>и</w:t>
      </w:r>
      <w:r w:rsidRPr="004C4817">
        <w:t>ческим и телесным травмам (A/56/156, пункт 24). Как отметил Специальный докладчик по вопросу о праве каждого человека на наивысший достижимый уровень физического и психического здоровья, попытки «излечить» тех, кто практикует однополые сексуальные связи, не только неадекватны, но и облад</w:t>
      </w:r>
      <w:r w:rsidRPr="004C4817">
        <w:t>а</w:t>
      </w:r>
      <w:r w:rsidRPr="004C4817">
        <w:t>ют потенциалом причинять существенные психические расстройства и усил</w:t>
      </w:r>
      <w:r w:rsidRPr="004C4817">
        <w:t>и</w:t>
      </w:r>
      <w:r w:rsidRPr="004C4817">
        <w:t>вать стигматизацию этих уязвимых групп (А/HRC/14/20, пункт 23).</w:t>
      </w:r>
    </w:p>
    <w:p w:rsidR="004C4817" w:rsidRPr="004C4817" w:rsidRDefault="004C4817" w:rsidP="004C4817">
      <w:pPr>
        <w:pStyle w:val="SingleTxtGR"/>
      </w:pPr>
      <w:r w:rsidRPr="004C4817">
        <w:rPr>
          <w:bCs/>
        </w:rPr>
        <w:t>70.</w:t>
      </w:r>
      <w:r w:rsidRPr="004C4817">
        <w:rPr>
          <w:bCs/>
        </w:rPr>
        <w:tab/>
      </w:r>
      <w:r w:rsidRPr="004C4817">
        <w:t>Многие дети из числа интерсексуалов, родившиеся с нетипичными пол</w:t>
      </w:r>
      <w:r w:rsidRPr="004C4817">
        <w:t>о</w:t>
      </w:r>
      <w:r w:rsidRPr="004C4817">
        <w:t>выми признаками, зачастую подвергаются дискриминации и ненужному с точки зрения медицины хирургическому вмешательству, производимому без их и</w:t>
      </w:r>
      <w:r w:rsidRPr="004C4817">
        <w:t>н</w:t>
      </w:r>
      <w:r w:rsidRPr="004C4817">
        <w:t xml:space="preserve">формированного согласия или согласия их родителей (А/HRC/19/41, пункт 57) </w:t>
      </w:r>
      <w:r w:rsidR="00A70216">
        <w:br/>
      </w:r>
      <w:r w:rsidRPr="004C4817">
        <w:t>в попытке принудительно привести их физический облик в соответствие с б</w:t>
      </w:r>
      <w:r w:rsidRPr="004C4817">
        <w:t>и</w:t>
      </w:r>
      <w:r w:rsidRPr="004C4817">
        <w:t>нарными гендерными стереотипами. Такие процедуры, как правило, носят н</w:t>
      </w:r>
      <w:r w:rsidRPr="004C4817">
        <w:t>е</w:t>
      </w:r>
      <w:r w:rsidRPr="004C4817">
        <w:t>обратимый характер и могут причинить серьезные, долгосрочные физические и психические страдания, а также могут приравниваться к пыткам, жестокому обращению и вредной практике. Многие ратуют за прекращение этой практики, в том числе Комитет по правам ребенка, Комитет против пыток, Специальный докладчик по вопросу о праве на здоровье, Специальный докладчик по вопр</w:t>
      </w:r>
      <w:r w:rsidRPr="004C4817">
        <w:t>о</w:t>
      </w:r>
      <w:r w:rsidRPr="004C4817">
        <w:t>су о пытках и Верховный комиссар Организации Объединенных Наций по пр</w:t>
      </w:r>
      <w:r w:rsidRPr="004C4817">
        <w:t>а</w:t>
      </w:r>
      <w:r w:rsidRPr="004C4817">
        <w:t>вам человека (А/HRC/29/23, пункт 53).</w:t>
      </w:r>
    </w:p>
    <w:p w:rsidR="004C4817" w:rsidRPr="004C4817" w:rsidRDefault="004C4817" w:rsidP="00520D9D">
      <w:pPr>
        <w:pStyle w:val="H1GR"/>
      </w:pPr>
      <w:r w:rsidRPr="004C4817">
        <w:tab/>
        <w:t>D.</w:t>
      </w:r>
      <w:r w:rsidRPr="004C4817">
        <w:tab/>
        <w:t>Обязанность по предупреждению</w:t>
      </w:r>
    </w:p>
    <w:p w:rsidR="004C4817" w:rsidRPr="004C4817" w:rsidRDefault="004C4817" w:rsidP="004C4817">
      <w:pPr>
        <w:pStyle w:val="SingleTxtGR"/>
      </w:pPr>
      <w:r w:rsidRPr="004C4817">
        <w:rPr>
          <w:bCs/>
        </w:rPr>
        <w:t>71.</w:t>
      </w:r>
      <w:r w:rsidRPr="004C4817">
        <w:rPr>
          <w:bCs/>
        </w:rPr>
        <w:tab/>
      </w:r>
      <w:r w:rsidRPr="004C4817">
        <w:t>Подкомитет подчеркивает, что принципиально важно включать лесби</w:t>
      </w:r>
      <w:r w:rsidRPr="004C4817">
        <w:t>я</w:t>
      </w:r>
      <w:r w:rsidRPr="004C4817">
        <w:t xml:space="preserve">нок, </w:t>
      </w:r>
      <w:proofErr w:type="spellStart"/>
      <w:r w:rsidRPr="004C4817">
        <w:t>геев</w:t>
      </w:r>
      <w:proofErr w:type="spellEnd"/>
      <w:r w:rsidRPr="004C4817">
        <w:t>, бисексуалов, транссексуалов и интерсексуалов в процесс разработки, осуществления и оценки мер, принимаемых для предупреждения пыток и ж</w:t>
      </w:r>
      <w:r w:rsidRPr="004C4817">
        <w:t>е</w:t>
      </w:r>
      <w:r w:rsidRPr="004C4817">
        <w:t>стокого обращения с ними. Это обеспечит понимание разнообразия соотве</w:t>
      </w:r>
      <w:r w:rsidRPr="004C4817">
        <w:t>т</w:t>
      </w:r>
      <w:r w:rsidRPr="004C4817">
        <w:t>ствующих лиц, групп, общин и слоев населения. Подкомитет считает, что изр</w:t>
      </w:r>
      <w:r w:rsidRPr="004C4817">
        <w:t>е</w:t>
      </w:r>
      <w:r w:rsidRPr="004C4817">
        <w:t>чение «Ничего для нас без нас!» должно рассматриваться как один из руков</w:t>
      </w:r>
      <w:r w:rsidRPr="004C4817">
        <w:t>о</w:t>
      </w:r>
      <w:r w:rsidRPr="004C4817">
        <w:t>дящих принципов в этом отношении.</w:t>
      </w:r>
    </w:p>
    <w:p w:rsidR="004C4817" w:rsidRPr="004C4817" w:rsidRDefault="004C4817" w:rsidP="004C4817">
      <w:pPr>
        <w:pStyle w:val="SingleTxtGR"/>
      </w:pPr>
      <w:r w:rsidRPr="004C4817">
        <w:rPr>
          <w:bCs/>
        </w:rPr>
        <w:t>72.</w:t>
      </w:r>
      <w:r w:rsidRPr="004C4817">
        <w:rPr>
          <w:bCs/>
        </w:rPr>
        <w:tab/>
      </w:r>
      <w:r w:rsidRPr="004C4817">
        <w:t>Укрепление механизмов защиты лиц, лишенных свободы, требует прин</w:t>
      </w:r>
      <w:r w:rsidRPr="004C4817">
        <w:t>я</w:t>
      </w:r>
      <w:r w:rsidRPr="004C4817">
        <w:t>тия законодательных, административных и судебных мер. Чтобы быть адеква</w:t>
      </w:r>
      <w:r w:rsidRPr="004C4817">
        <w:t>т</w:t>
      </w:r>
      <w:r w:rsidRPr="004C4817">
        <w:t>ными, такие меры требуют тщательной оценки риска, включая выявление пр</w:t>
      </w:r>
      <w:r w:rsidRPr="004C4817">
        <w:t>и</w:t>
      </w:r>
      <w:r w:rsidRPr="004C4817">
        <w:t>чин, форм и последствий насилия и дискриминации. Существенно важно по</w:t>
      </w:r>
      <w:r w:rsidRPr="004C4817">
        <w:t>д</w:t>
      </w:r>
      <w:r w:rsidRPr="004C4817">
        <w:t>вергать сомнению предубеждения, стереотипы и предрассудки в отношении п</w:t>
      </w:r>
      <w:r w:rsidRPr="004C4817">
        <w:t>о</w:t>
      </w:r>
      <w:r w:rsidRPr="004C4817">
        <w:t>ведения, внешнего вида и воспринимаемого гендера. Существенно важно также обеспечить, чтобы каждая ситуация оценивалась с учетом нравственного при</w:t>
      </w:r>
      <w:r w:rsidRPr="004C4817">
        <w:t>н</w:t>
      </w:r>
      <w:r w:rsidRPr="004C4817">
        <w:t>ципа «не навреди», так как изолированные, вырванные из контекста или инту</w:t>
      </w:r>
      <w:r w:rsidRPr="004C4817">
        <w:t>и</w:t>
      </w:r>
      <w:r w:rsidRPr="004C4817">
        <w:t xml:space="preserve">тивные действия могут увеличить риск насилия в отношении лесбиянок, </w:t>
      </w:r>
      <w:proofErr w:type="spellStart"/>
      <w:r w:rsidRPr="004C4817">
        <w:t>геев</w:t>
      </w:r>
      <w:proofErr w:type="spellEnd"/>
      <w:r w:rsidRPr="004C4817">
        <w:t>, бисексуалов, транссексуалов и интерсексуалов.</w:t>
      </w:r>
    </w:p>
    <w:p w:rsidR="004C4817" w:rsidRPr="004C4817" w:rsidRDefault="004C4817" w:rsidP="00CE423D">
      <w:pPr>
        <w:pStyle w:val="SingleTxtGR"/>
        <w:keepNext/>
        <w:keepLines/>
      </w:pPr>
      <w:r w:rsidRPr="004C4817">
        <w:rPr>
          <w:bCs/>
        </w:rPr>
        <w:t>73.</w:t>
      </w:r>
      <w:r w:rsidRPr="004C4817">
        <w:rPr>
          <w:bCs/>
        </w:rPr>
        <w:tab/>
      </w:r>
      <w:r w:rsidRPr="004C4817">
        <w:t>Необходимо пересмотреть законы, криминализирующие добровольные однополые отношения. Такие законы уже в силу самого своего существования нарушают права на приватность и недискриминацию (А/HRC/29/23, пункт 43). Кроме того, они усугубляют опасность других нарушений и препятствует ли</w:t>
      </w:r>
      <w:r w:rsidRPr="004C4817">
        <w:t>к</w:t>
      </w:r>
      <w:r w:rsidRPr="004C4817">
        <w:t>видации безнаказанности в связи с пытками и жестоким обращением.</w:t>
      </w:r>
    </w:p>
    <w:p w:rsidR="004C4817" w:rsidRPr="004C4817" w:rsidRDefault="004C4817" w:rsidP="004C4817">
      <w:pPr>
        <w:pStyle w:val="SingleTxtGR"/>
      </w:pPr>
      <w:r w:rsidRPr="004C4817">
        <w:rPr>
          <w:bCs/>
        </w:rPr>
        <w:t>74.</w:t>
      </w:r>
      <w:r w:rsidRPr="004C4817">
        <w:rPr>
          <w:bCs/>
        </w:rPr>
        <w:tab/>
      </w:r>
      <w:r w:rsidRPr="004C4817">
        <w:t>Власти должны принимать меры, необходимые для обеспечения надл</w:t>
      </w:r>
      <w:r w:rsidRPr="004C4817">
        <w:t>е</w:t>
      </w:r>
      <w:r w:rsidRPr="004C4817">
        <w:t>жащего выявления насилия по признаку сексуальной ориентации и гендерной идентичности, проводить безотлагательное и беспристрастное расследовани</w:t>
      </w:r>
      <w:r w:rsidR="00577C05">
        <w:t>е</w:t>
      </w:r>
      <w:r w:rsidRPr="004C4817">
        <w:t xml:space="preserve"> утверждений о пытках и жестоком обращении, в том числе о сексуальном нас</w:t>
      </w:r>
      <w:r w:rsidRPr="004C4817">
        <w:t>и</w:t>
      </w:r>
      <w:r w:rsidRPr="004C4817">
        <w:t>лии, в соответствии со статьями 12 и 13 Конвенции против пыток и обеспеч</w:t>
      </w:r>
      <w:r w:rsidRPr="004C4817">
        <w:t>и</w:t>
      </w:r>
      <w:r w:rsidRPr="004C4817">
        <w:t>вать возмещение ущерба пострадавшим. В тех случаях, когда такие утвержд</w:t>
      </w:r>
      <w:r w:rsidRPr="004C4817">
        <w:t>е</w:t>
      </w:r>
      <w:r w:rsidRPr="004C4817">
        <w:t>ния касаются сотрудников тюрьмы, на время судебного разбирательства они должны быть отстранены от выполнения своих обязанностей, а в случае пр</w:t>
      </w:r>
      <w:r w:rsidRPr="004C4817">
        <w:t>и</w:t>
      </w:r>
      <w:r w:rsidRPr="004C4817">
        <w:t>знания судом их виновности </w:t>
      </w:r>
      <w:r w:rsidR="007437E5">
        <w:t>–</w:t>
      </w:r>
      <w:r w:rsidRPr="004C4817">
        <w:t xml:space="preserve"> уволены со службы (CAT/OP/PRY/1, пункт 216). Государства должны предупреждать дальнейшую </w:t>
      </w:r>
      <w:proofErr w:type="spellStart"/>
      <w:r w:rsidRPr="004C4817">
        <w:t>маргинализацию</w:t>
      </w:r>
      <w:proofErr w:type="spellEnd"/>
      <w:r w:rsidRPr="004C4817">
        <w:t xml:space="preserve"> лиц при з</w:t>
      </w:r>
      <w:r w:rsidRPr="004C4817">
        <w:t>а</w:t>
      </w:r>
      <w:r w:rsidRPr="004C4817">
        <w:t>ключении их под стражу и не допускать, чтобы они подвергались риску нас</w:t>
      </w:r>
      <w:r w:rsidRPr="004C4817">
        <w:t>и</w:t>
      </w:r>
      <w:r w:rsidRPr="004C4817">
        <w:t>лия, жестокого обращения или пыток.</w:t>
      </w:r>
    </w:p>
    <w:p w:rsidR="004C4817" w:rsidRPr="004C4817" w:rsidRDefault="004C4817" w:rsidP="004C4817">
      <w:pPr>
        <w:pStyle w:val="SingleTxtGR"/>
      </w:pPr>
      <w:r w:rsidRPr="004C4817">
        <w:rPr>
          <w:bCs/>
        </w:rPr>
        <w:t>75.</w:t>
      </w:r>
      <w:r w:rsidRPr="004C4817">
        <w:rPr>
          <w:bCs/>
        </w:rPr>
        <w:tab/>
      </w:r>
      <w:r w:rsidRPr="004C4817">
        <w:t>В пределах своей компетенции все государственные учреждения, вкл</w:t>
      </w:r>
      <w:r w:rsidRPr="004C4817">
        <w:t>ю</w:t>
      </w:r>
      <w:r w:rsidRPr="004C4817">
        <w:t>чая национальные превентивные механизмы, должны собирать и публиковать данные о количестве и типах случаев применения пыток и жестокого обращ</w:t>
      </w:r>
      <w:r w:rsidRPr="004C4817">
        <w:t>е</w:t>
      </w:r>
      <w:r w:rsidRPr="004C4817">
        <w:t xml:space="preserve">ния в отношении лесбиянок, </w:t>
      </w:r>
      <w:proofErr w:type="spellStart"/>
      <w:r w:rsidRPr="004C4817">
        <w:t>геев</w:t>
      </w:r>
      <w:proofErr w:type="spellEnd"/>
      <w:r w:rsidRPr="004C4817">
        <w:t>, бисексуалов, транссексуалов и интерсексу</w:t>
      </w:r>
      <w:r w:rsidRPr="004C4817">
        <w:t>а</w:t>
      </w:r>
      <w:r w:rsidRPr="004C4817">
        <w:t>лов и о результатах соответствующих расследований, а также разработать надлежащие модели сбора, обработки и анализа данных.</w:t>
      </w:r>
    </w:p>
    <w:p w:rsidR="004C4817" w:rsidRPr="004C4817" w:rsidRDefault="004C4817" w:rsidP="004C4817">
      <w:pPr>
        <w:pStyle w:val="SingleTxtGR"/>
      </w:pPr>
      <w:r w:rsidRPr="004C4817">
        <w:rPr>
          <w:bCs/>
        </w:rPr>
        <w:t>76.</w:t>
      </w:r>
      <w:r w:rsidRPr="004C4817">
        <w:rPr>
          <w:bCs/>
        </w:rPr>
        <w:tab/>
      </w:r>
      <w:r w:rsidRPr="004C4817">
        <w:t xml:space="preserve">В случаях лишенных свободы лесбиянок, </w:t>
      </w:r>
      <w:proofErr w:type="spellStart"/>
      <w:r w:rsidRPr="004C4817">
        <w:t>геев</w:t>
      </w:r>
      <w:proofErr w:type="spellEnd"/>
      <w:r w:rsidRPr="004C4817">
        <w:t>, бисексуалов, транссексу</w:t>
      </w:r>
      <w:r w:rsidRPr="004C4817">
        <w:t>а</w:t>
      </w:r>
      <w:r w:rsidRPr="004C4817">
        <w:t>лов и интерсексуалов, находящихся в любом месте содержания под стражей, органы государственной власти должны признать специфические риски, в</w:t>
      </w:r>
      <w:r w:rsidRPr="004C4817">
        <w:t>ы</w:t>
      </w:r>
      <w:r w:rsidRPr="004C4817">
        <w:t>явить лиц, находящихся в уязвимом положении, и защищать их таким образом, чтобы не оставлять их в изоляции. Особое внимание следует уделять выясн</w:t>
      </w:r>
      <w:r w:rsidRPr="004C4817">
        <w:t>е</w:t>
      </w:r>
      <w:r w:rsidRPr="004C4817">
        <w:t>нию причин ареста, и следует разработать конкретную политику в отношении обыска, поступления в учреждение и допроса. С этой целью в некоторых и</w:t>
      </w:r>
      <w:r w:rsidRPr="004C4817">
        <w:t>с</w:t>
      </w:r>
      <w:r w:rsidRPr="004C4817">
        <w:t>правительных учреждениях используются письменные документы для обслед</w:t>
      </w:r>
      <w:r w:rsidRPr="004C4817">
        <w:t>о</w:t>
      </w:r>
      <w:r w:rsidRPr="004C4817">
        <w:t>вания всех поступающих заключенных на подверженность риску сексуального насилия как средство поддержки политики и процедур, основанных на факт</w:t>
      </w:r>
      <w:r w:rsidRPr="004C4817">
        <w:t>и</w:t>
      </w:r>
      <w:r w:rsidRPr="004C4817">
        <w:t>ческих данных, в области содержания и выполнения программ. Государства должны принимать меры для предупреждения принятия дискриминационных дисциплинарных мер. В частности, решения, касающиеся содержания тран</w:t>
      </w:r>
      <w:r w:rsidRPr="004C4817">
        <w:t>с</w:t>
      </w:r>
      <w:r w:rsidRPr="004C4817">
        <w:t>гендеров, должны приниматься в индивидуальном порядке, с должным учетом их мнений относительно их безопасности и, насколько это возможно, с их и</w:t>
      </w:r>
      <w:r w:rsidRPr="004C4817">
        <w:t>н</w:t>
      </w:r>
      <w:r w:rsidRPr="004C4817">
        <w:t>формированного согласия. Специфика потребностей трансгендеров делает уч</w:t>
      </w:r>
      <w:r w:rsidRPr="004C4817">
        <w:t>а</w:t>
      </w:r>
      <w:r w:rsidRPr="004C4817">
        <w:t>стие активистов и экспертов из числа транссексуалов особенно желательным.</w:t>
      </w:r>
    </w:p>
    <w:p w:rsidR="004C4817" w:rsidRPr="004C4817" w:rsidRDefault="004C4817" w:rsidP="004C4817">
      <w:pPr>
        <w:pStyle w:val="SingleTxtGR"/>
      </w:pPr>
      <w:r w:rsidRPr="004C4817">
        <w:rPr>
          <w:bCs/>
        </w:rPr>
        <w:t>77.</w:t>
      </w:r>
      <w:r w:rsidRPr="004C4817">
        <w:rPr>
          <w:bCs/>
        </w:rPr>
        <w:tab/>
      </w:r>
      <w:r w:rsidRPr="004C4817">
        <w:t xml:space="preserve">Как и в случае других групп, общин и слоев населения, находящихся в уязвимом положении, крайне необходимо, чтобы государства принимали меры для выявления и надлежащего решения конкретных медицинских потребностей лесбиянок, </w:t>
      </w:r>
      <w:proofErr w:type="spellStart"/>
      <w:r w:rsidRPr="004C4817">
        <w:t>геев</w:t>
      </w:r>
      <w:proofErr w:type="spellEnd"/>
      <w:r w:rsidRPr="004C4817">
        <w:t xml:space="preserve">, бисексуалов, транссексуалов и интерсексуалов. Такие меры включают в себя учет весьма конкретных потребностей </w:t>
      </w:r>
      <w:proofErr w:type="spellStart"/>
      <w:r w:rsidRPr="004C4817">
        <w:t>трансгендерных</w:t>
      </w:r>
      <w:proofErr w:type="spellEnd"/>
      <w:r w:rsidRPr="004C4817">
        <w:t xml:space="preserve"> лиц, </w:t>
      </w:r>
      <w:r w:rsidR="00577C05">
        <w:br/>
      </w:r>
      <w:r w:rsidRPr="004C4817">
        <w:t>в том числе гормональное и прочее лечение, связанное с гендерным переходом.</w:t>
      </w:r>
    </w:p>
    <w:p w:rsidR="004C4817" w:rsidRPr="004C4817" w:rsidRDefault="004C4817" w:rsidP="00CE423D">
      <w:pPr>
        <w:pStyle w:val="SingleTxtGR"/>
        <w:keepNext/>
        <w:keepLines/>
      </w:pPr>
      <w:r w:rsidRPr="004C4817">
        <w:rPr>
          <w:bCs/>
        </w:rPr>
        <w:t>78.</w:t>
      </w:r>
      <w:r w:rsidRPr="004C4817">
        <w:rPr>
          <w:bCs/>
        </w:rPr>
        <w:tab/>
      </w:r>
      <w:r w:rsidRPr="004C4817">
        <w:t>Одиночное заключение, изоляция и административная сегрегация не я</w:t>
      </w:r>
      <w:r w:rsidRPr="004C4817">
        <w:t>в</w:t>
      </w:r>
      <w:r w:rsidRPr="004C4817">
        <w:t xml:space="preserve">ляются соответствующими методами управления безопасностью лиц, в том числе </w:t>
      </w:r>
      <w:proofErr w:type="spellStart"/>
      <w:r w:rsidRPr="004C4817">
        <w:t>геев</w:t>
      </w:r>
      <w:proofErr w:type="spellEnd"/>
      <w:r w:rsidRPr="004C4817">
        <w:t>, бисексуалов, лесбиянок, транссексуалов и интерсексуалов, и могут быть оправданы только в тех случаях, если они применяются в качестве кра</w:t>
      </w:r>
      <w:r w:rsidRPr="004C4817">
        <w:t>й</w:t>
      </w:r>
      <w:r w:rsidRPr="004C4817">
        <w:t>ней меры, при исключительных обстоятельствах, на кратчайший по возможн</w:t>
      </w:r>
      <w:r w:rsidRPr="004C4817">
        <w:t>о</w:t>
      </w:r>
      <w:r w:rsidRPr="004C4817">
        <w:t>сти срок и с надлежащими процессуальными гарантиями.</w:t>
      </w:r>
    </w:p>
    <w:p w:rsidR="004C4817" w:rsidRPr="004C4817" w:rsidRDefault="004C4817" w:rsidP="004C4817">
      <w:pPr>
        <w:pStyle w:val="SingleTxtGR"/>
      </w:pPr>
      <w:r w:rsidRPr="004C4817">
        <w:rPr>
          <w:bCs/>
        </w:rPr>
        <w:t>79.</w:t>
      </w:r>
      <w:r w:rsidRPr="004C4817">
        <w:rPr>
          <w:bCs/>
        </w:rPr>
        <w:tab/>
      </w:r>
      <w:r w:rsidRPr="004C4817">
        <w:t>Подкомитет вынес государствам-участникам рекомендации относительно обеспечения подготовки и повышения уровня информированности в области международных стандартов прав человека и принципов равенства и недискр</w:t>
      </w:r>
      <w:r w:rsidRPr="004C4817">
        <w:t>и</w:t>
      </w:r>
      <w:r w:rsidRPr="004C4817">
        <w:t>минации, в том числе по вопросам сексуальной ориентации и гендерной иде</w:t>
      </w:r>
      <w:r w:rsidRPr="004C4817">
        <w:t>н</w:t>
      </w:r>
      <w:r w:rsidRPr="004C4817">
        <w:t>тичности. Эти меры должны предназначаться для сотрудников пенитенциарных учреждений, работников правоохранительных органов, прокуроров, судей и других соответствующих государственных должностных лиц и должны вкл</w:t>
      </w:r>
      <w:r w:rsidRPr="004C4817">
        <w:t>ю</w:t>
      </w:r>
      <w:r w:rsidRPr="004C4817">
        <w:t>чать в себя обучение эффективному и профессиональному общению с соде</w:t>
      </w:r>
      <w:r w:rsidRPr="004C4817">
        <w:t>р</w:t>
      </w:r>
      <w:r w:rsidRPr="004C4817">
        <w:t xml:space="preserve">жащимися под стражей лесбиянками, </w:t>
      </w:r>
      <w:proofErr w:type="spellStart"/>
      <w:r w:rsidRPr="004C4817">
        <w:t>геями</w:t>
      </w:r>
      <w:proofErr w:type="spellEnd"/>
      <w:r w:rsidRPr="004C4817">
        <w:t>, бисексуалами, транссексуалами и интерсексуалами, а также выявлению их законных потребностей и реагиров</w:t>
      </w:r>
      <w:r w:rsidRPr="004C4817">
        <w:t>а</w:t>
      </w:r>
      <w:r w:rsidRPr="004C4817">
        <w:t>нию на них.</w:t>
      </w:r>
    </w:p>
    <w:p w:rsidR="004C4817" w:rsidRPr="004C4817" w:rsidRDefault="004C4817" w:rsidP="004C4817">
      <w:pPr>
        <w:pStyle w:val="SingleTxtGR"/>
      </w:pPr>
      <w:r w:rsidRPr="004C4817">
        <w:rPr>
          <w:bCs/>
        </w:rPr>
        <w:t>80.</w:t>
      </w:r>
      <w:r w:rsidRPr="004C4817">
        <w:rPr>
          <w:bCs/>
        </w:rPr>
        <w:tab/>
      </w:r>
      <w:r w:rsidRPr="004C4817">
        <w:t>При любой форме задержания мигрантов, беженцев и лиц, ищущих уб</w:t>
      </w:r>
      <w:r w:rsidRPr="004C4817">
        <w:t>е</w:t>
      </w:r>
      <w:r w:rsidRPr="004C4817">
        <w:t xml:space="preserve">жище, из числа лесбиянок, </w:t>
      </w:r>
      <w:proofErr w:type="spellStart"/>
      <w:r w:rsidRPr="004C4817">
        <w:t>геев</w:t>
      </w:r>
      <w:proofErr w:type="spellEnd"/>
      <w:r w:rsidRPr="004C4817">
        <w:t>, бисексуалов, транссексуалов и интерсексуалов власти не должны допускать, чтобы они подвергались риску применения ж</w:t>
      </w:r>
      <w:r w:rsidRPr="004C4817">
        <w:t>е</w:t>
      </w:r>
      <w:r w:rsidRPr="004C4817">
        <w:t>стокого обращения и пыток, и должны учитывать их медицинские потребности. Если не может быть гарантирована безопасность человека при его помещении под стражу, должны рассматриваться альтернативные решения. Государства должны располагать механизмами, позволяющими рассмотреть способы пр</w:t>
      </w:r>
      <w:r w:rsidRPr="004C4817">
        <w:t>и</w:t>
      </w:r>
      <w:r w:rsidRPr="004C4817">
        <w:t xml:space="preserve">способления некоторых существующих льгот, таких как длительные свидания, к нуждам </w:t>
      </w:r>
      <w:proofErr w:type="spellStart"/>
      <w:r w:rsidRPr="004C4817">
        <w:t>геев</w:t>
      </w:r>
      <w:proofErr w:type="spellEnd"/>
      <w:r w:rsidRPr="004C4817">
        <w:t>, бисексуалов, лесбиянок, транссексуалов и интерсексуалов.</w:t>
      </w:r>
    </w:p>
    <w:p w:rsidR="004C4817" w:rsidRPr="004C4817" w:rsidRDefault="004C4817" w:rsidP="004C4817">
      <w:pPr>
        <w:pStyle w:val="SingleTxtGR"/>
      </w:pPr>
      <w:r w:rsidRPr="004C4817">
        <w:rPr>
          <w:bCs/>
        </w:rPr>
        <w:t>81.</w:t>
      </w:r>
      <w:r w:rsidRPr="004C4817">
        <w:rPr>
          <w:bCs/>
        </w:rPr>
        <w:tab/>
      </w:r>
      <w:r w:rsidRPr="004C4817">
        <w:t>Государства должны запретить так называемую «конверсионную тер</w:t>
      </w:r>
      <w:r w:rsidRPr="004C4817">
        <w:t>а</w:t>
      </w:r>
      <w:r w:rsidRPr="004C4817">
        <w:t>пию», недобровольное лечение, принудительную стерилизацию и принудител</w:t>
      </w:r>
      <w:r w:rsidRPr="004C4817">
        <w:t>ь</w:t>
      </w:r>
      <w:r w:rsidRPr="004C4817">
        <w:t>ные генитальные и анальные обследования; они должны также обеспечить, чтобы любое медицинское или психологическое лечение или консультирование не трактовало, явно или неявно, сексуальную ориентацию и гендерную иде</w:t>
      </w:r>
      <w:r w:rsidRPr="004C4817">
        <w:t>н</w:t>
      </w:r>
      <w:r w:rsidRPr="004C4817">
        <w:t>тичность как патологию, которую надлежит подвергнуть воздействию, выл</w:t>
      </w:r>
      <w:r w:rsidRPr="004C4817">
        <w:t>е</w:t>
      </w:r>
      <w:r w:rsidRPr="004C4817">
        <w:t>чить или подавить. В частности, предупреждение пагубной медицинской пра</w:t>
      </w:r>
      <w:r w:rsidRPr="004C4817">
        <w:t>к</w:t>
      </w:r>
      <w:r w:rsidRPr="004C4817">
        <w:t>тики должно распространяться на защиту детей-интерсексуалов и необходимо запретить процедуры, не продиктованные медицинской необходимостью.</w:t>
      </w:r>
    </w:p>
    <w:p w:rsidR="004C4817" w:rsidRPr="004C4817" w:rsidRDefault="004C4817" w:rsidP="004C4817">
      <w:pPr>
        <w:pStyle w:val="SingleTxtGR"/>
      </w:pPr>
      <w:r w:rsidRPr="004C4817">
        <w:rPr>
          <w:bCs/>
        </w:rPr>
        <w:t>82.</w:t>
      </w:r>
      <w:r w:rsidRPr="004C4817">
        <w:rPr>
          <w:bCs/>
        </w:rPr>
        <w:tab/>
      </w:r>
      <w:r w:rsidRPr="004C4817">
        <w:t>Эта работа должна сопровождаться масштабными кампаниями, напра</w:t>
      </w:r>
      <w:r w:rsidRPr="004C4817">
        <w:t>в</w:t>
      </w:r>
      <w:r w:rsidRPr="004C4817">
        <w:t>ленными на повышение осведомленности граждан по вопросам предупрежд</w:t>
      </w:r>
      <w:r w:rsidRPr="004C4817">
        <w:t>е</w:t>
      </w:r>
      <w:r w:rsidRPr="004C4817">
        <w:t>ния применения пыток и других жестоких, бесчеловечных или унижающих д</w:t>
      </w:r>
      <w:r w:rsidRPr="004C4817">
        <w:t>о</w:t>
      </w:r>
      <w:r w:rsidRPr="004C4817">
        <w:t xml:space="preserve">стоинство видов обращения и наказания в отношении лесбиянок, </w:t>
      </w:r>
      <w:proofErr w:type="spellStart"/>
      <w:r w:rsidRPr="004C4817">
        <w:t>геев</w:t>
      </w:r>
      <w:proofErr w:type="spellEnd"/>
      <w:r w:rsidRPr="004C4817">
        <w:t>, бисекс</w:t>
      </w:r>
      <w:r w:rsidRPr="004C4817">
        <w:t>у</w:t>
      </w:r>
      <w:r w:rsidRPr="004C4817">
        <w:t>алов, транссексуалов и интерсексуалов, и кампаниями по информированию населения о том, как и где можно предъявить иски компетентным органам.</w:t>
      </w:r>
    </w:p>
    <w:p w:rsidR="004C4817" w:rsidRPr="004C4817" w:rsidRDefault="004C4817" w:rsidP="00520D9D">
      <w:pPr>
        <w:pStyle w:val="HChGR"/>
      </w:pPr>
      <w:r w:rsidRPr="004C4817">
        <w:tab/>
        <w:t>VI.</w:t>
      </w:r>
      <w:r w:rsidRPr="004C4817">
        <w:tab/>
        <w:t>Перспективы на будущее</w:t>
      </w:r>
    </w:p>
    <w:p w:rsidR="004C4817" w:rsidRPr="004C4817" w:rsidRDefault="004C4817" w:rsidP="004C4817">
      <w:pPr>
        <w:pStyle w:val="SingleTxtGR"/>
      </w:pPr>
      <w:r w:rsidRPr="004C4817">
        <w:rPr>
          <w:bCs/>
        </w:rPr>
        <w:t>83.</w:t>
      </w:r>
      <w:r w:rsidRPr="004C4817">
        <w:rPr>
          <w:bCs/>
        </w:rPr>
        <w:tab/>
      </w:r>
      <w:r w:rsidRPr="004C4817">
        <w:t>В 2015 году Подкомитет продолжил усовершенствование и пересмотр своих методов работы и рабочей практики с целью повысить эффективность осуществления своего мандата и информационно-пропагандистской деятельн</w:t>
      </w:r>
      <w:r w:rsidRPr="004C4817">
        <w:t>о</w:t>
      </w:r>
      <w:r w:rsidRPr="004C4817">
        <w:t>сти. Внесенные на настоящий момент изменения внушают оптимизм, поскольку они позволили не только расширить возможности Подкомитета для сотруднич</w:t>
      </w:r>
      <w:r w:rsidRPr="004C4817">
        <w:t>е</w:t>
      </w:r>
      <w:r w:rsidRPr="004C4817">
        <w:t>ства с государствами-участниками, национальными превентивными механи</w:t>
      </w:r>
      <w:r w:rsidRPr="004C4817">
        <w:t>з</w:t>
      </w:r>
      <w:r w:rsidRPr="004C4817">
        <w:t>мами и другими заинтересованными сторонами, но и повысить оперативность реагирования Подкомитета, придав дополнительную динамику его деятельн</w:t>
      </w:r>
      <w:r w:rsidRPr="004C4817">
        <w:t>о</w:t>
      </w:r>
      <w:r w:rsidRPr="004C4817">
        <w:t>сти.</w:t>
      </w:r>
    </w:p>
    <w:p w:rsidR="004C4817" w:rsidRPr="004C4817" w:rsidRDefault="004C4817" w:rsidP="004C4817">
      <w:pPr>
        <w:pStyle w:val="SingleTxtGR"/>
      </w:pPr>
      <w:r w:rsidRPr="004C4817">
        <w:rPr>
          <w:bCs/>
        </w:rPr>
        <w:t>84.</w:t>
      </w:r>
      <w:r w:rsidRPr="004C4817">
        <w:rPr>
          <w:bCs/>
        </w:rPr>
        <w:tab/>
      </w:r>
      <w:r w:rsidRPr="004C4817">
        <w:t xml:space="preserve">Подкомитетом был принят довольно амбициозный план посещений. </w:t>
      </w:r>
      <w:r w:rsidR="008D371B">
        <w:rPr>
          <w:lang w:val="en-US"/>
        </w:rPr>
        <w:br/>
      </w:r>
      <w:r w:rsidRPr="004C4817">
        <w:t>Однако это было необходимо сделать ввиду увеличения числа государств </w:t>
      </w:r>
      <w:r w:rsidR="007437E5">
        <w:t>–</w:t>
      </w:r>
      <w:r w:rsidRPr="004C4817">
        <w:t xml:space="preserve"> участников Факультативного протокола, а также для обеспечения того, чтобы богатый опыт членов Подкомитета эффективно использовался путем участия в де</w:t>
      </w:r>
      <w:r w:rsidRPr="004C4817">
        <w:t>я</w:t>
      </w:r>
      <w:r w:rsidRPr="004C4817">
        <w:t>тельности на местах.</w:t>
      </w:r>
    </w:p>
    <w:p w:rsidR="004C4817" w:rsidRPr="004C4817" w:rsidRDefault="004C4817" w:rsidP="004C4817">
      <w:pPr>
        <w:pStyle w:val="SingleTxtGR"/>
      </w:pPr>
      <w:r w:rsidRPr="004C4817">
        <w:rPr>
          <w:bCs/>
        </w:rPr>
        <w:t>85.</w:t>
      </w:r>
      <w:r w:rsidRPr="004C4817">
        <w:rPr>
          <w:bCs/>
        </w:rPr>
        <w:tab/>
      </w:r>
      <w:r w:rsidRPr="004C4817">
        <w:t>Ежегодно объем работы Подкомитета существенно возрастает после с</w:t>
      </w:r>
      <w:r w:rsidRPr="004C4817">
        <w:t>о</w:t>
      </w:r>
      <w:r w:rsidRPr="004C4817">
        <w:t>здания каждого нового национального превентивного механизма и проведения каждого нового посещения. Каждый раз такие события инициируют отдельную и параллельную серию взаимодействий и диалогов, которые дополняют уже существующие контакты и проводятся наряду с ними. Таким образом, объем работы Подкомитета экспоненциально возрастает каждый год, но уровень ф</w:t>
      </w:r>
      <w:r w:rsidRPr="004C4817">
        <w:t>и</w:t>
      </w:r>
      <w:r w:rsidRPr="004C4817">
        <w:t>нансовой поддержки основной деятельности Подкомитета не увеличивается с</w:t>
      </w:r>
      <w:r w:rsidRPr="004C4817">
        <w:t>о</w:t>
      </w:r>
      <w:r w:rsidRPr="004C4817">
        <w:t>размерно его рабочей нагрузке. Подкомитет разочарован результатами процесса укрепления системы договорных органов. В частности, Подкомитет надеялся, что адресованная УВКПЧ в резолюции 68/268 Генеральной Ассамблеи просьба оказывать консультационные услуги и техническую помощь и обеспечивать укрепление потенциала государств-участников позволит Подкомитету пред</w:t>
      </w:r>
      <w:r w:rsidRPr="004C4817">
        <w:t>о</w:t>
      </w:r>
      <w:r w:rsidRPr="004C4817">
        <w:t>ставлять государствам-участникам консультативную и техническую помощь в создании национальных превентивных механизмов, так как он уполномочен д</w:t>
      </w:r>
      <w:r w:rsidRPr="004C4817">
        <w:t>е</w:t>
      </w:r>
      <w:r w:rsidRPr="004C4817">
        <w:t>лать это в соответствии со статьей 11 Факультативного протокола, и консульт</w:t>
      </w:r>
      <w:r w:rsidRPr="004C4817">
        <w:t>а</w:t>
      </w:r>
      <w:r w:rsidRPr="004C4817">
        <w:t>тивную помощь в отношении технических аспектов выполнения его рекоме</w:t>
      </w:r>
      <w:r w:rsidRPr="004C4817">
        <w:t>н</w:t>
      </w:r>
      <w:r w:rsidRPr="004C4817">
        <w:t>даций в контексте диало</w:t>
      </w:r>
      <w:r w:rsidR="00CB7292">
        <w:t>га, проводимого после посещений</w:t>
      </w:r>
      <w:r w:rsidRPr="00CB7292">
        <w:rPr>
          <w:sz w:val="18"/>
          <w:szCs w:val="18"/>
          <w:vertAlign w:val="superscript"/>
        </w:rPr>
        <w:footnoteReference w:id="23"/>
      </w:r>
      <w:r w:rsidRPr="004C4817">
        <w:t>. Подкомитет сож</w:t>
      </w:r>
      <w:r w:rsidRPr="004C4817">
        <w:t>а</w:t>
      </w:r>
      <w:r w:rsidRPr="004C4817">
        <w:t>леет, что этого не произошло. В результате он вынужден посвящать таким в</w:t>
      </w:r>
      <w:r w:rsidRPr="004C4817">
        <w:t>о</w:t>
      </w:r>
      <w:r w:rsidRPr="004C4817">
        <w:t>просам больше времени на своих пленарных сессиях, стремясь решать пробл</w:t>
      </w:r>
      <w:r w:rsidRPr="004C4817">
        <w:t>е</w:t>
      </w:r>
      <w:r w:rsidRPr="004C4817">
        <w:t>мы, связанные с такой недостаточной поддержкой деятельности, проводимой в странах, с помощью видеоконференций при наличии соответствующей возмо</w:t>
      </w:r>
      <w:r w:rsidRPr="004C4817">
        <w:t>ж</w:t>
      </w:r>
      <w:r w:rsidRPr="004C4817">
        <w:t>ности. Учитывая, что Подкомитет вынужден посвящать такой деятельности больше сессионного времени, ему необходимо добиваться увеличения своего графика совещаний для проведения этой дополнительной работы. Хотя он с</w:t>
      </w:r>
      <w:r w:rsidRPr="004C4817">
        <w:t>о</w:t>
      </w:r>
      <w:r w:rsidRPr="004C4817">
        <w:t>средоточится, скорее, на дополнительном взаимодействии в странах, учитывая явное отсутствие поддержки такой деятельности, Подкомитет решил, что ему необходимо запросить дополнительное время для проведения заседаний. По</w:t>
      </w:r>
      <w:r w:rsidRPr="004C4817">
        <w:t>д</w:t>
      </w:r>
      <w:r w:rsidRPr="004C4817">
        <w:t>комитет полон решимости делать все необходимое для обеспечения максимал</w:t>
      </w:r>
      <w:r w:rsidRPr="004C4817">
        <w:t>ь</w:t>
      </w:r>
      <w:r w:rsidRPr="004C4817">
        <w:t>но возможной эффективности своей работы и будет по-прежнему стараться преодолеть трудности, с которыми он сталкивается. Подкомитет по-прежнему благодарен сотрудникам своего секретариата за их неизменную помощь и по</w:t>
      </w:r>
      <w:r w:rsidRPr="004C4817">
        <w:t>д</w:t>
      </w:r>
      <w:r w:rsidRPr="004C4817">
        <w:t>держку.</w:t>
      </w:r>
    </w:p>
    <w:p w:rsidR="004C4817" w:rsidRPr="004C4817" w:rsidRDefault="004C4817" w:rsidP="00520D9D">
      <w:pPr>
        <w:pStyle w:val="H1GR"/>
      </w:pPr>
      <w:r w:rsidRPr="004C4817">
        <w:tab/>
        <w:t>A.</w:t>
      </w:r>
      <w:r w:rsidRPr="004C4817">
        <w:tab/>
        <w:t xml:space="preserve">План будущей работы </w:t>
      </w:r>
    </w:p>
    <w:p w:rsidR="004C4817" w:rsidRPr="004C4817" w:rsidRDefault="004C4817" w:rsidP="00CE423D">
      <w:pPr>
        <w:pStyle w:val="SingleTxtGR"/>
        <w:keepNext/>
        <w:keepLines/>
      </w:pPr>
      <w:r w:rsidRPr="004C4817">
        <w:rPr>
          <w:bCs/>
        </w:rPr>
        <w:t>86.</w:t>
      </w:r>
      <w:r w:rsidRPr="004C4817">
        <w:rPr>
          <w:bCs/>
        </w:rPr>
        <w:tab/>
      </w:r>
      <w:r w:rsidRPr="004C4817">
        <w:t>Несмотря на эти проблемы, Подкомитет скорректировал свои методы р</w:t>
      </w:r>
      <w:r w:rsidRPr="004C4817">
        <w:t>а</w:t>
      </w:r>
      <w:r w:rsidRPr="004C4817">
        <w:t>боты для выполнения своих самых амбициозных программ посещений, сущ</w:t>
      </w:r>
      <w:r w:rsidRPr="004C4817">
        <w:t>е</w:t>
      </w:r>
      <w:r w:rsidRPr="004C4817">
        <w:t xml:space="preserve">ствующих на сегодняшний день. Со времени, прошедшего после принятия его предыдущего ежегодного доклада, он решил посетить следующие страны: </w:t>
      </w:r>
      <w:r w:rsidR="008D371B" w:rsidRPr="008D371B">
        <w:br/>
      </w:r>
      <w:r w:rsidRPr="004C4817">
        <w:t>Казахстан, Кипр, Мавританию, Мексику, Мозамбик, Нигер, Румынию, Тунис, Украину и Чили, в дополнение к посещению Бенина, отложенного в 2015 году. Подкомитет сохраняет за собой право пересмотреть свою программу, если это окажется необходимым по оперативным или другим причинам.</w:t>
      </w:r>
    </w:p>
    <w:p w:rsidR="004C4817" w:rsidRPr="004C4817" w:rsidRDefault="004C4817" w:rsidP="004C4817">
      <w:pPr>
        <w:pStyle w:val="SingleTxtGR"/>
      </w:pPr>
      <w:r w:rsidRPr="004C4817">
        <w:rPr>
          <w:bCs/>
        </w:rPr>
        <w:t>87.</w:t>
      </w:r>
      <w:r w:rsidRPr="004C4817">
        <w:rPr>
          <w:bCs/>
        </w:rPr>
        <w:tab/>
      </w:r>
      <w:r w:rsidRPr="004C4817">
        <w:t>При определении стран для посещения Подкомитет по-прежнему рук</w:t>
      </w:r>
      <w:r w:rsidRPr="004C4817">
        <w:t>о</w:t>
      </w:r>
      <w:r w:rsidRPr="004C4817">
        <w:t>водствуется принципом обоснованного выбора, рассматривая такие факторы, как оптимальное использование информации, полученной от региональных групп, наиболее эффективное использование имеющихся финансовых и кадр</w:t>
      </w:r>
      <w:r w:rsidRPr="004C4817">
        <w:t>о</w:t>
      </w:r>
      <w:r w:rsidRPr="004C4817">
        <w:t>вых ресурсов и обеспечение с течением времени должного участия всех гос</w:t>
      </w:r>
      <w:r w:rsidRPr="004C4817">
        <w:t>у</w:t>
      </w:r>
      <w:r w:rsidRPr="004C4817">
        <w:t>дарств-участников. Кроме того, Подкомитет уделяет пристальное внимание д</w:t>
      </w:r>
      <w:r w:rsidRPr="004C4817">
        <w:t>а</w:t>
      </w:r>
      <w:r w:rsidRPr="004C4817">
        <w:t>те ратификации Факультативного протокола, формированию национальных превентивных механизмов, географическому положению, размерам и устро</w:t>
      </w:r>
      <w:r w:rsidRPr="004C4817">
        <w:t>й</w:t>
      </w:r>
      <w:r w:rsidRPr="004C4817">
        <w:t xml:space="preserve">ству государства, превентивному надзору на региональном уровне и любым конкретным или безотлагательным вопросам, которые могут иметь значение для его процесса принятия решений. </w:t>
      </w:r>
    </w:p>
    <w:p w:rsidR="004C4817" w:rsidRPr="004C4817" w:rsidRDefault="004C4817" w:rsidP="00520D9D">
      <w:pPr>
        <w:pStyle w:val="H1GR"/>
      </w:pPr>
      <w:r w:rsidRPr="004C4817">
        <w:tab/>
        <w:t>B.</w:t>
      </w:r>
      <w:r w:rsidRPr="004C4817">
        <w:tab/>
        <w:t>Ежегодные доклады</w:t>
      </w:r>
    </w:p>
    <w:p w:rsidR="004C4817" w:rsidRPr="004C4817" w:rsidRDefault="004C4817" w:rsidP="004C4817">
      <w:pPr>
        <w:pStyle w:val="SingleTxtGR"/>
      </w:pPr>
      <w:r w:rsidRPr="004C4817">
        <w:rPr>
          <w:bCs/>
        </w:rPr>
        <w:t>88.</w:t>
      </w:r>
      <w:r w:rsidRPr="004C4817">
        <w:rPr>
          <w:bCs/>
        </w:rPr>
        <w:tab/>
      </w:r>
      <w:r w:rsidRPr="004C4817">
        <w:t>В последние годы Подкомитет использовал свой ежегодный доклад как средство, позволяющее проанализировать его работу и сделать достоянием о</w:t>
      </w:r>
      <w:r w:rsidRPr="004C4817">
        <w:t>б</w:t>
      </w:r>
      <w:r w:rsidRPr="004C4817">
        <w:t>щественности его размышления по различным вопросам существа. Изменения правил, касающихся публикации документации, означают, что ежегодный д</w:t>
      </w:r>
      <w:r w:rsidRPr="004C4817">
        <w:t>о</w:t>
      </w:r>
      <w:r w:rsidRPr="004C4817">
        <w:t>клад становится менее полезным как средство привлечения общественного внимания к важным вопросам и более полезными в качестве хранилища факт</w:t>
      </w:r>
      <w:r w:rsidRPr="004C4817">
        <w:t>и</w:t>
      </w:r>
      <w:r w:rsidRPr="004C4817">
        <w:t>ческого материала. Поэтому Подкомитет пересмотрит формат и содержание своих будущих ежегодных докладов. Вполне вероятно, что настоящий доклад станет последним докладом, отражающим используемый в настоящее время подход.</w:t>
      </w:r>
    </w:p>
    <w:p w:rsidR="004C4817" w:rsidRPr="004C4817" w:rsidRDefault="004C4817" w:rsidP="00520D9D">
      <w:pPr>
        <w:pStyle w:val="HChGR"/>
      </w:pPr>
      <w:r w:rsidRPr="004C4817">
        <w:rPr>
          <w:u w:val="single"/>
        </w:rPr>
        <w:br w:type="page"/>
      </w:r>
      <w:r w:rsidRPr="004C4817">
        <w:t>Приложение</w:t>
      </w:r>
    </w:p>
    <w:p w:rsidR="004C4817" w:rsidRPr="004C4817" w:rsidRDefault="004C4817" w:rsidP="00520D9D">
      <w:pPr>
        <w:pStyle w:val="HChGR"/>
      </w:pPr>
      <w:r w:rsidRPr="004C4817">
        <w:tab/>
      </w:r>
      <w:r w:rsidRPr="004C4817">
        <w:tab/>
        <w:t>Подборка рекомендаций, вынесенных Подкомитетом в ответ на просьбы национальных превентивных механизмов</w:t>
      </w:r>
    </w:p>
    <w:p w:rsidR="004C4817" w:rsidRPr="004C4817" w:rsidRDefault="004C4817" w:rsidP="00520D9D">
      <w:pPr>
        <w:pStyle w:val="H1GR"/>
      </w:pPr>
      <w:r w:rsidRPr="004C4817">
        <w:tab/>
        <w:t>I.</w:t>
      </w:r>
      <w:r w:rsidRPr="004C4817">
        <w:tab/>
        <w:t>Сфера применения статьи 4 Факультативного протокола</w:t>
      </w:r>
    </w:p>
    <w:p w:rsidR="004C4817" w:rsidRPr="004C4817" w:rsidRDefault="004C4817" w:rsidP="004C4817">
      <w:pPr>
        <w:pStyle w:val="SingleTxtGR"/>
      </w:pPr>
      <w:r w:rsidRPr="004C4817">
        <w:t>1.</w:t>
      </w:r>
      <w:r w:rsidRPr="004C4817">
        <w:tab/>
        <w:t>В статье 4 содержатся два пункта, которые должны рассматриваться вм</w:t>
      </w:r>
      <w:r w:rsidRPr="004C4817">
        <w:t>е</w:t>
      </w:r>
      <w:r w:rsidRPr="004C4817">
        <w:t>сте и которые относят к сфере применения Факультативного протокола любое государственное или частное место содержания под стражей, находящееся под юрисдикцией и контролем государства-участника, в котором лица могут быть лишены свободы и которое они не имеют права покидать либо по распоряж</w:t>
      </w:r>
      <w:r w:rsidRPr="004C4817">
        <w:t>е</w:t>
      </w:r>
      <w:r w:rsidRPr="004C4817">
        <w:t>нию любого судебного, административного или иного органа, либо по его ин</w:t>
      </w:r>
      <w:r w:rsidRPr="004C4817">
        <w:t>и</w:t>
      </w:r>
      <w:r w:rsidRPr="004C4817">
        <w:t>циативе, с его одобрения или согласия.</w:t>
      </w:r>
    </w:p>
    <w:p w:rsidR="004C4817" w:rsidRPr="004C4817" w:rsidRDefault="004C4817" w:rsidP="004C4817">
      <w:pPr>
        <w:pStyle w:val="SingleTxtGR"/>
      </w:pPr>
      <w:r w:rsidRPr="004C4817">
        <w:t>2.</w:t>
      </w:r>
      <w:r w:rsidRPr="004C4817">
        <w:tab/>
        <w:t>Превентивный подход, лежащий в основе Факультативного протокола, означает, что толкование должно носить как можно более широкий характер для максимального усиления превентивного воздействия работы национального превентивного механизма.</w:t>
      </w:r>
    </w:p>
    <w:p w:rsidR="004C4817" w:rsidRPr="004C4817" w:rsidRDefault="004C4817" w:rsidP="004C4817">
      <w:pPr>
        <w:pStyle w:val="SingleTxtGR"/>
      </w:pPr>
      <w:r w:rsidRPr="004C4817">
        <w:t>3.</w:t>
      </w:r>
      <w:r w:rsidRPr="004C4817">
        <w:tab/>
        <w:t>Поэтому Подкомитет считает, что любое место, в котором лица лишены свободы, в том смысле, что они не могут его покидать по своей воле, или в к</w:t>
      </w:r>
      <w:r w:rsidRPr="004C4817">
        <w:t>о</w:t>
      </w:r>
      <w:r w:rsidRPr="004C4817">
        <w:t>тором, как считает Подкомитет, лица могут быть лишены свободы, должно по</w:t>
      </w:r>
      <w:r w:rsidRPr="004C4817">
        <w:t>д</w:t>
      </w:r>
      <w:r w:rsidRPr="004C4817">
        <w:t>падать под сферу применения Факультативного протокола, если лишение св</w:t>
      </w:r>
      <w:r w:rsidRPr="004C4817">
        <w:t>о</w:t>
      </w:r>
      <w:r w:rsidRPr="004C4817">
        <w:t>боды относится к ситуации, при которой государство либо осуществляет, либо может предположительно осуществлять функцию регулирования. Во всех сит</w:t>
      </w:r>
      <w:r w:rsidRPr="004C4817">
        <w:t>у</w:t>
      </w:r>
      <w:r w:rsidRPr="004C4817">
        <w:t>ациях национальному превентивному механизму следует также учитывать принцип соразмерности при определении своих приоритетов и основного направления своей работы.</w:t>
      </w:r>
    </w:p>
    <w:p w:rsidR="004C4817" w:rsidRPr="004C4817" w:rsidRDefault="004C4817" w:rsidP="00520D9D">
      <w:pPr>
        <w:pStyle w:val="H1GR"/>
      </w:pPr>
      <w:r w:rsidRPr="004C4817">
        <w:tab/>
        <w:t>II.</w:t>
      </w:r>
      <w:r w:rsidRPr="004C4817">
        <w:tab/>
        <w:t>Применение принципа конфиденциальности в работе национальных превентивных механизмов</w:t>
      </w:r>
    </w:p>
    <w:p w:rsidR="004C4817" w:rsidRPr="004C4817" w:rsidRDefault="004C4817" w:rsidP="004C4817">
      <w:pPr>
        <w:pStyle w:val="SingleTxtGR"/>
      </w:pPr>
      <w:r w:rsidRPr="004C4817">
        <w:t>4.</w:t>
      </w:r>
      <w:r w:rsidRPr="004C4817">
        <w:tab/>
        <w:t>Национальные превентивные механизмы просили Подкомитет уточнить применение принципа конфиденциальности в контексте обязательств, которые могут быть возложены на них, по раскрытию информации, которую они пол</w:t>
      </w:r>
      <w:r w:rsidRPr="004C4817">
        <w:t>у</w:t>
      </w:r>
      <w:r w:rsidRPr="004C4817">
        <w:t>чают в ходе своей работы.</w:t>
      </w:r>
    </w:p>
    <w:p w:rsidR="004C4817" w:rsidRPr="004C4817" w:rsidRDefault="004C4817" w:rsidP="004C4817">
      <w:pPr>
        <w:pStyle w:val="SingleTxtGR"/>
      </w:pPr>
      <w:r w:rsidRPr="004C4817">
        <w:t>5.</w:t>
      </w:r>
      <w:r w:rsidRPr="004C4817">
        <w:tab/>
        <w:t>Принцип конфиденциальности применительно к работе национальных превентивных механизмов изложен в пункте 2 статьи 21 Факультативного пр</w:t>
      </w:r>
      <w:r w:rsidRPr="004C4817">
        <w:t>о</w:t>
      </w:r>
      <w:r w:rsidRPr="004C4817">
        <w:t>токола, в котором указано, что конфиденциальная информация, собранная национальным превентивным механизмом, не подлежит разглашению и что данные личного характера публикуются только с прямо выраженного согласия соответствующего лица. Подкомитет считает, что обязательство конфиденц</w:t>
      </w:r>
      <w:r w:rsidRPr="004C4817">
        <w:t>и</w:t>
      </w:r>
      <w:r w:rsidRPr="004C4817">
        <w:t>альности в соответствии с Факультативным протоколом следует толковать как можно шире, чтобы отразить дух Конвенции.</w:t>
      </w:r>
    </w:p>
    <w:p w:rsidR="004C4817" w:rsidRPr="004C4817" w:rsidRDefault="004C4817" w:rsidP="00CE423D">
      <w:pPr>
        <w:pStyle w:val="SingleTxtGR"/>
        <w:keepNext/>
        <w:keepLines/>
      </w:pPr>
      <w:r w:rsidRPr="004C4817">
        <w:t>6.</w:t>
      </w:r>
      <w:r w:rsidRPr="004C4817">
        <w:tab/>
        <w:t>Роль национального превентивного механизма заключается в оказании помощи в деле предупреждения пыток. Это не следственный орган, и даже т</w:t>
      </w:r>
      <w:r w:rsidRPr="004C4817">
        <w:t>о</w:t>
      </w:r>
      <w:r w:rsidRPr="004C4817">
        <w:t>гда, когда учреждение, выполняющее функции национального превентивного механизма или назначенное в качестве такового, исполняет функции по пров</w:t>
      </w:r>
      <w:r w:rsidRPr="004C4817">
        <w:t>е</w:t>
      </w:r>
      <w:r w:rsidRPr="004C4817">
        <w:t>дению расследований или обязано представлять доклады, когда оно функци</w:t>
      </w:r>
      <w:r w:rsidRPr="004C4817">
        <w:t>о</w:t>
      </w:r>
      <w:r w:rsidRPr="004C4817">
        <w:t>нирует в качестве национального превентивного механизма в соответствии с Факультативным протоколом, превентивный характер его работы означает, что конфиденциальность не должна нарушаться.</w:t>
      </w:r>
    </w:p>
    <w:p w:rsidR="004C4817" w:rsidRPr="004C4817" w:rsidRDefault="004C4817" w:rsidP="004C4817">
      <w:pPr>
        <w:pStyle w:val="SingleTxtGR"/>
      </w:pPr>
      <w:r w:rsidRPr="004C4817">
        <w:t>7.</w:t>
      </w:r>
      <w:r w:rsidRPr="004C4817">
        <w:tab/>
        <w:t>В соответствии с Факультативным протоколом защита личных данных распространяется на широкий круг лиц, включая, в частности, лиц, лишенных свободы, их семьи, юристов, членов неправительственных организаций и гос</w:t>
      </w:r>
      <w:r w:rsidRPr="004C4817">
        <w:t>у</w:t>
      </w:r>
      <w:r w:rsidRPr="004C4817">
        <w:t>дарственных должностных лиц. Личные данные должны оставаться конфиде</w:t>
      </w:r>
      <w:r w:rsidRPr="004C4817">
        <w:t>н</w:t>
      </w:r>
      <w:r w:rsidRPr="004C4817">
        <w:t>циальными, если только соответствующие лица не дали явно выраженного с</w:t>
      </w:r>
      <w:r w:rsidRPr="004C4817">
        <w:t>о</w:t>
      </w:r>
      <w:r w:rsidRPr="004C4817">
        <w:t>гласия на их раскрытие.</w:t>
      </w:r>
    </w:p>
    <w:p w:rsidR="004C4817" w:rsidRPr="004C4817" w:rsidRDefault="004C4817" w:rsidP="004C4817">
      <w:pPr>
        <w:pStyle w:val="SingleTxtGR"/>
      </w:pPr>
      <w:r w:rsidRPr="004C4817">
        <w:t>8.</w:t>
      </w:r>
      <w:r w:rsidRPr="004C4817">
        <w:tab/>
        <w:t>Если национальному превентивному механизму становится известно о предположительно преступной деятельности, будь то пытки, связанные с ними преступления или другие категории преступлений, о такой деятельности может быть сообщено, но, если на то нет явно выраженного согласия, личные данные, относящиеся к этой деятельности, должны быть защищены. То есть обязател</w:t>
      </w:r>
      <w:r w:rsidRPr="004C4817">
        <w:t>ь</w:t>
      </w:r>
      <w:r w:rsidRPr="004C4817">
        <w:t>ство в отношении конфиденциальности не должно толковаться как нечто, пр</w:t>
      </w:r>
      <w:r w:rsidRPr="004C4817">
        <w:t>е</w:t>
      </w:r>
      <w:r w:rsidRPr="004C4817">
        <w:t>пятствующее распространению информации национальными превентивными механизмами, при том условии, что эта информация не содержит личных да</w:t>
      </w:r>
      <w:r w:rsidRPr="004C4817">
        <w:t>н</w:t>
      </w:r>
      <w:r w:rsidRPr="004C4817">
        <w:t>ных, если только на то не получено явно выраженного согласия соответству</w:t>
      </w:r>
      <w:r w:rsidRPr="004C4817">
        <w:t>ю</w:t>
      </w:r>
      <w:r w:rsidRPr="004C4817">
        <w:t>щего лица. Так, например, в случае сбора информации, касающейся системных вопросов или преступлений, о ее существовании может быть сообщено в общих выражениях. Однако особое внимание необходимо уделить оценке того, может ли обмен информацией о конкретной ситуации или конкретном преступлении неизбежно привести к раскрытию личных данных или к идентификации лица, которое не дало явно выраженного согласия на разглашение его личных да</w:t>
      </w:r>
      <w:r w:rsidRPr="004C4817">
        <w:t>н</w:t>
      </w:r>
      <w:r w:rsidRPr="004C4817">
        <w:t>ных. В таких случаях обязательство в отношении конфиденциальности имеет преимущественную силу.</w:t>
      </w:r>
    </w:p>
    <w:p w:rsidR="004C4817" w:rsidRPr="004C4817" w:rsidRDefault="004C4817" w:rsidP="004C4817">
      <w:pPr>
        <w:pStyle w:val="SingleTxtGR"/>
      </w:pPr>
      <w:r w:rsidRPr="004C4817">
        <w:t>9.</w:t>
      </w:r>
      <w:r w:rsidRPr="004C4817">
        <w:tab/>
        <w:t>По мнению Подкомитета, публикация личных данных приравнивается к обмену такой информацией с третьей стороной.</w:t>
      </w:r>
    </w:p>
    <w:p w:rsidR="004C4817" w:rsidRPr="004C4817" w:rsidRDefault="004C4817" w:rsidP="004C4817">
      <w:pPr>
        <w:pStyle w:val="SingleTxtGR"/>
      </w:pPr>
      <w:r w:rsidRPr="004C4817">
        <w:t>10.</w:t>
      </w:r>
      <w:r w:rsidRPr="004C4817">
        <w:tab/>
        <w:t>Во всех случаях, когда законодательство требует, чтобы национальный превентивный механизм или его должностные лица сообщали о преступлениях или обменивались информацией, принцип конфиденциальности, как он пред</w:t>
      </w:r>
      <w:r w:rsidRPr="004C4817">
        <w:t>у</w:t>
      </w:r>
      <w:r w:rsidRPr="004C4817">
        <w:t>смотрен в Факультативном протоколе и пояснен выше, имеет преимуществе</w:t>
      </w:r>
      <w:r w:rsidRPr="004C4817">
        <w:t>н</w:t>
      </w:r>
      <w:r w:rsidRPr="004C4817">
        <w:t>ную силу.</w:t>
      </w:r>
    </w:p>
    <w:p w:rsidR="004C4817" w:rsidRPr="004C4817" w:rsidRDefault="004C4817" w:rsidP="00520D9D">
      <w:pPr>
        <w:pStyle w:val="H1GR"/>
      </w:pPr>
      <w:r w:rsidRPr="004C4817">
        <w:tab/>
        <w:t>III.</w:t>
      </w:r>
      <w:r w:rsidRPr="004C4817">
        <w:tab/>
        <w:t>Организационные вопросы, касающиеся национальных превентивных механизмов, являющихся частью национального правозащитного учреждения</w:t>
      </w:r>
    </w:p>
    <w:p w:rsidR="004C4817" w:rsidRPr="004C4817" w:rsidRDefault="004C4817" w:rsidP="00520D9D">
      <w:pPr>
        <w:pStyle w:val="H23GR"/>
      </w:pPr>
      <w:r w:rsidRPr="004C4817">
        <w:tab/>
      </w:r>
      <w:r w:rsidRPr="004C4817">
        <w:tab/>
        <w:t>Финансовая независимость национального превентивного механизма по</w:t>
      </w:r>
      <w:r w:rsidR="00CB7292">
        <w:t> </w:t>
      </w:r>
      <w:r w:rsidRPr="004C4817">
        <w:t>отношению к бюджету национального правозащитного учреждения</w:t>
      </w:r>
    </w:p>
    <w:p w:rsidR="004C4817" w:rsidRPr="004C4817" w:rsidRDefault="004C4817" w:rsidP="004C4817">
      <w:pPr>
        <w:pStyle w:val="SingleTxtGR"/>
      </w:pPr>
      <w:r w:rsidRPr="004C4817">
        <w:t>11.</w:t>
      </w:r>
      <w:r w:rsidRPr="004C4817">
        <w:tab/>
        <w:t>В пункте 1 статьи 18 Факультативного протокола безоговорочно призн</w:t>
      </w:r>
      <w:r w:rsidRPr="004C4817">
        <w:t>а</w:t>
      </w:r>
      <w:r w:rsidRPr="004C4817">
        <w:t>ется необходимость выделения государством-участником конкретных ресурсов на деятельность национального превентивного механизма, с тем чтобы гара</w:t>
      </w:r>
      <w:r w:rsidRPr="004C4817">
        <w:t>н</w:t>
      </w:r>
      <w:r w:rsidRPr="004C4817">
        <w:t>тировать функциональную независимость этого механизма (CAT/OP/12/5, пункт</w:t>
      </w:r>
      <w:r w:rsidR="00CB7292">
        <w:t> </w:t>
      </w:r>
      <w:r w:rsidRPr="004C4817">
        <w:t xml:space="preserve">8). В принятых Подкомитетом руководящих принципах, касающихся национальных превентивных механизмов, прямо указано, что механизм должен пользоваться полной финансовой и функциональной самостоятельностью при выполнении своих функций в соответствии с Факультативным протоколом </w:t>
      </w:r>
      <w:r w:rsidR="00CB7292">
        <w:br/>
      </w:r>
      <w:r w:rsidRPr="004C4817">
        <w:t>(там же, пункт 12).</w:t>
      </w:r>
    </w:p>
    <w:p w:rsidR="004C4817" w:rsidRPr="004C4817" w:rsidRDefault="004C4817" w:rsidP="004C4817">
      <w:pPr>
        <w:pStyle w:val="SingleTxtGR"/>
      </w:pPr>
      <w:r w:rsidRPr="004C4817">
        <w:t>12.</w:t>
      </w:r>
      <w:r w:rsidRPr="004C4817">
        <w:tab/>
        <w:t>Это означает, что национальные превентивные механизмы должны быть способны действовать независимо не только от государства, но и от национал</w:t>
      </w:r>
      <w:r w:rsidRPr="004C4817">
        <w:t>ь</w:t>
      </w:r>
      <w:r w:rsidRPr="004C4817">
        <w:t>ного правозащитного учреждения. Для этой цели государство-участник должно обеспечивать конкретное выделение средств национальному превентивному механизму.</w:t>
      </w:r>
    </w:p>
    <w:p w:rsidR="004C4817" w:rsidRPr="004C4817" w:rsidRDefault="004C4817" w:rsidP="004C4817">
      <w:pPr>
        <w:pStyle w:val="SingleTxtGR"/>
      </w:pPr>
      <w:r w:rsidRPr="004C4817">
        <w:t>13.</w:t>
      </w:r>
      <w:r w:rsidRPr="004C4817">
        <w:tab/>
        <w:t>Заявка на бюджетное финансирование национального превентивного м</w:t>
      </w:r>
      <w:r w:rsidRPr="004C4817">
        <w:t>е</w:t>
      </w:r>
      <w:r w:rsidRPr="004C4817">
        <w:t>ханизма должна составляться самим механизмом на основе плана работы мех</w:t>
      </w:r>
      <w:r w:rsidRPr="004C4817">
        <w:t>а</w:t>
      </w:r>
      <w:r w:rsidRPr="004C4817">
        <w:t>низма и представляться государственным органам и/или законодательной вл</w:t>
      </w:r>
      <w:r w:rsidRPr="004C4817">
        <w:t>а</w:t>
      </w:r>
      <w:r w:rsidRPr="004C4817">
        <w:t>сти отдельно от заявки национального правозащитного учреждения. Подком</w:t>
      </w:r>
      <w:r w:rsidRPr="004C4817">
        <w:t>и</w:t>
      </w:r>
      <w:r w:rsidRPr="004C4817">
        <w:t>тет считает, что в случае публичных слушаний в Национальной асса</w:t>
      </w:r>
      <w:r w:rsidRPr="004C4817">
        <w:t>м</w:t>
      </w:r>
      <w:r w:rsidRPr="004C4817">
        <w:t>блее/Конгрессе глава национального превентивного механизма должен пре</w:t>
      </w:r>
      <w:r w:rsidRPr="004C4817">
        <w:t>д</w:t>
      </w:r>
      <w:r w:rsidRPr="004C4817">
        <w:t>ставить проект бюджета и ответить на любые вопросы. После утверждения бюджета принятие решений относительно использования конкретных ресурсов механизма остается прерогативой самого механизма.</w:t>
      </w:r>
    </w:p>
    <w:p w:rsidR="004C4817" w:rsidRPr="004C4817" w:rsidRDefault="004C4817" w:rsidP="004C4817">
      <w:pPr>
        <w:pStyle w:val="SingleTxtGR"/>
      </w:pPr>
      <w:r w:rsidRPr="004C4817">
        <w:t>14.</w:t>
      </w:r>
      <w:r w:rsidRPr="004C4817">
        <w:tab/>
        <w:t>Само собой разумеется, что координация действий между национальным правозащитным учреждением и национальным превентивным механизмом м</w:t>
      </w:r>
      <w:r w:rsidRPr="004C4817">
        <w:t>о</w:t>
      </w:r>
      <w:r w:rsidRPr="004C4817">
        <w:t>жет принести большую пользу и что можно предусмотреть проведение со</w:t>
      </w:r>
      <w:r w:rsidRPr="004C4817">
        <w:t>в</w:t>
      </w:r>
      <w:r w:rsidRPr="004C4817">
        <w:t>местных информационно-просветительских кампаний для сбора средств и разъяснения характера работы каждого из этих двух органов, особенно того факта, что их мандаты взаимно дополняют друг друга.</w:t>
      </w:r>
    </w:p>
    <w:p w:rsidR="004C4817" w:rsidRPr="004C4817" w:rsidRDefault="004C4817" w:rsidP="00520D9D">
      <w:pPr>
        <w:pStyle w:val="H23GR"/>
      </w:pPr>
      <w:r w:rsidRPr="004C4817">
        <w:tab/>
      </w:r>
      <w:r w:rsidRPr="004C4817">
        <w:tab/>
        <w:t>Иерархический статус главы национального превентивного механизма по</w:t>
      </w:r>
      <w:r w:rsidR="00CB7292">
        <w:t> </w:t>
      </w:r>
      <w:r w:rsidRPr="004C4817">
        <w:t>отношению к омбудсмену/главе национального правозащитного учреждения</w:t>
      </w:r>
    </w:p>
    <w:p w:rsidR="004C4817" w:rsidRPr="004C4817" w:rsidRDefault="004C4817" w:rsidP="004C4817">
      <w:pPr>
        <w:pStyle w:val="SingleTxtGR"/>
      </w:pPr>
      <w:r w:rsidRPr="004C4817">
        <w:t>15.</w:t>
      </w:r>
      <w:r w:rsidRPr="004C4817">
        <w:tab/>
        <w:t>В этом заключается общая проблема для многих национальных правоз</w:t>
      </w:r>
      <w:r w:rsidRPr="004C4817">
        <w:t>а</w:t>
      </w:r>
      <w:r w:rsidRPr="004C4817">
        <w:t>щитных учреждений, берущих на себя выполнение мандата национального пр</w:t>
      </w:r>
      <w:r w:rsidRPr="004C4817">
        <w:t>е</w:t>
      </w:r>
      <w:r w:rsidRPr="004C4817">
        <w:t>вентивного механизма. В соответствии с Факультативным протоколом наци</w:t>
      </w:r>
      <w:r w:rsidRPr="004C4817">
        <w:t>о</w:t>
      </w:r>
      <w:r w:rsidRPr="004C4817">
        <w:t>нальный превентивный механизм должен демонстрировать в своей работе пл</w:t>
      </w:r>
      <w:r w:rsidRPr="004C4817">
        <w:t>ю</w:t>
      </w:r>
      <w:r w:rsidRPr="004C4817">
        <w:t>ралистический и многодисциплинарный подход. Когда властью облечен один человек, например омбудсмен, выполнение вышеупомянутых требований по определению невозможно. Для того чтобы гарантировать функциональную с</w:t>
      </w:r>
      <w:r w:rsidRPr="004C4817">
        <w:t>а</w:t>
      </w:r>
      <w:r w:rsidRPr="004C4817">
        <w:t>мостоятельность национального превентивного механизма и «ровные» взаим</w:t>
      </w:r>
      <w:r w:rsidRPr="004C4817">
        <w:t>о</w:t>
      </w:r>
      <w:r w:rsidRPr="004C4817">
        <w:t>отношения между национальным правозащитным учреждением и национал</w:t>
      </w:r>
      <w:r w:rsidRPr="004C4817">
        <w:t>ь</w:t>
      </w:r>
      <w:r w:rsidRPr="004C4817">
        <w:t>ным превентивным механизмом, Подкомитет рекомендовал бы поместить мех</w:t>
      </w:r>
      <w:r w:rsidRPr="004C4817">
        <w:t>а</w:t>
      </w:r>
      <w:r w:rsidRPr="004C4817">
        <w:t>низм в качестве параллельной структуры на уровне главы учреждения и во</w:t>
      </w:r>
      <w:r w:rsidRPr="004C4817">
        <w:t>з</w:t>
      </w:r>
      <w:r w:rsidRPr="004C4817">
        <w:t>держаться от ситуаций, при которых механизм ставится под начало нескольких департаментов, так как это уменьшает наглядность его деятельности.</w:t>
      </w:r>
    </w:p>
    <w:p w:rsidR="004C4817" w:rsidRPr="004C4817" w:rsidRDefault="004C4817" w:rsidP="004C4817">
      <w:pPr>
        <w:pStyle w:val="SingleTxtGR"/>
      </w:pPr>
      <w:r w:rsidRPr="004C4817">
        <w:t>16.</w:t>
      </w:r>
      <w:r w:rsidRPr="004C4817">
        <w:tab/>
        <w:t>Более того, Подкомитет сталкивался с ситуациями, при которых орган</w:t>
      </w:r>
      <w:r w:rsidRPr="004C4817">
        <w:t>и</w:t>
      </w:r>
      <w:r w:rsidRPr="004C4817">
        <w:t xml:space="preserve">зация национального превентивного механизма в качестве подразделения, например юридического отдела, ставила под угрозу независимость процесса принятия механизмом решений </w:t>
      </w:r>
      <w:r w:rsidRPr="00577C05">
        <w:rPr>
          <w:spacing w:val="2"/>
        </w:rPr>
        <w:t>(см. доклад о консультативном посещении По</w:t>
      </w:r>
      <w:r w:rsidRPr="00577C05">
        <w:rPr>
          <w:spacing w:val="2"/>
        </w:rPr>
        <w:t>д</w:t>
      </w:r>
      <w:r w:rsidRPr="00577C05">
        <w:rPr>
          <w:spacing w:val="2"/>
        </w:rPr>
        <w:t xml:space="preserve">комитетом национального превентивного механизма Эквадора (CAT/OP/ECU/2)). </w:t>
      </w:r>
      <w:r w:rsidRPr="004C4817">
        <w:t>И наконец, организационная структура должна отражать требования Факульт</w:t>
      </w:r>
      <w:r w:rsidRPr="004C4817">
        <w:t>а</w:t>
      </w:r>
      <w:r w:rsidRPr="004C4817">
        <w:t>тивного протокола, в соответствии с которыми национальный превентивный механизм должен быть функционально самостоятелен в отношении своих р</w:t>
      </w:r>
      <w:r w:rsidRPr="004C4817">
        <w:t>е</w:t>
      </w:r>
      <w:r w:rsidRPr="004C4817">
        <w:t xml:space="preserve">сурсов, плана работы, выводов, рекомендаций, а также непосредственного </w:t>
      </w:r>
      <w:r w:rsidR="003221C3">
        <w:br/>
      </w:r>
      <w:r w:rsidRPr="004C4817">
        <w:t>и при необходимости конфиденциального контакта с Подкомит</w:t>
      </w:r>
      <w:r w:rsidRPr="004C4817">
        <w:t>е</w:t>
      </w:r>
      <w:r w:rsidRPr="004C4817">
        <w:t>том.</w:t>
      </w:r>
    </w:p>
    <w:p w:rsidR="004C4817" w:rsidRPr="004C4817" w:rsidRDefault="004C4817" w:rsidP="00520D9D">
      <w:pPr>
        <w:pStyle w:val="H23GR"/>
      </w:pPr>
      <w:r w:rsidRPr="004C4817">
        <w:tab/>
      </w:r>
      <w:r w:rsidRPr="004C4817">
        <w:tab/>
        <w:t>Типовое законодательство, в соответствии с которым национальные правозащитные учреждения назначаются в качестве национальных превентивных механизмов</w:t>
      </w:r>
    </w:p>
    <w:p w:rsidR="004C4817" w:rsidRPr="004C4817" w:rsidRDefault="004C4817" w:rsidP="004C4817">
      <w:pPr>
        <w:pStyle w:val="SingleTxtGR"/>
      </w:pPr>
      <w:r w:rsidRPr="004C4817">
        <w:t>17.</w:t>
      </w:r>
      <w:r w:rsidRPr="004C4817">
        <w:tab/>
        <w:t>Подкомитет считает, что для государств-участников не существует «ста</w:t>
      </w:r>
      <w:r w:rsidRPr="004C4817">
        <w:t>н</w:t>
      </w:r>
      <w:r w:rsidRPr="004C4817">
        <w:t>дартного» законодательства, в соответствии с которым национальные правоз</w:t>
      </w:r>
      <w:r w:rsidRPr="004C4817">
        <w:t>а</w:t>
      </w:r>
      <w:r w:rsidRPr="004C4817">
        <w:t>щитные учреждения назначаются в качестве национальных превентивных м</w:t>
      </w:r>
      <w:r w:rsidRPr="004C4817">
        <w:t>е</w:t>
      </w:r>
      <w:r w:rsidRPr="004C4817">
        <w:t>ханизмов, так как законодательство должно учитывать специфические особе</w:t>
      </w:r>
      <w:r w:rsidRPr="004C4817">
        <w:t>н</w:t>
      </w:r>
      <w:r w:rsidRPr="004C4817">
        <w:t>ности национальных реалий. Однако могут использоваться публичные доклады Подкомитета и для целей сравнения можно попытаться установить контакт с аналогичными учреждениями.</w:t>
      </w:r>
    </w:p>
    <w:p w:rsidR="004C4817" w:rsidRPr="004C4817" w:rsidRDefault="004C4817" w:rsidP="00520D9D">
      <w:pPr>
        <w:pStyle w:val="H23GR"/>
      </w:pPr>
      <w:r w:rsidRPr="004C4817">
        <w:tab/>
      </w:r>
      <w:r w:rsidRPr="004C4817">
        <w:tab/>
        <w:t>Взаимосвязь между традиционными функциями национального правозащитного учреждения и превентивными функциями национального превентивного механизма</w:t>
      </w:r>
    </w:p>
    <w:p w:rsidR="004C4817" w:rsidRPr="004C4817" w:rsidRDefault="004C4817" w:rsidP="004C4817">
      <w:pPr>
        <w:pStyle w:val="SingleTxtGR"/>
      </w:pPr>
      <w:r w:rsidRPr="004C4817">
        <w:t>18.</w:t>
      </w:r>
      <w:r w:rsidRPr="004C4817">
        <w:tab/>
        <w:t>Факультативным протоколом и Руководящими принципами Подкомитета предусмотрены две различные, отдельные структуры, обслуживающие два ра</w:t>
      </w:r>
      <w:r w:rsidRPr="004C4817">
        <w:t>з</w:t>
      </w:r>
      <w:r w:rsidRPr="004C4817">
        <w:t>личных мандата и сохраняющие определенный уровень самостоятельности.</w:t>
      </w:r>
    </w:p>
    <w:p w:rsidR="004C4817" w:rsidRPr="004C4817" w:rsidRDefault="004C4817" w:rsidP="004C4817">
      <w:pPr>
        <w:pStyle w:val="SingleTxtGR"/>
      </w:pPr>
      <w:r w:rsidRPr="004C4817">
        <w:t>19.</w:t>
      </w:r>
      <w:r w:rsidRPr="004C4817">
        <w:tab/>
        <w:t>Хотя на национальный превентивный механизм возложены основные функции национального превентивного механизма, это не означает, что другие отделы или сотрудники национального правозащитного учреждения не могут вносить вклад в его работу, так как такое сотрудничество может вести к вза</w:t>
      </w:r>
      <w:r w:rsidRPr="004C4817">
        <w:t>и</w:t>
      </w:r>
      <w:r w:rsidRPr="004C4817">
        <w:t>модействию и взаимодополняемости. Например, информация о количестве ж</w:t>
      </w:r>
      <w:r w:rsidRPr="004C4817">
        <w:t>а</w:t>
      </w:r>
      <w:r w:rsidRPr="004C4817">
        <w:t>лоб, полученных правозащитным учреждением в связи с определенным местом содержания под стражей, может оказаться полезной в работе превентивного м</w:t>
      </w:r>
      <w:r w:rsidRPr="004C4817">
        <w:t>е</w:t>
      </w:r>
      <w:r w:rsidRPr="004C4817">
        <w:t>ханизма. Таким же образом превентивный механизм может передавать некот</w:t>
      </w:r>
      <w:r w:rsidRPr="004C4817">
        <w:t>о</w:t>
      </w:r>
      <w:r w:rsidRPr="004C4817">
        <w:t>рые дела правозащитному учреждению для судебного разбирательства или принятия иных мер.</w:t>
      </w:r>
    </w:p>
    <w:p w:rsidR="004C4817" w:rsidRPr="004C4817" w:rsidRDefault="004C4817" w:rsidP="004C4817">
      <w:pPr>
        <w:pStyle w:val="SingleTxtGR"/>
      </w:pPr>
      <w:r w:rsidRPr="004C4817">
        <w:t>20.</w:t>
      </w:r>
      <w:r w:rsidRPr="004C4817">
        <w:tab/>
        <w:t>В целях повышения эффективности национального превентивного мех</w:t>
      </w:r>
      <w:r w:rsidRPr="004C4817">
        <w:t>а</w:t>
      </w:r>
      <w:r w:rsidRPr="004C4817">
        <w:t>низма необходимо обеспечить осведомленность всех заинтересованных сторон, особенно органов власти и лиц, лишенных свободы, о его деятельности и ма</w:t>
      </w:r>
      <w:r w:rsidRPr="004C4817">
        <w:t>н</w:t>
      </w:r>
      <w:r w:rsidRPr="004C4817">
        <w:t>дате. Особенно важно обеспечить понимание общественностью характера его работы и подчеркнуть ее превентивную направленность. Подкомитет стал св</w:t>
      </w:r>
      <w:r w:rsidRPr="004C4817">
        <w:t>и</w:t>
      </w:r>
      <w:r w:rsidRPr="004C4817">
        <w:t>детелем различных стратегий, используемых национальными превентивными механизмами для достижения этой цели, таких как проведение кампаний среди населения и разработка веб-страницы, логотипа и формы, используемых в ходе контрольных посещений.</w:t>
      </w:r>
    </w:p>
    <w:p w:rsidR="004C4817" w:rsidRPr="004C4817" w:rsidRDefault="004C4817" w:rsidP="004C4817">
      <w:pPr>
        <w:pStyle w:val="SingleTxtGR"/>
      </w:pPr>
      <w:r w:rsidRPr="004C4817">
        <w:t>21.</w:t>
      </w:r>
      <w:r w:rsidRPr="004C4817">
        <w:tab/>
        <w:t>Еще одним важным аспектом является принцип конфиденциальности, к</w:t>
      </w:r>
      <w:r w:rsidRPr="004C4817">
        <w:t>о</w:t>
      </w:r>
      <w:r w:rsidRPr="004C4817">
        <w:t>торый следует соблюдать в работе национального превентивного механизма. Решение об обмене информацией с сотрудниками национального правозащи</w:t>
      </w:r>
      <w:r w:rsidRPr="004C4817">
        <w:t>т</w:t>
      </w:r>
      <w:r w:rsidRPr="004C4817">
        <w:t>ного учреждения надлежит принимать превентивному механизму, которому следует тщательно изучать потребности в информации на индивидуальной о</w:t>
      </w:r>
      <w:r w:rsidRPr="004C4817">
        <w:t>с</w:t>
      </w:r>
      <w:r w:rsidRPr="004C4817">
        <w:t>нове.</w:t>
      </w:r>
    </w:p>
    <w:p w:rsidR="004C4817" w:rsidRPr="004C4817" w:rsidRDefault="004C4817" w:rsidP="00520D9D">
      <w:pPr>
        <w:pStyle w:val="H23GR"/>
      </w:pPr>
      <w:r w:rsidRPr="004C4817">
        <w:tab/>
      </w:r>
      <w:r w:rsidRPr="004C4817">
        <w:tab/>
        <w:t>Возможности сотрудничества между национальным превентивным механизмом и Подкомитетом и поддержка со стороны Подкомитета</w:t>
      </w:r>
    </w:p>
    <w:p w:rsidR="004C4817" w:rsidRPr="004C4817" w:rsidRDefault="004C4817" w:rsidP="004C4817">
      <w:pPr>
        <w:pStyle w:val="SingleTxtGR"/>
      </w:pPr>
      <w:r w:rsidRPr="004C4817">
        <w:t>22.</w:t>
      </w:r>
      <w:r w:rsidRPr="004C4817">
        <w:tab/>
        <w:t>Подкомитет готов оказывать консультативные услуги и помощь, в частн</w:t>
      </w:r>
      <w:r w:rsidRPr="004C4817">
        <w:t>о</w:t>
      </w:r>
      <w:r w:rsidRPr="004C4817">
        <w:t>сти путем регулярной связи, поддерживаемой через электронную почту между национальным превентивным механизмом и координатором Подкомитета, отв</w:t>
      </w:r>
      <w:r w:rsidRPr="004C4817">
        <w:t>е</w:t>
      </w:r>
      <w:r w:rsidRPr="004C4817">
        <w:t>чающим за данное государство-участник. Кроме того, следует отметить, что Подкомитет часто участвует в проектах, осуществление которых начинают на национальном уровне, в частности по инициативе гражданского общества, др</w:t>
      </w:r>
      <w:r w:rsidRPr="004C4817">
        <w:t>у</w:t>
      </w:r>
      <w:r w:rsidRPr="004C4817">
        <w:t>гие органы, специализирующиеся в предупреждении пыток.</w:t>
      </w:r>
    </w:p>
    <w:p w:rsidR="004C4817" w:rsidRPr="004C4817" w:rsidRDefault="004C4817" w:rsidP="00520D9D">
      <w:pPr>
        <w:pStyle w:val="H23GR"/>
      </w:pPr>
      <w:r w:rsidRPr="004C4817">
        <w:tab/>
      </w:r>
      <w:r w:rsidRPr="004C4817">
        <w:tab/>
        <w:t>Передовая практика в области создания национальных превентивных механизмов</w:t>
      </w:r>
    </w:p>
    <w:p w:rsidR="004C4817" w:rsidRPr="004C4817" w:rsidRDefault="004C4817" w:rsidP="004C4817">
      <w:pPr>
        <w:pStyle w:val="SingleTxtGR"/>
      </w:pPr>
      <w:r w:rsidRPr="004C4817">
        <w:t>23.</w:t>
      </w:r>
      <w:r w:rsidRPr="004C4817">
        <w:tab/>
        <w:t>Публичные доклады Подкомитета можно рассматривать как практич</w:t>
      </w:r>
      <w:r w:rsidRPr="004C4817">
        <w:t>е</w:t>
      </w:r>
      <w:r w:rsidRPr="004C4817">
        <w:t>скую реализацию его руководящих принципов, касающихся национальных пр</w:t>
      </w:r>
      <w:r w:rsidRPr="004C4817">
        <w:t>е</w:t>
      </w:r>
      <w:r w:rsidRPr="004C4817">
        <w:t>вентивных механизмов (CAT/OP/12/5), и как толкование требований Факульт</w:t>
      </w:r>
      <w:r w:rsidRPr="004C4817">
        <w:t>а</w:t>
      </w:r>
      <w:r w:rsidRPr="004C4817">
        <w:t xml:space="preserve">тивного протокола в отношении национальных превентивных механизмов. Кроме того, на своей двадцать шестой сессии Подкомитет решил </w:t>
      </w:r>
      <w:r w:rsidR="003221C3">
        <w:t>опубликовать на своем веб-сайте</w:t>
      </w:r>
      <w:r w:rsidRPr="004C4817">
        <w:t xml:space="preserve"> на анонимной основе подборку некоторых его ответов на запросы национальных превентивных механизмов как один из способов пред</w:t>
      </w:r>
      <w:r w:rsidRPr="004C4817">
        <w:t>о</w:t>
      </w:r>
      <w:r w:rsidRPr="004C4817">
        <w:t>ставления практических рекомендаций по вопросам, касающимся превентивн</w:t>
      </w:r>
      <w:r w:rsidRPr="004C4817">
        <w:t>о</w:t>
      </w:r>
      <w:r w:rsidRPr="004C4817">
        <w:t>го механизма.</w:t>
      </w:r>
    </w:p>
    <w:p w:rsidR="004C4817" w:rsidRPr="004C4817" w:rsidRDefault="004C4817" w:rsidP="00520D9D">
      <w:pPr>
        <w:pStyle w:val="H1GR"/>
      </w:pPr>
      <w:r w:rsidRPr="004C4817">
        <w:tab/>
        <w:t>IV.</w:t>
      </w:r>
      <w:r w:rsidRPr="004C4817">
        <w:tab/>
        <w:t>Обыск и личный досмотр</w:t>
      </w:r>
    </w:p>
    <w:p w:rsidR="004C4817" w:rsidRPr="004C4817" w:rsidRDefault="004C4817" w:rsidP="004C4817">
      <w:pPr>
        <w:pStyle w:val="SingleTxtGR"/>
      </w:pPr>
      <w:r w:rsidRPr="004C4817">
        <w:t>24.</w:t>
      </w:r>
      <w:r w:rsidRPr="004C4817">
        <w:tab/>
        <w:t>В руководящих принципах, касающихся национального превентивного механизма, предусмотрено, что государство должно обеспечивать, чтобы члены национального превентивного механизма и его сотрудники пользовались так</w:t>
      </w:r>
      <w:r w:rsidRPr="004C4817">
        <w:t>и</w:t>
      </w:r>
      <w:r w:rsidRPr="004C4817">
        <w:t>ми привилегиями, которые необходимы для независимого осуществления ими своих функций (CAT/OP/12/5, пункт 26). Хотя признано, что в интересах всех заинтересованных сторон должны соблюдаться основные меры безопасности, не менее важно обеспечить, чтобы деятельность лиц, работающих в рамках национального превентивного механизма, никоим образом не ограничивалась и чтобы они не чувствовали, что могут подвергнуться какому-либо давлению. Обычный обыск и личный досмотр противоречат духу Факультативного прот</w:t>
      </w:r>
      <w:r w:rsidRPr="004C4817">
        <w:t>о</w:t>
      </w:r>
      <w:r w:rsidRPr="004C4817">
        <w:t>кола.</w:t>
      </w:r>
    </w:p>
    <w:p w:rsidR="004C4817" w:rsidRPr="004C4817" w:rsidRDefault="004C4817" w:rsidP="004C4817">
      <w:pPr>
        <w:pStyle w:val="SingleTxtGR"/>
      </w:pPr>
      <w:r w:rsidRPr="004C4817">
        <w:t>25.</w:t>
      </w:r>
      <w:r w:rsidRPr="004C4817">
        <w:tab/>
        <w:t>Члены превентивного механизма и его персонал должны подвергаться обыску или освобождаться от него таким же образом, как и другие органы, о</w:t>
      </w:r>
      <w:r w:rsidRPr="004C4817">
        <w:t>б</w:t>
      </w:r>
      <w:r w:rsidRPr="004C4817">
        <w:t>ладающие привилегиями и иммунитетом, аналогичными или равноценными тем, которые предоставляются членам механизма Факультативного протокола и включают в себя свободу от такого обыска.</w:t>
      </w:r>
    </w:p>
    <w:p w:rsidR="004C4817" w:rsidRPr="004C4817" w:rsidRDefault="004C4817" w:rsidP="00C850D1">
      <w:pPr>
        <w:pStyle w:val="H1GR"/>
      </w:pPr>
      <w:r w:rsidRPr="004C4817">
        <w:tab/>
        <w:t>V.</w:t>
      </w:r>
      <w:r w:rsidRPr="004C4817">
        <w:tab/>
        <w:t>Национальные превентивные механизмы и трансграничный мониторинг лиц, содержащихся под стражей</w:t>
      </w:r>
    </w:p>
    <w:p w:rsidR="004C4817" w:rsidRPr="003221C3" w:rsidRDefault="004C4817" w:rsidP="003221C3">
      <w:pPr>
        <w:pStyle w:val="SingleTxtGR"/>
      </w:pPr>
      <w:r w:rsidRPr="003221C3">
        <w:t>26.</w:t>
      </w:r>
      <w:r w:rsidRPr="003221C3">
        <w:tab/>
        <w:t>Если какое-либо государство</w:t>
      </w:r>
      <w:r w:rsidR="003221C3">
        <w:t> </w:t>
      </w:r>
      <w:r w:rsidR="007437E5" w:rsidRPr="003221C3">
        <w:t>–</w:t>
      </w:r>
      <w:r w:rsidR="003221C3">
        <w:t> </w:t>
      </w:r>
      <w:r w:rsidRPr="003221C3">
        <w:t>участник Факультативного протокола (направляющее государство) заключит договоренность, в соответствии с кот</w:t>
      </w:r>
      <w:r w:rsidRPr="003221C3">
        <w:t>о</w:t>
      </w:r>
      <w:r w:rsidRPr="003221C3">
        <w:t>рой задержанные этим государством лица должны содержаться под стражей в учреждениях, расположенных в третьем государстве (принимающее госуда</w:t>
      </w:r>
      <w:r w:rsidRPr="003221C3">
        <w:t>р</w:t>
      </w:r>
      <w:r w:rsidRPr="003221C3">
        <w:t>ство), то, по мнению Подкомитета, направляющее государство должно обесп</w:t>
      </w:r>
      <w:r w:rsidRPr="003221C3">
        <w:t>е</w:t>
      </w:r>
      <w:r w:rsidRPr="003221C3">
        <w:t>чить, чтобы в таком соглашении предусматривались юридические и практич</w:t>
      </w:r>
      <w:r w:rsidRPr="003221C3">
        <w:t>е</w:t>
      </w:r>
      <w:r w:rsidRPr="003221C3">
        <w:t>ские возможности для посещения его национальным превентивным механи</w:t>
      </w:r>
      <w:r w:rsidRPr="003221C3">
        <w:t>з</w:t>
      </w:r>
      <w:r w:rsidRPr="003221C3">
        <w:t>мом этих заключенных в соответствии с положениями Факультативного прот</w:t>
      </w:r>
      <w:r w:rsidRPr="003221C3">
        <w:t>о</w:t>
      </w:r>
      <w:r w:rsidRPr="003221C3">
        <w:t>кола и руководящими принципами Подкомитета, касающимися национальных превентивных мех</w:t>
      </w:r>
      <w:r w:rsidRPr="003221C3">
        <w:t>а</w:t>
      </w:r>
      <w:r w:rsidRPr="003221C3">
        <w:t>низмов.</w:t>
      </w:r>
    </w:p>
    <w:p w:rsidR="004C4817" w:rsidRPr="004C4817" w:rsidRDefault="004C4817" w:rsidP="008D371B">
      <w:pPr>
        <w:pStyle w:val="SingleTxtGR"/>
        <w:keepNext/>
        <w:keepLines/>
      </w:pPr>
      <w:r w:rsidRPr="004C4817">
        <w:t>27.</w:t>
      </w:r>
      <w:r w:rsidRPr="004C4817">
        <w:tab/>
        <w:t>После проведения таких посещений национальный превентивный мех</w:t>
      </w:r>
      <w:r w:rsidRPr="004C4817">
        <w:t>а</w:t>
      </w:r>
      <w:r w:rsidRPr="004C4817">
        <w:t>низм направляющего государства должен быть в состоянии представить свои рекомендации и вступить в превентивный диалог с органами власти как направляющего, так и принимающего государства. Соглашение, заключенное между направляющим и принимающим государствами, должно предусматр</w:t>
      </w:r>
      <w:r w:rsidRPr="004C4817">
        <w:t>и</w:t>
      </w:r>
      <w:r w:rsidRPr="004C4817">
        <w:t>вать проведение такого диалога и допускать изменение его условий в свете в</w:t>
      </w:r>
      <w:r w:rsidRPr="004C4817">
        <w:t>ы</w:t>
      </w:r>
      <w:r w:rsidRPr="004C4817">
        <w:t>несенных рекомендаций.</w:t>
      </w:r>
    </w:p>
    <w:p w:rsidR="004C4817" w:rsidRPr="004C4817" w:rsidRDefault="004C4817" w:rsidP="004C4817">
      <w:pPr>
        <w:pStyle w:val="SingleTxtGR"/>
      </w:pPr>
      <w:r w:rsidRPr="004C4817">
        <w:t>28.</w:t>
      </w:r>
      <w:r w:rsidRPr="004C4817">
        <w:tab/>
        <w:t>Кроме того, национальный превентивный механизм принимающего гос</w:t>
      </w:r>
      <w:r w:rsidRPr="004C4817">
        <w:t>у</w:t>
      </w:r>
      <w:r w:rsidRPr="004C4817">
        <w:t>дарства также должен иметь возможность посещать лиц, содержащихся под стражей, на основе таких соглашений как естественное следствие его общего права посещать всех лиц, лишенных свободы, на основе государственной вл</w:t>
      </w:r>
      <w:r w:rsidRPr="004C4817">
        <w:t>а</w:t>
      </w:r>
      <w:r w:rsidRPr="004C4817">
        <w:t>сти и под юрисдикцией и контролем государства-участника.</w:t>
      </w:r>
    </w:p>
    <w:p w:rsidR="004C4817" w:rsidRPr="004C4817" w:rsidRDefault="004C4817" w:rsidP="004C4817">
      <w:pPr>
        <w:pStyle w:val="SingleTxtGR"/>
      </w:pPr>
      <w:r w:rsidRPr="004C4817">
        <w:t>29.</w:t>
      </w:r>
      <w:r w:rsidRPr="004C4817">
        <w:tab/>
        <w:t>После проведения таких посещений национальный превентивный мех</w:t>
      </w:r>
      <w:r w:rsidRPr="004C4817">
        <w:t>а</w:t>
      </w:r>
      <w:r w:rsidRPr="004C4817">
        <w:t>низм принимающего государства должен быть в состоянии представить свои рекомендации и вступить в превентивный диалог с органами власти как прин</w:t>
      </w:r>
      <w:r w:rsidRPr="004C4817">
        <w:t>и</w:t>
      </w:r>
      <w:r w:rsidRPr="004C4817">
        <w:t>мающего, так и направляющего государства. Соглашение, заключенное между принимающим и направляющим государствами, должно предусматривать пр</w:t>
      </w:r>
      <w:r w:rsidRPr="004C4817">
        <w:t>о</w:t>
      </w:r>
      <w:r w:rsidRPr="004C4817">
        <w:t>ведение такого диалога и допускать изменение его условий в свете вынесенных рекомендаций.</w:t>
      </w:r>
    </w:p>
    <w:p w:rsidR="004C4817" w:rsidRPr="004C4817" w:rsidRDefault="004C4817" w:rsidP="004C4817">
      <w:pPr>
        <w:pStyle w:val="SingleTxtGR"/>
      </w:pPr>
      <w:r w:rsidRPr="004C4817">
        <w:t>30.</w:t>
      </w:r>
      <w:r w:rsidRPr="004C4817">
        <w:tab/>
        <w:t>Национальные превентивные механизмы направляющего и принимающ</w:t>
      </w:r>
      <w:r w:rsidRPr="004C4817">
        <w:t>е</w:t>
      </w:r>
      <w:r w:rsidRPr="004C4817">
        <w:t>го государств должны поддерживать друг с другом связь по вопросам провед</w:t>
      </w:r>
      <w:r w:rsidRPr="004C4817">
        <w:t>е</w:t>
      </w:r>
      <w:r w:rsidRPr="004C4817">
        <w:t>ния таких посещений и рассмотреть вопрос о проведении совместных посещ</w:t>
      </w:r>
      <w:r w:rsidRPr="004C4817">
        <w:t>е</w:t>
      </w:r>
      <w:r w:rsidRPr="004C4817">
        <w:t>ний в таких обстоятельствах и вынесения по мере возможности совместных р</w:t>
      </w:r>
      <w:r w:rsidRPr="004C4817">
        <w:t>е</w:t>
      </w:r>
      <w:r w:rsidRPr="004C4817">
        <w:t>комендаций.</w:t>
      </w:r>
    </w:p>
    <w:p w:rsidR="004C4817" w:rsidRPr="004C4817" w:rsidRDefault="004C4817" w:rsidP="004C4817">
      <w:pPr>
        <w:pStyle w:val="SingleTxtGR"/>
      </w:pPr>
      <w:r w:rsidRPr="004C4817">
        <w:t>31.</w:t>
      </w:r>
      <w:r w:rsidRPr="004C4817">
        <w:tab/>
        <w:t>Выносимые рекомендации должны отражать установленные подходы рассматриваемых национальных превентивных механизмов, которые сами должны отражать подход Подкомитета и международные стандарты. В случае расхождения в подходе и ожиданиях более высокие ожидания должны прим</w:t>
      </w:r>
      <w:r w:rsidRPr="004C4817">
        <w:t>е</w:t>
      </w:r>
      <w:r w:rsidRPr="004C4817">
        <w:t>няться к задержанным на основе таких соглашений в качестве отражения вс</w:t>
      </w:r>
      <w:r w:rsidRPr="004C4817">
        <w:t>е</w:t>
      </w:r>
      <w:r w:rsidRPr="004C4817">
        <w:t>объемлющих принципов предупреждения.</w:t>
      </w:r>
    </w:p>
    <w:p w:rsidR="008855BE" w:rsidRPr="00C850D1" w:rsidRDefault="00C850D1" w:rsidP="00C850D1">
      <w:pPr>
        <w:spacing w:before="240"/>
        <w:jc w:val="center"/>
        <w:rPr>
          <w:u w:val="single"/>
        </w:rPr>
      </w:pPr>
      <w:r>
        <w:rPr>
          <w:u w:val="single"/>
        </w:rPr>
        <w:tab/>
      </w:r>
      <w:r>
        <w:rPr>
          <w:u w:val="single"/>
        </w:rPr>
        <w:tab/>
      </w:r>
      <w:r>
        <w:rPr>
          <w:u w:val="single"/>
        </w:rPr>
        <w:tab/>
      </w:r>
    </w:p>
    <w:sectPr w:rsidR="008855BE" w:rsidRPr="00C850D1" w:rsidSect="008855BE">
      <w:headerReference w:type="even" r:id="rId10"/>
      <w:headerReference w:type="default" r:id="rId11"/>
      <w:footerReference w:type="even" r:id="rId12"/>
      <w:footerReference w:type="default" r:id="rId13"/>
      <w:footerReference w:type="first" r:id="rId14"/>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2193" w:rsidRDefault="00882193" w:rsidP="00B471C5">
      <w:r>
        <w:separator/>
      </w:r>
    </w:p>
  </w:endnote>
  <w:endnote w:type="continuationSeparator" w:id="0">
    <w:p w:rsidR="00882193" w:rsidRDefault="00882193" w:rsidP="00B471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193" w:rsidRPr="00351CDD" w:rsidRDefault="00882193">
    <w:pPr>
      <w:pStyle w:val="a7"/>
      <w:rPr>
        <w:szCs w:val="16"/>
        <w:lang w:val="ru-RU"/>
      </w:rPr>
    </w:pPr>
    <w:r w:rsidRPr="003324D3">
      <w:rPr>
        <w:b/>
      </w:rPr>
      <w:fldChar w:fldCharType="begin"/>
    </w:r>
    <w:r w:rsidRPr="003324D3">
      <w:rPr>
        <w:b/>
      </w:rPr>
      <w:instrText xml:space="preserve"> PAGE  \* Arabic  \* MERGEFORMAT </w:instrText>
    </w:r>
    <w:r w:rsidRPr="003324D3">
      <w:rPr>
        <w:b/>
      </w:rPr>
      <w:fldChar w:fldCharType="separate"/>
    </w:r>
    <w:r w:rsidR="00AD7B91">
      <w:rPr>
        <w:b/>
        <w:noProof/>
      </w:rPr>
      <w:t>28</w:t>
    </w:r>
    <w:r w:rsidRPr="003324D3">
      <w:rPr>
        <w:b/>
      </w:rPr>
      <w:fldChar w:fldCharType="end"/>
    </w:r>
    <w:r>
      <w:rPr>
        <w:rStyle w:val="a9"/>
        <w:lang w:val="en-US"/>
      </w:rPr>
      <w:tab/>
    </w:r>
    <w:r>
      <w:rPr>
        <w:rStyle w:val="a9"/>
        <w:b w:val="0"/>
        <w:sz w:val="16"/>
        <w:szCs w:val="16"/>
        <w:lang w:val="en-US"/>
      </w:rPr>
      <w:t>GE.16-</w:t>
    </w:r>
    <w:r>
      <w:rPr>
        <w:rStyle w:val="a9"/>
        <w:b w:val="0"/>
        <w:sz w:val="16"/>
        <w:szCs w:val="16"/>
        <w:lang w:val="ru-RU"/>
      </w:rPr>
      <w:t>04503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193" w:rsidRPr="003324D3" w:rsidRDefault="00882193">
    <w:pPr>
      <w:pStyle w:val="a7"/>
      <w:rPr>
        <w:b/>
        <w:sz w:val="18"/>
        <w:szCs w:val="18"/>
        <w:lang w:val="en-US"/>
      </w:rPr>
    </w:pPr>
    <w:r>
      <w:rPr>
        <w:lang w:val="en-US"/>
      </w:rPr>
      <w:t>GE.16-</w:t>
    </w:r>
    <w:r>
      <w:rPr>
        <w:lang w:val="ru-RU"/>
      </w:rPr>
      <w:t>04503</w:t>
    </w:r>
    <w:r>
      <w:rPr>
        <w:lang w:val="en-US"/>
      </w:rPr>
      <w:tab/>
    </w:r>
    <w:r w:rsidRPr="003324D3">
      <w:rPr>
        <w:b/>
      </w:rPr>
      <w:fldChar w:fldCharType="begin"/>
    </w:r>
    <w:r w:rsidRPr="003324D3">
      <w:rPr>
        <w:b/>
      </w:rPr>
      <w:instrText xml:space="preserve"> PAGE  \* Arabic  \* MERGEFORMAT </w:instrText>
    </w:r>
    <w:r w:rsidRPr="003324D3">
      <w:rPr>
        <w:b/>
      </w:rPr>
      <w:fldChar w:fldCharType="separate"/>
    </w:r>
    <w:r w:rsidR="00415A75">
      <w:rPr>
        <w:b/>
        <w:noProof/>
      </w:rPr>
      <w:t>9</w:t>
    </w:r>
    <w:r w:rsidRPr="003324D3">
      <w:rPr>
        <w:b/>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57" w:type="dxa"/>
        <w:right w:w="57" w:type="dxa"/>
      </w:tblCellMar>
      <w:tblLook w:val="01E0" w:firstRow="1" w:lastRow="1" w:firstColumn="1" w:lastColumn="1" w:noHBand="0" w:noVBand="0"/>
    </w:tblPr>
    <w:tblGrid>
      <w:gridCol w:w="3648"/>
      <w:gridCol w:w="5056"/>
      <w:gridCol w:w="972"/>
    </w:tblGrid>
    <w:tr w:rsidR="00882193" w:rsidRPr="00797A78" w:rsidTr="004C4817">
      <w:trPr>
        <w:trHeight w:val="431"/>
      </w:trPr>
      <w:tc>
        <w:tcPr>
          <w:tcW w:w="3648" w:type="dxa"/>
          <w:tcMar>
            <w:left w:w="57" w:type="dxa"/>
            <w:right w:w="57" w:type="dxa"/>
          </w:tcMar>
          <w:vAlign w:val="bottom"/>
        </w:tcPr>
        <w:p w:rsidR="00882193" w:rsidRPr="00351CDD" w:rsidRDefault="00882193" w:rsidP="00882193">
          <w:pPr>
            <w:spacing w:after="40"/>
            <w:rPr>
              <w:rFonts w:ascii="C39T30Lfz" w:hAnsi="C39T30Lfz"/>
              <w:spacing w:val="0"/>
              <w:w w:val="100"/>
              <w:kern w:val="0"/>
              <w:lang w:eastAsia="ru-RU"/>
            </w:rPr>
          </w:pPr>
          <w:r w:rsidRPr="001C3ABC">
            <w:rPr>
              <w:lang w:val="en-US"/>
            </w:rPr>
            <w:t>GE.16-</w:t>
          </w:r>
          <w:r>
            <w:t>04503</w:t>
          </w:r>
          <w:r w:rsidRPr="001C3ABC">
            <w:rPr>
              <w:lang w:val="en-US"/>
            </w:rPr>
            <w:t xml:space="preserve"> (R)</w:t>
          </w:r>
          <w:r>
            <w:t xml:space="preserve">   170516   180516</w:t>
          </w:r>
        </w:p>
      </w:tc>
      <w:tc>
        <w:tcPr>
          <w:tcW w:w="5056" w:type="dxa"/>
          <w:vMerge w:val="restart"/>
          <w:tcMar>
            <w:left w:w="57" w:type="dxa"/>
            <w:right w:w="57" w:type="dxa"/>
          </w:tcMar>
          <w:vAlign w:val="bottom"/>
        </w:tcPr>
        <w:p w:rsidR="00882193" w:rsidRDefault="00882193" w:rsidP="004C4817">
          <w:pPr>
            <w:jc w:val="right"/>
          </w:pPr>
          <w:r>
            <w:rPr>
              <w:b/>
              <w:noProof/>
              <w:lang w:eastAsia="ru-RU"/>
            </w:rPr>
            <w:drawing>
              <wp:inline distT="0" distB="0" distL="0" distR="0" wp14:anchorId="7857491A" wp14:editId="479C6B19">
                <wp:extent cx="2655481" cy="277586"/>
                <wp:effectExtent l="0" t="0" r="0" b="8255"/>
                <wp:docPr id="2"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704465" cy="2827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72" w:type="dxa"/>
          <w:vMerge w:val="restart"/>
          <w:tcMar>
            <w:left w:w="57" w:type="dxa"/>
            <w:right w:w="0" w:type="dxa"/>
          </w:tcMar>
          <w:vAlign w:val="bottom"/>
        </w:tcPr>
        <w:p w:rsidR="00882193" w:rsidRDefault="00FE6372" w:rsidP="004C4817">
          <w:pPr>
            <w:jc w:val="right"/>
          </w:pPr>
          <w:r>
            <w:rPr>
              <w:noProof/>
              <w:lang w:eastAsia="ru-RU"/>
            </w:rPr>
            <w:drawing>
              <wp:inline distT="0" distB="0" distL="0" distR="0">
                <wp:extent cx="580390" cy="580390"/>
                <wp:effectExtent l="0" t="0" r="0" b="0"/>
                <wp:docPr id="4" name="Рисунок 4" descr="http://undocs.org/m2/QRCode.ashx?DS= CAT/C/57/4&amp;Size=2 &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 CAT/C/57/4&amp;Size=2 &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80390" cy="580390"/>
                        </a:xfrm>
                        <a:prstGeom prst="rect">
                          <a:avLst/>
                        </a:prstGeom>
                        <a:noFill/>
                        <a:ln>
                          <a:noFill/>
                        </a:ln>
                      </pic:spPr>
                    </pic:pic>
                  </a:graphicData>
                </a:graphic>
              </wp:inline>
            </w:drawing>
          </w:r>
        </w:p>
      </w:tc>
    </w:tr>
    <w:tr w:rsidR="00882193" w:rsidRPr="00797A78" w:rsidTr="004C4817">
      <w:trPr>
        <w:trHeight w:hRule="exact" w:val="564"/>
      </w:trPr>
      <w:tc>
        <w:tcPr>
          <w:tcW w:w="3648" w:type="dxa"/>
          <w:tcMar>
            <w:left w:w="57" w:type="dxa"/>
            <w:right w:w="57" w:type="dxa"/>
          </w:tcMar>
          <w:vAlign w:val="bottom"/>
        </w:tcPr>
        <w:p w:rsidR="00882193" w:rsidRPr="00351CDD" w:rsidRDefault="00882193" w:rsidP="004C4817">
          <w:pPr>
            <w:spacing w:after="40"/>
            <w:rPr>
              <w:rFonts w:ascii="C39T30Lfz" w:hAnsi="C39T30Lfz"/>
              <w:spacing w:val="0"/>
              <w:w w:val="100"/>
              <w:kern w:val="0"/>
              <w:sz w:val="56"/>
              <w:szCs w:val="56"/>
              <w:lang w:val="en-US" w:eastAsia="ru-RU"/>
            </w:rPr>
          </w:pPr>
          <w:r w:rsidRPr="00351CDD">
            <w:rPr>
              <w:rFonts w:ascii="C39T30Lfz" w:hAnsi="C39T30Lfz"/>
              <w:spacing w:val="0"/>
              <w:w w:val="100"/>
              <w:kern w:val="0"/>
              <w:sz w:val="56"/>
              <w:szCs w:val="56"/>
              <w:lang w:val="en-US" w:eastAsia="ru-RU"/>
            </w:rPr>
            <w:t></w:t>
          </w:r>
          <w:r w:rsidRPr="00351CDD">
            <w:rPr>
              <w:rFonts w:ascii="C39T30Lfz" w:hAnsi="C39T30Lfz"/>
              <w:spacing w:val="0"/>
              <w:w w:val="100"/>
              <w:kern w:val="0"/>
              <w:sz w:val="56"/>
              <w:szCs w:val="56"/>
              <w:lang w:val="en-US" w:eastAsia="ru-RU"/>
            </w:rPr>
            <w:t></w:t>
          </w:r>
          <w:r w:rsidRPr="00351CDD">
            <w:rPr>
              <w:rFonts w:ascii="C39T30Lfz" w:hAnsi="C39T30Lfz"/>
              <w:spacing w:val="0"/>
              <w:w w:val="100"/>
              <w:kern w:val="0"/>
              <w:sz w:val="56"/>
              <w:szCs w:val="56"/>
              <w:lang w:val="en-US" w:eastAsia="ru-RU"/>
            </w:rPr>
            <w:t></w:t>
          </w:r>
          <w:r w:rsidRPr="00351CDD">
            <w:rPr>
              <w:rFonts w:ascii="C39T30Lfz" w:hAnsi="C39T30Lfz"/>
              <w:spacing w:val="0"/>
              <w:w w:val="100"/>
              <w:kern w:val="0"/>
              <w:sz w:val="56"/>
              <w:szCs w:val="56"/>
              <w:lang w:val="en-US" w:eastAsia="ru-RU"/>
            </w:rPr>
            <w:t></w:t>
          </w:r>
          <w:r w:rsidRPr="00351CDD">
            <w:rPr>
              <w:rFonts w:ascii="C39T30Lfz" w:hAnsi="C39T30Lfz"/>
              <w:spacing w:val="0"/>
              <w:w w:val="100"/>
              <w:kern w:val="0"/>
              <w:sz w:val="56"/>
              <w:szCs w:val="56"/>
              <w:lang w:val="en-US" w:eastAsia="ru-RU"/>
            </w:rPr>
            <w:t></w:t>
          </w:r>
          <w:r w:rsidRPr="00351CDD">
            <w:rPr>
              <w:rFonts w:ascii="C39T30Lfz" w:hAnsi="C39T30Lfz"/>
              <w:spacing w:val="0"/>
              <w:w w:val="100"/>
              <w:kern w:val="0"/>
              <w:sz w:val="56"/>
              <w:szCs w:val="56"/>
              <w:lang w:val="en-US" w:eastAsia="ru-RU"/>
            </w:rPr>
            <w:t></w:t>
          </w:r>
          <w:r w:rsidRPr="00351CDD">
            <w:rPr>
              <w:rFonts w:ascii="C39T30Lfz" w:hAnsi="C39T30Lfz"/>
              <w:spacing w:val="0"/>
              <w:w w:val="100"/>
              <w:kern w:val="0"/>
              <w:sz w:val="56"/>
              <w:szCs w:val="56"/>
              <w:lang w:val="en-US" w:eastAsia="ru-RU"/>
            </w:rPr>
            <w:t></w:t>
          </w:r>
          <w:r w:rsidRPr="00351CDD">
            <w:rPr>
              <w:rFonts w:ascii="C39T30Lfz" w:hAnsi="C39T30Lfz"/>
              <w:spacing w:val="0"/>
              <w:w w:val="100"/>
              <w:kern w:val="0"/>
              <w:sz w:val="56"/>
              <w:szCs w:val="56"/>
              <w:lang w:val="en-US" w:eastAsia="ru-RU"/>
            </w:rPr>
            <w:t></w:t>
          </w:r>
          <w:r w:rsidRPr="00351CDD">
            <w:rPr>
              <w:rFonts w:ascii="C39T30Lfz" w:hAnsi="C39T30Lfz"/>
              <w:spacing w:val="0"/>
              <w:w w:val="100"/>
              <w:kern w:val="0"/>
              <w:sz w:val="56"/>
              <w:szCs w:val="56"/>
              <w:lang w:val="en-US" w:eastAsia="ru-RU"/>
            </w:rPr>
            <w:t></w:t>
          </w:r>
        </w:p>
      </w:tc>
      <w:tc>
        <w:tcPr>
          <w:tcW w:w="5056" w:type="dxa"/>
          <w:vMerge/>
          <w:tcMar>
            <w:left w:w="57" w:type="dxa"/>
            <w:right w:w="57" w:type="dxa"/>
          </w:tcMar>
        </w:tcPr>
        <w:p w:rsidR="00882193" w:rsidRDefault="00882193" w:rsidP="004C4817"/>
      </w:tc>
      <w:tc>
        <w:tcPr>
          <w:tcW w:w="972" w:type="dxa"/>
          <w:vMerge/>
          <w:tcMar>
            <w:left w:w="57" w:type="dxa"/>
            <w:right w:w="57" w:type="dxa"/>
          </w:tcMar>
        </w:tcPr>
        <w:p w:rsidR="00882193" w:rsidRDefault="00882193" w:rsidP="004C4817"/>
      </w:tc>
    </w:tr>
  </w:tbl>
  <w:p w:rsidR="00882193" w:rsidRDefault="00882193" w:rsidP="004C4817">
    <w:pPr>
      <w:spacing w:line="240" w:lineRule="auto"/>
      <w:rPr>
        <w:sz w:val="2"/>
        <w:szCs w:val="2"/>
        <w:lang w:val="en-US"/>
      </w:rPr>
    </w:pPr>
  </w:p>
  <w:p w:rsidR="00882193" w:rsidRDefault="00882193" w:rsidP="004C4817">
    <w:pPr>
      <w:pStyle w:val="a7"/>
      <w:rPr>
        <w:sz w:val="2"/>
        <w:szCs w:val="2"/>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2193" w:rsidRPr="009141DC" w:rsidRDefault="00882193" w:rsidP="00D1261C">
      <w:pPr>
        <w:tabs>
          <w:tab w:val="left" w:pos="2268"/>
        </w:tabs>
        <w:spacing w:after="80"/>
        <w:ind w:left="680"/>
        <w:rPr>
          <w:u w:val="single"/>
          <w:lang w:val="en-US"/>
        </w:rPr>
      </w:pPr>
      <w:r>
        <w:rPr>
          <w:u w:val="single"/>
          <w:lang w:val="en-US"/>
        </w:rPr>
        <w:tab/>
      </w:r>
    </w:p>
  </w:footnote>
  <w:footnote w:type="continuationSeparator" w:id="0">
    <w:p w:rsidR="00882193" w:rsidRPr="00D1261C" w:rsidRDefault="00882193" w:rsidP="00D1261C">
      <w:pPr>
        <w:tabs>
          <w:tab w:val="left" w:pos="2268"/>
        </w:tabs>
        <w:spacing w:after="80"/>
        <w:rPr>
          <w:u w:val="single"/>
          <w:lang w:val="en-US"/>
        </w:rPr>
      </w:pPr>
      <w:r>
        <w:rPr>
          <w:u w:val="single"/>
          <w:lang w:val="en-US"/>
        </w:rPr>
        <w:tab/>
      </w:r>
    </w:p>
  </w:footnote>
  <w:footnote w:id="1">
    <w:p w:rsidR="00882193" w:rsidRPr="00FD1ACD" w:rsidRDefault="00882193" w:rsidP="004C4817">
      <w:pPr>
        <w:pStyle w:val="aa"/>
        <w:rPr>
          <w:rStyle w:val="a6"/>
          <w:vertAlign w:val="baseline"/>
          <w:lang w:val="fr-FR"/>
        </w:rPr>
      </w:pPr>
      <w:r w:rsidRPr="008A1233">
        <w:rPr>
          <w:rStyle w:val="a6"/>
          <w:lang w:val="fr-FR"/>
        </w:rPr>
        <w:tab/>
      </w:r>
      <w:r w:rsidRPr="009B72E5">
        <w:rPr>
          <w:rStyle w:val="a6"/>
        </w:rPr>
        <w:footnoteRef/>
      </w:r>
      <w:r w:rsidRPr="008A1233">
        <w:rPr>
          <w:rStyle w:val="a6"/>
          <w:lang w:val="fr-FR"/>
        </w:rPr>
        <w:tab/>
      </w:r>
      <w:r>
        <w:rPr>
          <w:lang w:val="ru-RU"/>
        </w:rPr>
        <w:t>См</w:t>
      </w:r>
      <w:r w:rsidRPr="008A1233">
        <w:rPr>
          <w:lang w:val="fr-FR"/>
        </w:rPr>
        <w:t xml:space="preserve">. </w:t>
      </w:r>
      <w:hyperlink r:id="rId1" w:history="1">
        <w:r w:rsidRPr="007B6E80">
          <w:rPr>
            <w:rStyle w:val="af1"/>
            <w:lang w:val="fr-FR"/>
          </w:rPr>
          <w:t>www.ohchr.org/EN/HRBodies/OPCAT/ Pages/OPCATIndex.aspx.</w:t>
        </w:r>
      </w:hyperlink>
    </w:p>
  </w:footnote>
  <w:footnote w:id="2">
    <w:p w:rsidR="00882193" w:rsidRPr="007B6E80" w:rsidRDefault="00882193" w:rsidP="004C4817">
      <w:pPr>
        <w:pStyle w:val="aa"/>
        <w:rPr>
          <w:rStyle w:val="a6"/>
          <w:vertAlign w:val="baseline"/>
          <w:lang w:val="ru-RU"/>
        </w:rPr>
      </w:pPr>
      <w:r w:rsidRPr="007B6E80">
        <w:rPr>
          <w:rStyle w:val="a6"/>
          <w:lang w:val="fr-CH"/>
        </w:rPr>
        <w:tab/>
      </w:r>
      <w:r w:rsidRPr="00B40894">
        <w:rPr>
          <w:rStyle w:val="a6"/>
        </w:rPr>
        <w:footnoteRef/>
      </w:r>
      <w:r w:rsidRPr="007B6E80">
        <w:rPr>
          <w:rStyle w:val="a6"/>
          <w:lang w:val="fr-CH"/>
        </w:rPr>
        <w:tab/>
      </w:r>
      <w:r>
        <w:rPr>
          <w:lang w:val="ru-RU"/>
        </w:rPr>
        <w:t>См</w:t>
      </w:r>
      <w:r w:rsidRPr="007B6E80">
        <w:rPr>
          <w:lang w:val="fr-CH"/>
        </w:rPr>
        <w:t>.</w:t>
      </w:r>
      <w:hyperlink r:id="rId2" w:history="1">
        <w:r w:rsidRPr="007B6E80">
          <w:rPr>
            <w:rStyle w:val="af1"/>
            <w:lang w:val="fr-CH"/>
          </w:rPr>
          <w:t xml:space="preserve"> </w:t>
        </w:r>
        <w:r w:rsidRPr="007B6E80">
          <w:rPr>
            <w:rStyle w:val="af1"/>
          </w:rPr>
          <w:t>www</w:t>
        </w:r>
        <w:r w:rsidRPr="007B6E80">
          <w:rPr>
            <w:rStyle w:val="af1"/>
            <w:lang w:val="ru-RU"/>
          </w:rPr>
          <w:t>.</w:t>
        </w:r>
        <w:proofErr w:type="spellStart"/>
        <w:r w:rsidRPr="007B6E80">
          <w:rPr>
            <w:rStyle w:val="af1"/>
          </w:rPr>
          <w:t>ohchr</w:t>
        </w:r>
        <w:proofErr w:type="spellEnd"/>
        <w:r w:rsidRPr="007B6E80">
          <w:rPr>
            <w:rStyle w:val="af1"/>
            <w:lang w:val="ru-RU"/>
          </w:rPr>
          <w:t>.</w:t>
        </w:r>
        <w:r w:rsidRPr="007B6E80">
          <w:rPr>
            <w:rStyle w:val="af1"/>
          </w:rPr>
          <w:t>org</w:t>
        </w:r>
        <w:r w:rsidRPr="007B6E80">
          <w:rPr>
            <w:rStyle w:val="af1"/>
            <w:lang w:val="ru-RU"/>
          </w:rPr>
          <w:t>/</w:t>
        </w:r>
        <w:r w:rsidRPr="007B6E80">
          <w:rPr>
            <w:rStyle w:val="af1"/>
          </w:rPr>
          <w:t>EN</w:t>
        </w:r>
        <w:r w:rsidRPr="007B6E80">
          <w:rPr>
            <w:rStyle w:val="af1"/>
            <w:lang w:val="ru-RU"/>
          </w:rPr>
          <w:t>/</w:t>
        </w:r>
        <w:proofErr w:type="spellStart"/>
        <w:r w:rsidRPr="007B6E80">
          <w:rPr>
            <w:rStyle w:val="af1"/>
          </w:rPr>
          <w:t>HRBodies</w:t>
        </w:r>
        <w:proofErr w:type="spellEnd"/>
        <w:r w:rsidRPr="007B6E80">
          <w:rPr>
            <w:rStyle w:val="af1"/>
            <w:lang w:val="ru-RU"/>
          </w:rPr>
          <w:t>/</w:t>
        </w:r>
        <w:r w:rsidRPr="007B6E80">
          <w:rPr>
            <w:rStyle w:val="af1"/>
          </w:rPr>
          <w:t>OPCAT</w:t>
        </w:r>
        <w:r w:rsidRPr="007B6E80">
          <w:rPr>
            <w:rStyle w:val="af1"/>
            <w:lang w:val="ru-RU"/>
          </w:rPr>
          <w:t>/</w:t>
        </w:r>
        <w:r w:rsidRPr="007B6E80">
          <w:rPr>
            <w:rStyle w:val="af1"/>
          </w:rPr>
          <w:t>Pages</w:t>
        </w:r>
        <w:r w:rsidRPr="007B6E80">
          <w:rPr>
            <w:rStyle w:val="af1"/>
            <w:lang w:val="ru-RU"/>
          </w:rPr>
          <w:t>/</w:t>
        </w:r>
        <w:r w:rsidRPr="007B6E80">
          <w:rPr>
            <w:rStyle w:val="af1"/>
          </w:rPr>
          <w:t>Membership</w:t>
        </w:r>
        <w:r w:rsidRPr="007B6E80">
          <w:rPr>
            <w:rStyle w:val="af1"/>
            <w:lang w:val="ru-RU"/>
          </w:rPr>
          <w:t>.</w:t>
        </w:r>
        <w:proofErr w:type="spellStart"/>
        <w:r w:rsidRPr="007B6E80">
          <w:rPr>
            <w:rStyle w:val="af1"/>
          </w:rPr>
          <w:t>aspx</w:t>
        </w:r>
        <w:proofErr w:type="spellEnd"/>
      </w:hyperlink>
      <w:r w:rsidRPr="00563920">
        <w:rPr>
          <w:rStyle w:val="af1"/>
          <w:lang w:val="ru-RU"/>
        </w:rPr>
        <w:t>.</w:t>
      </w:r>
    </w:p>
  </w:footnote>
  <w:footnote w:id="3">
    <w:p w:rsidR="00882193" w:rsidRPr="00592982" w:rsidRDefault="00882193" w:rsidP="004C4817">
      <w:pPr>
        <w:pStyle w:val="aa"/>
        <w:rPr>
          <w:rStyle w:val="a6"/>
          <w:lang w:val="ru-RU"/>
        </w:rPr>
      </w:pPr>
      <w:r w:rsidRPr="0077541B">
        <w:rPr>
          <w:rStyle w:val="a6"/>
          <w:lang w:val="ru-RU"/>
        </w:rPr>
        <w:tab/>
      </w:r>
      <w:r w:rsidRPr="00B40894">
        <w:rPr>
          <w:rStyle w:val="a6"/>
        </w:rPr>
        <w:footnoteRef/>
      </w:r>
      <w:r w:rsidRPr="00592982">
        <w:rPr>
          <w:rStyle w:val="a6"/>
          <w:lang w:val="ru-RU"/>
        </w:rPr>
        <w:tab/>
      </w:r>
      <w:r w:rsidRPr="00DF1FAD">
        <w:rPr>
          <w:szCs w:val="18"/>
          <w:lang w:val="ru-RU"/>
        </w:rPr>
        <w:t xml:space="preserve">Специальный фонд получает добровольные взносы от правительств, межправительственных и неправительственных организаций и других частных </w:t>
      </w:r>
      <w:r w:rsidR="00C05D7C">
        <w:rPr>
          <w:szCs w:val="18"/>
          <w:lang w:val="ru-RU"/>
        </w:rPr>
        <w:br/>
      </w:r>
      <w:r w:rsidRPr="00DF1FAD">
        <w:rPr>
          <w:szCs w:val="18"/>
          <w:lang w:val="ru-RU"/>
        </w:rPr>
        <w:t>и государственных субъектов.</w:t>
      </w:r>
    </w:p>
  </w:footnote>
  <w:footnote w:id="4">
    <w:p w:rsidR="00882193" w:rsidRPr="00D567DF" w:rsidRDefault="00882193" w:rsidP="004C4817">
      <w:pPr>
        <w:pStyle w:val="aa"/>
        <w:rPr>
          <w:lang w:val="ru-RU"/>
        </w:rPr>
      </w:pPr>
      <w:r w:rsidRPr="00592982">
        <w:rPr>
          <w:lang w:val="ru-RU"/>
        </w:rPr>
        <w:tab/>
      </w:r>
      <w:r>
        <w:rPr>
          <w:rStyle w:val="a6"/>
        </w:rPr>
        <w:footnoteRef/>
      </w:r>
      <w:r w:rsidRPr="00D567DF">
        <w:rPr>
          <w:lang w:val="ru-RU"/>
        </w:rPr>
        <w:tab/>
        <w:t xml:space="preserve">Заявление Председателя </w:t>
      </w:r>
      <w:r>
        <w:rPr>
          <w:lang w:val="ru-RU"/>
        </w:rPr>
        <w:t xml:space="preserve">на </w:t>
      </w:r>
      <w:r w:rsidRPr="00D567DF">
        <w:rPr>
          <w:lang w:val="ru-RU"/>
        </w:rPr>
        <w:t>Генеральной Ассамблее</w:t>
      </w:r>
      <w:r>
        <w:rPr>
          <w:lang w:val="ru-RU"/>
        </w:rPr>
        <w:t xml:space="preserve"> размещено на следующем </w:t>
      </w:r>
      <w:r w:rsidR="00C05D7C">
        <w:rPr>
          <w:lang w:val="ru-RU"/>
        </w:rPr>
        <w:br/>
      </w:r>
      <w:r>
        <w:rPr>
          <w:lang w:val="ru-RU"/>
        </w:rPr>
        <w:t>веб-сайте:</w:t>
      </w:r>
      <w:hyperlink r:id="rId3" w:history="1">
        <w:r w:rsidRPr="00C05D7C">
          <w:rPr>
            <w:rStyle w:val="af1"/>
            <w:lang w:val="ru-RU"/>
          </w:rPr>
          <w:t xml:space="preserve"> </w:t>
        </w:r>
        <w:r w:rsidRPr="00C05D7C">
          <w:rPr>
            <w:rStyle w:val="af1"/>
          </w:rPr>
          <w:t>www</w:t>
        </w:r>
        <w:r w:rsidRPr="00C05D7C">
          <w:rPr>
            <w:rStyle w:val="af1"/>
            <w:lang w:val="ru-RU"/>
          </w:rPr>
          <w:t>.</w:t>
        </w:r>
        <w:proofErr w:type="spellStart"/>
        <w:r w:rsidRPr="00C05D7C">
          <w:rPr>
            <w:rStyle w:val="af1"/>
          </w:rPr>
          <w:t>ohchr</w:t>
        </w:r>
        <w:proofErr w:type="spellEnd"/>
        <w:r w:rsidRPr="00C05D7C">
          <w:rPr>
            <w:rStyle w:val="af1"/>
            <w:lang w:val="ru-RU"/>
          </w:rPr>
          <w:t>.</w:t>
        </w:r>
        <w:r w:rsidRPr="00C05D7C">
          <w:rPr>
            <w:rStyle w:val="af1"/>
          </w:rPr>
          <w:t>org</w:t>
        </w:r>
        <w:r w:rsidRPr="00C05D7C">
          <w:rPr>
            <w:rStyle w:val="af1"/>
            <w:lang w:val="ru-RU"/>
          </w:rPr>
          <w:t>/</w:t>
        </w:r>
        <w:r w:rsidRPr="00C05D7C">
          <w:rPr>
            <w:rStyle w:val="af1"/>
          </w:rPr>
          <w:t>EN</w:t>
        </w:r>
        <w:r w:rsidRPr="00C05D7C">
          <w:rPr>
            <w:rStyle w:val="af1"/>
            <w:lang w:val="ru-RU"/>
          </w:rPr>
          <w:t>/</w:t>
        </w:r>
        <w:proofErr w:type="spellStart"/>
        <w:r w:rsidRPr="00C05D7C">
          <w:rPr>
            <w:rStyle w:val="af1"/>
          </w:rPr>
          <w:t>NewsEvents</w:t>
        </w:r>
        <w:proofErr w:type="spellEnd"/>
        <w:r w:rsidRPr="00C05D7C">
          <w:rPr>
            <w:rStyle w:val="af1"/>
            <w:lang w:val="ru-RU"/>
          </w:rPr>
          <w:t>/</w:t>
        </w:r>
        <w:r w:rsidRPr="00C05D7C">
          <w:rPr>
            <w:rStyle w:val="af1"/>
          </w:rPr>
          <w:t>Pages</w:t>
        </w:r>
        <w:r w:rsidRPr="00C05D7C">
          <w:rPr>
            <w:rStyle w:val="af1"/>
            <w:lang w:val="ru-RU"/>
          </w:rPr>
          <w:t>/</w:t>
        </w:r>
        <w:proofErr w:type="spellStart"/>
        <w:r w:rsidRPr="00C05D7C">
          <w:rPr>
            <w:rStyle w:val="af1"/>
          </w:rPr>
          <w:t>DisplayNews</w:t>
        </w:r>
        <w:proofErr w:type="spellEnd"/>
        <w:r w:rsidRPr="00C05D7C">
          <w:rPr>
            <w:rStyle w:val="af1"/>
            <w:lang w:val="ru-RU"/>
          </w:rPr>
          <w:t>.</w:t>
        </w:r>
        <w:proofErr w:type="spellStart"/>
        <w:r w:rsidRPr="00C05D7C">
          <w:rPr>
            <w:rStyle w:val="af1"/>
          </w:rPr>
          <w:t>aspx</w:t>
        </w:r>
        <w:proofErr w:type="spellEnd"/>
        <w:r w:rsidRPr="00C05D7C">
          <w:rPr>
            <w:rStyle w:val="af1"/>
            <w:lang w:val="ru-RU"/>
          </w:rPr>
          <w:t>?</w:t>
        </w:r>
        <w:proofErr w:type="spellStart"/>
        <w:r w:rsidRPr="00C05D7C">
          <w:rPr>
            <w:rStyle w:val="af1"/>
          </w:rPr>
          <w:t>NewsID</w:t>
        </w:r>
        <w:proofErr w:type="spellEnd"/>
        <w:r w:rsidRPr="00C05D7C">
          <w:rPr>
            <w:rStyle w:val="af1"/>
            <w:lang w:val="ru-RU"/>
          </w:rPr>
          <w:t>=</w:t>
        </w:r>
        <w:r w:rsidRPr="00C05D7C">
          <w:rPr>
            <w:rStyle w:val="af1"/>
            <w:lang w:val="ru-RU"/>
          </w:rPr>
          <w:br/>
          <w:t>16717&amp;</w:t>
        </w:r>
        <w:proofErr w:type="spellStart"/>
        <w:r w:rsidRPr="00C05D7C">
          <w:rPr>
            <w:rStyle w:val="af1"/>
          </w:rPr>
          <w:t>LangID</w:t>
        </w:r>
        <w:proofErr w:type="spellEnd"/>
        <w:r w:rsidRPr="00C05D7C">
          <w:rPr>
            <w:rStyle w:val="af1"/>
            <w:lang w:val="ru-RU"/>
          </w:rPr>
          <w:t>=</w:t>
        </w:r>
        <w:r w:rsidRPr="00C05D7C">
          <w:rPr>
            <w:rStyle w:val="af1"/>
          </w:rPr>
          <w:t>E</w:t>
        </w:r>
      </w:hyperlink>
      <w:r w:rsidRPr="00D567DF">
        <w:rPr>
          <w:lang w:val="ru-RU"/>
        </w:rPr>
        <w:t>.</w:t>
      </w:r>
    </w:p>
  </w:footnote>
  <w:footnote w:id="5">
    <w:p w:rsidR="00882193" w:rsidRPr="0077541B" w:rsidRDefault="00882193" w:rsidP="004C4817">
      <w:pPr>
        <w:pStyle w:val="aa"/>
        <w:rPr>
          <w:szCs w:val="18"/>
          <w:lang w:val="ru-RU"/>
        </w:rPr>
      </w:pPr>
      <w:r w:rsidRPr="00D567DF">
        <w:rPr>
          <w:szCs w:val="18"/>
          <w:lang w:val="ru-RU"/>
        </w:rPr>
        <w:tab/>
      </w:r>
      <w:r w:rsidRPr="00B40894">
        <w:rPr>
          <w:rStyle w:val="a6"/>
          <w:szCs w:val="18"/>
        </w:rPr>
        <w:footnoteRef/>
      </w:r>
      <w:r w:rsidRPr="00D65587">
        <w:rPr>
          <w:rFonts w:eastAsia="Arial Unicode MS" w:hAnsi="Arial Unicode MS" w:cs="Arial Unicode MS"/>
          <w:szCs w:val="18"/>
          <w:lang w:val="ru-RU"/>
        </w:rPr>
        <w:tab/>
      </w:r>
      <w:r>
        <w:rPr>
          <w:szCs w:val="18"/>
          <w:lang w:val="ru-RU"/>
        </w:rPr>
        <w:t>См. </w:t>
      </w:r>
      <w:r w:rsidRPr="008335A3">
        <w:rPr>
          <w:szCs w:val="18"/>
          <w:lang w:val="ru-RU"/>
        </w:rPr>
        <w:t>Комитет по ликвидации дискриминации в отношении женщин, общ</w:t>
      </w:r>
      <w:r>
        <w:rPr>
          <w:szCs w:val="18"/>
          <w:lang w:val="ru-RU"/>
        </w:rPr>
        <w:t>ая</w:t>
      </w:r>
      <w:r w:rsidRPr="008335A3">
        <w:rPr>
          <w:szCs w:val="18"/>
          <w:lang w:val="ru-RU"/>
        </w:rPr>
        <w:t xml:space="preserve"> рекомендаци</w:t>
      </w:r>
      <w:r>
        <w:rPr>
          <w:szCs w:val="18"/>
          <w:lang w:val="ru-RU"/>
        </w:rPr>
        <w:t>я</w:t>
      </w:r>
      <w:r w:rsidRPr="008335A3">
        <w:rPr>
          <w:szCs w:val="18"/>
          <w:lang w:val="ru-RU"/>
        </w:rPr>
        <w:t xml:space="preserve"> № 28 (2010), касающ</w:t>
      </w:r>
      <w:r>
        <w:rPr>
          <w:szCs w:val="18"/>
          <w:lang w:val="ru-RU"/>
        </w:rPr>
        <w:t>ая</w:t>
      </w:r>
      <w:r w:rsidRPr="008335A3">
        <w:rPr>
          <w:szCs w:val="18"/>
          <w:lang w:val="ru-RU"/>
        </w:rPr>
        <w:t>ся основных обязательств государств-участников по статье 2 Конвенции о ликвидации всех форм дискриминации в отношении женщин, пункт 5.</w:t>
      </w:r>
    </w:p>
  </w:footnote>
  <w:footnote w:id="6">
    <w:p w:rsidR="00882193" w:rsidRPr="00666E13" w:rsidRDefault="00882193" w:rsidP="004C4817">
      <w:pPr>
        <w:pStyle w:val="aa"/>
        <w:rPr>
          <w:szCs w:val="18"/>
          <w:lang w:val="ru-RU"/>
        </w:rPr>
      </w:pPr>
      <w:r w:rsidRPr="0077541B">
        <w:rPr>
          <w:szCs w:val="18"/>
          <w:lang w:val="ru-RU"/>
        </w:rPr>
        <w:tab/>
      </w:r>
      <w:r w:rsidRPr="00B40894">
        <w:rPr>
          <w:rStyle w:val="a6"/>
          <w:szCs w:val="18"/>
        </w:rPr>
        <w:footnoteRef/>
      </w:r>
      <w:r w:rsidRPr="00666E13">
        <w:rPr>
          <w:rFonts w:eastAsia="Arial Unicode MS" w:hAnsi="Arial Unicode MS" w:cs="Arial Unicode MS"/>
          <w:szCs w:val="18"/>
          <w:lang w:val="ru-RU"/>
        </w:rPr>
        <w:tab/>
      </w:r>
      <w:r w:rsidRPr="00EA1BAF">
        <w:rPr>
          <w:rFonts w:eastAsia="Arial Unicode MS"/>
          <w:szCs w:val="18"/>
          <w:lang w:val="ru-RU"/>
        </w:rPr>
        <w:t>См. Комитет по экономическим, социальным и культурным правам, замечание общего порядка № 20 (2009) о недискриминации экономических, социальных и культурных прав, пункт 20.</w:t>
      </w:r>
    </w:p>
  </w:footnote>
  <w:footnote w:id="7">
    <w:p w:rsidR="00882193" w:rsidRPr="00B40894" w:rsidRDefault="00882193" w:rsidP="004C4817">
      <w:pPr>
        <w:pStyle w:val="aa"/>
        <w:rPr>
          <w:szCs w:val="18"/>
        </w:rPr>
      </w:pPr>
      <w:r w:rsidRPr="00666E13">
        <w:rPr>
          <w:szCs w:val="18"/>
          <w:lang w:val="ru-RU"/>
        </w:rPr>
        <w:tab/>
      </w:r>
      <w:r w:rsidRPr="00B40894">
        <w:rPr>
          <w:rStyle w:val="a6"/>
          <w:szCs w:val="18"/>
        </w:rPr>
        <w:footnoteRef/>
      </w:r>
      <w:r w:rsidRPr="00B40894">
        <w:rPr>
          <w:rFonts w:eastAsia="Arial Unicode MS" w:hAnsi="Arial Unicode MS" w:cs="Arial Unicode MS"/>
          <w:szCs w:val="18"/>
        </w:rPr>
        <w:tab/>
        <w:t xml:space="preserve">Pan American Health Organization (PAHO), </w:t>
      </w:r>
      <w:r w:rsidRPr="00B40894">
        <w:rPr>
          <w:rFonts w:eastAsia="Arial Unicode MS" w:hAnsi="Arial Unicode MS" w:cs="Arial Unicode MS"/>
          <w:i/>
          <w:iCs/>
          <w:szCs w:val="18"/>
        </w:rPr>
        <w:t>The Right of Young People to Health and Gender Identities: Findings, Trends and Targets for Public Health Action</w:t>
      </w:r>
      <w:r w:rsidRPr="00B40894">
        <w:rPr>
          <w:rFonts w:eastAsia="Arial Unicode MS" w:hAnsi="Arial Unicode MS" w:cs="Arial Unicode MS"/>
          <w:szCs w:val="18"/>
        </w:rPr>
        <w:t xml:space="preserve"> (Washington, D.C., PAHO, 2011), p. 7.</w:t>
      </w:r>
    </w:p>
  </w:footnote>
  <w:footnote w:id="8">
    <w:p w:rsidR="00882193" w:rsidRPr="00B40894" w:rsidRDefault="00882193" w:rsidP="004C4817">
      <w:pPr>
        <w:pStyle w:val="aa"/>
        <w:rPr>
          <w:szCs w:val="18"/>
        </w:rPr>
      </w:pPr>
      <w:r w:rsidRPr="00B40894">
        <w:rPr>
          <w:szCs w:val="18"/>
        </w:rPr>
        <w:tab/>
      </w:r>
      <w:r w:rsidRPr="00B40894">
        <w:rPr>
          <w:rStyle w:val="a6"/>
          <w:szCs w:val="18"/>
        </w:rPr>
        <w:footnoteRef/>
      </w:r>
      <w:r w:rsidRPr="00B40894">
        <w:rPr>
          <w:rFonts w:eastAsia="Arial Unicode MS" w:hAnsi="Arial Unicode MS" w:cs="Arial Unicode MS"/>
          <w:szCs w:val="18"/>
        </w:rPr>
        <w:tab/>
        <w:t xml:space="preserve">Institute of Medicine of the National Academies, </w:t>
      </w:r>
      <w:r w:rsidRPr="00B40894">
        <w:rPr>
          <w:rFonts w:eastAsia="Arial Unicode MS" w:hAnsi="Arial Unicode MS" w:cs="Arial Unicode MS"/>
          <w:i/>
          <w:iCs/>
          <w:szCs w:val="18"/>
        </w:rPr>
        <w:t>The Health of Lesbian, Gay, Bisexual, and Transgender People: Building a Foundation for Better Understanding</w:t>
      </w:r>
      <w:r w:rsidRPr="00B40894">
        <w:rPr>
          <w:rFonts w:eastAsia="Arial Unicode MS" w:hAnsi="Arial Unicode MS" w:cs="Arial Unicode MS"/>
          <w:szCs w:val="18"/>
        </w:rPr>
        <w:t xml:space="preserve"> (Washington, D.C., National Academies Press, 2011), p. 25.</w:t>
      </w:r>
    </w:p>
  </w:footnote>
  <w:footnote w:id="9">
    <w:p w:rsidR="00882193" w:rsidRPr="00224654" w:rsidRDefault="00882193" w:rsidP="004C4817">
      <w:pPr>
        <w:pStyle w:val="aa"/>
        <w:rPr>
          <w:szCs w:val="18"/>
          <w:lang w:val="ru-RU"/>
        </w:rPr>
      </w:pPr>
      <w:r w:rsidRPr="00B40894">
        <w:rPr>
          <w:szCs w:val="18"/>
        </w:rPr>
        <w:tab/>
      </w:r>
      <w:r w:rsidRPr="0052486E">
        <w:rPr>
          <w:rStyle w:val="a6"/>
          <w:szCs w:val="18"/>
        </w:rPr>
        <w:footnoteRef/>
      </w:r>
      <w:r w:rsidRPr="00910182">
        <w:rPr>
          <w:rFonts w:eastAsia="Arial Unicode MS" w:hAnsi="Arial Unicode MS" w:cs="Arial Unicode MS"/>
          <w:szCs w:val="18"/>
          <w:lang w:val="ru-RU"/>
        </w:rPr>
        <w:tab/>
      </w:r>
      <w:r w:rsidRPr="00224654">
        <w:rPr>
          <w:rFonts w:eastAsia="Arial Unicode MS"/>
          <w:szCs w:val="18"/>
          <w:lang w:val="ru-RU"/>
        </w:rPr>
        <w:t>См. сноску 5 выше.</w:t>
      </w:r>
    </w:p>
  </w:footnote>
  <w:footnote w:id="10">
    <w:p w:rsidR="00882193" w:rsidRPr="00224654" w:rsidRDefault="00882193" w:rsidP="004C4817">
      <w:pPr>
        <w:pStyle w:val="aa"/>
        <w:rPr>
          <w:szCs w:val="18"/>
          <w:lang w:val="ru-RU"/>
        </w:rPr>
      </w:pPr>
      <w:r w:rsidRPr="00224654">
        <w:rPr>
          <w:szCs w:val="18"/>
          <w:lang w:val="ru-RU"/>
        </w:rPr>
        <w:tab/>
      </w:r>
      <w:r w:rsidRPr="00224654">
        <w:rPr>
          <w:rStyle w:val="a6"/>
          <w:szCs w:val="18"/>
        </w:rPr>
        <w:footnoteRef/>
      </w:r>
      <w:r w:rsidRPr="00224654">
        <w:rPr>
          <w:rFonts w:eastAsia="Arial Unicode MS"/>
          <w:szCs w:val="18"/>
          <w:lang w:val="ru-RU"/>
        </w:rPr>
        <w:tab/>
        <w:t xml:space="preserve">См. </w:t>
      </w:r>
      <w:proofErr w:type="spellStart"/>
      <w:r w:rsidRPr="00224654">
        <w:rPr>
          <w:rFonts w:eastAsia="Arial Unicode MS"/>
          <w:szCs w:val="18"/>
          <w:lang w:val="ru-RU"/>
        </w:rPr>
        <w:t>Джокьякартские</w:t>
      </w:r>
      <w:proofErr w:type="spellEnd"/>
      <w:r w:rsidRPr="00224654">
        <w:rPr>
          <w:rFonts w:eastAsia="Arial Unicode MS"/>
          <w:szCs w:val="18"/>
          <w:lang w:val="ru-RU"/>
        </w:rPr>
        <w:t xml:space="preserve"> принципы применения международно-правовых норм о правах человека в отношении сексуальной ориентации и гендерной идентичности, преамбула.</w:t>
      </w:r>
    </w:p>
  </w:footnote>
  <w:footnote w:id="11">
    <w:p w:rsidR="00882193" w:rsidRPr="00EA09CC" w:rsidRDefault="00882193" w:rsidP="004C4817">
      <w:pPr>
        <w:pStyle w:val="aa"/>
        <w:rPr>
          <w:szCs w:val="18"/>
          <w:lang w:val="ru-RU"/>
        </w:rPr>
      </w:pPr>
      <w:r w:rsidRPr="00910182">
        <w:rPr>
          <w:szCs w:val="18"/>
          <w:lang w:val="ru-RU"/>
        </w:rPr>
        <w:tab/>
      </w:r>
      <w:r w:rsidRPr="00016C7B">
        <w:rPr>
          <w:rStyle w:val="a6"/>
          <w:szCs w:val="18"/>
        </w:rPr>
        <w:footnoteRef/>
      </w:r>
      <w:r w:rsidRPr="00EA09CC">
        <w:rPr>
          <w:rFonts w:eastAsia="Arial Unicode MS" w:hAnsi="Arial Unicode MS" w:cs="Arial Unicode MS"/>
          <w:szCs w:val="18"/>
          <w:lang w:val="ru-RU"/>
        </w:rPr>
        <w:tab/>
      </w:r>
      <w:r w:rsidRPr="00D65587">
        <w:rPr>
          <w:rFonts w:eastAsia="Arial Unicode MS"/>
          <w:szCs w:val="18"/>
          <w:lang w:val="ru-RU"/>
        </w:rPr>
        <w:t>Там</w:t>
      </w:r>
      <w:r w:rsidRPr="00EA09CC">
        <w:rPr>
          <w:rFonts w:eastAsia="Arial Unicode MS"/>
          <w:szCs w:val="18"/>
          <w:lang w:val="ru-RU"/>
        </w:rPr>
        <w:t xml:space="preserve"> </w:t>
      </w:r>
      <w:r w:rsidRPr="00D65587">
        <w:rPr>
          <w:rFonts w:eastAsia="Arial Unicode MS"/>
          <w:szCs w:val="18"/>
          <w:lang w:val="ru-RU"/>
        </w:rPr>
        <w:t>же</w:t>
      </w:r>
      <w:r w:rsidRPr="00EA09CC">
        <w:rPr>
          <w:rFonts w:eastAsia="Arial Unicode MS" w:hAnsi="Arial Unicode MS" w:cs="Arial Unicode MS"/>
          <w:szCs w:val="18"/>
          <w:lang w:val="ru-RU"/>
        </w:rPr>
        <w:t>.</w:t>
      </w:r>
    </w:p>
  </w:footnote>
  <w:footnote w:id="12">
    <w:p w:rsidR="00882193" w:rsidRPr="00D65587" w:rsidRDefault="00882193" w:rsidP="004C4817">
      <w:pPr>
        <w:pStyle w:val="aa"/>
        <w:rPr>
          <w:szCs w:val="18"/>
          <w:lang w:val="ru-RU"/>
        </w:rPr>
      </w:pPr>
      <w:r w:rsidRPr="00EA09CC">
        <w:rPr>
          <w:szCs w:val="18"/>
          <w:lang w:val="ru-RU"/>
        </w:rPr>
        <w:tab/>
      </w:r>
      <w:r w:rsidRPr="00B40894">
        <w:rPr>
          <w:rStyle w:val="a6"/>
          <w:szCs w:val="18"/>
        </w:rPr>
        <w:footnoteRef/>
      </w:r>
      <w:r w:rsidRPr="00D65587">
        <w:rPr>
          <w:rFonts w:eastAsia="Arial Unicode MS" w:hAnsi="Arial Unicode MS" w:cs="Arial Unicode MS"/>
          <w:szCs w:val="18"/>
          <w:lang w:val="ru-RU"/>
        </w:rPr>
        <w:tab/>
      </w:r>
      <w:r w:rsidRPr="00D65587">
        <w:rPr>
          <w:color w:val="000000"/>
          <w:lang w:val="ru-RU"/>
        </w:rPr>
        <w:t xml:space="preserve">См. информационный бюллетень </w:t>
      </w:r>
      <w:r>
        <w:rPr>
          <w:color w:val="000000"/>
          <w:lang w:val="ru-RU"/>
        </w:rPr>
        <w:t>по интерсексуальности, имеется на веб-сайте</w:t>
      </w:r>
      <w:r w:rsidRPr="00D65587">
        <w:rPr>
          <w:rFonts w:eastAsia="Arial Unicode MS" w:hAnsi="Arial Unicode MS" w:cs="Arial Unicode MS"/>
          <w:szCs w:val="18"/>
          <w:lang w:val="ru-RU"/>
        </w:rPr>
        <w:t xml:space="preserve"> </w:t>
      </w:r>
      <w:r w:rsidR="00A23524">
        <w:rPr>
          <w:rFonts w:eastAsia="Arial Unicode MS" w:hAnsi="Arial Unicode MS" w:cs="Arial Unicode MS"/>
          <w:szCs w:val="18"/>
          <w:lang w:val="ru-RU"/>
        </w:rPr>
        <w:br/>
      </w:r>
      <w:r w:rsidRPr="00ED4FB7">
        <w:rPr>
          <w:color w:val="000000"/>
          <w:lang w:val="ru-RU"/>
        </w:rPr>
        <w:t>по адресу</w:t>
      </w:r>
      <w:r>
        <w:rPr>
          <w:rFonts w:eastAsia="Arial Unicode MS" w:hAnsi="Arial Unicode MS" w:cs="Arial Unicode MS"/>
          <w:szCs w:val="18"/>
          <w:lang w:val="ru-RU"/>
        </w:rPr>
        <w:t xml:space="preserve"> </w:t>
      </w:r>
      <w:hyperlink r:id="rId4" w:history="1">
        <w:r w:rsidRPr="00611E25">
          <w:rPr>
            <w:rStyle w:val="af1"/>
            <w:rFonts w:eastAsia="Arial Unicode MS" w:hAnsi="Arial Unicode MS" w:cs="Arial Unicode MS"/>
            <w:szCs w:val="18"/>
          </w:rPr>
          <w:t>www</w:t>
        </w:r>
        <w:r w:rsidRPr="00D65587">
          <w:rPr>
            <w:rStyle w:val="af1"/>
            <w:rFonts w:eastAsia="Arial Unicode MS" w:hAnsi="Arial Unicode MS" w:cs="Arial Unicode MS"/>
            <w:szCs w:val="18"/>
            <w:lang w:val="ru-RU"/>
          </w:rPr>
          <w:t>.</w:t>
        </w:r>
        <w:proofErr w:type="spellStart"/>
        <w:r w:rsidRPr="00611E25">
          <w:rPr>
            <w:rStyle w:val="af1"/>
            <w:rFonts w:eastAsia="Arial Unicode MS" w:hAnsi="Arial Unicode MS" w:cs="Arial Unicode MS"/>
            <w:szCs w:val="18"/>
          </w:rPr>
          <w:t>unfe</w:t>
        </w:r>
        <w:proofErr w:type="spellEnd"/>
        <w:r w:rsidRPr="00D65587">
          <w:rPr>
            <w:rStyle w:val="af1"/>
            <w:rFonts w:eastAsia="Arial Unicode MS" w:hAnsi="Arial Unicode MS" w:cs="Arial Unicode MS"/>
            <w:szCs w:val="18"/>
            <w:lang w:val="ru-RU"/>
          </w:rPr>
          <w:t>.</w:t>
        </w:r>
        <w:r w:rsidRPr="00611E25">
          <w:rPr>
            <w:rStyle w:val="af1"/>
            <w:rFonts w:eastAsia="Arial Unicode MS" w:hAnsi="Arial Unicode MS" w:cs="Arial Unicode MS"/>
            <w:szCs w:val="18"/>
          </w:rPr>
          <w:t>org</w:t>
        </w:r>
        <w:r w:rsidRPr="00D65587">
          <w:rPr>
            <w:rStyle w:val="af1"/>
            <w:rFonts w:eastAsia="Arial Unicode MS" w:hAnsi="Arial Unicode MS" w:cs="Arial Unicode MS"/>
            <w:szCs w:val="18"/>
            <w:lang w:val="ru-RU"/>
          </w:rPr>
          <w:t>/</w:t>
        </w:r>
        <w:proofErr w:type="spellStart"/>
        <w:r w:rsidRPr="00611E25">
          <w:rPr>
            <w:rStyle w:val="af1"/>
            <w:rFonts w:eastAsia="Arial Unicode MS" w:hAnsi="Arial Unicode MS" w:cs="Arial Unicode MS"/>
            <w:szCs w:val="18"/>
          </w:rPr>
          <w:t>en</w:t>
        </w:r>
        <w:proofErr w:type="spellEnd"/>
        <w:r w:rsidRPr="00D65587">
          <w:rPr>
            <w:rStyle w:val="af1"/>
            <w:rFonts w:eastAsia="Arial Unicode MS" w:hAnsi="Arial Unicode MS" w:cs="Arial Unicode MS"/>
            <w:szCs w:val="18"/>
            <w:lang w:val="ru-RU"/>
          </w:rPr>
          <w:t>/</w:t>
        </w:r>
        <w:r w:rsidRPr="00611E25">
          <w:rPr>
            <w:rStyle w:val="af1"/>
            <w:rFonts w:eastAsia="Arial Unicode MS" w:hAnsi="Arial Unicode MS" w:cs="Arial Unicode MS"/>
            <w:szCs w:val="18"/>
          </w:rPr>
          <w:t>fact</w:t>
        </w:r>
        <w:r w:rsidRPr="00D65587">
          <w:rPr>
            <w:rStyle w:val="af1"/>
            <w:rFonts w:eastAsia="Arial Unicode MS" w:hAnsi="Arial Unicode MS" w:cs="Arial Unicode MS"/>
            <w:szCs w:val="18"/>
            <w:lang w:val="ru-RU"/>
          </w:rPr>
          <w:t>-</w:t>
        </w:r>
        <w:r w:rsidRPr="00611E25">
          <w:rPr>
            <w:rStyle w:val="af1"/>
            <w:rFonts w:eastAsia="Arial Unicode MS" w:hAnsi="Arial Unicode MS" w:cs="Arial Unicode MS"/>
            <w:szCs w:val="18"/>
          </w:rPr>
          <w:t>sheets</w:t>
        </w:r>
      </w:hyperlink>
      <w:r w:rsidRPr="00D65587">
        <w:rPr>
          <w:rStyle w:val="af1"/>
          <w:rFonts w:eastAsia="Arial Unicode MS" w:hAnsi="Arial Unicode MS" w:cs="Arial Unicode MS"/>
          <w:szCs w:val="18"/>
          <w:lang w:val="ru-RU"/>
        </w:rPr>
        <w:t>.</w:t>
      </w:r>
    </w:p>
  </w:footnote>
  <w:footnote w:id="13">
    <w:p w:rsidR="00882193" w:rsidRPr="006C40FB" w:rsidRDefault="00882193" w:rsidP="004C4817">
      <w:pPr>
        <w:pStyle w:val="aa"/>
        <w:rPr>
          <w:i/>
          <w:szCs w:val="18"/>
          <w:lang w:val="ru-RU"/>
        </w:rPr>
      </w:pPr>
      <w:r w:rsidRPr="00D65587">
        <w:rPr>
          <w:szCs w:val="18"/>
          <w:lang w:val="ru-RU"/>
        </w:rPr>
        <w:tab/>
      </w:r>
      <w:r w:rsidRPr="00B40894">
        <w:rPr>
          <w:rStyle w:val="a6"/>
          <w:szCs w:val="18"/>
        </w:rPr>
        <w:footnoteRef/>
      </w:r>
      <w:r w:rsidRPr="00B40894">
        <w:rPr>
          <w:rFonts w:eastAsia="Arial Unicode MS" w:hAnsi="Arial Unicode MS" w:cs="Arial Unicode MS"/>
          <w:szCs w:val="18"/>
        </w:rPr>
        <w:tab/>
      </w:r>
      <w:r w:rsidRPr="00D65587">
        <w:rPr>
          <w:color w:val="000000"/>
          <w:lang w:val="ru-RU"/>
        </w:rPr>
        <w:t>См</w:t>
      </w:r>
      <w:r w:rsidRPr="00E64AF8">
        <w:rPr>
          <w:color w:val="000000"/>
        </w:rPr>
        <w:t xml:space="preserve">. </w:t>
      </w:r>
      <w:r w:rsidRPr="0072367E">
        <w:rPr>
          <w:rFonts w:eastAsia="Arial Unicode MS" w:hAnsi="Arial Unicode MS" w:cs="Arial Unicode MS"/>
          <w:szCs w:val="18"/>
        </w:rPr>
        <w:t xml:space="preserve">Inter-American Commission on Human Rights, </w:t>
      </w:r>
      <w:r w:rsidRPr="0072367E">
        <w:rPr>
          <w:rFonts w:ascii="Arial Unicode MS"/>
        </w:rPr>
        <w:t>“</w:t>
      </w:r>
      <w:r w:rsidRPr="0072367E">
        <w:rPr>
          <w:rFonts w:eastAsia="Arial Unicode MS" w:hAnsi="Arial Unicode MS" w:cs="Arial Unicode MS"/>
          <w:szCs w:val="18"/>
        </w:rPr>
        <w:t>Report on the situation of human rights in Jamaica</w:t>
      </w:r>
      <w:r w:rsidRPr="0072367E">
        <w:rPr>
          <w:rFonts w:ascii="Arial Unicode MS"/>
        </w:rPr>
        <w:t>”</w:t>
      </w:r>
      <w:r w:rsidRPr="0072367E">
        <w:rPr>
          <w:rFonts w:eastAsia="Arial Unicode MS" w:hAnsi="Arial Unicode MS" w:cs="Arial Unicode MS"/>
          <w:szCs w:val="18"/>
        </w:rPr>
        <w:t xml:space="preserve"> (2012), para. </w:t>
      </w:r>
      <w:r w:rsidRPr="00D65587">
        <w:rPr>
          <w:rFonts w:eastAsia="Arial Unicode MS" w:hAnsi="Arial Unicode MS" w:cs="Arial Unicode MS"/>
          <w:szCs w:val="18"/>
          <w:lang w:val="ru-RU"/>
        </w:rPr>
        <w:t xml:space="preserve">271. </w:t>
      </w:r>
      <w:r>
        <w:rPr>
          <w:color w:val="000000"/>
          <w:lang w:val="ru-RU"/>
        </w:rPr>
        <w:t>Имеется на веб-сайте</w:t>
      </w:r>
      <w:r w:rsidRPr="00D65587">
        <w:rPr>
          <w:rFonts w:eastAsia="Arial Unicode MS" w:hAnsi="Arial Unicode MS" w:cs="Arial Unicode MS"/>
          <w:szCs w:val="18"/>
          <w:lang w:val="ru-RU"/>
        </w:rPr>
        <w:t xml:space="preserve"> </w:t>
      </w:r>
      <w:r w:rsidRPr="00ED4FB7">
        <w:rPr>
          <w:color w:val="000000"/>
          <w:lang w:val="ru-RU"/>
        </w:rPr>
        <w:t>по адресу</w:t>
      </w:r>
      <w:r>
        <w:rPr>
          <w:rFonts w:eastAsia="Arial Unicode MS" w:hAnsi="Arial Unicode MS" w:cs="Arial Unicode MS"/>
          <w:szCs w:val="18"/>
          <w:lang w:val="ru-RU"/>
        </w:rPr>
        <w:t xml:space="preserve"> </w:t>
      </w:r>
      <w:hyperlink r:id="rId5" w:history="1">
        <w:r w:rsidR="006C40FB" w:rsidRPr="006C40FB">
          <w:rPr>
            <w:rStyle w:val="af1"/>
            <w:rFonts w:eastAsia="Arial Unicode MS" w:hAnsi="Arial Unicode MS" w:cs="Arial Unicode MS"/>
            <w:szCs w:val="18"/>
            <w:lang w:val="ru-RU"/>
          </w:rPr>
          <w:t>http://www.oas.org/</w:t>
        </w:r>
        <w:r w:rsidR="006C40FB">
          <w:rPr>
            <w:rStyle w:val="af1"/>
            <w:rFonts w:eastAsia="Arial Unicode MS" w:hAnsi="Arial Unicode MS" w:cs="Arial Unicode MS"/>
            <w:szCs w:val="18"/>
            <w:lang w:val="ru-RU"/>
          </w:rPr>
          <w:br/>
        </w:r>
        <w:proofErr w:type="spellStart"/>
        <w:r w:rsidR="006C40FB" w:rsidRPr="006C40FB">
          <w:rPr>
            <w:rStyle w:val="af1"/>
            <w:rFonts w:eastAsia="Arial Unicode MS" w:hAnsi="Arial Unicode MS" w:cs="Arial Unicode MS"/>
            <w:szCs w:val="18"/>
            <w:lang w:val="ru-RU"/>
          </w:rPr>
          <w:t>en</w:t>
        </w:r>
        <w:proofErr w:type="spellEnd"/>
        <w:r w:rsidR="006C40FB" w:rsidRPr="006C40FB">
          <w:rPr>
            <w:rStyle w:val="af1"/>
            <w:rFonts w:eastAsia="Arial Unicode MS" w:hAnsi="Arial Unicode MS" w:cs="Arial Unicode MS"/>
            <w:szCs w:val="18"/>
            <w:lang w:val="ru-RU"/>
          </w:rPr>
          <w:t>/</w:t>
        </w:r>
        <w:proofErr w:type="spellStart"/>
        <w:r w:rsidR="006C40FB" w:rsidRPr="006C40FB">
          <w:rPr>
            <w:rStyle w:val="af1"/>
            <w:rFonts w:eastAsia="Arial Unicode MS" w:hAnsi="Arial Unicode MS" w:cs="Arial Unicode MS"/>
            <w:szCs w:val="18"/>
            <w:lang w:val="ru-RU"/>
          </w:rPr>
          <w:t>iachr</w:t>
        </w:r>
        <w:proofErr w:type="spellEnd"/>
        <w:r w:rsidR="006C40FB" w:rsidRPr="006C40FB">
          <w:rPr>
            <w:rStyle w:val="af1"/>
            <w:rFonts w:eastAsia="Arial Unicode MS" w:hAnsi="Arial Unicode MS" w:cs="Arial Unicode MS"/>
            <w:szCs w:val="18"/>
            <w:lang w:val="ru-RU"/>
          </w:rPr>
          <w:t>/</w:t>
        </w:r>
        <w:proofErr w:type="spellStart"/>
        <w:r w:rsidR="006C40FB" w:rsidRPr="006C40FB">
          <w:rPr>
            <w:rStyle w:val="af1"/>
            <w:rFonts w:eastAsia="Arial Unicode MS" w:hAnsi="Arial Unicode MS" w:cs="Arial Unicode MS"/>
            <w:szCs w:val="18"/>
            <w:lang w:val="ru-RU"/>
          </w:rPr>
          <w:t>docs</w:t>
        </w:r>
        <w:proofErr w:type="spellEnd"/>
        <w:r w:rsidR="006C40FB" w:rsidRPr="006C40FB">
          <w:rPr>
            <w:rStyle w:val="af1"/>
            <w:rFonts w:eastAsia="Arial Unicode MS" w:hAnsi="Arial Unicode MS" w:cs="Arial Unicode MS"/>
            <w:szCs w:val="18"/>
            <w:lang w:val="ru-RU"/>
          </w:rPr>
          <w:t>/</w:t>
        </w:r>
        <w:proofErr w:type="spellStart"/>
        <w:r w:rsidR="006C40FB" w:rsidRPr="006C40FB">
          <w:rPr>
            <w:rStyle w:val="af1"/>
            <w:rFonts w:eastAsia="Arial Unicode MS" w:hAnsi="Arial Unicode MS" w:cs="Arial Unicode MS"/>
            <w:szCs w:val="18"/>
            <w:lang w:val="ru-RU"/>
          </w:rPr>
          <w:t>pdf</w:t>
        </w:r>
        <w:proofErr w:type="spellEnd"/>
        <w:r w:rsidR="006C40FB" w:rsidRPr="006C40FB">
          <w:rPr>
            <w:rStyle w:val="af1"/>
            <w:rFonts w:eastAsia="Arial Unicode MS" w:hAnsi="Arial Unicode MS" w:cs="Arial Unicode MS"/>
            <w:szCs w:val="18"/>
            <w:lang w:val="ru-RU"/>
          </w:rPr>
          <w:t>/Jamaica2012eng.pdf.</w:t>
        </w:r>
      </w:hyperlink>
    </w:p>
  </w:footnote>
  <w:footnote w:id="14">
    <w:p w:rsidR="00882193" w:rsidRPr="00B40894" w:rsidRDefault="00882193" w:rsidP="004C4817">
      <w:pPr>
        <w:pStyle w:val="aa"/>
        <w:rPr>
          <w:szCs w:val="18"/>
        </w:rPr>
      </w:pPr>
      <w:r w:rsidRPr="00D65587">
        <w:rPr>
          <w:szCs w:val="18"/>
          <w:lang w:val="ru-RU"/>
        </w:rPr>
        <w:tab/>
      </w:r>
      <w:r w:rsidRPr="00B40894">
        <w:rPr>
          <w:rStyle w:val="a6"/>
          <w:szCs w:val="18"/>
        </w:rPr>
        <w:footnoteRef/>
      </w:r>
      <w:r w:rsidRPr="00B40894">
        <w:rPr>
          <w:rFonts w:eastAsia="Arial Unicode MS" w:hAnsi="Arial Unicode MS" w:cs="Arial Unicode MS"/>
          <w:szCs w:val="18"/>
        </w:rPr>
        <w:tab/>
        <w:t xml:space="preserve">PAHO, </w:t>
      </w:r>
      <w:r w:rsidRPr="00B40894">
        <w:rPr>
          <w:rFonts w:ascii="Arial Unicode MS"/>
        </w:rPr>
        <w:t>“</w:t>
      </w:r>
      <w:r w:rsidRPr="00B40894">
        <w:rPr>
          <w:rFonts w:eastAsia="Arial Unicode MS" w:hAnsi="Arial Unicode MS" w:cs="Arial Unicode MS"/>
          <w:szCs w:val="18"/>
        </w:rPr>
        <w:t>Blueprint for the provision of comprehensive care to transgender and transsexual persons and their communities in Latin America and the Caribbean (LAC)</w:t>
      </w:r>
      <w:r w:rsidRPr="00B40894">
        <w:rPr>
          <w:rFonts w:ascii="Arial Unicode MS"/>
        </w:rPr>
        <w:t>”</w:t>
      </w:r>
      <w:r w:rsidRPr="00B40894">
        <w:rPr>
          <w:rFonts w:eastAsia="Arial Unicode MS" w:hAnsi="Arial Unicode MS" w:cs="Arial Unicode MS"/>
          <w:szCs w:val="18"/>
        </w:rPr>
        <w:t>, p. 7.</w:t>
      </w:r>
    </w:p>
  </w:footnote>
  <w:footnote w:id="15">
    <w:p w:rsidR="00882193" w:rsidRPr="005D18D4" w:rsidRDefault="00882193" w:rsidP="004C4817">
      <w:pPr>
        <w:pStyle w:val="aa"/>
        <w:rPr>
          <w:color w:val="000000"/>
          <w:lang w:val="ru-RU"/>
        </w:rPr>
      </w:pPr>
      <w:r w:rsidRPr="00B40894">
        <w:rPr>
          <w:szCs w:val="18"/>
        </w:rPr>
        <w:tab/>
      </w:r>
      <w:r w:rsidRPr="00B40894">
        <w:rPr>
          <w:rStyle w:val="a6"/>
          <w:szCs w:val="18"/>
        </w:rPr>
        <w:footnoteRef/>
      </w:r>
      <w:r w:rsidRPr="00B044D1">
        <w:rPr>
          <w:rFonts w:eastAsia="Arial Unicode MS" w:hAnsi="Arial Unicode MS" w:cs="Arial Unicode MS"/>
          <w:szCs w:val="18"/>
          <w:lang w:val="ru-RU"/>
        </w:rPr>
        <w:tab/>
      </w:r>
      <w:r w:rsidRPr="005D18D4">
        <w:rPr>
          <w:color w:val="000000"/>
          <w:lang w:val="ru-RU"/>
        </w:rPr>
        <w:t>См., например, Рабочая группа по произвольным задержаниям, решение № 22/2006 (Камерун).</w:t>
      </w:r>
    </w:p>
  </w:footnote>
  <w:footnote w:id="16">
    <w:p w:rsidR="00882193" w:rsidRPr="00B40894" w:rsidRDefault="00882193" w:rsidP="004C4817">
      <w:pPr>
        <w:pStyle w:val="aa"/>
        <w:rPr>
          <w:szCs w:val="18"/>
        </w:rPr>
      </w:pPr>
      <w:r w:rsidRPr="00B044D1">
        <w:rPr>
          <w:szCs w:val="18"/>
          <w:lang w:val="ru-RU"/>
        </w:rPr>
        <w:tab/>
      </w:r>
      <w:r w:rsidRPr="00B40894">
        <w:rPr>
          <w:rStyle w:val="a6"/>
          <w:szCs w:val="18"/>
        </w:rPr>
        <w:footnoteRef/>
      </w:r>
      <w:r w:rsidRPr="00B40894">
        <w:rPr>
          <w:rFonts w:eastAsia="Arial Unicode MS" w:hAnsi="Arial Unicode MS" w:cs="Arial Unicode MS"/>
          <w:szCs w:val="18"/>
        </w:rPr>
        <w:tab/>
        <w:t xml:space="preserve">Jaime M. Grant and others, </w:t>
      </w:r>
      <w:r w:rsidRPr="00080B2B">
        <w:rPr>
          <w:rFonts w:eastAsia="Arial Unicode MS" w:hAnsi="Arial Unicode MS" w:cs="Arial Unicode MS"/>
          <w:i/>
          <w:iCs/>
          <w:szCs w:val="18"/>
        </w:rPr>
        <w:t>Injustice at Every Turn: A Report of the Transgender Discrimination Survey</w:t>
      </w:r>
      <w:r w:rsidRPr="00B40894">
        <w:rPr>
          <w:rFonts w:eastAsia="Arial Unicode MS" w:hAnsi="Arial Unicode MS" w:cs="Arial Unicode MS"/>
          <w:szCs w:val="18"/>
        </w:rPr>
        <w:t xml:space="preserve"> (Washington, National Gay and Lesbian Task Force and National </w:t>
      </w:r>
      <w:proofErr w:type="spellStart"/>
      <w:r w:rsidRPr="00B40894">
        <w:rPr>
          <w:rFonts w:eastAsia="Arial Unicode MS" w:hAnsi="Arial Unicode MS" w:cs="Arial Unicode MS"/>
          <w:szCs w:val="18"/>
        </w:rPr>
        <w:t>Center</w:t>
      </w:r>
      <w:proofErr w:type="spellEnd"/>
      <w:r w:rsidRPr="00B40894">
        <w:rPr>
          <w:rFonts w:eastAsia="Arial Unicode MS" w:hAnsi="Arial Unicode MS" w:cs="Arial Unicode MS"/>
          <w:szCs w:val="18"/>
        </w:rPr>
        <w:t xml:space="preserve"> for Transgender Equality, 2011), p. 163.</w:t>
      </w:r>
    </w:p>
  </w:footnote>
  <w:footnote w:id="17">
    <w:p w:rsidR="00882193" w:rsidRPr="00095878" w:rsidRDefault="00882193" w:rsidP="004C4817">
      <w:pPr>
        <w:pStyle w:val="aa"/>
        <w:rPr>
          <w:szCs w:val="18"/>
          <w:lang w:val="ru-RU"/>
        </w:rPr>
      </w:pPr>
      <w:r w:rsidRPr="00B40894">
        <w:rPr>
          <w:szCs w:val="18"/>
        </w:rPr>
        <w:tab/>
      </w:r>
      <w:r w:rsidRPr="00B40894">
        <w:rPr>
          <w:rStyle w:val="a6"/>
          <w:szCs w:val="18"/>
        </w:rPr>
        <w:footnoteRef/>
      </w:r>
      <w:r w:rsidRPr="00567FE8">
        <w:rPr>
          <w:rFonts w:eastAsia="Arial Unicode MS" w:hAnsi="Arial Unicode MS" w:cs="Arial Unicode MS"/>
          <w:szCs w:val="18"/>
          <w:lang w:val="ru-RU"/>
        </w:rPr>
        <w:tab/>
      </w:r>
      <w:r w:rsidRPr="00095878">
        <w:rPr>
          <w:szCs w:val="18"/>
          <w:lang w:val="ru-RU"/>
        </w:rPr>
        <w:t xml:space="preserve">См. </w:t>
      </w:r>
      <w:r w:rsidRPr="00095878">
        <w:rPr>
          <w:szCs w:val="18"/>
        </w:rPr>
        <w:t>A</w:t>
      </w:r>
      <w:r w:rsidRPr="00095878">
        <w:rPr>
          <w:szCs w:val="18"/>
          <w:lang w:val="ru-RU"/>
        </w:rPr>
        <w:t>/</w:t>
      </w:r>
      <w:r w:rsidRPr="00095878">
        <w:rPr>
          <w:szCs w:val="18"/>
        </w:rPr>
        <w:t>HRC</w:t>
      </w:r>
      <w:r w:rsidRPr="00095878">
        <w:rPr>
          <w:szCs w:val="18"/>
          <w:lang w:val="ru-RU"/>
        </w:rPr>
        <w:t>/13/39/</w:t>
      </w:r>
      <w:r w:rsidRPr="00095878">
        <w:rPr>
          <w:szCs w:val="18"/>
        </w:rPr>
        <w:t>Add</w:t>
      </w:r>
      <w:r w:rsidRPr="00095878">
        <w:rPr>
          <w:szCs w:val="18"/>
          <w:lang w:val="ru-RU"/>
        </w:rPr>
        <w:t>.5, пункт 231</w:t>
      </w:r>
      <w:r>
        <w:rPr>
          <w:szCs w:val="18"/>
          <w:lang w:val="ru-RU"/>
        </w:rPr>
        <w:t>,</w:t>
      </w:r>
      <w:r w:rsidRPr="00095878">
        <w:rPr>
          <w:szCs w:val="18"/>
          <w:lang w:val="ru-RU"/>
        </w:rPr>
        <w:t xml:space="preserve"> и </w:t>
      </w:r>
      <w:r w:rsidRPr="00095878">
        <w:rPr>
          <w:szCs w:val="18"/>
        </w:rPr>
        <w:t>A</w:t>
      </w:r>
      <w:r w:rsidRPr="00095878">
        <w:rPr>
          <w:szCs w:val="18"/>
          <w:lang w:val="ru-RU"/>
        </w:rPr>
        <w:t xml:space="preserve">/56/156, пункт 19. Специальный докладчик также отмечает отсутствие соответствующих статистических данных, </w:t>
      </w:r>
      <w:r>
        <w:rPr>
          <w:szCs w:val="18"/>
          <w:lang w:val="ru-RU"/>
        </w:rPr>
        <w:t xml:space="preserve">из-за чего </w:t>
      </w:r>
      <w:r w:rsidRPr="00095878">
        <w:rPr>
          <w:szCs w:val="18"/>
          <w:lang w:val="ru-RU"/>
        </w:rPr>
        <w:t>проблемы, с которыми сталкиваются лесбиян</w:t>
      </w:r>
      <w:r>
        <w:rPr>
          <w:szCs w:val="18"/>
          <w:lang w:val="ru-RU"/>
        </w:rPr>
        <w:t>ки</w:t>
      </w:r>
      <w:r w:rsidRPr="00095878">
        <w:rPr>
          <w:szCs w:val="18"/>
          <w:lang w:val="ru-RU"/>
        </w:rPr>
        <w:t xml:space="preserve">, </w:t>
      </w:r>
      <w:proofErr w:type="spellStart"/>
      <w:r w:rsidRPr="00095878">
        <w:rPr>
          <w:szCs w:val="18"/>
          <w:lang w:val="ru-RU"/>
        </w:rPr>
        <w:t>ге</w:t>
      </w:r>
      <w:r>
        <w:rPr>
          <w:szCs w:val="18"/>
          <w:lang w:val="ru-RU"/>
        </w:rPr>
        <w:t>и</w:t>
      </w:r>
      <w:proofErr w:type="spellEnd"/>
      <w:r w:rsidRPr="00095878">
        <w:rPr>
          <w:szCs w:val="18"/>
          <w:lang w:val="ru-RU"/>
        </w:rPr>
        <w:t>, бисексуал</w:t>
      </w:r>
      <w:r>
        <w:rPr>
          <w:szCs w:val="18"/>
          <w:lang w:val="ru-RU"/>
        </w:rPr>
        <w:t>ы</w:t>
      </w:r>
      <w:r w:rsidRPr="00095878">
        <w:rPr>
          <w:szCs w:val="18"/>
          <w:lang w:val="ru-RU"/>
        </w:rPr>
        <w:t xml:space="preserve"> и транссексуал</w:t>
      </w:r>
      <w:r>
        <w:rPr>
          <w:szCs w:val="18"/>
          <w:lang w:val="ru-RU"/>
        </w:rPr>
        <w:t>ы,</w:t>
      </w:r>
      <w:r w:rsidRPr="00095878">
        <w:rPr>
          <w:szCs w:val="18"/>
          <w:lang w:val="ru-RU"/>
        </w:rPr>
        <w:t xml:space="preserve"> практически </w:t>
      </w:r>
      <w:r>
        <w:rPr>
          <w:szCs w:val="18"/>
          <w:lang w:val="ru-RU"/>
        </w:rPr>
        <w:t xml:space="preserve">ускользают из поля зрения </w:t>
      </w:r>
      <w:r w:rsidRPr="00095878">
        <w:rPr>
          <w:szCs w:val="18"/>
          <w:lang w:val="ru-RU"/>
        </w:rPr>
        <w:t>директивных органов.</w:t>
      </w:r>
    </w:p>
  </w:footnote>
  <w:footnote w:id="18">
    <w:p w:rsidR="00882193" w:rsidRPr="00567FE8" w:rsidRDefault="00882193" w:rsidP="004C4817">
      <w:pPr>
        <w:pStyle w:val="aa"/>
        <w:rPr>
          <w:szCs w:val="18"/>
          <w:lang w:val="ru-RU"/>
        </w:rPr>
      </w:pPr>
      <w:r w:rsidRPr="00095878">
        <w:rPr>
          <w:szCs w:val="18"/>
          <w:lang w:val="ru-RU"/>
        </w:rPr>
        <w:tab/>
      </w:r>
      <w:r w:rsidRPr="00B40894">
        <w:rPr>
          <w:rStyle w:val="a6"/>
          <w:szCs w:val="18"/>
        </w:rPr>
        <w:footnoteRef/>
      </w:r>
      <w:r>
        <w:rPr>
          <w:rFonts w:eastAsia="Arial Unicode MS" w:hAnsi="Arial Unicode MS" w:cs="Arial Unicode MS"/>
          <w:szCs w:val="18"/>
        </w:rPr>
        <w:tab/>
      </w:r>
      <w:r w:rsidRPr="0045600E">
        <w:rPr>
          <w:szCs w:val="18"/>
          <w:lang w:val="ru-RU"/>
        </w:rPr>
        <w:t>См</w:t>
      </w:r>
      <w:r w:rsidRPr="00567FE8">
        <w:rPr>
          <w:szCs w:val="18"/>
        </w:rPr>
        <w:t xml:space="preserve">., </w:t>
      </w:r>
      <w:r w:rsidRPr="0045600E">
        <w:rPr>
          <w:szCs w:val="18"/>
          <w:lang w:val="ru-RU"/>
        </w:rPr>
        <w:t>например</w:t>
      </w:r>
      <w:r w:rsidRPr="00567FE8">
        <w:rPr>
          <w:szCs w:val="18"/>
        </w:rPr>
        <w:t>,</w:t>
      </w:r>
      <w:r w:rsidRPr="0045600E">
        <w:rPr>
          <w:rFonts w:eastAsia="Arial Unicode MS" w:hAnsi="Arial Unicode MS" w:cs="Arial Unicode MS"/>
          <w:szCs w:val="18"/>
        </w:rPr>
        <w:t xml:space="preserve"> </w:t>
      </w:r>
      <w:r>
        <w:rPr>
          <w:rFonts w:eastAsia="Arial Unicode MS" w:hAnsi="Arial Unicode MS" w:cs="Arial Unicode MS"/>
          <w:szCs w:val="18"/>
        </w:rPr>
        <w:t xml:space="preserve">Council of Europe, </w:t>
      </w:r>
      <w:r w:rsidRPr="00B40894">
        <w:rPr>
          <w:rFonts w:ascii="Arial Unicode MS"/>
        </w:rPr>
        <w:t>“</w:t>
      </w:r>
      <w:r w:rsidRPr="00B40894">
        <w:rPr>
          <w:rFonts w:eastAsia="Arial Unicode MS" w:hAnsi="Arial Unicode MS" w:cs="Arial Unicode MS"/>
          <w:szCs w:val="18"/>
        </w:rPr>
        <w:t>Report to the Czech Government on the visit to the Czech Republic carried out by the European Committee for the Prevention of Torture and Inhuman or Degrading Treatment or Punishment from 1 to 10 April 2014</w:t>
      </w:r>
      <w:r w:rsidRPr="00B40894">
        <w:rPr>
          <w:rFonts w:ascii="Arial Unicode MS"/>
        </w:rPr>
        <w:t>”</w:t>
      </w:r>
      <w:r w:rsidRPr="00B40894">
        <w:rPr>
          <w:rFonts w:eastAsia="Arial Unicode MS" w:hAnsi="Arial Unicode MS" w:cs="Arial Unicode MS"/>
          <w:szCs w:val="18"/>
        </w:rPr>
        <w:t xml:space="preserve"> </w:t>
      </w:r>
      <w:r w:rsidRPr="00B40894">
        <w:rPr>
          <w:szCs w:val="18"/>
        </w:rPr>
        <w:t xml:space="preserve">(Strasbourg, 2015), para. 46, </w:t>
      </w:r>
      <w:r>
        <w:rPr>
          <w:szCs w:val="18"/>
          <w:lang w:val="ru-RU"/>
        </w:rPr>
        <w:t>и</w:t>
      </w:r>
      <w:r w:rsidRPr="00B40894">
        <w:rPr>
          <w:szCs w:val="18"/>
        </w:rPr>
        <w:t xml:space="preserve"> “Report to the Armenian Government on the visit to Armenia carried out by the European Committee for the Prevention of Torture and Inhuman or Degrading Treatment or Punishment from 10 to 21 May 2010” (Strasbourg, 2011), para. </w:t>
      </w:r>
      <w:r w:rsidRPr="00567FE8">
        <w:rPr>
          <w:szCs w:val="18"/>
          <w:lang w:val="ru-RU"/>
        </w:rPr>
        <w:t>66.</w:t>
      </w:r>
    </w:p>
  </w:footnote>
  <w:footnote w:id="19">
    <w:p w:rsidR="00882193" w:rsidRPr="00B003FC" w:rsidRDefault="00882193" w:rsidP="004C4817">
      <w:pPr>
        <w:pStyle w:val="aa"/>
        <w:rPr>
          <w:szCs w:val="18"/>
          <w:lang w:val="ru-RU"/>
        </w:rPr>
      </w:pPr>
      <w:r w:rsidRPr="00567FE8">
        <w:rPr>
          <w:szCs w:val="18"/>
          <w:lang w:val="ru-RU"/>
        </w:rPr>
        <w:tab/>
      </w:r>
      <w:r w:rsidRPr="00B40894">
        <w:rPr>
          <w:rStyle w:val="a6"/>
          <w:szCs w:val="18"/>
        </w:rPr>
        <w:footnoteRef/>
      </w:r>
      <w:r w:rsidRPr="00B003FC">
        <w:rPr>
          <w:rFonts w:eastAsia="Arial Unicode MS" w:hAnsi="Arial Unicode MS" w:cs="Arial Unicode MS"/>
          <w:szCs w:val="18"/>
          <w:lang w:val="ru-RU"/>
        </w:rPr>
        <w:tab/>
      </w:r>
      <w:r w:rsidRPr="005C415D">
        <w:rPr>
          <w:szCs w:val="18"/>
          <w:lang w:val="ru-RU"/>
        </w:rPr>
        <w:t xml:space="preserve">Такие </w:t>
      </w:r>
      <w:r w:rsidRPr="00B003FC">
        <w:rPr>
          <w:szCs w:val="18"/>
          <w:lang w:val="ru-RU"/>
        </w:rPr>
        <w:t>обследовани</w:t>
      </w:r>
      <w:r>
        <w:rPr>
          <w:szCs w:val="18"/>
          <w:lang w:val="ru-RU"/>
        </w:rPr>
        <w:t>я</w:t>
      </w:r>
      <w:r w:rsidRPr="005C415D">
        <w:rPr>
          <w:szCs w:val="18"/>
          <w:lang w:val="ru-RU"/>
        </w:rPr>
        <w:t xml:space="preserve">, которые </w:t>
      </w:r>
      <w:r>
        <w:rPr>
          <w:szCs w:val="18"/>
          <w:lang w:val="ru-RU"/>
        </w:rPr>
        <w:t xml:space="preserve">с </w:t>
      </w:r>
      <w:r w:rsidRPr="005C415D">
        <w:rPr>
          <w:szCs w:val="18"/>
          <w:lang w:val="ru-RU"/>
        </w:rPr>
        <w:t>медицинск</w:t>
      </w:r>
      <w:r>
        <w:rPr>
          <w:szCs w:val="18"/>
          <w:lang w:val="ru-RU"/>
        </w:rPr>
        <w:t>ой точки зрения</w:t>
      </w:r>
      <w:r w:rsidRPr="005C415D">
        <w:rPr>
          <w:szCs w:val="18"/>
          <w:lang w:val="ru-RU"/>
        </w:rPr>
        <w:t xml:space="preserve"> являются бесполезн</w:t>
      </w:r>
      <w:r>
        <w:rPr>
          <w:szCs w:val="18"/>
          <w:lang w:val="ru-RU"/>
        </w:rPr>
        <w:t>ыми</w:t>
      </w:r>
      <w:r w:rsidRPr="005C415D">
        <w:rPr>
          <w:szCs w:val="18"/>
          <w:lang w:val="ru-RU"/>
        </w:rPr>
        <w:t>, были также осуждены Комитетом против пыток и Специальн</w:t>
      </w:r>
      <w:r>
        <w:rPr>
          <w:szCs w:val="18"/>
          <w:lang w:val="ru-RU"/>
        </w:rPr>
        <w:t>ым</w:t>
      </w:r>
      <w:r w:rsidRPr="005C415D">
        <w:rPr>
          <w:szCs w:val="18"/>
          <w:lang w:val="ru-RU"/>
        </w:rPr>
        <w:t xml:space="preserve"> докладчик</w:t>
      </w:r>
      <w:r>
        <w:rPr>
          <w:szCs w:val="18"/>
          <w:lang w:val="ru-RU"/>
        </w:rPr>
        <w:t>ом</w:t>
      </w:r>
      <w:r w:rsidRPr="005C415D">
        <w:rPr>
          <w:szCs w:val="18"/>
          <w:lang w:val="ru-RU"/>
        </w:rPr>
        <w:t xml:space="preserve"> по вопросу о пытках (</w:t>
      </w:r>
      <w:r w:rsidRPr="00B003FC">
        <w:rPr>
          <w:szCs w:val="18"/>
          <w:lang w:val="ru-RU"/>
        </w:rPr>
        <w:t>А/</w:t>
      </w:r>
      <w:r w:rsidRPr="005C415D">
        <w:rPr>
          <w:szCs w:val="18"/>
        </w:rPr>
        <w:t>HRC</w:t>
      </w:r>
      <w:r w:rsidRPr="00B003FC">
        <w:rPr>
          <w:szCs w:val="18"/>
          <w:lang w:val="ru-RU"/>
        </w:rPr>
        <w:t>/19/41, пункт 37).</w:t>
      </w:r>
    </w:p>
  </w:footnote>
  <w:footnote w:id="20">
    <w:p w:rsidR="00882193" w:rsidRPr="00B40894" w:rsidRDefault="00882193" w:rsidP="004C4817">
      <w:pPr>
        <w:pStyle w:val="aa"/>
        <w:rPr>
          <w:szCs w:val="18"/>
        </w:rPr>
      </w:pPr>
      <w:r w:rsidRPr="00B003FC">
        <w:rPr>
          <w:szCs w:val="18"/>
          <w:lang w:val="ru-RU"/>
        </w:rPr>
        <w:tab/>
      </w:r>
      <w:r w:rsidRPr="00B40894">
        <w:rPr>
          <w:rStyle w:val="a6"/>
          <w:szCs w:val="18"/>
        </w:rPr>
        <w:footnoteRef/>
      </w:r>
      <w:r w:rsidRPr="00B40894">
        <w:rPr>
          <w:rFonts w:eastAsia="Arial Unicode MS" w:hAnsi="Arial Unicode MS" w:cs="Arial Unicode MS"/>
          <w:szCs w:val="18"/>
        </w:rPr>
        <w:tab/>
      </w:r>
      <w:r w:rsidRPr="00B40894">
        <w:rPr>
          <w:szCs w:val="18"/>
        </w:rPr>
        <w:t xml:space="preserve">United States Department of Justice, Bureau of Justice Statistics, “Sexual victimization in prisons and jails reported by inmates, 2011-12: national inmate survey, 2011-12”, </w:t>
      </w:r>
      <w:r w:rsidR="00A70216" w:rsidRPr="00A70216">
        <w:rPr>
          <w:szCs w:val="18"/>
          <w:lang w:val="en-US"/>
        </w:rPr>
        <w:br/>
      </w:r>
      <w:r w:rsidRPr="00B40894">
        <w:rPr>
          <w:szCs w:val="18"/>
        </w:rPr>
        <w:t xml:space="preserve">pp. 18 and 30. Available at </w:t>
      </w:r>
      <w:hyperlink r:id="rId6" w:history="1">
        <w:r w:rsidR="00A70216">
          <w:rPr>
            <w:rStyle w:val="af1"/>
            <w:szCs w:val="18"/>
          </w:rPr>
          <w:t>www.bjs.gov/content/pub/pdf/svpjri1112.pdf</w:t>
        </w:r>
      </w:hyperlink>
      <w:r w:rsidRPr="00B40894">
        <w:rPr>
          <w:szCs w:val="18"/>
        </w:rPr>
        <w:t>.</w:t>
      </w:r>
    </w:p>
  </w:footnote>
  <w:footnote w:id="21">
    <w:p w:rsidR="00882193" w:rsidRPr="00B40894" w:rsidRDefault="00882193" w:rsidP="004C4817">
      <w:pPr>
        <w:pStyle w:val="aa"/>
        <w:rPr>
          <w:szCs w:val="18"/>
        </w:rPr>
      </w:pPr>
      <w:r w:rsidRPr="00B40894">
        <w:rPr>
          <w:szCs w:val="18"/>
        </w:rPr>
        <w:tab/>
      </w:r>
      <w:r w:rsidRPr="00B40894">
        <w:rPr>
          <w:rStyle w:val="a6"/>
          <w:szCs w:val="18"/>
        </w:rPr>
        <w:footnoteRef/>
      </w:r>
      <w:r>
        <w:rPr>
          <w:rFonts w:eastAsia="Arial Unicode MS" w:hAnsi="Arial Unicode MS" w:cs="Arial Unicode MS"/>
          <w:szCs w:val="18"/>
        </w:rPr>
        <w:tab/>
        <w:t xml:space="preserve">University of California, Irvine, </w:t>
      </w:r>
      <w:proofErr w:type="spellStart"/>
      <w:r w:rsidRPr="00B40894">
        <w:rPr>
          <w:szCs w:val="18"/>
        </w:rPr>
        <w:t>Center</w:t>
      </w:r>
      <w:proofErr w:type="spellEnd"/>
      <w:r w:rsidRPr="00B40894">
        <w:rPr>
          <w:szCs w:val="18"/>
        </w:rPr>
        <w:t xml:space="preserve"> for Evidence-Based Corrections, “Violence in California correctional facilities: an empirical examination of sexual assault” (2007), p. 42. </w:t>
      </w:r>
    </w:p>
  </w:footnote>
  <w:footnote w:id="22">
    <w:p w:rsidR="00882193" w:rsidRPr="00A04853" w:rsidRDefault="00882193" w:rsidP="004C4817">
      <w:pPr>
        <w:pStyle w:val="aa"/>
        <w:rPr>
          <w:szCs w:val="18"/>
          <w:lang w:val="ru-RU"/>
        </w:rPr>
      </w:pPr>
      <w:r w:rsidRPr="00B40894">
        <w:rPr>
          <w:szCs w:val="18"/>
        </w:rPr>
        <w:tab/>
      </w:r>
      <w:r w:rsidRPr="00B40894">
        <w:rPr>
          <w:rStyle w:val="a6"/>
          <w:szCs w:val="18"/>
        </w:rPr>
        <w:footnoteRef/>
      </w:r>
      <w:r w:rsidRPr="00B40894">
        <w:rPr>
          <w:rFonts w:eastAsia="Arial Unicode MS" w:hAnsi="Arial Unicode MS" w:cs="Arial Unicode MS"/>
          <w:szCs w:val="18"/>
        </w:rPr>
        <w:tab/>
      </w:r>
      <w:r w:rsidRPr="00711519">
        <w:rPr>
          <w:szCs w:val="18"/>
          <w:lang w:val="ru-RU"/>
        </w:rPr>
        <w:t>См</w:t>
      </w:r>
      <w:r w:rsidRPr="00567FE8">
        <w:rPr>
          <w:szCs w:val="18"/>
        </w:rPr>
        <w:t xml:space="preserve">., </w:t>
      </w:r>
      <w:r w:rsidRPr="00711519">
        <w:rPr>
          <w:szCs w:val="18"/>
          <w:lang w:val="ru-RU"/>
        </w:rPr>
        <w:t>например</w:t>
      </w:r>
      <w:r w:rsidRPr="00567FE8">
        <w:rPr>
          <w:szCs w:val="18"/>
        </w:rPr>
        <w:t xml:space="preserve">, </w:t>
      </w:r>
      <w:r w:rsidRPr="00B40894">
        <w:rPr>
          <w:szCs w:val="18"/>
        </w:rPr>
        <w:t xml:space="preserve">European Court of Human Rights, </w:t>
      </w:r>
      <w:r w:rsidRPr="003B7829">
        <w:rPr>
          <w:i/>
          <w:iCs/>
          <w:szCs w:val="18"/>
        </w:rPr>
        <w:t>Case of</w:t>
      </w:r>
      <w:r>
        <w:rPr>
          <w:szCs w:val="18"/>
        </w:rPr>
        <w:t xml:space="preserve"> </w:t>
      </w:r>
      <w:r w:rsidRPr="00B40894">
        <w:rPr>
          <w:i/>
          <w:iCs/>
          <w:szCs w:val="18"/>
        </w:rPr>
        <w:t>X v. Turkey</w:t>
      </w:r>
      <w:r w:rsidRPr="00B40894">
        <w:rPr>
          <w:szCs w:val="18"/>
        </w:rPr>
        <w:t xml:space="preserve">, application </w:t>
      </w:r>
      <w:r w:rsidR="00A70216" w:rsidRPr="00A70216">
        <w:rPr>
          <w:szCs w:val="18"/>
          <w:lang w:val="en-US"/>
        </w:rPr>
        <w:br/>
      </w:r>
      <w:r w:rsidRPr="00B40894">
        <w:rPr>
          <w:szCs w:val="18"/>
        </w:rPr>
        <w:t xml:space="preserve">No. 24626/09, final judgement adopted on 25 May 2013, para. </w:t>
      </w:r>
      <w:r w:rsidRPr="00A04853">
        <w:rPr>
          <w:szCs w:val="18"/>
          <w:lang w:val="ru-RU"/>
        </w:rPr>
        <w:t>53.</w:t>
      </w:r>
    </w:p>
  </w:footnote>
  <w:footnote w:id="23">
    <w:p w:rsidR="00882193" w:rsidRPr="00F825D8" w:rsidRDefault="00882193" w:rsidP="004C4817">
      <w:pPr>
        <w:pStyle w:val="aa"/>
        <w:rPr>
          <w:lang w:val="ru-RU"/>
        </w:rPr>
      </w:pPr>
      <w:r w:rsidRPr="00A04853">
        <w:rPr>
          <w:lang w:val="ru-RU"/>
        </w:rPr>
        <w:tab/>
      </w:r>
      <w:r>
        <w:rPr>
          <w:rStyle w:val="a6"/>
        </w:rPr>
        <w:footnoteRef/>
      </w:r>
      <w:r w:rsidRPr="00CF3C5E">
        <w:rPr>
          <w:lang w:val="ru-RU"/>
        </w:rPr>
        <w:tab/>
      </w:r>
      <w:r w:rsidRPr="00F825D8">
        <w:rPr>
          <w:lang w:val="ru-RU"/>
        </w:rPr>
        <w:t>См. также пункт 26</w:t>
      </w:r>
      <w:r w:rsidR="00577C05">
        <w:rPr>
          <w:lang w:val="ru-RU"/>
        </w:rPr>
        <w:t xml:space="preserve"> </w:t>
      </w:r>
      <w:r w:rsidRPr="00F825D8">
        <w:t>d</w:t>
      </w:r>
      <w:r w:rsidR="00577C05">
        <w:rPr>
          <w:lang w:val="ru-RU"/>
        </w:rPr>
        <w:t>)</w:t>
      </w:r>
      <w:r w:rsidRPr="00F825D8">
        <w:rPr>
          <w:lang w:val="ru-RU"/>
        </w:rPr>
        <w:t xml:space="preserve"> резолюци</w:t>
      </w:r>
      <w:r>
        <w:rPr>
          <w:lang w:val="ru-RU"/>
        </w:rPr>
        <w:t>и</w:t>
      </w:r>
      <w:r w:rsidRPr="00F825D8">
        <w:rPr>
          <w:lang w:val="ru-RU"/>
        </w:rPr>
        <w:t xml:space="preserve"> 68/2</w:t>
      </w:r>
      <w:r>
        <w:rPr>
          <w:lang w:val="ru-RU"/>
        </w:rPr>
        <w:t xml:space="preserve">68 </w:t>
      </w:r>
      <w:r w:rsidRPr="00F825D8">
        <w:rPr>
          <w:lang w:val="ru-RU"/>
        </w:rPr>
        <w:t>Генеральной Ассамблеи</w:t>
      </w:r>
      <w:r>
        <w:rPr>
          <w:lang w:val="ru-RU"/>
        </w:rPr>
        <w:t>,</w:t>
      </w:r>
      <w:r w:rsidRPr="00F825D8">
        <w:rPr>
          <w:lang w:val="ru-RU"/>
        </w:rPr>
        <w:t xml:space="preserve"> котор</w:t>
      </w:r>
      <w:r>
        <w:rPr>
          <w:lang w:val="ru-RU"/>
        </w:rPr>
        <w:t>ый</w:t>
      </w:r>
      <w:r w:rsidRPr="00F825D8">
        <w:rPr>
          <w:lang w:val="ru-RU"/>
        </w:rPr>
        <w:t xml:space="preserve"> </w:t>
      </w:r>
      <w:r>
        <w:rPr>
          <w:lang w:val="ru-RU"/>
        </w:rPr>
        <w:t>касается</w:t>
      </w:r>
      <w:r w:rsidRPr="00F825D8">
        <w:rPr>
          <w:lang w:val="ru-RU"/>
        </w:rPr>
        <w:t xml:space="preserve"> </w:t>
      </w:r>
      <w:r w:rsidRPr="004F6C69">
        <w:rPr>
          <w:lang w:val="ru-RU"/>
        </w:rPr>
        <w:t>выдел</w:t>
      </w:r>
      <w:r>
        <w:rPr>
          <w:lang w:val="ru-RU"/>
        </w:rPr>
        <w:t>ения</w:t>
      </w:r>
      <w:r w:rsidRPr="004F6C69">
        <w:rPr>
          <w:lang w:val="ru-RU"/>
        </w:rPr>
        <w:t xml:space="preserve"> в достаточном объеме финансовы</w:t>
      </w:r>
      <w:r>
        <w:rPr>
          <w:lang w:val="ru-RU"/>
        </w:rPr>
        <w:t>х</w:t>
      </w:r>
      <w:r w:rsidRPr="004F6C69">
        <w:rPr>
          <w:lang w:val="ru-RU"/>
        </w:rPr>
        <w:t xml:space="preserve"> и людски</w:t>
      </w:r>
      <w:r>
        <w:rPr>
          <w:lang w:val="ru-RU"/>
        </w:rPr>
        <w:t>х</w:t>
      </w:r>
      <w:r w:rsidRPr="004F6C69">
        <w:rPr>
          <w:lang w:val="ru-RU"/>
        </w:rPr>
        <w:t xml:space="preserve"> ресурс</w:t>
      </w:r>
      <w:r>
        <w:rPr>
          <w:lang w:val="ru-RU"/>
        </w:rPr>
        <w:t>ов</w:t>
      </w:r>
      <w:r w:rsidRPr="004F6C69">
        <w:rPr>
          <w:lang w:val="ru-RU"/>
        </w:rPr>
        <w:t xml:space="preserve"> тем договорным органам, основная роль которых согласно их мандату заключается в совершении поездок на места</w:t>
      </w:r>
      <w:r w:rsidRPr="00F825D8">
        <w:rPr>
          <w:lang w:val="ru-RU"/>
        </w:rPr>
        <w:t>.</w:t>
      </w:r>
    </w:p>
    <w:p w:rsidR="00882193" w:rsidRPr="00F825D8" w:rsidRDefault="00882193" w:rsidP="004C4817">
      <w:pPr>
        <w:pStyle w:val="aa"/>
        <w:rPr>
          <w:lang w:val="ru-RU"/>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193" w:rsidRPr="008C469F" w:rsidRDefault="00882193">
    <w:pPr>
      <w:pStyle w:val="a3"/>
      <w:rPr>
        <w:lang w:val="en-US"/>
      </w:rPr>
    </w:pPr>
    <w:r>
      <w:rPr>
        <w:lang w:val="en-US"/>
      </w:rPr>
      <w:t>CAT/</w:t>
    </w:r>
    <w:r w:rsidRPr="00351CDD">
      <w:rPr>
        <w:lang w:val="en-US"/>
      </w:rPr>
      <w:t>C/57/4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2193" w:rsidRPr="00B74BE2" w:rsidRDefault="00882193">
    <w:pPr>
      <w:pStyle w:val="a3"/>
      <w:rPr>
        <w:lang w:val="en-US"/>
      </w:rPr>
    </w:pPr>
    <w:r>
      <w:rPr>
        <w:lang w:val="en-US"/>
      </w:rPr>
      <w:tab/>
      <w:t>CAT/</w:t>
    </w:r>
    <w:r w:rsidRPr="00351CDD">
      <w:rPr>
        <w:lang w:val="en-US"/>
      </w:rPr>
      <w:t>C/57/4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70AD"/>
    <w:multiLevelType w:val="hybridMultilevel"/>
    <w:tmpl w:val="5044CFCC"/>
    <w:lvl w:ilvl="0" w:tplc="F0BCF742">
      <w:start w:val="1"/>
      <w:numFmt w:val="decimal"/>
      <w:lvlText w:val="%1."/>
      <w:lvlJc w:val="left"/>
      <w:pPr>
        <w:tabs>
          <w:tab w:val="num" w:pos="2835"/>
        </w:tabs>
        <w:ind w:left="2268" w:firstLine="0"/>
      </w:pPr>
      <w:rPr>
        <w:rFonts w:hint="default"/>
      </w:rPr>
    </w:lvl>
    <w:lvl w:ilvl="1" w:tplc="4D8AF488" w:tentative="1">
      <w:start w:val="1"/>
      <w:numFmt w:val="lowerLetter"/>
      <w:lvlText w:val="%2."/>
      <w:lvlJc w:val="left"/>
      <w:pPr>
        <w:tabs>
          <w:tab w:val="num" w:pos="1440"/>
        </w:tabs>
        <w:ind w:left="1440" w:hanging="360"/>
      </w:pPr>
    </w:lvl>
    <w:lvl w:ilvl="2" w:tplc="AC10711E">
      <w:start w:val="1"/>
      <w:numFmt w:val="decimal"/>
      <w:lvlText w:val="%3."/>
      <w:lvlJc w:val="left"/>
      <w:pPr>
        <w:tabs>
          <w:tab w:val="num" w:pos="1701"/>
        </w:tabs>
        <w:ind w:left="1134" w:firstLine="0"/>
      </w:pPr>
      <w:rPr>
        <w:rFonts w:hint="default"/>
        <w:b w:val="0"/>
        <w:bCs/>
      </w:rPr>
    </w:lvl>
    <w:lvl w:ilvl="3" w:tplc="00B2F8DA" w:tentative="1">
      <w:start w:val="1"/>
      <w:numFmt w:val="decimal"/>
      <w:lvlText w:val="%4."/>
      <w:lvlJc w:val="left"/>
      <w:pPr>
        <w:tabs>
          <w:tab w:val="num" w:pos="2880"/>
        </w:tabs>
        <w:ind w:left="2880" w:hanging="360"/>
      </w:pPr>
    </w:lvl>
    <w:lvl w:ilvl="4" w:tplc="4FE0A2DC" w:tentative="1">
      <w:start w:val="1"/>
      <w:numFmt w:val="lowerLetter"/>
      <w:lvlText w:val="%5."/>
      <w:lvlJc w:val="left"/>
      <w:pPr>
        <w:tabs>
          <w:tab w:val="num" w:pos="3600"/>
        </w:tabs>
        <w:ind w:left="3600" w:hanging="360"/>
      </w:pPr>
    </w:lvl>
    <w:lvl w:ilvl="5" w:tplc="60AAD8A8" w:tentative="1">
      <w:start w:val="1"/>
      <w:numFmt w:val="lowerRoman"/>
      <w:lvlText w:val="%6."/>
      <w:lvlJc w:val="right"/>
      <w:pPr>
        <w:tabs>
          <w:tab w:val="num" w:pos="4320"/>
        </w:tabs>
        <w:ind w:left="4320" w:hanging="180"/>
      </w:pPr>
    </w:lvl>
    <w:lvl w:ilvl="6" w:tplc="4AEE1116" w:tentative="1">
      <w:start w:val="1"/>
      <w:numFmt w:val="decimal"/>
      <w:lvlText w:val="%7."/>
      <w:lvlJc w:val="left"/>
      <w:pPr>
        <w:tabs>
          <w:tab w:val="num" w:pos="5040"/>
        </w:tabs>
        <w:ind w:left="5040" w:hanging="360"/>
      </w:pPr>
    </w:lvl>
    <w:lvl w:ilvl="7" w:tplc="C09CDC3E" w:tentative="1">
      <w:start w:val="1"/>
      <w:numFmt w:val="lowerLetter"/>
      <w:lvlText w:val="%8."/>
      <w:lvlJc w:val="left"/>
      <w:pPr>
        <w:tabs>
          <w:tab w:val="num" w:pos="5760"/>
        </w:tabs>
        <w:ind w:left="5760" w:hanging="360"/>
      </w:pPr>
    </w:lvl>
    <w:lvl w:ilvl="8" w:tplc="BD78322A"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094E6850">
      <w:start w:val="1"/>
      <w:numFmt w:val="bullet"/>
      <w:pStyle w:val="Bullet1G"/>
      <w:lvlText w:val="•"/>
      <w:lvlJc w:val="left"/>
      <w:pPr>
        <w:tabs>
          <w:tab w:val="num" w:pos="1701"/>
        </w:tabs>
        <w:ind w:left="1701" w:hanging="170"/>
      </w:pPr>
      <w:rPr>
        <w:rFonts w:ascii="Times New Roman" w:hAnsi="Times New Roman" w:hint="default"/>
      </w:rPr>
    </w:lvl>
    <w:lvl w:ilvl="1" w:tplc="37A66B4A" w:tentative="1">
      <w:start w:val="1"/>
      <w:numFmt w:val="bullet"/>
      <w:lvlText w:val="o"/>
      <w:lvlJc w:val="left"/>
      <w:pPr>
        <w:tabs>
          <w:tab w:val="num" w:pos="1440"/>
        </w:tabs>
        <w:ind w:left="1440" w:hanging="360"/>
      </w:pPr>
      <w:rPr>
        <w:rFonts w:ascii="Courier New" w:hAnsi="Courier New" w:hint="default"/>
      </w:rPr>
    </w:lvl>
    <w:lvl w:ilvl="2" w:tplc="73B8E056" w:tentative="1">
      <w:start w:val="1"/>
      <w:numFmt w:val="bullet"/>
      <w:lvlText w:val=""/>
      <w:lvlJc w:val="left"/>
      <w:pPr>
        <w:tabs>
          <w:tab w:val="num" w:pos="2160"/>
        </w:tabs>
        <w:ind w:left="2160" w:hanging="360"/>
      </w:pPr>
      <w:rPr>
        <w:rFonts w:ascii="Wingdings" w:hAnsi="Wingdings" w:hint="default"/>
      </w:rPr>
    </w:lvl>
    <w:lvl w:ilvl="3" w:tplc="E9C237C6" w:tentative="1">
      <w:start w:val="1"/>
      <w:numFmt w:val="bullet"/>
      <w:lvlText w:val=""/>
      <w:lvlJc w:val="left"/>
      <w:pPr>
        <w:tabs>
          <w:tab w:val="num" w:pos="2880"/>
        </w:tabs>
        <w:ind w:left="2880" w:hanging="360"/>
      </w:pPr>
      <w:rPr>
        <w:rFonts w:ascii="Symbol" w:hAnsi="Symbol" w:hint="default"/>
      </w:rPr>
    </w:lvl>
    <w:lvl w:ilvl="4" w:tplc="3138AFB0" w:tentative="1">
      <w:start w:val="1"/>
      <w:numFmt w:val="bullet"/>
      <w:lvlText w:val="o"/>
      <w:lvlJc w:val="left"/>
      <w:pPr>
        <w:tabs>
          <w:tab w:val="num" w:pos="3600"/>
        </w:tabs>
        <w:ind w:left="3600" w:hanging="360"/>
      </w:pPr>
      <w:rPr>
        <w:rFonts w:ascii="Courier New" w:hAnsi="Courier New" w:hint="default"/>
      </w:rPr>
    </w:lvl>
    <w:lvl w:ilvl="5" w:tplc="8230110E" w:tentative="1">
      <w:start w:val="1"/>
      <w:numFmt w:val="bullet"/>
      <w:lvlText w:val=""/>
      <w:lvlJc w:val="left"/>
      <w:pPr>
        <w:tabs>
          <w:tab w:val="num" w:pos="4320"/>
        </w:tabs>
        <w:ind w:left="4320" w:hanging="360"/>
      </w:pPr>
      <w:rPr>
        <w:rFonts w:ascii="Wingdings" w:hAnsi="Wingdings" w:hint="default"/>
      </w:rPr>
    </w:lvl>
    <w:lvl w:ilvl="6" w:tplc="CA906EF8" w:tentative="1">
      <w:start w:val="1"/>
      <w:numFmt w:val="bullet"/>
      <w:lvlText w:val=""/>
      <w:lvlJc w:val="left"/>
      <w:pPr>
        <w:tabs>
          <w:tab w:val="num" w:pos="5040"/>
        </w:tabs>
        <w:ind w:left="5040" w:hanging="360"/>
      </w:pPr>
      <w:rPr>
        <w:rFonts w:ascii="Symbol" w:hAnsi="Symbol" w:hint="default"/>
      </w:rPr>
    </w:lvl>
    <w:lvl w:ilvl="7" w:tplc="9D96FCEC" w:tentative="1">
      <w:start w:val="1"/>
      <w:numFmt w:val="bullet"/>
      <w:lvlText w:val="o"/>
      <w:lvlJc w:val="left"/>
      <w:pPr>
        <w:tabs>
          <w:tab w:val="num" w:pos="5760"/>
        </w:tabs>
        <w:ind w:left="5760" w:hanging="360"/>
      </w:pPr>
      <w:rPr>
        <w:rFonts w:ascii="Courier New" w:hAnsi="Courier New" w:hint="default"/>
      </w:rPr>
    </w:lvl>
    <w:lvl w:ilvl="8" w:tplc="A27AC574" w:tentative="1">
      <w:start w:val="1"/>
      <w:numFmt w:val="bullet"/>
      <w:lvlText w:val=""/>
      <w:lvlJc w:val="left"/>
      <w:pPr>
        <w:tabs>
          <w:tab w:val="num" w:pos="6480"/>
        </w:tabs>
        <w:ind w:left="6480" w:hanging="360"/>
      </w:pPr>
      <w:rPr>
        <w:rFonts w:ascii="Wingdings" w:hAnsi="Wingdings" w:hint="default"/>
      </w:rPr>
    </w:lvl>
  </w:abstractNum>
  <w:abstractNum w:abstractNumId="2">
    <w:nsid w:val="048E7412"/>
    <w:multiLevelType w:val="hybridMultilevel"/>
    <w:tmpl w:val="4D3EDCCA"/>
    <w:lvl w:ilvl="0" w:tplc="13F4F97E">
      <w:start w:val="1"/>
      <w:numFmt w:val="decimal"/>
      <w:lvlText w:val="%1."/>
      <w:lvlJc w:val="left"/>
      <w:pPr>
        <w:ind w:left="360" w:hanging="360"/>
      </w:pPr>
      <w:rPr>
        <w:b w:val="0"/>
      </w:rPr>
    </w:lvl>
    <w:lvl w:ilvl="1" w:tplc="02F243D6" w:tentative="1">
      <w:start w:val="1"/>
      <w:numFmt w:val="lowerLetter"/>
      <w:lvlText w:val="%2."/>
      <w:lvlJc w:val="left"/>
      <w:pPr>
        <w:ind w:left="1080" w:hanging="360"/>
      </w:pPr>
    </w:lvl>
    <w:lvl w:ilvl="2" w:tplc="BEB46F74" w:tentative="1">
      <w:start w:val="1"/>
      <w:numFmt w:val="lowerRoman"/>
      <w:lvlText w:val="%3."/>
      <w:lvlJc w:val="right"/>
      <w:pPr>
        <w:ind w:left="1800" w:hanging="180"/>
      </w:pPr>
    </w:lvl>
    <w:lvl w:ilvl="3" w:tplc="5456F5B8" w:tentative="1">
      <w:start w:val="1"/>
      <w:numFmt w:val="decimal"/>
      <w:lvlText w:val="%4."/>
      <w:lvlJc w:val="left"/>
      <w:pPr>
        <w:ind w:left="2520" w:hanging="360"/>
      </w:pPr>
    </w:lvl>
    <w:lvl w:ilvl="4" w:tplc="362CA342" w:tentative="1">
      <w:start w:val="1"/>
      <w:numFmt w:val="lowerLetter"/>
      <w:lvlText w:val="%5."/>
      <w:lvlJc w:val="left"/>
      <w:pPr>
        <w:ind w:left="3240" w:hanging="360"/>
      </w:pPr>
    </w:lvl>
    <w:lvl w:ilvl="5" w:tplc="8D3CA8C8" w:tentative="1">
      <w:start w:val="1"/>
      <w:numFmt w:val="lowerRoman"/>
      <w:lvlText w:val="%6."/>
      <w:lvlJc w:val="right"/>
      <w:pPr>
        <w:ind w:left="3960" w:hanging="180"/>
      </w:pPr>
    </w:lvl>
    <w:lvl w:ilvl="6" w:tplc="94DE8AD2" w:tentative="1">
      <w:start w:val="1"/>
      <w:numFmt w:val="decimal"/>
      <w:lvlText w:val="%7."/>
      <w:lvlJc w:val="left"/>
      <w:pPr>
        <w:ind w:left="4680" w:hanging="360"/>
      </w:pPr>
    </w:lvl>
    <w:lvl w:ilvl="7" w:tplc="3EA00BE4" w:tentative="1">
      <w:start w:val="1"/>
      <w:numFmt w:val="lowerLetter"/>
      <w:lvlText w:val="%8."/>
      <w:lvlJc w:val="left"/>
      <w:pPr>
        <w:ind w:left="5400" w:hanging="360"/>
      </w:pPr>
    </w:lvl>
    <w:lvl w:ilvl="8" w:tplc="8794B662" w:tentative="1">
      <w:start w:val="1"/>
      <w:numFmt w:val="lowerRoman"/>
      <w:lvlText w:val="%9."/>
      <w:lvlJc w:val="right"/>
      <w:pPr>
        <w:ind w:left="6120" w:hanging="180"/>
      </w:pPr>
    </w:lvl>
  </w:abstractNum>
  <w:abstractNum w:abstractNumId="3">
    <w:nsid w:val="08BF3AE0"/>
    <w:multiLevelType w:val="hybridMultilevel"/>
    <w:tmpl w:val="65BC604C"/>
    <w:lvl w:ilvl="0" w:tplc="C52E0750">
      <w:start w:val="1"/>
      <w:numFmt w:val="upperLetter"/>
      <w:lvlText w:val="%1."/>
      <w:lvlJc w:val="left"/>
      <w:pPr>
        <w:ind w:left="927" w:hanging="360"/>
      </w:pPr>
      <w:rPr>
        <w:rFonts w:hint="default"/>
      </w:rPr>
    </w:lvl>
    <w:lvl w:ilvl="1" w:tplc="C65099C8" w:tentative="1">
      <w:start w:val="1"/>
      <w:numFmt w:val="lowerLetter"/>
      <w:lvlText w:val="%2."/>
      <w:lvlJc w:val="left"/>
      <w:pPr>
        <w:ind w:left="1647" w:hanging="360"/>
      </w:pPr>
    </w:lvl>
    <w:lvl w:ilvl="2" w:tplc="285CAAA8" w:tentative="1">
      <w:start w:val="1"/>
      <w:numFmt w:val="lowerRoman"/>
      <w:lvlText w:val="%3."/>
      <w:lvlJc w:val="right"/>
      <w:pPr>
        <w:ind w:left="2367" w:hanging="180"/>
      </w:pPr>
    </w:lvl>
    <w:lvl w:ilvl="3" w:tplc="9C7CA73E" w:tentative="1">
      <w:start w:val="1"/>
      <w:numFmt w:val="decimal"/>
      <w:lvlText w:val="%4."/>
      <w:lvlJc w:val="left"/>
      <w:pPr>
        <w:ind w:left="3087" w:hanging="360"/>
      </w:pPr>
    </w:lvl>
    <w:lvl w:ilvl="4" w:tplc="A852C79A" w:tentative="1">
      <w:start w:val="1"/>
      <w:numFmt w:val="lowerLetter"/>
      <w:lvlText w:val="%5."/>
      <w:lvlJc w:val="left"/>
      <w:pPr>
        <w:ind w:left="3807" w:hanging="360"/>
      </w:pPr>
    </w:lvl>
    <w:lvl w:ilvl="5" w:tplc="03C62960" w:tentative="1">
      <w:start w:val="1"/>
      <w:numFmt w:val="lowerRoman"/>
      <w:lvlText w:val="%6."/>
      <w:lvlJc w:val="right"/>
      <w:pPr>
        <w:ind w:left="4527" w:hanging="180"/>
      </w:pPr>
    </w:lvl>
    <w:lvl w:ilvl="6" w:tplc="AD7017F0" w:tentative="1">
      <w:start w:val="1"/>
      <w:numFmt w:val="decimal"/>
      <w:lvlText w:val="%7."/>
      <w:lvlJc w:val="left"/>
      <w:pPr>
        <w:ind w:left="5247" w:hanging="360"/>
      </w:pPr>
    </w:lvl>
    <w:lvl w:ilvl="7" w:tplc="98A212BE" w:tentative="1">
      <w:start w:val="1"/>
      <w:numFmt w:val="lowerLetter"/>
      <w:lvlText w:val="%8."/>
      <w:lvlJc w:val="left"/>
      <w:pPr>
        <w:ind w:left="5967" w:hanging="360"/>
      </w:pPr>
    </w:lvl>
    <w:lvl w:ilvl="8" w:tplc="8398F35A" w:tentative="1">
      <w:start w:val="1"/>
      <w:numFmt w:val="lowerRoman"/>
      <w:lvlText w:val="%9."/>
      <w:lvlJc w:val="right"/>
      <w:pPr>
        <w:ind w:left="6687" w:hanging="180"/>
      </w:pPr>
    </w:lvl>
  </w:abstractNum>
  <w:abstractNum w:abstractNumId="4">
    <w:nsid w:val="20BF0240"/>
    <w:multiLevelType w:val="hybridMultilevel"/>
    <w:tmpl w:val="71763232"/>
    <w:lvl w:ilvl="0" w:tplc="60E80B9E">
      <w:start w:val="1"/>
      <w:numFmt w:val="upperLetter"/>
      <w:lvlText w:val="%1."/>
      <w:lvlJc w:val="left"/>
      <w:pPr>
        <w:ind w:left="927" w:hanging="360"/>
      </w:pPr>
      <w:rPr>
        <w:rFonts w:hint="default"/>
      </w:rPr>
    </w:lvl>
    <w:lvl w:ilvl="1" w:tplc="0D828AC4" w:tentative="1">
      <w:start w:val="1"/>
      <w:numFmt w:val="lowerLetter"/>
      <w:lvlText w:val="%2."/>
      <w:lvlJc w:val="left"/>
      <w:pPr>
        <w:ind w:left="1647" w:hanging="360"/>
      </w:pPr>
    </w:lvl>
    <w:lvl w:ilvl="2" w:tplc="FCA4C67C" w:tentative="1">
      <w:start w:val="1"/>
      <w:numFmt w:val="lowerRoman"/>
      <w:lvlText w:val="%3."/>
      <w:lvlJc w:val="right"/>
      <w:pPr>
        <w:ind w:left="2367" w:hanging="180"/>
      </w:pPr>
    </w:lvl>
    <w:lvl w:ilvl="3" w:tplc="186AE970" w:tentative="1">
      <w:start w:val="1"/>
      <w:numFmt w:val="decimal"/>
      <w:lvlText w:val="%4."/>
      <w:lvlJc w:val="left"/>
      <w:pPr>
        <w:ind w:left="3087" w:hanging="360"/>
      </w:pPr>
    </w:lvl>
    <w:lvl w:ilvl="4" w:tplc="0504E0CE" w:tentative="1">
      <w:start w:val="1"/>
      <w:numFmt w:val="lowerLetter"/>
      <w:lvlText w:val="%5."/>
      <w:lvlJc w:val="left"/>
      <w:pPr>
        <w:ind w:left="3807" w:hanging="360"/>
      </w:pPr>
    </w:lvl>
    <w:lvl w:ilvl="5" w:tplc="BA701446" w:tentative="1">
      <w:start w:val="1"/>
      <w:numFmt w:val="lowerRoman"/>
      <w:lvlText w:val="%6."/>
      <w:lvlJc w:val="right"/>
      <w:pPr>
        <w:ind w:left="4527" w:hanging="180"/>
      </w:pPr>
    </w:lvl>
    <w:lvl w:ilvl="6" w:tplc="0442A708" w:tentative="1">
      <w:start w:val="1"/>
      <w:numFmt w:val="decimal"/>
      <w:lvlText w:val="%7."/>
      <w:lvlJc w:val="left"/>
      <w:pPr>
        <w:ind w:left="5247" w:hanging="360"/>
      </w:pPr>
    </w:lvl>
    <w:lvl w:ilvl="7" w:tplc="89621598" w:tentative="1">
      <w:start w:val="1"/>
      <w:numFmt w:val="lowerLetter"/>
      <w:lvlText w:val="%8."/>
      <w:lvlJc w:val="left"/>
      <w:pPr>
        <w:ind w:left="5967" w:hanging="360"/>
      </w:pPr>
    </w:lvl>
    <w:lvl w:ilvl="8" w:tplc="DD2EEA82" w:tentative="1">
      <w:start w:val="1"/>
      <w:numFmt w:val="lowerRoman"/>
      <w:lvlText w:val="%9."/>
      <w:lvlJc w:val="right"/>
      <w:pPr>
        <w:ind w:left="6687" w:hanging="180"/>
      </w:pPr>
    </w:lvl>
  </w:abstractNum>
  <w:abstractNum w:abstractNumId="5">
    <w:nsid w:val="2BB6275F"/>
    <w:multiLevelType w:val="hybridMultilevel"/>
    <w:tmpl w:val="04569E4E"/>
    <w:lvl w:ilvl="0" w:tplc="479A3AC8">
      <w:start w:val="1"/>
      <w:numFmt w:val="lowerLetter"/>
      <w:lvlText w:val="%1)"/>
      <w:lvlJc w:val="left"/>
      <w:pPr>
        <w:ind w:left="1440" w:hanging="360"/>
      </w:pPr>
      <w:rPr>
        <w:rFonts w:hint="default"/>
      </w:rPr>
    </w:lvl>
    <w:lvl w:ilvl="1" w:tplc="6E007BB4" w:tentative="1">
      <w:start w:val="1"/>
      <w:numFmt w:val="lowerLetter"/>
      <w:lvlText w:val="%2."/>
      <w:lvlJc w:val="left"/>
      <w:pPr>
        <w:ind w:left="2160" w:hanging="360"/>
      </w:pPr>
    </w:lvl>
    <w:lvl w:ilvl="2" w:tplc="3B2EDF12" w:tentative="1">
      <w:start w:val="1"/>
      <w:numFmt w:val="lowerRoman"/>
      <w:lvlText w:val="%3."/>
      <w:lvlJc w:val="right"/>
      <w:pPr>
        <w:ind w:left="2880" w:hanging="180"/>
      </w:pPr>
    </w:lvl>
    <w:lvl w:ilvl="3" w:tplc="7A70A638" w:tentative="1">
      <w:start w:val="1"/>
      <w:numFmt w:val="decimal"/>
      <w:lvlText w:val="%4."/>
      <w:lvlJc w:val="left"/>
      <w:pPr>
        <w:ind w:left="3600" w:hanging="360"/>
      </w:pPr>
    </w:lvl>
    <w:lvl w:ilvl="4" w:tplc="3ADA4008" w:tentative="1">
      <w:start w:val="1"/>
      <w:numFmt w:val="lowerLetter"/>
      <w:lvlText w:val="%5."/>
      <w:lvlJc w:val="left"/>
      <w:pPr>
        <w:ind w:left="4320" w:hanging="360"/>
      </w:pPr>
    </w:lvl>
    <w:lvl w:ilvl="5" w:tplc="DFB49E62" w:tentative="1">
      <w:start w:val="1"/>
      <w:numFmt w:val="lowerRoman"/>
      <w:lvlText w:val="%6."/>
      <w:lvlJc w:val="right"/>
      <w:pPr>
        <w:ind w:left="5040" w:hanging="180"/>
      </w:pPr>
    </w:lvl>
    <w:lvl w:ilvl="6" w:tplc="8E42DFAE" w:tentative="1">
      <w:start w:val="1"/>
      <w:numFmt w:val="decimal"/>
      <w:lvlText w:val="%7."/>
      <w:lvlJc w:val="left"/>
      <w:pPr>
        <w:ind w:left="5760" w:hanging="360"/>
      </w:pPr>
    </w:lvl>
    <w:lvl w:ilvl="7" w:tplc="D576C58C" w:tentative="1">
      <w:start w:val="1"/>
      <w:numFmt w:val="lowerLetter"/>
      <w:lvlText w:val="%8."/>
      <w:lvlJc w:val="left"/>
      <w:pPr>
        <w:ind w:left="6480" w:hanging="360"/>
      </w:pPr>
    </w:lvl>
    <w:lvl w:ilvl="8" w:tplc="4030CF68" w:tentative="1">
      <w:start w:val="1"/>
      <w:numFmt w:val="lowerRoman"/>
      <w:lvlText w:val="%9."/>
      <w:lvlJc w:val="right"/>
      <w:pPr>
        <w:ind w:left="7200" w:hanging="180"/>
      </w:pPr>
    </w:lvl>
  </w:abstractNum>
  <w:abstractNum w:abstractNumId="6">
    <w:nsid w:val="2F34134E"/>
    <w:multiLevelType w:val="multilevel"/>
    <w:tmpl w:val="DA602A86"/>
    <w:lvl w:ilvl="0">
      <w:start w:val="1"/>
      <w:numFmt w:val="decimal"/>
      <w:lvlText w:val="%1."/>
      <w:lvlJc w:val="left"/>
      <w:pPr>
        <w:tabs>
          <w:tab w:val="num" w:pos="2835"/>
        </w:tabs>
        <w:ind w:left="2268"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B7B257E"/>
    <w:multiLevelType w:val="hybridMultilevel"/>
    <w:tmpl w:val="49BC2E04"/>
    <w:lvl w:ilvl="0" w:tplc="A4526BD4">
      <w:start w:val="1"/>
      <w:numFmt w:val="upperLetter"/>
      <w:lvlText w:val="%1."/>
      <w:lvlJc w:val="left"/>
      <w:pPr>
        <w:ind w:left="1440" w:hanging="360"/>
      </w:pPr>
      <w:rPr>
        <w:rFonts w:hint="default"/>
      </w:rPr>
    </w:lvl>
    <w:lvl w:ilvl="1" w:tplc="2DF219E2" w:tentative="1">
      <w:start w:val="1"/>
      <w:numFmt w:val="lowerLetter"/>
      <w:lvlText w:val="%2."/>
      <w:lvlJc w:val="left"/>
      <w:pPr>
        <w:ind w:left="2160" w:hanging="360"/>
      </w:pPr>
    </w:lvl>
    <w:lvl w:ilvl="2" w:tplc="5FF81352" w:tentative="1">
      <w:start w:val="1"/>
      <w:numFmt w:val="lowerRoman"/>
      <w:lvlText w:val="%3."/>
      <w:lvlJc w:val="right"/>
      <w:pPr>
        <w:ind w:left="2880" w:hanging="180"/>
      </w:pPr>
    </w:lvl>
    <w:lvl w:ilvl="3" w:tplc="9AE82AA4" w:tentative="1">
      <w:start w:val="1"/>
      <w:numFmt w:val="decimal"/>
      <w:lvlText w:val="%4."/>
      <w:lvlJc w:val="left"/>
      <w:pPr>
        <w:ind w:left="3600" w:hanging="360"/>
      </w:pPr>
    </w:lvl>
    <w:lvl w:ilvl="4" w:tplc="3E5A4D38" w:tentative="1">
      <w:start w:val="1"/>
      <w:numFmt w:val="lowerLetter"/>
      <w:lvlText w:val="%5."/>
      <w:lvlJc w:val="left"/>
      <w:pPr>
        <w:ind w:left="4320" w:hanging="360"/>
      </w:pPr>
    </w:lvl>
    <w:lvl w:ilvl="5" w:tplc="F13E93F4" w:tentative="1">
      <w:start w:val="1"/>
      <w:numFmt w:val="lowerRoman"/>
      <w:lvlText w:val="%6."/>
      <w:lvlJc w:val="right"/>
      <w:pPr>
        <w:ind w:left="5040" w:hanging="180"/>
      </w:pPr>
    </w:lvl>
    <w:lvl w:ilvl="6" w:tplc="7408DB22" w:tentative="1">
      <w:start w:val="1"/>
      <w:numFmt w:val="decimal"/>
      <w:lvlText w:val="%7."/>
      <w:lvlJc w:val="left"/>
      <w:pPr>
        <w:ind w:left="5760" w:hanging="360"/>
      </w:pPr>
    </w:lvl>
    <w:lvl w:ilvl="7" w:tplc="43220524" w:tentative="1">
      <w:start w:val="1"/>
      <w:numFmt w:val="lowerLetter"/>
      <w:lvlText w:val="%8."/>
      <w:lvlJc w:val="left"/>
      <w:pPr>
        <w:ind w:left="6480" w:hanging="360"/>
      </w:pPr>
    </w:lvl>
    <w:lvl w:ilvl="8" w:tplc="9CA02B6C" w:tentative="1">
      <w:start w:val="1"/>
      <w:numFmt w:val="lowerRoman"/>
      <w:lvlText w:val="%9."/>
      <w:lvlJc w:val="right"/>
      <w:pPr>
        <w:ind w:left="7200" w:hanging="180"/>
      </w:pPr>
    </w:lvl>
  </w:abstractNum>
  <w:abstractNum w:abstractNumId="8">
    <w:nsid w:val="468F3239"/>
    <w:multiLevelType w:val="multilevel"/>
    <w:tmpl w:val="3738F016"/>
    <w:lvl w:ilvl="0">
      <w:start w:val="3"/>
      <w:numFmt w:val="upperLetter"/>
      <w:lvlText w:val="%1."/>
      <w:lvlJc w:val="left"/>
      <w:pPr>
        <w:ind w:left="357" w:hanging="357"/>
      </w:pPr>
      <w:rPr>
        <w:rFonts w:hint="default"/>
      </w:rPr>
    </w:lvl>
    <w:lvl w:ilvl="1">
      <w:start w:val="1"/>
      <w:numFmt w:val="decimal"/>
      <w:lvlText w:val="%2."/>
      <w:lvlJc w:val="left"/>
      <w:pPr>
        <w:ind w:left="357" w:hanging="357"/>
      </w:pPr>
      <w:rPr>
        <w:rFonts w:hint="default"/>
      </w:rPr>
    </w:lvl>
    <w:lvl w:ilvl="2">
      <w:start w:val="1"/>
      <w:numFmt w:val="lowerRoman"/>
      <w:lvlText w:val="%3."/>
      <w:lvlJc w:val="right"/>
      <w:pPr>
        <w:ind w:left="357" w:hanging="357"/>
      </w:pPr>
      <w:rPr>
        <w:rFonts w:hint="default"/>
      </w:rPr>
    </w:lvl>
    <w:lvl w:ilvl="3">
      <w:start w:val="1"/>
      <w:numFmt w:val="decimal"/>
      <w:lvlText w:val="%4."/>
      <w:lvlJc w:val="left"/>
      <w:pPr>
        <w:ind w:left="357" w:hanging="357"/>
      </w:pPr>
      <w:rPr>
        <w:rFonts w:hint="default"/>
      </w:rPr>
    </w:lvl>
    <w:lvl w:ilvl="4">
      <w:start w:val="1"/>
      <w:numFmt w:val="lowerLetter"/>
      <w:lvlText w:val="%5."/>
      <w:lvlJc w:val="left"/>
      <w:pPr>
        <w:ind w:left="357" w:hanging="357"/>
      </w:pPr>
      <w:rPr>
        <w:rFonts w:hint="default"/>
      </w:rPr>
    </w:lvl>
    <w:lvl w:ilvl="5">
      <w:start w:val="1"/>
      <w:numFmt w:val="lowerRoman"/>
      <w:lvlText w:val="%6."/>
      <w:lvlJc w:val="right"/>
      <w:pPr>
        <w:ind w:left="357" w:hanging="357"/>
      </w:pPr>
      <w:rPr>
        <w:rFonts w:hint="default"/>
      </w:rPr>
    </w:lvl>
    <w:lvl w:ilvl="6">
      <w:start w:val="1"/>
      <w:numFmt w:val="decimal"/>
      <w:lvlText w:val="%7."/>
      <w:lvlJc w:val="left"/>
      <w:pPr>
        <w:ind w:left="357" w:hanging="357"/>
      </w:pPr>
      <w:rPr>
        <w:rFonts w:hint="default"/>
      </w:rPr>
    </w:lvl>
    <w:lvl w:ilvl="7">
      <w:start w:val="1"/>
      <w:numFmt w:val="lowerLetter"/>
      <w:lvlText w:val="%8."/>
      <w:lvlJc w:val="left"/>
      <w:pPr>
        <w:ind w:left="357" w:hanging="357"/>
      </w:pPr>
      <w:rPr>
        <w:rFonts w:hint="default"/>
      </w:rPr>
    </w:lvl>
    <w:lvl w:ilvl="8">
      <w:start w:val="1"/>
      <w:numFmt w:val="lowerRoman"/>
      <w:lvlText w:val="%9."/>
      <w:lvlJc w:val="right"/>
      <w:pPr>
        <w:ind w:left="357" w:hanging="357"/>
      </w:pPr>
      <w:rPr>
        <w:rFonts w:hint="default"/>
      </w:rPr>
    </w:lvl>
  </w:abstractNum>
  <w:abstractNum w:abstractNumId="9">
    <w:nsid w:val="49FD462C"/>
    <w:multiLevelType w:val="hybridMultilevel"/>
    <w:tmpl w:val="2FEA8C3A"/>
    <w:lvl w:ilvl="0" w:tplc="E5966322">
      <w:start w:val="1"/>
      <w:numFmt w:val="decimal"/>
      <w:lvlText w:val="%1."/>
      <w:lvlJc w:val="left"/>
      <w:pPr>
        <w:tabs>
          <w:tab w:val="num" w:pos="2835"/>
        </w:tabs>
        <w:ind w:left="2268" w:firstLine="0"/>
      </w:pPr>
      <w:rPr>
        <w:rFonts w:hint="default"/>
      </w:rPr>
    </w:lvl>
    <w:lvl w:ilvl="1" w:tplc="7526CD8A" w:tentative="1">
      <w:start w:val="1"/>
      <w:numFmt w:val="lowerLetter"/>
      <w:lvlText w:val="%2."/>
      <w:lvlJc w:val="left"/>
      <w:pPr>
        <w:tabs>
          <w:tab w:val="num" w:pos="1440"/>
        </w:tabs>
        <w:ind w:left="1440" w:hanging="360"/>
      </w:pPr>
    </w:lvl>
    <w:lvl w:ilvl="2" w:tplc="B546AB20">
      <w:start w:val="1"/>
      <w:numFmt w:val="decimal"/>
      <w:lvlText w:val="%3."/>
      <w:lvlJc w:val="left"/>
      <w:pPr>
        <w:tabs>
          <w:tab w:val="num" w:pos="1701"/>
        </w:tabs>
        <w:ind w:left="1134" w:firstLine="0"/>
      </w:pPr>
      <w:rPr>
        <w:rFonts w:hint="default"/>
      </w:rPr>
    </w:lvl>
    <w:lvl w:ilvl="3" w:tplc="65447326" w:tentative="1">
      <w:start w:val="1"/>
      <w:numFmt w:val="decimal"/>
      <w:lvlText w:val="%4."/>
      <w:lvlJc w:val="left"/>
      <w:pPr>
        <w:tabs>
          <w:tab w:val="num" w:pos="2880"/>
        </w:tabs>
        <w:ind w:left="2880" w:hanging="360"/>
      </w:pPr>
    </w:lvl>
    <w:lvl w:ilvl="4" w:tplc="F4064DE0" w:tentative="1">
      <w:start w:val="1"/>
      <w:numFmt w:val="lowerLetter"/>
      <w:lvlText w:val="%5."/>
      <w:lvlJc w:val="left"/>
      <w:pPr>
        <w:tabs>
          <w:tab w:val="num" w:pos="3600"/>
        </w:tabs>
        <w:ind w:left="3600" w:hanging="360"/>
      </w:pPr>
    </w:lvl>
    <w:lvl w:ilvl="5" w:tplc="FD9E2682" w:tentative="1">
      <w:start w:val="1"/>
      <w:numFmt w:val="lowerRoman"/>
      <w:lvlText w:val="%6."/>
      <w:lvlJc w:val="right"/>
      <w:pPr>
        <w:tabs>
          <w:tab w:val="num" w:pos="4320"/>
        </w:tabs>
        <w:ind w:left="4320" w:hanging="180"/>
      </w:pPr>
    </w:lvl>
    <w:lvl w:ilvl="6" w:tplc="C81A2FA8" w:tentative="1">
      <w:start w:val="1"/>
      <w:numFmt w:val="decimal"/>
      <w:lvlText w:val="%7."/>
      <w:lvlJc w:val="left"/>
      <w:pPr>
        <w:tabs>
          <w:tab w:val="num" w:pos="5040"/>
        </w:tabs>
        <w:ind w:left="5040" w:hanging="360"/>
      </w:pPr>
    </w:lvl>
    <w:lvl w:ilvl="7" w:tplc="C57CD928" w:tentative="1">
      <w:start w:val="1"/>
      <w:numFmt w:val="lowerLetter"/>
      <w:lvlText w:val="%8."/>
      <w:lvlJc w:val="left"/>
      <w:pPr>
        <w:tabs>
          <w:tab w:val="num" w:pos="5760"/>
        </w:tabs>
        <w:ind w:left="5760" w:hanging="360"/>
      </w:pPr>
    </w:lvl>
    <w:lvl w:ilvl="8" w:tplc="5F442FA6" w:tentative="1">
      <w:start w:val="1"/>
      <w:numFmt w:val="lowerRoman"/>
      <w:lvlText w:val="%9."/>
      <w:lvlJc w:val="right"/>
      <w:pPr>
        <w:tabs>
          <w:tab w:val="num" w:pos="6480"/>
        </w:tabs>
        <w:ind w:left="6480" w:hanging="180"/>
      </w:pPr>
    </w:lvl>
  </w:abstractNum>
  <w:abstractNum w:abstractNumId="1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53C45279"/>
    <w:multiLevelType w:val="hybridMultilevel"/>
    <w:tmpl w:val="C1F0A9A6"/>
    <w:lvl w:ilvl="0" w:tplc="7D7ED576">
      <w:start w:val="1"/>
      <w:numFmt w:val="upperLetter"/>
      <w:lvlText w:val="%1."/>
      <w:lvlJc w:val="left"/>
      <w:pPr>
        <w:ind w:left="1376" w:hanging="525"/>
      </w:pPr>
      <w:rPr>
        <w:rFonts w:hint="default"/>
      </w:rPr>
    </w:lvl>
    <w:lvl w:ilvl="1" w:tplc="C3B0DB00" w:tentative="1">
      <w:start w:val="1"/>
      <w:numFmt w:val="lowerLetter"/>
      <w:lvlText w:val="%2."/>
      <w:lvlJc w:val="left"/>
      <w:pPr>
        <w:ind w:left="1931" w:hanging="360"/>
      </w:pPr>
    </w:lvl>
    <w:lvl w:ilvl="2" w:tplc="1578DFCC" w:tentative="1">
      <w:start w:val="1"/>
      <w:numFmt w:val="lowerRoman"/>
      <w:lvlText w:val="%3."/>
      <w:lvlJc w:val="right"/>
      <w:pPr>
        <w:ind w:left="2651" w:hanging="180"/>
      </w:pPr>
    </w:lvl>
    <w:lvl w:ilvl="3" w:tplc="35066F92" w:tentative="1">
      <w:start w:val="1"/>
      <w:numFmt w:val="decimal"/>
      <w:lvlText w:val="%4."/>
      <w:lvlJc w:val="left"/>
      <w:pPr>
        <w:ind w:left="3371" w:hanging="360"/>
      </w:pPr>
    </w:lvl>
    <w:lvl w:ilvl="4" w:tplc="8C622478" w:tentative="1">
      <w:start w:val="1"/>
      <w:numFmt w:val="lowerLetter"/>
      <w:lvlText w:val="%5."/>
      <w:lvlJc w:val="left"/>
      <w:pPr>
        <w:ind w:left="4091" w:hanging="360"/>
      </w:pPr>
    </w:lvl>
    <w:lvl w:ilvl="5" w:tplc="90C41680" w:tentative="1">
      <w:start w:val="1"/>
      <w:numFmt w:val="lowerRoman"/>
      <w:lvlText w:val="%6."/>
      <w:lvlJc w:val="right"/>
      <w:pPr>
        <w:ind w:left="4811" w:hanging="180"/>
      </w:pPr>
    </w:lvl>
    <w:lvl w:ilvl="6" w:tplc="9F5E67BA" w:tentative="1">
      <w:start w:val="1"/>
      <w:numFmt w:val="decimal"/>
      <w:lvlText w:val="%7."/>
      <w:lvlJc w:val="left"/>
      <w:pPr>
        <w:ind w:left="5531" w:hanging="360"/>
      </w:pPr>
    </w:lvl>
    <w:lvl w:ilvl="7" w:tplc="CA00FD14" w:tentative="1">
      <w:start w:val="1"/>
      <w:numFmt w:val="lowerLetter"/>
      <w:lvlText w:val="%8."/>
      <w:lvlJc w:val="left"/>
      <w:pPr>
        <w:ind w:left="6251" w:hanging="360"/>
      </w:pPr>
    </w:lvl>
    <w:lvl w:ilvl="8" w:tplc="6CF0D14C" w:tentative="1">
      <w:start w:val="1"/>
      <w:numFmt w:val="lowerRoman"/>
      <w:lvlText w:val="%9."/>
      <w:lvlJc w:val="right"/>
      <w:pPr>
        <w:ind w:left="6971" w:hanging="180"/>
      </w:pPr>
    </w:lvl>
  </w:abstractNum>
  <w:abstractNum w:abstractNumId="12">
    <w:nsid w:val="54440D58"/>
    <w:multiLevelType w:val="hybridMultilevel"/>
    <w:tmpl w:val="1A349470"/>
    <w:lvl w:ilvl="0" w:tplc="0F56C0A6">
      <w:start w:val="1"/>
      <w:numFmt w:val="lowerRoman"/>
      <w:lvlText w:val="%1."/>
      <w:lvlJc w:val="right"/>
      <w:pPr>
        <w:ind w:left="1891" w:hanging="360"/>
      </w:pPr>
      <w:rPr>
        <w:rFonts w:cs="Times New Roman"/>
      </w:rPr>
    </w:lvl>
    <w:lvl w:ilvl="1" w:tplc="4D6EE642" w:tentative="1">
      <w:start w:val="1"/>
      <w:numFmt w:val="lowerLetter"/>
      <w:lvlText w:val="%2."/>
      <w:lvlJc w:val="left"/>
      <w:pPr>
        <w:ind w:left="2611" w:hanging="360"/>
      </w:pPr>
      <w:rPr>
        <w:rFonts w:cs="Times New Roman"/>
      </w:rPr>
    </w:lvl>
    <w:lvl w:ilvl="2" w:tplc="076641EE" w:tentative="1">
      <w:start w:val="1"/>
      <w:numFmt w:val="lowerRoman"/>
      <w:lvlText w:val="%3."/>
      <w:lvlJc w:val="right"/>
      <w:pPr>
        <w:ind w:left="3331" w:hanging="180"/>
      </w:pPr>
      <w:rPr>
        <w:rFonts w:cs="Times New Roman"/>
      </w:rPr>
    </w:lvl>
    <w:lvl w:ilvl="3" w:tplc="B64C143A" w:tentative="1">
      <w:start w:val="1"/>
      <w:numFmt w:val="decimal"/>
      <w:lvlText w:val="%4."/>
      <w:lvlJc w:val="left"/>
      <w:pPr>
        <w:ind w:left="4051" w:hanging="360"/>
      </w:pPr>
      <w:rPr>
        <w:rFonts w:cs="Times New Roman"/>
      </w:rPr>
    </w:lvl>
    <w:lvl w:ilvl="4" w:tplc="63120F1E" w:tentative="1">
      <w:start w:val="1"/>
      <w:numFmt w:val="lowerLetter"/>
      <w:lvlText w:val="%5."/>
      <w:lvlJc w:val="left"/>
      <w:pPr>
        <w:ind w:left="4771" w:hanging="360"/>
      </w:pPr>
      <w:rPr>
        <w:rFonts w:cs="Times New Roman"/>
      </w:rPr>
    </w:lvl>
    <w:lvl w:ilvl="5" w:tplc="354C0FA8" w:tentative="1">
      <w:start w:val="1"/>
      <w:numFmt w:val="lowerRoman"/>
      <w:lvlText w:val="%6."/>
      <w:lvlJc w:val="right"/>
      <w:pPr>
        <w:ind w:left="5491" w:hanging="180"/>
      </w:pPr>
      <w:rPr>
        <w:rFonts w:cs="Times New Roman"/>
      </w:rPr>
    </w:lvl>
    <w:lvl w:ilvl="6" w:tplc="083655A2" w:tentative="1">
      <w:start w:val="1"/>
      <w:numFmt w:val="decimal"/>
      <w:lvlText w:val="%7."/>
      <w:lvlJc w:val="left"/>
      <w:pPr>
        <w:ind w:left="6211" w:hanging="360"/>
      </w:pPr>
      <w:rPr>
        <w:rFonts w:cs="Times New Roman"/>
      </w:rPr>
    </w:lvl>
    <w:lvl w:ilvl="7" w:tplc="A238CB9C" w:tentative="1">
      <w:start w:val="1"/>
      <w:numFmt w:val="lowerLetter"/>
      <w:lvlText w:val="%8."/>
      <w:lvlJc w:val="left"/>
      <w:pPr>
        <w:ind w:left="6931" w:hanging="360"/>
      </w:pPr>
      <w:rPr>
        <w:rFonts w:cs="Times New Roman"/>
      </w:rPr>
    </w:lvl>
    <w:lvl w:ilvl="8" w:tplc="B7F6D934" w:tentative="1">
      <w:start w:val="1"/>
      <w:numFmt w:val="lowerRoman"/>
      <w:lvlText w:val="%9."/>
      <w:lvlJc w:val="right"/>
      <w:pPr>
        <w:ind w:left="7651" w:hanging="180"/>
      </w:pPr>
      <w:rPr>
        <w:rFonts w:cs="Times New Roman"/>
      </w:r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8862366"/>
    <w:multiLevelType w:val="hybridMultilevel"/>
    <w:tmpl w:val="523E6D94"/>
    <w:lvl w:ilvl="0" w:tplc="70DAD624">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A36CFA12" w:tentative="1">
      <w:start w:val="1"/>
      <w:numFmt w:val="bullet"/>
      <w:lvlText w:val="o"/>
      <w:lvlJc w:val="left"/>
      <w:pPr>
        <w:tabs>
          <w:tab w:val="num" w:pos="1440"/>
        </w:tabs>
        <w:ind w:left="1440" w:hanging="360"/>
      </w:pPr>
      <w:rPr>
        <w:rFonts w:ascii="Courier New" w:hAnsi="Courier New" w:hint="default"/>
      </w:rPr>
    </w:lvl>
    <w:lvl w:ilvl="2" w:tplc="40903916" w:tentative="1">
      <w:start w:val="1"/>
      <w:numFmt w:val="bullet"/>
      <w:lvlText w:val=""/>
      <w:lvlJc w:val="left"/>
      <w:pPr>
        <w:tabs>
          <w:tab w:val="num" w:pos="2160"/>
        </w:tabs>
        <w:ind w:left="2160" w:hanging="360"/>
      </w:pPr>
      <w:rPr>
        <w:rFonts w:ascii="Wingdings" w:hAnsi="Wingdings" w:hint="default"/>
      </w:rPr>
    </w:lvl>
    <w:lvl w:ilvl="3" w:tplc="6B02C94E" w:tentative="1">
      <w:start w:val="1"/>
      <w:numFmt w:val="bullet"/>
      <w:lvlText w:val=""/>
      <w:lvlJc w:val="left"/>
      <w:pPr>
        <w:tabs>
          <w:tab w:val="num" w:pos="2880"/>
        </w:tabs>
        <w:ind w:left="2880" w:hanging="360"/>
      </w:pPr>
      <w:rPr>
        <w:rFonts w:ascii="Symbol" w:hAnsi="Symbol" w:hint="default"/>
      </w:rPr>
    </w:lvl>
    <w:lvl w:ilvl="4" w:tplc="6BA4DC24" w:tentative="1">
      <w:start w:val="1"/>
      <w:numFmt w:val="bullet"/>
      <w:lvlText w:val="o"/>
      <w:lvlJc w:val="left"/>
      <w:pPr>
        <w:tabs>
          <w:tab w:val="num" w:pos="3600"/>
        </w:tabs>
        <w:ind w:left="3600" w:hanging="360"/>
      </w:pPr>
      <w:rPr>
        <w:rFonts w:ascii="Courier New" w:hAnsi="Courier New" w:hint="default"/>
      </w:rPr>
    </w:lvl>
    <w:lvl w:ilvl="5" w:tplc="E6D66238" w:tentative="1">
      <w:start w:val="1"/>
      <w:numFmt w:val="bullet"/>
      <w:lvlText w:val=""/>
      <w:lvlJc w:val="left"/>
      <w:pPr>
        <w:tabs>
          <w:tab w:val="num" w:pos="4320"/>
        </w:tabs>
        <w:ind w:left="4320" w:hanging="360"/>
      </w:pPr>
      <w:rPr>
        <w:rFonts w:ascii="Wingdings" w:hAnsi="Wingdings" w:hint="default"/>
      </w:rPr>
    </w:lvl>
    <w:lvl w:ilvl="6" w:tplc="5A561DF6" w:tentative="1">
      <w:start w:val="1"/>
      <w:numFmt w:val="bullet"/>
      <w:lvlText w:val=""/>
      <w:lvlJc w:val="left"/>
      <w:pPr>
        <w:tabs>
          <w:tab w:val="num" w:pos="5040"/>
        </w:tabs>
        <w:ind w:left="5040" w:hanging="360"/>
      </w:pPr>
      <w:rPr>
        <w:rFonts w:ascii="Symbol" w:hAnsi="Symbol" w:hint="default"/>
      </w:rPr>
    </w:lvl>
    <w:lvl w:ilvl="7" w:tplc="AA0C13A0" w:tentative="1">
      <w:start w:val="1"/>
      <w:numFmt w:val="bullet"/>
      <w:lvlText w:val="o"/>
      <w:lvlJc w:val="left"/>
      <w:pPr>
        <w:tabs>
          <w:tab w:val="num" w:pos="5760"/>
        </w:tabs>
        <w:ind w:left="5760" w:hanging="360"/>
      </w:pPr>
      <w:rPr>
        <w:rFonts w:ascii="Courier New" w:hAnsi="Courier New" w:hint="default"/>
      </w:rPr>
    </w:lvl>
    <w:lvl w:ilvl="8" w:tplc="2E68A4DA" w:tentative="1">
      <w:start w:val="1"/>
      <w:numFmt w:val="bullet"/>
      <w:lvlText w:val=""/>
      <w:lvlJc w:val="left"/>
      <w:pPr>
        <w:tabs>
          <w:tab w:val="num" w:pos="6480"/>
        </w:tabs>
        <w:ind w:left="6480" w:hanging="360"/>
      </w:pPr>
      <w:rPr>
        <w:rFonts w:ascii="Wingdings" w:hAnsi="Wingdings" w:hint="default"/>
      </w:rPr>
    </w:lvl>
  </w:abstractNum>
  <w:abstractNum w:abstractNumId="16">
    <w:nsid w:val="6B666516"/>
    <w:multiLevelType w:val="hybridMultilevel"/>
    <w:tmpl w:val="A29CEBCA"/>
    <w:lvl w:ilvl="0" w:tplc="0694C2E2">
      <w:start w:val="1"/>
      <w:numFmt w:val="decimal"/>
      <w:lvlText w:val="%1."/>
      <w:lvlJc w:val="left"/>
      <w:pPr>
        <w:ind w:left="1854" w:hanging="360"/>
      </w:pPr>
    </w:lvl>
    <w:lvl w:ilvl="1" w:tplc="CDDC134A" w:tentative="1">
      <w:start w:val="1"/>
      <w:numFmt w:val="lowerLetter"/>
      <w:lvlText w:val="%2."/>
      <w:lvlJc w:val="left"/>
      <w:pPr>
        <w:ind w:left="2574" w:hanging="360"/>
      </w:pPr>
    </w:lvl>
    <w:lvl w:ilvl="2" w:tplc="3C38B9A2" w:tentative="1">
      <w:start w:val="1"/>
      <w:numFmt w:val="lowerRoman"/>
      <w:lvlText w:val="%3."/>
      <w:lvlJc w:val="right"/>
      <w:pPr>
        <w:ind w:left="3294" w:hanging="180"/>
      </w:pPr>
    </w:lvl>
    <w:lvl w:ilvl="3" w:tplc="31DE74CC" w:tentative="1">
      <w:start w:val="1"/>
      <w:numFmt w:val="decimal"/>
      <w:lvlText w:val="%4."/>
      <w:lvlJc w:val="left"/>
      <w:pPr>
        <w:ind w:left="4014" w:hanging="360"/>
      </w:pPr>
    </w:lvl>
    <w:lvl w:ilvl="4" w:tplc="25FEC88E" w:tentative="1">
      <w:start w:val="1"/>
      <w:numFmt w:val="lowerLetter"/>
      <w:lvlText w:val="%5."/>
      <w:lvlJc w:val="left"/>
      <w:pPr>
        <w:ind w:left="4734" w:hanging="360"/>
      </w:pPr>
    </w:lvl>
    <w:lvl w:ilvl="5" w:tplc="9050F646" w:tentative="1">
      <w:start w:val="1"/>
      <w:numFmt w:val="lowerRoman"/>
      <w:lvlText w:val="%6."/>
      <w:lvlJc w:val="right"/>
      <w:pPr>
        <w:ind w:left="5454" w:hanging="180"/>
      </w:pPr>
    </w:lvl>
    <w:lvl w:ilvl="6" w:tplc="5F581310" w:tentative="1">
      <w:start w:val="1"/>
      <w:numFmt w:val="decimal"/>
      <w:lvlText w:val="%7."/>
      <w:lvlJc w:val="left"/>
      <w:pPr>
        <w:ind w:left="6174" w:hanging="360"/>
      </w:pPr>
    </w:lvl>
    <w:lvl w:ilvl="7" w:tplc="C674C8E0" w:tentative="1">
      <w:start w:val="1"/>
      <w:numFmt w:val="lowerLetter"/>
      <w:lvlText w:val="%8."/>
      <w:lvlJc w:val="left"/>
      <w:pPr>
        <w:ind w:left="6894" w:hanging="360"/>
      </w:pPr>
    </w:lvl>
    <w:lvl w:ilvl="8" w:tplc="E34216E2" w:tentative="1">
      <w:start w:val="1"/>
      <w:numFmt w:val="lowerRoman"/>
      <w:lvlText w:val="%9."/>
      <w:lvlJc w:val="right"/>
      <w:pPr>
        <w:ind w:left="7614" w:hanging="180"/>
      </w:pPr>
    </w:lvl>
  </w:abstractNum>
  <w:abstractNum w:abstractNumId="17">
    <w:nsid w:val="714115C3"/>
    <w:multiLevelType w:val="hybridMultilevel"/>
    <w:tmpl w:val="FECECFCA"/>
    <w:lvl w:ilvl="0" w:tplc="9278B290">
      <w:start w:val="1"/>
      <w:numFmt w:val="decimal"/>
      <w:lvlText w:val="%1."/>
      <w:lvlJc w:val="left"/>
      <w:pPr>
        <w:ind w:left="1689" w:hanging="555"/>
      </w:pPr>
      <w:rPr>
        <w:rFonts w:hint="default"/>
        <w:b w:val="0"/>
        <w:bCs/>
        <w:color w:val="auto"/>
        <w:sz w:val="20"/>
        <w:szCs w:val="20"/>
      </w:rPr>
    </w:lvl>
    <w:lvl w:ilvl="1" w:tplc="B93E2982" w:tentative="1">
      <w:start w:val="1"/>
      <w:numFmt w:val="lowerLetter"/>
      <w:lvlText w:val="%2."/>
      <w:lvlJc w:val="left"/>
      <w:pPr>
        <w:ind w:left="2214" w:hanging="360"/>
      </w:pPr>
    </w:lvl>
    <w:lvl w:ilvl="2" w:tplc="EBA6D5AC" w:tentative="1">
      <w:start w:val="1"/>
      <w:numFmt w:val="lowerRoman"/>
      <w:lvlText w:val="%3."/>
      <w:lvlJc w:val="right"/>
      <w:pPr>
        <w:ind w:left="2934" w:hanging="180"/>
      </w:pPr>
    </w:lvl>
    <w:lvl w:ilvl="3" w:tplc="E21A7BF4" w:tentative="1">
      <w:start w:val="1"/>
      <w:numFmt w:val="decimal"/>
      <w:lvlText w:val="%4."/>
      <w:lvlJc w:val="left"/>
      <w:pPr>
        <w:ind w:left="3654" w:hanging="360"/>
      </w:pPr>
    </w:lvl>
    <w:lvl w:ilvl="4" w:tplc="D18C6154" w:tentative="1">
      <w:start w:val="1"/>
      <w:numFmt w:val="lowerLetter"/>
      <w:lvlText w:val="%5."/>
      <w:lvlJc w:val="left"/>
      <w:pPr>
        <w:ind w:left="4374" w:hanging="360"/>
      </w:pPr>
    </w:lvl>
    <w:lvl w:ilvl="5" w:tplc="2A5447B8" w:tentative="1">
      <w:start w:val="1"/>
      <w:numFmt w:val="lowerRoman"/>
      <w:lvlText w:val="%6."/>
      <w:lvlJc w:val="right"/>
      <w:pPr>
        <w:ind w:left="5094" w:hanging="180"/>
      </w:pPr>
    </w:lvl>
    <w:lvl w:ilvl="6" w:tplc="D41025D6" w:tentative="1">
      <w:start w:val="1"/>
      <w:numFmt w:val="decimal"/>
      <w:lvlText w:val="%7."/>
      <w:lvlJc w:val="left"/>
      <w:pPr>
        <w:ind w:left="5814" w:hanging="360"/>
      </w:pPr>
    </w:lvl>
    <w:lvl w:ilvl="7" w:tplc="D43233D6" w:tentative="1">
      <w:start w:val="1"/>
      <w:numFmt w:val="lowerLetter"/>
      <w:lvlText w:val="%8."/>
      <w:lvlJc w:val="left"/>
      <w:pPr>
        <w:ind w:left="6534" w:hanging="360"/>
      </w:pPr>
    </w:lvl>
    <w:lvl w:ilvl="8" w:tplc="11DA2DF2" w:tentative="1">
      <w:start w:val="1"/>
      <w:numFmt w:val="lowerRoman"/>
      <w:lvlText w:val="%9."/>
      <w:lvlJc w:val="right"/>
      <w:pPr>
        <w:ind w:left="7254" w:hanging="180"/>
      </w:pPr>
    </w:lvl>
  </w:abstractNum>
  <w:num w:numId="1">
    <w:abstractNumId w:val="14"/>
  </w:num>
  <w:num w:numId="2">
    <w:abstractNumId w:val="10"/>
  </w:num>
  <w:num w:numId="3">
    <w:abstractNumId w:val="13"/>
  </w:num>
  <w:num w:numId="4">
    <w:abstractNumId w:val="1"/>
  </w:num>
  <w:num w:numId="5">
    <w:abstractNumId w:val="15"/>
  </w:num>
  <w:num w:numId="6">
    <w:abstractNumId w:val="12"/>
  </w:num>
  <w:num w:numId="7">
    <w:abstractNumId w:val="0"/>
  </w:num>
  <w:num w:numId="8">
    <w:abstractNumId w:val="6"/>
  </w:num>
  <w:num w:numId="9">
    <w:abstractNumId w:val="11"/>
  </w:num>
  <w:num w:numId="10">
    <w:abstractNumId w:val="9"/>
  </w:num>
  <w:num w:numId="11">
    <w:abstractNumId w:val="5"/>
  </w:num>
  <w:num w:numId="12">
    <w:abstractNumId w:val="7"/>
  </w:num>
  <w:num w:numId="13">
    <w:abstractNumId w:val="8"/>
  </w:num>
  <w:num w:numId="14">
    <w:abstractNumId w:val="2"/>
  </w:num>
  <w:num w:numId="15">
    <w:abstractNumId w:val="4"/>
  </w:num>
  <w:num w:numId="16">
    <w:abstractNumId w:val="3"/>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attachedTemplate r:id="rId1"/>
  <w:documentProtection w:edit="forms" w:enforcement="0"/>
  <w:defaultTabStop w:val="567"/>
  <w:autoHyphenation/>
  <w:hyphenationZone w:val="357"/>
  <w:doNotHyphenateCaps/>
  <w:evenAndOddHeaders/>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817"/>
    <w:rsid w:val="000450D1"/>
    <w:rsid w:val="000720C5"/>
    <w:rsid w:val="000E09E6"/>
    <w:rsid w:val="000F2A4F"/>
    <w:rsid w:val="00135A1B"/>
    <w:rsid w:val="00203F84"/>
    <w:rsid w:val="00271EB1"/>
    <w:rsid w:val="00275188"/>
    <w:rsid w:val="0028687D"/>
    <w:rsid w:val="002B091C"/>
    <w:rsid w:val="002D0CCB"/>
    <w:rsid w:val="002E6BB5"/>
    <w:rsid w:val="003221C3"/>
    <w:rsid w:val="00345C79"/>
    <w:rsid w:val="00351CDD"/>
    <w:rsid w:val="00366A39"/>
    <w:rsid w:val="00415A75"/>
    <w:rsid w:val="0048005C"/>
    <w:rsid w:val="00491C73"/>
    <w:rsid w:val="004C4817"/>
    <w:rsid w:val="004E242B"/>
    <w:rsid w:val="00520D9D"/>
    <w:rsid w:val="00544379"/>
    <w:rsid w:val="00566944"/>
    <w:rsid w:val="00577C05"/>
    <w:rsid w:val="005D56BF"/>
    <w:rsid w:val="005F44F4"/>
    <w:rsid w:val="00665D8D"/>
    <w:rsid w:val="006A7A3B"/>
    <w:rsid w:val="006B6B57"/>
    <w:rsid w:val="006C40FB"/>
    <w:rsid w:val="00705394"/>
    <w:rsid w:val="00724109"/>
    <w:rsid w:val="00726DE9"/>
    <w:rsid w:val="007437E5"/>
    <w:rsid w:val="00743F62"/>
    <w:rsid w:val="00760D3A"/>
    <w:rsid w:val="007A1F42"/>
    <w:rsid w:val="007A1FE6"/>
    <w:rsid w:val="007B6E80"/>
    <w:rsid w:val="007D76DD"/>
    <w:rsid w:val="00843B95"/>
    <w:rsid w:val="008717E8"/>
    <w:rsid w:val="00873FCB"/>
    <w:rsid w:val="00882193"/>
    <w:rsid w:val="008855BE"/>
    <w:rsid w:val="008D01AE"/>
    <w:rsid w:val="008D371B"/>
    <w:rsid w:val="008E0423"/>
    <w:rsid w:val="009141DC"/>
    <w:rsid w:val="009174A1"/>
    <w:rsid w:val="0094154C"/>
    <w:rsid w:val="009622FF"/>
    <w:rsid w:val="0096614B"/>
    <w:rsid w:val="00980DEC"/>
    <w:rsid w:val="0098674D"/>
    <w:rsid w:val="00991A39"/>
    <w:rsid w:val="00997ACA"/>
    <w:rsid w:val="00A03FB7"/>
    <w:rsid w:val="00A07EA4"/>
    <w:rsid w:val="00A23524"/>
    <w:rsid w:val="00A70216"/>
    <w:rsid w:val="00A75A11"/>
    <w:rsid w:val="00AB184A"/>
    <w:rsid w:val="00AD7B91"/>
    <w:rsid w:val="00AD7EAD"/>
    <w:rsid w:val="00B113CB"/>
    <w:rsid w:val="00B1591B"/>
    <w:rsid w:val="00B35A32"/>
    <w:rsid w:val="00B432C6"/>
    <w:rsid w:val="00B471C5"/>
    <w:rsid w:val="00B6474A"/>
    <w:rsid w:val="00BC3427"/>
    <w:rsid w:val="00BD19FE"/>
    <w:rsid w:val="00BE0676"/>
    <w:rsid w:val="00BE1742"/>
    <w:rsid w:val="00C034B9"/>
    <w:rsid w:val="00C05D7C"/>
    <w:rsid w:val="00C850D1"/>
    <w:rsid w:val="00CA0080"/>
    <w:rsid w:val="00CB7292"/>
    <w:rsid w:val="00CE423D"/>
    <w:rsid w:val="00D1261C"/>
    <w:rsid w:val="00D65CC2"/>
    <w:rsid w:val="00D75DCE"/>
    <w:rsid w:val="00DD35AC"/>
    <w:rsid w:val="00DD479F"/>
    <w:rsid w:val="00E15E48"/>
    <w:rsid w:val="00E5018A"/>
    <w:rsid w:val="00E77EB3"/>
    <w:rsid w:val="00EB0723"/>
    <w:rsid w:val="00ED257A"/>
    <w:rsid w:val="00EE6F37"/>
    <w:rsid w:val="00F1599F"/>
    <w:rsid w:val="00F31EF2"/>
    <w:rsid w:val="00F627DB"/>
    <w:rsid w:val="00FB40DC"/>
    <w:rsid w:val="00FD1ACD"/>
    <w:rsid w:val="00FE6372"/>
    <w:rsid w:val="00FF0933"/>
    <w:rsid w:val="00FF0D63"/>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8855BE"/>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
    <w:next w:val="a"/>
    <w:link w:val="10"/>
    <w:qFormat/>
    <w:rsid w:val="00BE1742"/>
    <w:pPr>
      <w:keepNext/>
      <w:tabs>
        <w:tab w:val="left" w:pos="567"/>
      </w:tabs>
      <w:jc w:val="both"/>
      <w:outlineLvl w:val="0"/>
    </w:pPr>
    <w:rPr>
      <w:rFonts w:cs="Arial"/>
      <w:b/>
      <w:bCs/>
      <w:szCs w:val="32"/>
      <w:lang w:eastAsia="ru-RU"/>
    </w:rPr>
  </w:style>
  <w:style w:type="paragraph" w:styleId="2">
    <w:name w:val="heading 2"/>
    <w:basedOn w:val="a"/>
    <w:next w:val="a"/>
    <w:link w:val="20"/>
    <w:qFormat/>
    <w:rsid w:val="004C4817"/>
    <w:pPr>
      <w:suppressAutoHyphens/>
      <w:spacing w:line="240" w:lineRule="auto"/>
      <w:outlineLvl w:val="1"/>
    </w:pPr>
    <w:rPr>
      <w:spacing w:val="0"/>
      <w:w w:val="100"/>
      <w:kern w:val="0"/>
      <w:lang w:val="en-GB"/>
    </w:rPr>
  </w:style>
  <w:style w:type="paragraph" w:styleId="3">
    <w:name w:val="heading 3"/>
    <w:basedOn w:val="a"/>
    <w:next w:val="a"/>
    <w:link w:val="30"/>
    <w:qFormat/>
    <w:rsid w:val="004C4817"/>
    <w:pPr>
      <w:suppressAutoHyphens/>
      <w:spacing w:line="240" w:lineRule="auto"/>
      <w:outlineLvl w:val="2"/>
    </w:pPr>
    <w:rPr>
      <w:spacing w:val="0"/>
      <w:w w:val="100"/>
      <w:kern w:val="0"/>
      <w:lang w:val="en-GB"/>
    </w:rPr>
  </w:style>
  <w:style w:type="paragraph" w:styleId="4">
    <w:name w:val="heading 4"/>
    <w:basedOn w:val="a"/>
    <w:next w:val="a"/>
    <w:link w:val="40"/>
    <w:qFormat/>
    <w:rsid w:val="004C4817"/>
    <w:pPr>
      <w:suppressAutoHyphens/>
      <w:spacing w:line="240" w:lineRule="auto"/>
      <w:outlineLvl w:val="3"/>
    </w:pPr>
    <w:rPr>
      <w:spacing w:val="0"/>
      <w:w w:val="100"/>
      <w:kern w:val="0"/>
      <w:lang w:val="en-GB"/>
    </w:rPr>
  </w:style>
  <w:style w:type="paragraph" w:styleId="5">
    <w:name w:val="heading 5"/>
    <w:basedOn w:val="a"/>
    <w:next w:val="a"/>
    <w:link w:val="50"/>
    <w:qFormat/>
    <w:rsid w:val="004C4817"/>
    <w:pPr>
      <w:suppressAutoHyphens/>
      <w:spacing w:line="240" w:lineRule="auto"/>
      <w:outlineLvl w:val="4"/>
    </w:pPr>
    <w:rPr>
      <w:spacing w:val="0"/>
      <w:w w:val="100"/>
      <w:kern w:val="0"/>
      <w:lang w:val="en-GB"/>
    </w:rPr>
  </w:style>
  <w:style w:type="paragraph" w:styleId="6">
    <w:name w:val="heading 6"/>
    <w:basedOn w:val="a"/>
    <w:next w:val="a"/>
    <w:link w:val="60"/>
    <w:qFormat/>
    <w:rsid w:val="004C4817"/>
    <w:pPr>
      <w:suppressAutoHyphens/>
      <w:spacing w:line="240" w:lineRule="auto"/>
      <w:outlineLvl w:val="5"/>
    </w:pPr>
    <w:rPr>
      <w:spacing w:val="0"/>
      <w:w w:val="100"/>
      <w:kern w:val="0"/>
      <w:lang w:val="en-GB"/>
    </w:rPr>
  </w:style>
  <w:style w:type="paragraph" w:styleId="7">
    <w:name w:val="heading 7"/>
    <w:basedOn w:val="a"/>
    <w:next w:val="a"/>
    <w:link w:val="70"/>
    <w:qFormat/>
    <w:rsid w:val="004C4817"/>
    <w:pPr>
      <w:suppressAutoHyphens/>
      <w:spacing w:line="240" w:lineRule="auto"/>
      <w:outlineLvl w:val="6"/>
    </w:pPr>
    <w:rPr>
      <w:spacing w:val="0"/>
      <w:w w:val="100"/>
      <w:kern w:val="0"/>
      <w:lang w:val="en-GB"/>
    </w:rPr>
  </w:style>
  <w:style w:type="paragraph" w:styleId="8">
    <w:name w:val="heading 8"/>
    <w:basedOn w:val="a"/>
    <w:next w:val="a"/>
    <w:link w:val="80"/>
    <w:qFormat/>
    <w:rsid w:val="004C4817"/>
    <w:pPr>
      <w:suppressAutoHyphens/>
      <w:spacing w:line="240" w:lineRule="auto"/>
      <w:outlineLvl w:val="7"/>
    </w:pPr>
    <w:rPr>
      <w:spacing w:val="0"/>
      <w:w w:val="100"/>
      <w:kern w:val="0"/>
      <w:lang w:val="en-GB"/>
    </w:rPr>
  </w:style>
  <w:style w:type="paragraph" w:styleId="9">
    <w:name w:val="heading 9"/>
    <w:basedOn w:val="a"/>
    <w:next w:val="a"/>
    <w:link w:val="90"/>
    <w:qFormat/>
    <w:rsid w:val="004C4817"/>
    <w:pPr>
      <w:suppressAutoHyphens/>
      <w:spacing w:line="240" w:lineRule="auto"/>
      <w:outlineLvl w:val="8"/>
    </w:pPr>
    <w:rPr>
      <w:spacing w:val="0"/>
      <w:w w:val="100"/>
      <w:kern w:val="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Table_GR Знак,Table_G Знак"/>
    <w:basedOn w:val="a0"/>
    <w:link w:val="1"/>
    <w:rsid w:val="00BE1742"/>
    <w:rPr>
      <w:rFonts w:ascii="Times New Roman" w:eastAsia="Times New Roman" w:hAnsi="Times New Roman" w:cs="Arial"/>
      <w:b/>
      <w:bCs/>
      <w:spacing w:val="4"/>
      <w:w w:val="103"/>
      <w:kern w:val="14"/>
      <w:sz w:val="20"/>
      <w:szCs w:val="32"/>
      <w:lang w:eastAsia="ru-RU"/>
    </w:rPr>
  </w:style>
  <w:style w:type="character" w:customStyle="1" w:styleId="20">
    <w:name w:val="Заголовок 2 Знак"/>
    <w:basedOn w:val="a0"/>
    <w:link w:val="2"/>
    <w:rsid w:val="004C4817"/>
    <w:rPr>
      <w:rFonts w:ascii="Times New Roman" w:eastAsia="Times New Roman" w:hAnsi="Times New Roman" w:cs="Times New Roman"/>
      <w:sz w:val="20"/>
      <w:szCs w:val="20"/>
      <w:lang w:val="en-GB"/>
    </w:rPr>
  </w:style>
  <w:style w:type="character" w:customStyle="1" w:styleId="30">
    <w:name w:val="Заголовок 3 Знак"/>
    <w:basedOn w:val="a0"/>
    <w:link w:val="3"/>
    <w:rsid w:val="004C4817"/>
    <w:rPr>
      <w:rFonts w:ascii="Times New Roman" w:eastAsia="Times New Roman" w:hAnsi="Times New Roman" w:cs="Times New Roman"/>
      <w:sz w:val="20"/>
      <w:szCs w:val="20"/>
      <w:lang w:val="en-GB"/>
    </w:rPr>
  </w:style>
  <w:style w:type="character" w:customStyle="1" w:styleId="40">
    <w:name w:val="Заголовок 4 Знак"/>
    <w:basedOn w:val="a0"/>
    <w:link w:val="4"/>
    <w:rsid w:val="004C4817"/>
    <w:rPr>
      <w:rFonts w:ascii="Times New Roman" w:eastAsia="Times New Roman" w:hAnsi="Times New Roman" w:cs="Times New Roman"/>
      <w:sz w:val="20"/>
      <w:szCs w:val="20"/>
      <w:lang w:val="en-GB"/>
    </w:rPr>
  </w:style>
  <w:style w:type="character" w:customStyle="1" w:styleId="50">
    <w:name w:val="Заголовок 5 Знак"/>
    <w:basedOn w:val="a0"/>
    <w:link w:val="5"/>
    <w:rsid w:val="004C4817"/>
    <w:rPr>
      <w:rFonts w:ascii="Times New Roman" w:eastAsia="Times New Roman" w:hAnsi="Times New Roman" w:cs="Times New Roman"/>
      <w:sz w:val="20"/>
      <w:szCs w:val="20"/>
      <w:lang w:val="en-GB"/>
    </w:rPr>
  </w:style>
  <w:style w:type="character" w:customStyle="1" w:styleId="60">
    <w:name w:val="Заголовок 6 Знак"/>
    <w:basedOn w:val="a0"/>
    <w:link w:val="6"/>
    <w:rsid w:val="004C4817"/>
    <w:rPr>
      <w:rFonts w:ascii="Times New Roman" w:eastAsia="Times New Roman" w:hAnsi="Times New Roman" w:cs="Times New Roman"/>
      <w:sz w:val="20"/>
      <w:szCs w:val="20"/>
      <w:lang w:val="en-GB"/>
    </w:rPr>
  </w:style>
  <w:style w:type="character" w:customStyle="1" w:styleId="70">
    <w:name w:val="Заголовок 7 Знак"/>
    <w:basedOn w:val="a0"/>
    <w:link w:val="7"/>
    <w:rsid w:val="004C4817"/>
    <w:rPr>
      <w:rFonts w:ascii="Times New Roman" w:eastAsia="Times New Roman" w:hAnsi="Times New Roman" w:cs="Times New Roman"/>
      <w:sz w:val="20"/>
      <w:szCs w:val="20"/>
      <w:lang w:val="en-GB"/>
    </w:rPr>
  </w:style>
  <w:style w:type="character" w:customStyle="1" w:styleId="80">
    <w:name w:val="Заголовок 8 Знак"/>
    <w:basedOn w:val="a0"/>
    <w:link w:val="8"/>
    <w:rsid w:val="004C4817"/>
    <w:rPr>
      <w:rFonts w:ascii="Times New Roman" w:eastAsia="Times New Roman" w:hAnsi="Times New Roman" w:cs="Times New Roman"/>
      <w:sz w:val="20"/>
      <w:szCs w:val="20"/>
      <w:lang w:val="en-GB"/>
    </w:rPr>
  </w:style>
  <w:style w:type="character" w:customStyle="1" w:styleId="90">
    <w:name w:val="Заголовок 9 Знак"/>
    <w:basedOn w:val="a0"/>
    <w:link w:val="9"/>
    <w:rsid w:val="004C4817"/>
    <w:rPr>
      <w:rFonts w:ascii="Times New Roman" w:eastAsia="Times New Roman" w:hAnsi="Times New Roman" w:cs="Times New Roman"/>
      <w:sz w:val="20"/>
      <w:szCs w:val="20"/>
      <w:lang w:val="en-GB"/>
    </w:rPr>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6_G Знак"/>
    <w:basedOn w:val="a0"/>
    <w:link w:val="a3"/>
    <w:rsid w:val="00BE1742"/>
    <w:rPr>
      <w:rFonts w:ascii="Times New Roman" w:eastAsia="Times New Roman" w:hAnsi="Times New Roman" w:cs="Times New Roman"/>
      <w:b/>
      <w:sz w:val="18"/>
      <w:szCs w:val="20"/>
      <w:lang w:val="en-GB" w:eastAsia="ru-RU"/>
    </w:rPr>
  </w:style>
  <w:style w:type="character" w:styleId="a5">
    <w:name w:val="endnote reference"/>
    <w:aliases w:val="1_GR,1_G"/>
    <w:basedOn w:val="a6"/>
    <w:qFormat/>
    <w:rsid w:val="00BE1742"/>
    <w:rPr>
      <w:rFonts w:ascii="Times New Roman" w:hAnsi="Times New Roman"/>
      <w:dstrike w:val="0"/>
      <w:sz w:val="18"/>
      <w:vertAlign w:val="superscript"/>
    </w:rPr>
  </w:style>
  <w:style w:type="character" w:styleId="a6">
    <w:name w:val="footnote reference"/>
    <w:aliases w:val="4_GR,4_G"/>
    <w:basedOn w:val="a0"/>
    <w:qFormat/>
    <w:rsid w:val="00BE1742"/>
    <w:rPr>
      <w:rFonts w:ascii="Times New Roman" w:hAnsi="Times New Roman"/>
      <w:dstrike w:val="0"/>
      <w:sz w:val="18"/>
      <w:vertAlign w:val="superscript"/>
    </w:rPr>
  </w:style>
  <w:style w:type="paragraph" w:styleId="a7">
    <w:name w:val="footer"/>
    <w:aliases w:val="3_GR,3_G"/>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3_G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7_G"/>
    <w:basedOn w:val="a0"/>
    <w:qFormat/>
    <w:rsid w:val="00BE1742"/>
    <w:rPr>
      <w:rFonts w:ascii="Times New Roman" w:hAnsi="Times New Roman"/>
      <w:b/>
      <w:sz w:val="18"/>
    </w:rPr>
  </w:style>
  <w:style w:type="paragraph" w:styleId="aa">
    <w:name w:val="footnote text"/>
    <w:aliases w:val="5_GR,5_G"/>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qFormat/>
    <w:rsid w:val="00BE1742"/>
  </w:style>
  <w:style w:type="character" w:customStyle="1" w:styleId="ad">
    <w:name w:val="Текст концевой сноски Знак"/>
    <w:aliases w:val="2_GR Знак,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nhideWhenUsed/>
    <w:rsid w:val="004C4817"/>
    <w:pPr>
      <w:spacing w:line="240" w:lineRule="auto"/>
    </w:pPr>
    <w:rPr>
      <w:rFonts w:ascii="Tahoma" w:hAnsi="Tahoma" w:cs="Tahoma"/>
      <w:sz w:val="16"/>
      <w:szCs w:val="16"/>
    </w:rPr>
  </w:style>
  <w:style w:type="character" w:customStyle="1" w:styleId="af0">
    <w:name w:val="Текст выноски Знак"/>
    <w:basedOn w:val="a0"/>
    <w:link w:val="af"/>
    <w:rsid w:val="004C4817"/>
    <w:rPr>
      <w:rFonts w:ascii="Tahoma" w:eastAsia="Times New Roman" w:hAnsi="Tahoma" w:cs="Tahoma"/>
      <w:spacing w:val="4"/>
      <w:w w:val="103"/>
      <w:kern w:val="14"/>
      <w:sz w:val="16"/>
      <w:szCs w:val="16"/>
    </w:rPr>
  </w:style>
  <w:style w:type="paragraph" w:customStyle="1" w:styleId="SingleTxtG">
    <w:name w:val="_ Single Txt_G"/>
    <w:basedOn w:val="a"/>
    <w:link w:val="SingleTxtGChar"/>
    <w:rsid w:val="004C4817"/>
    <w:pPr>
      <w:suppressAutoHyphens/>
      <w:spacing w:after="120"/>
      <w:ind w:left="1134" w:right="1134"/>
      <w:jc w:val="both"/>
    </w:pPr>
    <w:rPr>
      <w:spacing w:val="0"/>
      <w:w w:val="100"/>
      <w:kern w:val="0"/>
      <w:lang w:val="en-GB"/>
    </w:rPr>
  </w:style>
  <w:style w:type="character" w:customStyle="1" w:styleId="SingleTxtGChar">
    <w:name w:val="_ Single Txt_G Char"/>
    <w:link w:val="SingleTxtG"/>
    <w:locked/>
    <w:rsid w:val="004C4817"/>
    <w:rPr>
      <w:rFonts w:ascii="Times New Roman" w:eastAsia="Times New Roman" w:hAnsi="Times New Roman" w:cs="Times New Roman"/>
      <w:sz w:val="20"/>
      <w:szCs w:val="20"/>
      <w:lang w:val="en-GB"/>
    </w:rPr>
  </w:style>
  <w:style w:type="paragraph" w:customStyle="1" w:styleId="HChG">
    <w:name w:val="_ H _Ch_G"/>
    <w:basedOn w:val="a"/>
    <w:next w:val="a"/>
    <w:link w:val="HChGChar"/>
    <w:rsid w:val="004C4817"/>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customStyle="1" w:styleId="HChGChar">
    <w:name w:val="_ H _Ch_G Char"/>
    <w:link w:val="HChG"/>
    <w:locked/>
    <w:rsid w:val="004C4817"/>
    <w:rPr>
      <w:rFonts w:ascii="Times New Roman" w:eastAsia="Times New Roman" w:hAnsi="Times New Roman" w:cs="Times New Roman"/>
      <w:b/>
      <w:sz w:val="28"/>
      <w:szCs w:val="20"/>
      <w:lang w:val="en-GB"/>
    </w:rPr>
  </w:style>
  <w:style w:type="paragraph" w:customStyle="1" w:styleId="HMG">
    <w:name w:val="_ H __M_G"/>
    <w:basedOn w:val="a"/>
    <w:next w:val="a"/>
    <w:rsid w:val="004C4817"/>
    <w:pPr>
      <w:keepNext/>
      <w:keepLines/>
      <w:tabs>
        <w:tab w:val="right" w:pos="851"/>
      </w:tabs>
      <w:suppressAutoHyphens/>
      <w:spacing w:before="240" w:after="240" w:line="360" w:lineRule="exact"/>
      <w:ind w:left="1134" w:right="1134" w:hanging="1134"/>
    </w:pPr>
    <w:rPr>
      <w:b/>
      <w:spacing w:val="0"/>
      <w:w w:val="100"/>
      <w:kern w:val="0"/>
      <w:sz w:val="34"/>
      <w:lang w:val="en-GB"/>
    </w:rPr>
  </w:style>
  <w:style w:type="character" w:styleId="af1">
    <w:name w:val="Hyperlink"/>
    <w:rsid w:val="004C4817"/>
    <w:rPr>
      <w:color w:val="auto"/>
      <w:u w:val="none"/>
    </w:rPr>
  </w:style>
  <w:style w:type="paragraph" w:customStyle="1" w:styleId="SMG">
    <w:name w:val="__S_M_G"/>
    <w:basedOn w:val="a"/>
    <w:next w:val="a"/>
    <w:rsid w:val="004C4817"/>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
    <w:next w:val="a"/>
    <w:rsid w:val="004C4817"/>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
    <w:next w:val="a"/>
    <w:rsid w:val="004C4817"/>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
    <w:next w:val="a"/>
    <w:rsid w:val="004C4817"/>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
    <w:rsid w:val="004C4817"/>
    <w:pPr>
      <w:numPr>
        <w:numId w:val="4"/>
      </w:numPr>
      <w:suppressAutoHyphens/>
      <w:spacing w:after="120"/>
      <w:ind w:right="1134"/>
      <w:jc w:val="both"/>
    </w:pPr>
    <w:rPr>
      <w:spacing w:val="0"/>
      <w:w w:val="100"/>
      <w:kern w:val="0"/>
      <w:lang w:val="en-GB"/>
    </w:rPr>
  </w:style>
  <w:style w:type="paragraph" w:customStyle="1" w:styleId="Bullet2G">
    <w:name w:val="_Bullet 2_G"/>
    <w:basedOn w:val="a"/>
    <w:rsid w:val="004C4817"/>
    <w:pPr>
      <w:numPr>
        <w:numId w:val="5"/>
      </w:numPr>
      <w:suppressAutoHyphens/>
      <w:spacing w:after="120"/>
      <w:ind w:right="1134"/>
      <w:jc w:val="both"/>
    </w:pPr>
    <w:rPr>
      <w:spacing w:val="0"/>
      <w:w w:val="100"/>
      <w:kern w:val="0"/>
      <w:lang w:val="en-GB"/>
    </w:rPr>
  </w:style>
  <w:style w:type="paragraph" w:customStyle="1" w:styleId="H1G">
    <w:name w:val="_ H_1_G"/>
    <w:basedOn w:val="a"/>
    <w:next w:val="a"/>
    <w:link w:val="H1GChar"/>
    <w:rsid w:val="004C4817"/>
    <w:pPr>
      <w:keepNext/>
      <w:keepLines/>
      <w:tabs>
        <w:tab w:val="right" w:pos="851"/>
      </w:tabs>
      <w:suppressAutoHyphens/>
      <w:spacing w:before="360" w:after="240" w:line="270" w:lineRule="exact"/>
      <w:ind w:left="1134" w:right="1134" w:hanging="1134"/>
    </w:pPr>
    <w:rPr>
      <w:b/>
      <w:spacing w:val="0"/>
      <w:w w:val="100"/>
      <w:kern w:val="0"/>
      <w:sz w:val="24"/>
      <w:lang w:val="en-GB"/>
    </w:rPr>
  </w:style>
  <w:style w:type="character" w:customStyle="1" w:styleId="H1GChar">
    <w:name w:val="_ H_1_G Char"/>
    <w:link w:val="H1G"/>
    <w:rsid w:val="004C4817"/>
    <w:rPr>
      <w:rFonts w:ascii="Times New Roman" w:eastAsia="Times New Roman" w:hAnsi="Times New Roman" w:cs="Times New Roman"/>
      <w:b/>
      <w:sz w:val="24"/>
      <w:szCs w:val="20"/>
      <w:lang w:val="en-GB"/>
    </w:rPr>
  </w:style>
  <w:style w:type="paragraph" w:customStyle="1" w:styleId="H23G">
    <w:name w:val="_ H_2/3_G"/>
    <w:basedOn w:val="a"/>
    <w:next w:val="a"/>
    <w:rsid w:val="004C4817"/>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
    <w:next w:val="a"/>
    <w:rsid w:val="004C4817"/>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
    <w:next w:val="a"/>
    <w:qFormat/>
    <w:rsid w:val="004C4817"/>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Theme="minorHAnsi"/>
      <w:spacing w:val="0"/>
      <w:w w:val="100"/>
      <w:kern w:val="0"/>
      <w:lang w:val="en-GB"/>
    </w:rPr>
  </w:style>
  <w:style w:type="character" w:styleId="af2">
    <w:name w:val="Emphasis"/>
    <w:uiPriority w:val="20"/>
    <w:qFormat/>
    <w:rsid w:val="004C4817"/>
    <w:rPr>
      <w:i/>
    </w:rPr>
  </w:style>
  <w:style w:type="paragraph" w:styleId="af3">
    <w:name w:val="Normal (Web)"/>
    <w:basedOn w:val="a"/>
    <w:uiPriority w:val="99"/>
    <w:rsid w:val="004C4817"/>
    <w:pPr>
      <w:suppressAutoHyphens/>
    </w:pPr>
    <w:rPr>
      <w:spacing w:val="0"/>
      <w:w w:val="100"/>
      <w:kern w:val="0"/>
      <w:sz w:val="24"/>
      <w:szCs w:val="24"/>
      <w:lang w:val="en-GB"/>
    </w:rPr>
  </w:style>
  <w:style w:type="paragraph" w:customStyle="1" w:styleId="Listavistosa-nfasis11">
    <w:name w:val="Lista vistosa - Énfasis 11"/>
    <w:basedOn w:val="a"/>
    <w:rsid w:val="004C4817"/>
    <w:pPr>
      <w:widowControl w:val="0"/>
      <w:suppressAutoHyphens/>
      <w:spacing w:after="200" w:line="276" w:lineRule="auto"/>
      <w:ind w:left="720"/>
    </w:pPr>
    <w:rPr>
      <w:rFonts w:ascii="Calibri" w:hAnsi="Calibri" w:cs="Cambria"/>
      <w:spacing w:val="0"/>
      <w:w w:val="100"/>
      <w:kern w:val="0"/>
      <w:sz w:val="22"/>
      <w:szCs w:val="22"/>
      <w:lang w:val="es-ES" w:eastAsia="ar-SA"/>
    </w:rPr>
  </w:style>
  <w:style w:type="paragraph" w:styleId="af4">
    <w:name w:val="List Paragraph"/>
    <w:basedOn w:val="a"/>
    <w:qFormat/>
    <w:rsid w:val="004C4817"/>
    <w:pPr>
      <w:spacing w:line="240" w:lineRule="auto"/>
      <w:ind w:left="720"/>
    </w:pPr>
    <w:rPr>
      <w:spacing w:val="0"/>
      <w:w w:val="100"/>
      <w:kern w:val="0"/>
      <w:sz w:val="24"/>
      <w:szCs w:val="24"/>
      <w:lang w:val="en-US" w:eastAsia="es-ES"/>
    </w:rPr>
  </w:style>
  <w:style w:type="character" w:styleId="af5">
    <w:name w:val="annotation reference"/>
    <w:rsid w:val="004C4817"/>
    <w:rPr>
      <w:sz w:val="16"/>
    </w:rPr>
  </w:style>
  <w:style w:type="paragraph" w:styleId="af6">
    <w:name w:val="annotation text"/>
    <w:basedOn w:val="a"/>
    <w:link w:val="af7"/>
    <w:rsid w:val="004C4817"/>
    <w:pPr>
      <w:suppressAutoHyphens/>
    </w:pPr>
    <w:rPr>
      <w:spacing w:val="0"/>
      <w:w w:val="100"/>
      <w:kern w:val="0"/>
      <w:lang w:val="en-GB"/>
    </w:rPr>
  </w:style>
  <w:style w:type="character" w:customStyle="1" w:styleId="af7">
    <w:name w:val="Текст примечания Знак"/>
    <w:basedOn w:val="a0"/>
    <w:link w:val="af6"/>
    <w:rsid w:val="004C4817"/>
    <w:rPr>
      <w:rFonts w:ascii="Times New Roman" w:eastAsia="Times New Roman" w:hAnsi="Times New Roman" w:cs="Times New Roman"/>
      <w:sz w:val="20"/>
      <w:szCs w:val="20"/>
      <w:lang w:val="en-GB"/>
    </w:rPr>
  </w:style>
  <w:style w:type="paragraph" w:styleId="af8">
    <w:name w:val="annotation subject"/>
    <w:basedOn w:val="af6"/>
    <w:next w:val="af6"/>
    <w:link w:val="af9"/>
    <w:rsid w:val="004C4817"/>
    <w:rPr>
      <w:b/>
    </w:rPr>
  </w:style>
  <w:style w:type="character" w:customStyle="1" w:styleId="af9">
    <w:name w:val="Тема примечания Знак"/>
    <w:basedOn w:val="af7"/>
    <w:link w:val="af8"/>
    <w:rsid w:val="004C4817"/>
    <w:rPr>
      <w:rFonts w:ascii="Times New Roman" w:eastAsia="Times New Roman" w:hAnsi="Times New Roman" w:cs="Times New Roman"/>
      <w:b/>
      <w:sz w:val="20"/>
      <w:szCs w:val="20"/>
      <w:lang w:val="en-GB"/>
    </w:rPr>
  </w:style>
  <w:style w:type="character" w:customStyle="1" w:styleId="lblnewsfulltext">
    <w:name w:val="lblnewsfulltext"/>
    <w:rsid w:val="004C4817"/>
  </w:style>
  <w:style w:type="paragraph" w:styleId="afa">
    <w:name w:val="No Spacing"/>
    <w:qFormat/>
    <w:rsid w:val="004C4817"/>
    <w:rPr>
      <w:rFonts w:ascii="Calibri" w:eastAsia="Times New Roman" w:hAnsi="Calibri" w:cs="Times New Roman"/>
      <w:lang w:val="en-GB"/>
    </w:rPr>
  </w:style>
  <w:style w:type="character" w:customStyle="1" w:styleId="st1">
    <w:name w:val="st1"/>
    <w:rsid w:val="004C4817"/>
  </w:style>
  <w:style w:type="paragraph" w:styleId="afb">
    <w:name w:val="Plain Text"/>
    <w:basedOn w:val="a"/>
    <w:link w:val="afc"/>
    <w:rsid w:val="004C4817"/>
    <w:pPr>
      <w:spacing w:line="240" w:lineRule="auto"/>
    </w:pPr>
    <w:rPr>
      <w:rFonts w:ascii="Consolas" w:hAnsi="Consolas"/>
      <w:spacing w:val="0"/>
      <w:w w:val="100"/>
      <w:kern w:val="0"/>
      <w:sz w:val="21"/>
      <w:lang w:val="en-GB"/>
    </w:rPr>
  </w:style>
  <w:style w:type="character" w:customStyle="1" w:styleId="afc">
    <w:name w:val="Текст Знак"/>
    <w:basedOn w:val="a0"/>
    <w:link w:val="afb"/>
    <w:rsid w:val="004C4817"/>
    <w:rPr>
      <w:rFonts w:ascii="Consolas" w:eastAsia="Times New Roman" w:hAnsi="Consolas" w:cs="Times New Roman"/>
      <w:sz w:val="21"/>
      <w:szCs w:val="20"/>
      <w:lang w:val="en-GB"/>
    </w:rPr>
  </w:style>
  <w:style w:type="paragraph" w:customStyle="1" w:styleId="Body">
    <w:name w:val="Body"/>
    <w:rsid w:val="004C4817"/>
    <w:pPr>
      <w:pBdr>
        <w:top w:val="nil"/>
        <w:left w:val="nil"/>
        <w:bottom w:val="nil"/>
        <w:right w:val="nil"/>
        <w:between w:val="nil"/>
        <w:bar w:val="nil"/>
      </w:pBdr>
    </w:pPr>
    <w:rPr>
      <w:rFonts w:ascii="Helvetica" w:eastAsia="Arial Unicode MS" w:hAnsi="Arial Unicode MS" w:cs="Arial Unicode MS"/>
      <w:color w:val="000000"/>
      <w:bdr w:val="nil"/>
      <w:lang w:val="en-US" w:eastAsia="en-GB"/>
    </w:rPr>
  </w:style>
  <w:style w:type="paragraph" w:customStyle="1" w:styleId="Default">
    <w:name w:val="Default"/>
    <w:rsid w:val="004C4817"/>
    <w:pPr>
      <w:autoSpaceDE w:val="0"/>
      <w:autoSpaceDN w:val="0"/>
      <w:adjustRightInd w:val="0"/>
    </w:pPr>
    <w:rPr>
      <w:rFonts w:ascii="Times New Roman" w:eastAsia="Arial Unicode MS" w:hAnsi="Times New Roman" w:cs="Times New Roman"/>
      <w:color w:val="000000"/>
      <w:sz w:val="24"/>
      <w:szCs w:val="24"/>
      <w:bdr w:val="nil"/>
      <w:lang w:val="en-GB" w:eastAsia="en-GB"/>
    </w:rPr>
  </w:style>
  <w:style w:type="character" w:customStyle="1" w:styleId="Hyperlink0">
    <w:name w:val="Hyperlink.0"/>
    <w:rsid w:val="004C4817"/>
    <w:rPr>
      <w:color w:val="0000FF"/>
      <w:sz w:val="20"/>
      <w:szCs w:val="20"/>
      <w:u w:val="single" w:color="0000FF"/>
      <w:lang w:val="en-US"/>
    </w:rPr>
  </w:style>
  <w:style w:type="character" w:customStyle="1" w:styleId="preferred">
    <w:name w:val="preferred"/>
    <w:basedOn w:val="a0"/>
    <w:rsid w:val="004C4817"/>
  </w:style>
  <w:style w:type="character" w:styleId="HTML">
    <w:name w:val="HTML Cite"/>
    <w:basedOn w:val="a0"/>
    <w:uiPriority w:val="99"/>
    <w:semiHidden/>
    <w:unhideWhenUsed/>
    <w:rsid w:val="004C4817"/>
    <w:rPr>
      <w:i/>
      <w:iCs/>
    </w:rPr>
  </w:style>
  <w:style w:type="character" w:customStyle="1" w:styleId="apple-converted-space">
    <w:name w:val="apple-converted-space"/>
    <w:basedOn w:val="a0"/>
    <w:rsid w:val="004C4817"/>
  </w:style>
  <w:style w:type="character" w:customStyle="1" w:styleId="style2">
    <w:name w:val="style2"/>
    <w:basedOn w:val="a0"/>
    <w:rsid w:val="004C4817"/>
  </w:style>
  <w:style w:type="character" w:customStyle="1" w:styleId="style10">
    <w:name w:val="style10"/>
    <w:basedOn w:val="a0"/>
    <w:rsid w:val="004C4817"/>
  </w:style>
  <w:style w:type="character" w:customStyle="1" w:styleId="style14">
    <w:name w:val="style14"/>
    <w:basedOn w:val="a0"/>
    <w:rsid w:val="004C48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qFormat="1"/>
    <w:lsdException w:name="footer" w:uiPriority="0" w:qFormat="1"/>
    <w:lsdException w:name="caption" w:uiPriority="35" w:qFormat="1"/>
    <w:lsdException w:name="footnote reference" w:uiPriority="0" w:qFormat="1"/>
    <w:lsdException w:name="annotation reference" w:uiPriority="0"/>
    <w:lsdException w:name="page number" w:uiPriority="0" w:qFormat="1"/>
    <w:lsdException w:name="endnote reference"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Hyperlink" w:uiPriority="0"/>
    <w:lsdException w:name="FollowedHyperlink" w:uiPriority="0"/>
    <w:lsdException w:name="Strong" w:semiHidden="0" w:uiPriority="22" w:unhideWhenUsed="0"/>
    <w:lsdException w:name="Emphasis" w:semiHidden="0" w:uiPriority="20" w:unhideWhenUsed="0" w:qFormat="1"/>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a">
    <w:name w:val="Normal"/>
    <w:qFormat/>
    <w:rsid w:val="008855BE"/>
    <w:pPr>
      <w:spacing w:line="240" w:lineRule="atLeast"/>
    </w:pPr>
    <w:rPr>
      <w:rFonts w:ascii="Times New Roman" w:eastAsia="Times New Roman" w:hAnsi="Times New Roman" w:cs="Times New Roman"/>
      <w:spacing w:val="4"/>
      <w:w w:val="103"/>
      <w:kern w:val="14"/>
      <w:sz w:val="20"/>
      <w:szCs w:val="20"/>
    </w:rPr>
  </w:style>
  <w:style w:type="paragraph" w:styleId="1">
    <w:name w:val="heading 1"/>
    <w:aliases w:val="Table_GR,Table_G"/>
    <w:basedOn w:val="a"/>
    <w:next w:val="a"/>
    <w:link w:val="10"/>
    <w:qFormat/>
    <w:rsid w:val="00BE1742"/>
    <w:pPr>
      <w:keepNext/>
      <w:tabs>
        <w:tab w:val="left" w:pos="567"/>
      </w:tabs>
      <w:jc w:val="both"/>
      <w:outlineLvl w:val="0"/>
    </w:pPr>
    <w:rPr>
      <w:rFonts w:cs="Arial"/>
      <w:b/>
      <w:bCs/>
      <w:szCs w:val="32"/>
      <w:lang w:eastAsia="ru-RU"/>
    </w:rPr>
  </w:style>
  <w:style w:type="paragraph" w:styleId="2">
    <w:name w:val="heading 2"/>
    <w:basedOn w:val="a"/>
    <w:next w:val="a"/>
    <w:link w:val="20"/>
    <w:qFormat/>
    <w:rsid w:val="004C4817"/>
    <w:pPr>
      <w:suppressAutoHyphens/>
      <w:spacing w:line="240" w:lineRule="auto"/>
      <w:outlineLvl w:val="1"/>
    </w:pPr>
    <w:rPr>
      <w:spacing w:val="0"/>
      <w:w w:val="100"/>
      <w:kern w:val="0"/>
      <w:lang w:val="en-GB"/>
    </w:rPr>
  </w:style>
  <w:style w:type="paragraph" w:styleId="3">
    <w:name w:val="heading 3"/>
    <w:basedOn w:val="a"/>
    <w:next w:val="a"/>
    <w:link w:val="30"/>
    <w:qFormat/>
    <w:rsid w:val="004C4817"/>
    <w:pPr>
      <w:suppressAutoHyphens/>
      <w:spacing w:line="240" w:lineRule="auto"/>
      <w:outlineLvl w:val="2"/>
    </w:pPr>
    <w:rPr>
      <w:spacing w:val="0"/>
      <w:w w:val="100"/>
      <w:kern w:val="0"/>
      <w:lang w:val="en-GB"/>
    </w:rPr>
  </w:style>
  <w:style w:type="paragraph" w:styleId="4">
    <w:name w:val="heading 4"/>
    <w:basedOn w:val="a"/>
    <w:next w:val="a"/>
    <w:link w:val="40"/>
    <w:qFormat/>
    <w:rsid w:val="004C4817"/>
    <w:pPr>
      <w:suppressAutoHyphens/>
      <w:spacing w:line="240" w:lineRule="auto"/>
      <w:outlineLvl w:val="3"/>
    </w:pPr>
    <w:rPr>
      <w:spacing w:val="0"/>
      <w:w w:val="100"/>
      <w:kern w:val="0"/>
      <w:lang w:val="en-GB"/>
    </w:rPr>
  </w:style>
  <w:style w:type="paragraph" w:styleId="5">
    <w:name w:val="heading 5"/>
    <w:basedOn w:val="a"/>
    <w:next w:val="a"/>
    <w:link w:val="50"/>
    <w:qFormat/>
    <w:rsid w:val="004C4817"/>
    <w:pPr>
      <w:suppressAutoHyphens/>
      <w:spacing w:line="240" w:lineRule="auto"/>
      <w:outlineLvl w:val="4"/>
    </w:pPr>
    <w:rPr>
      <w:spacing w:val="0"/>
      <w:w w:val="100"/>
      <w:kern w:val="0"/>
      <w:lang w:val="en-GB"/>
    </w:rPr>
  </w:style>
  <w:style w:type="paragraph" w:styleId="6">
    <w:name w:val="heading 6"/>
    <w:basedOn w:val="a"/>
    <w:next w:val="a"/>
    <w:link w:val="60"/>
    <w:qFormat/>
    <w:rsid w:val="004C4817"/>
    <w:pPr>
      <w:suppressAutoHyphens/>
      <w:spacing w:line="240" w:lineRule="auto"/>
      <w:outlineLvl w:val="5"/>
    </w:pPr>
    <w:rPr>
      <w:spacing w:val="0"/>
      <w:w w:val="100"/>
      <w:kern w:val="0"/>
      <w:lang w:val="en-GB"/>
    </w:rPr>
  </w:style>
  <w:style w:type="paragraph" w:styleId="7">
    <w:name w:val="heading 7"/>
    <w:basedOn w:val="a"/>
    <w:next w:val="a"/>
    <w:link w:val="70"/>
    <w:qFormat/>
    <w:rsid w:val="004C4817"/>
    <w:pPr>
      <w:suppressAutoHyphens/>
      <w:spacing w:line="240" w:lineRule="auto"/>
      <w:outlineLvl w:val="6"/>
    </w:pPr>
    <w:rPr>
      <w:spacing w:val="0"/>
      <w:w w:val="100"/>
      <w:kern w:val="0"/>
      <w:lang w:val="en-GB"/>
    </w:rPr>
  </w:style>
  <w:style w:type="paragraph" w:styleId="8">
    <w:name w:val="heading 8"/>
    <w:basedOn w:val="a"/>
    <w:next w:val="a"/>
    <w:link w:val="80"/>
    <w:qFormat/>
    <w:rsid w:val="004C4817"/>
    <w:pPr>
      <w:suppressAutoHyphens/>
      <w:spacing w:line="240" w:lineRule="auto"/>
      <w:outlineLvl w:val="7"/>
    </w:pPr>
    <w:rPr>
      <w:spacing w:val="0"/>
      <w:w w:val="100"/>
      <w:kern w:val="0"/>
      <w:lang w:val="en-GB"/>
    </w:rPr>
  </w:style>
  <w:style w:type="paragraph" w:styleId="9">
    <w:name w:val="heading 9"/>
    <w:basedOn w:val="a"/>
    <w:next w:val="a"/>
    <w:link w:val="90"/>
    <w:qFormat/>
    <w:rsid w:val="004C4817"/>
    <w:pPr>
      <w:suppressAutoHyphens/>
      <w:spacing w:line="240" w:lineRule="auto"/>
      <w:outlineLvl w:val="8"/>
    </w:pPr>
    <w:rPr>
      <w:spacing w:val="0"/>
      <w:w w:val="100"/>
      <w:kern w:val="0"/>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Table_GR Знак,Table_G Знак"/>
    <w:basedOn w:val="a0"/>
    <w:link w:val="1"/>
    <w:rsid w:val="00BE1742"/>
    <w:rPr>
      <w:rFonts w:ascii="Times New Roman" w:eastAsia="Times New Roman" w:hAnsi="Times New Roman" w:cs="Arial"/>
      <w:b/>
      <w:bCs/>
      <w:spacing w:val="4"/>
      <w:w w:val="103"/>
      <w:kern w:val="14"/>
      <w:sz w:val="20"/>
      <w:szCs w:val="32"/>
      <w:lang w:eastAsia="ru-RU"/>
    </w:rPr>
  </w:style>
  <w:style w:type="character" w:customStyle="1" w:styleId="20">
    <w:name w:val="Заголовок 2 Знак"/>
    <w:basedOn w:val="a0"/>
    <w:link w:val="2"/>
    <w:rsid w:val="004C4817"/>
    <w:rPr>
      <w:rFonts w:ascii="Times New Roman" w:eastAsia="Times New Roman" w:hAnsi="Times New Roman" w:cs="Times New Roman"/>
      <w:sz w:val="20"/>
      <w:szCs w:val="20"/>
      <w:lang w:val="en-GB"/>
    </w:rPr>
  </w:style>
  <w:style w:type="character" w:customStyle="1" w:styleId="30">
    <w:name w:val="Заголовок 3 Знак"/>
    <w:basedOn w:val="a0"/>
    <w:link w:val="3"/>
    <w:rsid w:val="004C4817"/>
    <w:rPr>
      <w:rFonts w:ascii="Times New Roman" w:eastAsia="Times New Roman" w:hAnsi="Times New Roman" w:cs="Times New Roman"/>
      <w:sz w:val="20"/>
      <w:szCs w:val="20"/>
      <w:lang w:val="en-GB"/>
    </w:rPr>
  </w:style>
  <w:style w:type="character" w:customStyle="1" w:styleId="40">
    <w:name w:val="Заголовок 4 Знак"/>
    <w:basedOn w:val="a0"/>
    <w:link w:val="4"/>
    <w:rsid w:val="004C4817"/>
    <w:rPr>
      <w:rFonts w:ascii="Times New Roman" w:eastAsia="Times New Roman" w:hAnsi="Times New Roman" w:cs="Times New Roman"/>
      <w:sz w:val="20"/>
      <w:szCs w:val="20"/>
      <w:lang w:val="en-GB"/>
    </w:rPr>
  </w:style>
  <w:style w:type="character" w:customStyle="1" w:styleId="50">
    <w:name w:val="Заголовок 5 Знак"/>
    <w:basedOn w:val="a0"/>
    <w:link w:val="5"/>
    <w:rsid w:val="004C4817"/>
    <w:rPr>
      <w:rFonts w:ascii="Times New Roman" w:eastAsia="Times New Roman" w:hAnsi="Times New Roman" w:cs="Times New Roman"/>
      <w:sz w:val="20"/>
      <w:szCs w:val="20"/>
      <w:lang w:val="en-GB"/>
    </w:rPr>
  </w:style>
  <w:style w:type="character" w:customStyle="1" w:styleId="60">
    <w:name w:val="Заголовок 6 Знак"/>
    <w:basedOn w:val="a0"/>
    <w:link w:val="6"/>
    <w:rsid w:val="004C4817"/>
    <w:rPr>
      <w:rFonts w:ascii="Times New Roman" w:eastAsia="Times New Roman" w:hAnsi="Times New Roman" w:cs="Times New Roman"/>
      <w:sz w:val="20"/>
      <w:szCs w:val="20"/>
      <w:lang w:val="en-GB"/>
    </w:rPr>
  </w:style>
  <w:style w:type="character" w:customStyle="1" w:styleId="70">
    <w:name w:val="Заголовок 7 Знак"/>
    <w:basedOn w:val="a0"/>
    <w:link w:val="7"/>
    <w:rsid w:val="004C4817"/>
    <w:rPr>
      <w:rFonts w:ascii="Times New Roman" w:eastAsia="Times New Roman" w:hAnsi="Times New Roman" w:cs="Times New Roman"/>
      <w:sz w:val="20"/>
      <w:szCs w:val="20"/>
      <w:lang w:val="en-GB"/>
    </w:rPr>
  </w:style>
  <w:style w:type="character" w:customStyle="1" w:styleId="80">
    <w:name w:val="Заголовок 8 Знак"/>
    <w:basedOn w:val="a0"/>
    <w:link w:val="8"/>
    <w:rsid w:val="004C4817"/>
    <w:rPr>
      <w:rFonts w:ascii="Times New Roman" w:eastAsia="Times New Roman" w:hAnsi="Times New Roman" w:cs="Times New Roman"/>
      <w:sz w:val="20"/>
      <w:szCs w:val="20"/>
      <w:lang w:val="en-GB"/>
    </w:rPr>
  </w:style>
  <w:style w:type="character" w:customStyle="1" w:styleId="90">
    <w:name w:val="Заголовок 9 Знак"/>
    <w:basedOn w:val="a0"/>
    <w:link w:val="9"/>
    <w:rsid w:val="004C4817"/>
    <w:rPr>
      <w:rFonts w:ascii="Times New Roman" w:eastAsia="Times New Roman" w:hAnsi="Times New Roman" w:cs="Times New Roman"/>
      <w:sz w:val="20"/>
      <w:szCs w:val="20"/>
      <w:lang w:val="en-GB"/>
    </w:rPr>
  </w:style>
  <w:style w:type="paragraph" w:customStyle="1" w:styleId="HMGR">
    <w:name w:val="_ H __M_GR"/>
    <w:basedOn w:val="a"/>
    <w:next w:val="a"/>
    <w:qFormat/>
    <w:rsid w:val="00BE1742"/>
    <w:pPr>
      <w:keepNext/>
      <w:keepLines/>
      <w:tabs>
        <w:tab w:val="right" w:pos="851"/>
      </w:tabs>
      <w:suppressAutoHyphens/>
      <w:spacing w:before="240" w:after="240" w:line="360" w:lineRule="exact"/>
      <w:ind w:left="1134" w:right="1134" w:hanging="1134"/>
    </w:pPr>
    <w:rPr>
      <w:b/>
      <w:sz w:val="34"/>
      <w:lang w:eastAsia="ru-RU"/>
    </w:rPr>
  </w:style>
  <w:style w:type="paragraph" w:customStyle="1" w:styleId="HChGR">
    <w:name w:val="_ H _Ch_GR"/>
    <w:basedOn w:val="a"/>
    <w:next w:val="a"/>
    <w:qFormat/>
    <w:rsid w:val="00BE1742"/>
    <w:pPr>
      <w:keepNext/>
      <w:keepLines/>
      <w:tabs>
        <w:tab w:val="right" w:pos="851"/>
      </w:tabs>
      <w:suppressAutoHyphens/>
      <w:spacing w:before="360" w:after="240" w:line="300" w:lineRule="exact"/>
      <w:ind w:left="1134" w:right="1134" w:hanging="1134"/>
    </w:pPr>
    <w:rPr>
      <w:b/>
      <w:sz w:val="28"/>
      <w:lang w:eastAsia="ru-RU"/>
    </w:rPr>
  </w:style>
  <w:style w:type="paragraph" w:customStyle="1" w:styleId="H1GR">
    <w:name w:val="_ H_1_GR"/>
    <w:basedOn w:val="a"/>
    <w:next w:val="a"/>
    <w:qFormat/>
    <w:rsid w:val="00BE1742"/>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a"/>
    <w:next w:val="a"/>
    <w:qFormat/>
    <w:rsid w:val="00BE1742"/>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a"/>
    <w:next w:val="a"/>
    <w:qFormat/>
    <w:rsid w:val="00BE1742"/>
    <w:pPr>
      <w:keepNext/>
      <w:keepLines/>
      <w:tabs>
        <w:tab w:val="right" w:pos="851"/>
      </w:tabs>
      <w:suppressAutoHyphens/>
      <w:spacing w:before="240" w:after="120" w:line="240" w:lineRule="exact"/>
      <w:ind w:left="1134" w:right="1134" w:hanging="1134"/>
      <w:outlineLvl w:val="3"/>
    </w:pPr>
    <w:rPr>
      <w:i/>
      <w:spacing w:val="3"/>
      <w:lang w:eastAsia="ru-RU"/>
    </w:rPr>
  </w:style>
  <w:style w:type="paragraph" w:customStyle="1" w:styleId="H56GR">
    <w:name w:val="_ H_5/6_GR"/>
    <w:basedOn w:val="a"/>
    <w:next w:val="a"/>
    <w:qFormat/>
    <w:rsid w:val="00BE1742"/>
    <w:pPr>
      <w:keepNext/>
      <w:keepLines/>
      <w:tabs>
        <w:tab w:val="right" w:pos="851"/>
      </w:tabs>
      <w:suppressAutoHyphens/>
      <w:spacing w:before="240" w:after="120" w:line="240" w:lineRule="exact"/>
      <w:ind w:left="1134" w:right="1134" w:hanging="1134"/>
    </w:pPr>
    <w:rPr>
      <w:lang w:eastAsia="ru-RU"/>
    </w:rPr>
  </w:style>
  <w:style w:type="paragraph" w:customStyle="1" w:styleId="SingleTxtGR">
    <w:name w:val="_ Single Txt_GR"/>
    <w:basedOn w:val="a"/>
    <w:qFormat/>
    <w:rsid w:val="005D56BF"/>
    <w:pPr>
      <w:tabs>
        <w:tab w:val="left" w:pos="1701"/>
        <w:tab w:val="left" w:pos="2268"/>
        <w:tab w:val="left" w:pos="2835"/>
        <w:tab w:val="left" w:pos="3402"/>
        <w:tab w:val="left" w:pos="3969"/>
      </w:tabs>
      <w:spacing w:after="120"/>
      <w:ind w:left="1134" w:right="1134"/>
      <w:jc w:val="both"/>
    </w:pPr>
  </w:style>
  <w:style w:type="paragraph" w:customStyle="1" w:styleId="SLGR">
    <w:name w:val="__S_L_GR"/>
    <w:basedOn w:val="a"/>
    <w:next w:val="a"/>
    <w:qFormat/>
    <w:rsid w:val="00BE1742"/>
    <w:pPr>
      <w:keepNext/>
      <w:keepLines/>
      <w:suppressAutoHyphens/>
      <w:spacing w:before="240" w:after="240" w:line="580" w:lineRule="exact"/>
      <w:ind w:left="1134" w:right="1134"/>
    </w:pPr>
    <w:rPr>
      <w:b/>
      <w:sz w:val="56"/>
      <w:lang w:eastAsia="ru-RU"/>
    </w:rPr>
  </w:style>
  <w:style w:type="paragraph" w:customStyle="1" w:styleId="SMGR">
    <w:name w:val="__S_M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SSGR">
    <w:name w:val="__S_S_GR"/>
    <w:basedOn w:val="a"/>
    <w:next w:val="a"/>
    <w:qFormat/>
    <w:rsid w:val="00BE1742"/>
    <w:pPr>
      <w:keepNext/>
      <w:keepLines/>
      <w:suppressAutoHyphens/>
      <w:spacing w:before="240" w:after="240" w:line="300" w:lineRule="exact"/>
      <w:ind w:left="1134" w:right="1134"/>
    </w:pPr>
    <w:rPr>
      <w:b/>
      <w:sz w:val="28"/>
      <w:lang w:eastAsia="ru-RU"/>
    </w:rPr>
  </w:style>
  <w:style w:type="paragraph" w:customStyle="1" w:styleId="XLargeGR">
    <w:name w:val="__XLarge_GR"/>
    <w:basedOn w:val="a"/>
    <w:next w:val="a"/>
    <w:qFormat/>
    <w:rsid w:val="00BE1742"/>
    <w:pPr>
      <w:keepNext/>
      <w:keepLines/>
      <w:suppressAutoHyphens/>
      <w:spacing w:before="240" w:after="240" w:line="420" w:lineRule="exact"/>
      <w:ind w:left="1134" w:right="1134"/>
    </w:pPr>
    <w:rPr>
      <w:b/>
      <w:sz w:val="40"/>
      <w:lang w:eastAsia="ru-RU"/>
    </w:rPr>
  </w:style>
  <w:style w:type="paragraph" w:customStyle="1" w:styleId="Bullet1GR">
    <w:name w:val="_Bullet 1_GR"/>
    <w:basedOn w:val="a"/>
    <w:qFormat/>
    <w:rsid w:val="00BE1742"/>
    <w:pPr>
      <w:numPr>
        <w:numId w:val="1"/>
      </w:numPr>
      <w:spacing w:after="120"/>
      <w:ind w:right="1134"/>
      <w:jc w:val="both"/>
    </w:pPr>
    <w:rPr>
      <w:lang w:eastAsia="ru-RU"/>
    </w:rPr>
  </w:style>
  <w:style w:type="paragraph" w:customStyle="1" w:styleId="Bullet2GR">
    <w:name w:val="_Bullet 2_GR"/>
    <w:basedOn w:val="a"/>
    <w:qFormat/>
    <w:rsid w:val="00BE1742"/>
    <w:pPr>
      <w:numPr>
        <w:numId w:val="2"/>
      </w:numPr>
      <w:spacing w:after="120"/>
      <w:ind w:right="1134"/>
      <w:jc w:val="both"/>
    </w:pPr>
    <w:rPr>
      <w:lang w:eastAsia="ru-RU"/>
    </w:rPr>
  </w:style>
  <w:style w:type="paragraph" w:customStyle="1" w:styleId="ParaNoGR">
    <w:name w:val="_ParaNo._GR"/>
    <w:basedOn w:val="a"/>
    <w:next w:val="a"/>
    <w:qFormat/>
    <w:rsid w:val="00BE1742"/>
    <w:pPr>
      <w:numPr>
        <w:numId w:val="3"/>
      </w:numPr>
      <w:tabs>
        <w:tab w:val="left" w:pos="567"/>
      </w:tabs>
      <w:spacing w:after="120"/>
      <w:ind w:right="1134"/>
      <w:jc w:val="both"/>
      <w:outlineLvl w:val="0"/>
    </w:pPr>
    <w:rPr>
      <w:lang w:eastAsia="ru-RU"/>
    </w:rPr>
  </w:style>
  <w:style w:type="table" w:customStyle="1" w:styleId="TabNum">
    <w:name w:val="_TabNum"/>
    <w:basedOn w:val="a1"/>
    <w:rsid w:val="00BE1742"/>
    <w:pPr>
      <w:spacing w:before="40" w:after="40" w:line="220" w:lineRule="exact"/>
      <w:jc w:val="right"/>
    </w:pPr>
    <w:rPr>
      <w:rFonts w:ascii="Times New Roman" w:eastAsia="Times New Roman" w:hAnsi="Times New Roman" w:cs="Times New Roman"/>
      <w:sz w:val="18"/>
      <w:szCs w:val="20"/>
      <w:lang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1742"/>
    <w:pPr>
      <w:spacing w:before="40" w:after="120" w:line="240" w:lineRule="atLeast"/>
    </w:pPr>
    <w:rPr>
      <w:rFonts w:ascii="Times New Roman" w:eastAsia="Times New Roman" w:hAnsi="Times New Roman" w:cs="Times New Roman"/>
      <w:sz w:val="20"/>
      <w:szCs w:val="20"/>
      <w:lang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3">
    <w:name w:val="header"/>
    <w:aliases w:val="6_GR,6_G"/>
    <w:basedOn w:val="a"/>
    <w:next w:val="a"/>
    <w:link w:val="a4"/>
    <w:qFormat/>
    <w:rsid w:val="00BE1742"/>
    <w:pPr>
      <w:pBdr>
        <w:bottom w:val="single" w:sz="4" w:space="4" w:color="auto"/>
      </w:pBdr>
      <w:tabs>
        <w:tab w:val="right" w:pos="9639"/>
      </w:tabs>
      <w:suppressAutoHyphens/>
    </w:pPr>
    <w:rPr>
      <w:b/>
      <w:sz w:val="18"/>
      <w:lang w:val="en-GB" w:eastAsia="ru-RU"/>
    </w:rPr>
  </w:style>
  <w:style w:type="character" w:customStyle="1" w:styleId="a4">
    <w:name w:val="Верхний колонтитул Знак"/>
    <w:aliases w:val="6_GR Знак,6_G Знак"/>
    <w:basedOn w:val="a0"/>
    <w:link w:val="a3"/>
    <w:rsid w:val="00BE1742"/>
    <w:rPr>
      <w:rFonts w:ascii="Times New Roman" w:eastAsia="Times New Roman" w:hAnsi="Times New Roman" w:cs="Times New Roman"/>
      <w:b/>
      <w:sz w:val="18"/>
      <w:szCs w:val="20"/>
      <w:lang w:val="en-GB" w:eastAsia="ru-RU"/>
    </w:rPr>
  </w:style>
  <w:style w:type="character" w:styleId="a5">
    <w:name w:val="endnote reference"/>
    <w:aliases w:val="1_GR,1_G"/>
    <w:basedOn w:val="a6"/>
    <w:qFormat/>
    <w:rsid w:val="00BE1742"/>
    <w:rPr>
      <w:rFonts w:ascii="Times New Roman" w:hAnsi="Times New Roman"/>
      <w:dstrike w:val="0"/>
      <w:sz w:val="18"/>
      <w:vertAlign w:val="superscript"/>
    </w:rPr>
  </w:style>
  <w:style w:type="character" w:styleId="a6">
    <w:name w:val="footnote reference"/>
    <w:aliases w:val="4_GR,4_G"/>
    <w:basedOn w:val="a0"/>
    <w:qFormat/>
    <w:rsid w:val="00BE1742"/>
    <w:rPr>
      <w:rFonts w:ascii="Times New Roman" w:hAnsi="Times New Roman"/>
      <w:dstrike w:val="0"/>
      <w:sz w:val="18"/>
      <w:vertAlign w:val="superscript"/>
    </w:rPr>
  </w:style>
  <w:style w:type="paragraph" w:styleId="a7">
    <w:name w:val="footer"/>
    <w:aliases w:val="3_GR,3_G"/>
    <w:basedOn w:val="a"/>
    <w:link w:val="a8"/>
    <w:qFormat/>
    <w:rsid w:val="00BE1742"/>
    <w:pPr>
      <w:tabs>
        <w:tab w:val="right" w:pos="9639"/>
      </w:tabs>
      <w:suppressAutoHyphens/>
    </w:pPr>
    <w:rPr>
      <w:sz w:val="16"/>
      <w:lang w:val="en-GB" w:eastAsia="ru-RU"/>
    </w:rPr>
  </w:style>
  <w:style w:type="character" w:customStyle="1" w:styleId="a8">
    <w:name w:val="Нижний колонтитул Знак"/>
    <w:aliases w:val="3_GR Знак,3_G Знак"/>
    <w:basedOn w:val="a0"/>
    <w:link w:val="a7"/>
    <w:rsid w:val="00BE1742"/>
    <w:rPr>
      <w:rFonts w:ascii="Times New Roman" w:eastAsia="Times New Roman" w:hAnsi="Times New Roman" w:cs="Times New Roman"/>
      <w:sz w:val="16"/>
      <w:szCs w:val="20"/>
      <w:lang w:val="en-GB" w:eastAsia="ru-RU"/>
    </w:rPr>
  </w:style>
  <w:style w:type="character" w:styleId="a9">
    <w:name w:val="page number"/>
    <w:aliases w:val="7_GR,7_G"/>
    <w:basedOn w:val="a0"/>
    <w:qFormat/>
    <w:rsid w:val="00BE1742"/>
    <w:rPr>
      <w:rFonts w:ascii="Times New Roman" w:hAnsi="Times New Roman"/>
      <w:b/>
      <w:sz w:val="18"/>
    </w:rPr>
  </w:style>
  <w:style w:type="paragraph" w:styleId="aa">
    <w:name w:val="footnote text"/>
    <w:aliases w:val="5_GR,5_G"/>
    <w:basedOn w:val="a"/>
    <w:link w:val="ab"/>
    <w:qFormat/>
    <w:rsid w:val="00BE1742"/>
    <w:pPr>
      <w:tabs>
        <w:tab w:val="right" w:pos="1021"/>
      </w:tabs>
      <w:suppressAutoHyphens/>
      <w:spacing w:line="220" w:lineRule="exact"/>
      <w:ind w:left="1134" w:right="1134" w:hanging="1134"/>
    </w:pPr>
    <w:rPr>
      <w:spacing w:val="5"/>
      <w:w w:val="104"/>
      <w:sz w:val="18"/>
      <w:lang w:val="en-GB" w:eastAsia="ru-RU"/>
    </w:rPr>
  </w:style>
  <w:style w:type="character" w:customStyle="1" w:styleId="ab">
    <w:name w:val="Текст сноски Знак"/>
    <w:aliases w:val="5_GR Знак,5_G Знак"/>
    <w:basedOn w:val="a0"/>
    <w:link w:val="aa"/>
    <w:rsid w:val="00BE1742"/>
    <w:rPr>
      <w:rFonts w:ascii="Times New Roman" w:eastAsia="Times New Roman" w:hAnsi="Times New Roman" w:cs="Times New Roman"/>
      <w:spacing w:val="5"/>
      <w:w w:val="104"/>
      <w:kern w:val="14"/>
      <w:sz w:val="18"/>
      <w:szCs w:val="20"/>
      <w:lang w:val="en-GB" w:eastAsia="ru-RU"/>
    </w:rPr>
  </w:style>
  <w:style w:type="paragraph" w:styleId="ac">
    <w:name w:val="endnote text"/>
    <w:aliases w:val="2_GR,2_G"/>
    <w:basedOn w:val="aa"/>
    <w:link w:val="ad"/>
    <w:qFormat/>
    <w:rsid w:val="00BE1742"/>
  </w:style>
  <w:style w:type="character" w:customStyle="1" w:styleId="ad">
    <w:name w:val="Текст концевой сноски Знак"/>
    <w:aliases w:val="2_GR Знак,2_G Знак"/>
    <w:basedOn w:val="a0"/>
    <w:link w:val="ac"/>
    <w:rsid w:val="00BE1742"/>
    <w:rPr>
      <w:rFonts w:ascii="Times New Roman" w:eastAsia="Times New Roman" w:hAnsi="Times New Roman" w:cs="Times New Roman"/>
      <w:spacing w:val="5"/>
      <w:w w:val="104"/>
      <w:kern w:val="14"/>
      <w:sz w:val="18"/>
      <w:szCs w:val="20"/>
      <w:lang w:val="en-GB" w:eastAsia="ru-RU"/>
    </w:rPr>
  </w:style>
  <w:style w:type="table" w:styleId="ae">
    <w:name w:val="Table Grid"/>
    <w:basedOn w:val="a1"/>
    <w:rsid w:val="007A1F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Balloon Text"/>
    <w:basedOn w:val="a"/>
    <w:link w:val="af0"/>
    <w:unhideWhenUsed/>
    <w:rsid w:val="004C4817"/>
    <w:pPr>
      <w:spacing w:line="240" w:lineRule="auto"/>
    </w:pPr>
    <w:rPr>
      <w:rFonts w:ascii="Tahoma" w:hAnsi="Tahoma" w:cs="Tahoma"/>
      <w:sz w:val="16"/>
      <w:szCs w:val="16"/>
    </w:rPr>
  </w:style>
  <w:style w:type="character" w:customStyle="1" w:styleId="af0">
    <w:name w:val="Текст выноски Знак"/>
    <w:basedOn w:val="a0"/>
    <w:link w:val="af"/>
    <w:rsid w:val="004C4817"/>
    <w:rPr>
      <w:rFonts w:ascii="Tahoma" w:eastAsia="Times New Roman" w:hAnsi="Tahoma" w:cs="Tahoma"/>
      <w:spacing w:val="4"/>
      <w:w w:val="103"/>
      <w:kern w:val="14"/>
      <w:sz w:val="16"/>
      <w:szCs w:val="16"/>
    </w:rPr>
  </w:style>
  <w:style w:type="paragraph" w:customStyle="1" w:styleId="SingleTxtG">
    <w:name w:val="_ Single Txt_G"/>
    <w:basedOn w:val="a"/>
    <w:link w:val="SingleTxtGChar"/>
    <w:rsid w:val="004C4817"/>
    <w:pPr>
      <w:suppressAutoHyphens/>
      <w:spacing w:after="120"/>
      <w:ind w:left="1134" w:right="1134"/>
      <w:jc w:val="both"/>
    </w:pPr>
    <w:rPr>
      <w:spacing w:val="0"/>
      <w:w w:val="100"/>
      <w:kern w:val="0"/>
      <w:lang w:val="en-GB"/>
    </w:rPr>
  </w:style>
  <w:style w:type="character" w:customStyle="1" w:styleId="SingleTxtGChar">
    <w:name w:val="_ Single Txt_G Char"/>
    <w:link w:val="SingleTxtG"/>
    <w:locked/>
    <w:rsid w:val="004C4817"/>
    <w:rPr>
      <w:rFonts w:ascii="Times New Roman" w:eastAsia="Times New Roman" w:hAnsi="Times New Roman" w:cs="Times New Roman"/>
      <w:sz w:val="20"/>
      <w:szCs w:val="20"/>
      <w:lang w:val="en-GB"/>
    </w:rPr>
  </w:style>
  <w:style w:type="paragraph" w:customStyle="1" w:styleId="HChG">
    <w:name w:val="_ H _Ch_G"/>
    <w:basedOn w:val="a"/>
    <w:next w:val="a"/>
    <w:link w:val="HChGChar"/>
    <w:rsid w:val="004C4817"/>
    <w:pPr>
      <w:keepNext/>
      <w:keepLines/>
      <w:tabs>
        <w:tab w:val="right" w:pos="851"/>
      </w:tabs>
      <w:suppressAutoHyphens/>
      <w:spacing w:before="360" w:after="240" w:line="300" w:lineRule="exact"/>
      <w:ind w:left="1134" w:right="1134" w:hanging="1134"/>
    </w:pPr>
    <w:rPr>
      <w:b/>
      <w:spacing w:val="0"/>
      <w:w w:val="100"/>
      <w:kern w:val="0"/>
      <w:sz w:val="28"/>
      <w:lang w:val="en-GB"/>
    </w:rPr>
  </w:style>
  <w:style w:type="character" w:customStyle="1" w:styleId="HChGChar">
    <w:name w:val="_ H _Ch_G Char"/>
    <w:link w:val="HChG"/>
    <w:locked/>
    <w:rsid w:val="004C4817"/>
    <w:rPr>
      <w:rFonts w:ascii="Times New Roman" w:eastAsia="Times New Roman" w:hAnsi="Times New Roman" w:cs="Times New Roman"/>
      <w:b/>
      <w:sz w:val="28"/>
      <w:szCs w:val="20"/>
      <w:lang w:val="en-GB"/>
    </w:rPr>
  </w:style>
  <w:style w:type="paragraph" w:customStyle="1" w:styleId="HMG">
    <w:name w:val="_ H __M_G"/>
    <w:basedOn w:val="a"/>
    <w:next w:val="a"/>
    <w:rsid w:val="004C4817"/>
    <w:pPr>
      <w:keepNext/>
      <w:keepLines/>
      <w:tabs>
        <w:tab w:val="right" w:pos="851"/>
      </w:tabs>
      <w:suppressAutoHyphens/>
      <w:spacing w:before="240" w:after="240" w:line="360" w:lineRule="exact"/>
      <w:ind w:left="1134" w:right="1134" w:hanging="1134"/>
    </w:pPr>
    <w:rPr>
      <w:b/>
      <w:spacing w:val="0"/>
      <w:w w:val="100"/>
      <w:kern w:val="0"/>
      <w:sz w:val="34"/>
      <w:lang w:val="en-GB"/>
    </w:rPr>
  </w:style>
  <w:style w:type="character" w:styleId="af1">
    <w:name w:val="Hyperlink"/>
    <w:rsid w:val="004C4817"/>
    <w:rPr>
      <w:color w:val="auto"/>
      <w:u w:val="none"/>
    </w:rPr>
  </w:style>
  <w:style w:type="paragraph" w:customStyle="1" w:styleId="SMG">
    <w:name w:val="__S_M_G"/>
    <w:basedOn w:val="a"/>
    <w:next w:val="a"/>
    <w:rsid w:val="004C4817"/>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a"/>
    <w:next w:val="a"/>
    <w:rsid w:val="004C4817"/>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a"/>
    <w:next w:val="a"/>
    <w:rsid w:val="004C4817"/>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a"/>
    <w:next w:val="a"/>
    <w:rsid w:val="004C4817"/>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a"/>
    <w:rsid w:val="004C4817"/>
    <w:pPr>
      <w:numPr>
        <w:numId w:val="4"/>
      </w:numPr>
      <w:suppressAutoHyphens/>
      <w:spacing w:after="120"/>
      <w:ind w:right="1134"/>
      <w:jc w:val="both"/>
    </w:pPr>
    <w:rPr>
      <w:spacing w:val="0"/>
      <w:w w:val="100"/>
      <w:kern w:val="0"/>
      <w:lang w:val="en-GB"/>
    </w:rPr>
  </w:style>
  <w:style w:type="paragraph" w:customStyle="1" w:styleId="Bullet2G">
    <w:name w:val="_Bullet 2_G"/>
    <w:basedOn w:val="a"/>
    <w:rsid w:val="004C4817"/>
    <w:pPr>
      <w:numPr>
        <w:numId w:val="5"/>
      </w:numPr>
      <w:suppressAutoHyphens/>
      <w:spacing w:after="120"/>
      <w:ind w:right="1134"/>
      <w:jc w:val="both"/>
    </w:pPr>
    <w:rPr>
      <w:spacing w:val="0"/>
      <w:w w:val="100"/>
      <w:kern w:val="0"/>
      <w:lang w:val="en-GB"/>
    </w:rPr>
  </w:style>
  <w:style w:type="paragraph" w:customStyle="1" w:styleId="H1G">
    <w:name w:val="_ H_1_G"/>
    <w:basedOn w:val="a"/>
    <w:next w:val="a"/>
    <w:link w:val="H1GChar"/>
    <w:rsid w:val="004C4817"/>
    <w:pPr>
      <w:keepNext/>
      <w:keepLines/>
      <w:tabs>
        <w:tab w:val="right" w:pos="851"/>
      </w:tabs>
      <w:suppressAutoHyphens/>
      <w:spacing w:before="360" w:after="240" w:line="270" w:lineRule="exact"/>
      <w:ind w:left="1134" w:right="1134" w:hanging="1134"/>
    </w:pPr>
    <w:rPr>
      <w:b/>
      <w:spacing w:val="0"/>
      <w:w w:val="100"/>
      <w:kern w:val="0"/>
      <w:sz w:val="24"/>
      <w:lang w:val="en-GB"/>
    </w:rPr>
  </w:style>
  <w:style w:type="character" w:customStyle="1" w:styleId="H1GChar">
    <w:name w:val="_ H_1_G Char"/>
    <w:link w:val="H1G"/>
    <w:rsid w:val="004C4817"/>
    <w:rPr>
      <w:rFonts w:ascii="Times New Roman" w:eastAsia="Times New Roman" w:hAnsi="Times New Roman" w:cs="Times New Roman"/>
      <w:b/>
      <w:sz w:val="24"/>
      <w:szCs w:val="20"/>
      <w:lang w:val="en-GB"/>
    </w:rPr>
  </w:style>
  <w:style w:type="paragraph" w:customStyle="1" w:styleId="H23G">
    <w:name w:val="_ H_2/3_G"/>
    <w:basedOn w:val="a"/>
    <w:next w:val="a"/>
    <w:rsid w:val="004C4817"/>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a"/>
    <w:next w:val="a"/>
    <w:rsid w:val="004C4817"/>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a"/>
    <w:next w:val="a"/>
    <w:qFormat/>
    <w:rsid w:val="004C4817"/>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eastAsiaTheme="minorHAnsi"/>
      <w:spacing w:val="0"/>
      <w:w w:val="100"/>
      <w:kern w:val="0"/>
      <w:lang w:val="en-GB"/>
    </w:rPr>
  </w:style>
  <w:style w:type="character" w:styleId="af2">
    <w:name w:val="Emphasis"/>
    <w:uiPriority w:val="20"/>
    <w:qFormat/>
    <w:rsid w:val="004C4817"/>
    <w:rPr>
      <w:i/>
    </w:rPr>
  </w:style>
  <w:style w:type="paragraph" w:styleId="af3">
    <w:name w:val="Normal (Web)"/>
    <w:basedOn w:val="a"/>
    <w:uiPriority w:val="99"/>
    <w:rsid w:val="004C4817"/>
    <w:pPr>
      <w:suppressAutoHyphens/>
    </w:pPr>
    <w:rPr>
      <w:spacing w:val="0"/>
      <w:w w:val="100"/>
      <w:kern w:val="0"/>
      <w:sz w:val="24"/>
      <w:szCs w:val="24"/>
      <w:lang w:val="en-GB"/>
    </w:rPr>
  </w:style>
  <w:style w:type="paragraph" w:customStyle="1" w:styleId="Listavistosa-nfasis11">
    <w:name w:val="Lista vistosa - Énfasis 11"/>
    <w:basedOn w:val="a"/>
    <w:rsid w:val="004C4817"/>
    <w:pPr>
      <w:widowControl w:val="0"/>
      <w:suppressAutoHyphens/>
      <w:spacing w:after="200" w:line="276" w:lineRule="auto"/>
      <w:ind w:left="720"/>
    </w:pPr>
    <w:rPr>
      <w:rFonts w:ascii="Calibri" w:hAnsi="Calibri" w:cs="Cambria"/>
      <w:spacing w:val="0"/>
      <w:w w:val="100"/>
      <w:kern w:val="0"/>
      <w:sz w:val="22"/>
      <w:szCs w:val="22"/>
      <w:lang w:val="es-ES" w:eastAsia="ar-SA"/>
    </w:rPr>
  </w:style>
  <w:style w:type="paragraph" w:styleId="af4">
    <w:name w:val="List Paragraph"/>
    <w:basedOn w:val="a"/>
    <w:qFormat/>
    <w:rsid w:val="004C4817"/>
    <w:pPr>
      <w:spacing w:line="240" w:lineRule="auto"/>
      <w:ind w:left="720"/>
    </w:pPr>
    <w:rPr>
      <w:spacing w:val="0"/>
      <w:w w:val="100"/>
      <w:kern w:val="0"/>
      <w:sz w:val="24"/>
      <w:szCs w:val="24"/>
      <w:lang w:val="en-US" w:eastAsia="es-ES"/>
    </w:rPr>
  </w:style>
  <w:style w:type="character" w:styleId="af5">
    <w:name w:val="annotation reference"/>
    <w:rsid w:val="004C4817"/>
    <w:rPr>
      <w:sz w:val="16"/>
    </w:rPr>
  </w:style>
  <w:style w:type="paragraph" w:styleId="af6">
    <w:name w:val="annotation text"/>
    <w:basedOn w:val="a"/>
    <w:link w:val="af7"/>
    <w:rsid w:val="004C4817"/>
    <w:pPr>
      <w:suppressAutoHyphens/>
    </w:pPr>
    <w:rPr>
      <w:spacing w:val="0"/>
      <w:w w:val="100"/>
      <w:kern w:val="0"/>
      <w:lang w:val="en-GB"/>
    </w:rPr>
  </w:style>
  <w:style w:type="character" w:customStyle="1" w:styleId="af7">
    <w:name w:val="Текст примечания Знак"/>
    <w:basedOn w:val="a0"/>
    <w:link w:val="af6"/>
    <w:rsid w:val="004C4817"/>
    <w:rPr>
      <w:rFonts w:ascii="Times New Roman" w:eastAsia="Times New Roman" w:hAnsi="Times New Roman" w:cs="Times New Roman"/>
      <w:sz w:val="20"/>
      <w:szCs w:val="20"/>
      <w:lang w:val="en-GB"/>
    </w:rPr>
  </w:style>
  <w:style w:type="paragraph" w:styleId="af8">
    <w:name w:val="annotation subject"/>
    <w:basedOn w:val="af6"/>
    <w:next w:val="af6"/>
    <w:link w:val="af9"/>
    <w:rsid w:val="004C4817"/>
    <w:rPr>
      <w:b/>
    </w:rPr>
  </w:style>
  <w:style w:type="character" w:customStyle="1" w:styleId="af9">
    <w:name w:val="Тема примечания Знак"/>
    <w:basedOn w:val="af7"/>
    <w:link w:val="af8"/>
    <w:rsid w:val="004C4817"/>
    <w:rPr>
      <w:rFonts w:ascii="Times New Roman" w:eastAsia="Times New Roman" w:hAnsi="Times New Roman" w:cs="Times New Roman"/>
      <w:b/>
      <w:sz w:val="20"/>
      <w:szCs w:val="20"/>
      <w:lang w:val="en-GB"/>
    </w:rPr>
  </w:style>
  <w:style w:type="character" w:customStyle="1" w:styleId="lblnewsfulltext">
    <w:name w:val="lblnewsfulltext"/>
    <w:rsid w:val="004C4817"/>
  </w:style>
  <w:style w:type="paragraph" w:styleId="afa">
    <w:name w:val="No Spacing"/>
    <w:qFormat/>
    <w:rsid w:val="004C4817"/>
    <w:rPr>
      <w:rFonts w:ascii="Calibri" w:eastAsia="Times New Roman" w:hAnsi="Calibri" w:cs="Times New Roman"/>
      <w:lang w:val="en-GB"/>
    </w:rPr>
  </w:style>
  <w:style w:type="character" w:customStyle="1" w:styleId="st1">
    <w:name w:val="st1"/>
    <w:rsid w:val="004C4817"/>
  </w:style>
  <w:style w:type="paragraph" w:styleId="afb">
    <w:name w:val="Plain Text"/>
    <w:basedOn w:val="a"/>
    <w:link w:val="afc"/>
    <w:rsid w:val="004C4817"/>
    <w:pPr>
      <w:spacing w:line="240" w:lineRule="auto"/>
    </w:pPr>
    <w:rPr>
      <w:rFonts w:ascii="Consolas" w:hAnsi="Consolas"/>
      <w:spacing w:val="0"/>
      <w:w w:val="100"/>
      <w:kern w:val="0"/>
      <w:sz w:val="21"/>
      <w:lang w:val="en-GB"/>
    </w:rPr>
  </w:style>
  <w:style w:type="character" w:customStyle="1" w:styleId="afc">
    <w:name w:val="Текст Знак"/>
    <w:basedOn w:val="a0"/>
    <w:link w:val="afb"/>
    <w:rsid w:val="004C4817"/>
    <w:rPr>
      <w:rFonts w:ascii="Consolas" w:eastAsia="Times New Roman" w:hAnsi="Consolas" w:cs="Times New Roman"/>
      <w:sz w:val="21"/>
      <w:szCs w:val="20"/>
      <w:lang w:val="en-GB"/>
    </w:rPr>
  </w:style>
  <w:style w:type="paragraph" w:customStyle="1" w:styleId="Body">
    <w:name w:val="Body"/>
    <w:rsid w:val="004C4817"/>
    <w:pPr>
      <w:pBdr>
        <w:top w:val="nil"/>
        <w:left w:val="nil"/>
        <w:bottom w:val="nil"/>
        <w:right w:val="nil"/>
        <w:between w:val="nil"/>
        <w:bar w:val="nil"/>
      </w:pBdr>
    </w:pPr>
    <w:rPr>
      <w:rFonts w:ascii="Helvetica" w:eastAsia="Arial Unicode MS" w:hAnsi="Arial Unicode MS" w:cs="Arial Unicode MS"/>
      <w:color w:val="000000"/>
      <w:bdr w:val="nil"/>
      <w:lang w:val="en-US" w:eastAsia="en-GB"/>
    </w:rPr>
  </w:style>
  <w:style w:type="paragraph" w:customStyle="1" w:styleId="Default">
    <w:name w:val="Default"/>
    <w:rsid w:val="004C4817"/>
    <w:pPr>
      <w:autoSpaceDE w:val="0"/>
      <w:autoSpaceDN w:val="0"/>
      <w:adjustRightInd w:val="0"/>
    </w:pPr>
    <w:rPr>
      <w:rFonts w:ascii="Times New Roman" w:eastAsia="Arial Unicode MS" w:hAnsi="Times New Roman" w:cs="Times New Roman"/>
      <w:color w:val="000000"/>
      <w:sz w:val="24"/>
      <w:szCs w:val="24"/>
      <w:bdr w:val="nil"/>
      <w:lang w:val="en-GB" w:eastAsia="en-GB"/>
    </w:rPr>
  </w:style>
  <w:style w:type="character" w:customStyle="1" w:styleId="Hyperlink0">
    <w:name w:val="Hyperlink.0"/>
    <w:rsid w:val="004C4817"/>
    <w:rPr>
      <w:color w:val="0000FF"/>
      <w:sz w:val="20"/>
      <w:szCs w:val="20"/>
      <w:u w:val="single" w:color="0000FF"/>
      <w:lang w:val="en-US"/>
    </w:rPr>
  </w:style>
  <w:style w:type="character" w:customStyle="1" w:styleId="preferred">
    <w:name w:val="preferred"/>
    <w:basedOn w:val="a0"/>
    <w:rsid w:val="004C4817"/>
  </w:style>
  <w:style w:type="character" w:styleId="HTML">
    <w:name w:val="HTML Cite"/>
    <w:basedOn w:val="a0"/>
    <w:uiPriority w:val="99"/>
    <w:semiHidden/>
    <w:unhideWhenUsed/>
    <w:rsid w:val="004C4817"/>
    <w:rPr>
      <w:i/>
      <w:iCs/>
    </w:rPr>
  </w:style>
  <w:style w:type="character" w:customStyle="1" w:styleId="apple-converted-space">
    <w:name w:val="apple-converted-space"/>
    <w:basedOn w:val="a0"/>
    <w:rsid w:val="004C4817"/>
  </w:style>
  <w:style w:type="character" w:customStyle="1" w:styleId="style2">
    <w:name w:val="style2"/>
    <w:basedOn w:val="a0"/>
    <w:rsid w:val="004C4817"/>
  </w:style>
  <w:style w:type="character" w:customStyle="1" w:styleId="style10">
    <w:name w:val="style10"/>
    <w:basedOn w:val="a0"/>
    <w:rsid w:val="004C4817"/>
  </w:style>
  <w:style w:type="character" w:customStyle="1" w:styleId="style14">
    <w:name w:val="style14"/>
    <w:basedOn w:val="a0"/>
    <w:rsid w:val="004C48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file:///\\conf-share1\LS\RUS\COMMON\MSWDocs\_2Semifinal\www.ohchr.org\EN\NewsEvents\Pages\DisplayNews.aspx%3fNewsID=" TargetMode="External"/><Relationship Id="rId2" Type="http://schemas.openxmlformats.org/officeDocument/2006/relationships/hyperlink" Target="file:///\\conf-share1\LS\RUS\COMMON\MSWDocs\_2Semifinal\www.ohchr.org\EN\HRBodies\OPCAT\Pages\Membership.aspx" TargetMode="External"/><Relationship Id="rId1" Type="http://schemas.openxmlformats.org/officeDocument/2006/relationships/hyperlink" Target="http://www.ohchr.org/EN/HRBodies/OPCAT/%20Pages/OPCATIndex.aspx." TargetMode="External"/><Relationship Id="rId6" Type="http://schemas.openxmlformats.org/officeDocument/2006/relationships/hyperlink" Target="http://www.bjs.gov/content/pub/pdf/svpjri1112.pdf" TargetMode="External"/><Relationship Id="rId5" Type="http://schemas.openxmlformats.org/officeDocument/2006/relationships/hyperlink" Target="http://www.oas.org/en/iachr/docs/pdf/Jamaica2012eng.pdf." TargetMode="External"/><Relationship Id="rId4" Type="http://schemas.openxmlformats.org/officeDocument/2006/relationships/hyperlink" Target="file:///C:\Users\Maio\AppData\Local\Temp\notes644D56\www.unfe.org\en\fact-shee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B6640-D600-4E9C-A2C7-B07713DB0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29</Pages>
  <Words>9086</Words>
  <Characters>66038</Characters>
  <Application>Microsoft Office Word</Application>
  <DocSecurity>0</DocSecurity>
  <Lines>1191</Lines>
  <Paragraphs>229</Paragraphs>
  <ScaleCrop>false</ScaleCrop>
  <HeadingPairs>
    <vt:vector size="2" baseType="variant">
      <vt:variant>
        <vt:lpstr>Название</vt:lpstr>
      </vt:variant>
      <vt:variant>
        <vt:i4>1</vt:i4>
      </vt:variant>
    </vt:vector>
  </HeadingPairs>
  <TitlesOfParts>
    <vt:vector size="1" baseType="lpstr">
      <vt:lpstr/>
    </vt:vector>
  </TitlesOfParts>
  <Company>DCM</Company>
  <LinksUpToDate>false</LinksUpToDate>
  <CharactersWithSpaces>75041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Sharkina</dc:creator>
  <cp:lastModifiedBy>Chouvalova Natalia</cp:lastModifiedBy>
  <cp:revision>2</cp:revision>
  <cp:lastPrinted>2016-05-18T13:16:00Z</cp:lastPrinted>
  <dcterms:created xsi:type="dcterms:W3CDTF">2016-05-18T13:29:00Z</dcterms:created>
  <dcterms:modified xsi:type="dcterms:W3CDTF">2016-05-18T13:29:00Z</dcterms:modified>
</cp:coreProperties>
</file>