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Pr="00BB67F9">
              <w:rPr>
                <w:sz w:val="20"/>
              </w:rPr>
              <w:t>/</w:t>
            </w:r>
            <w:r w:rsidR="0083462B">
              <w:rPr>
                <w:rFonts w:hint="eastAsia"/>
                <w:sz w:val="20"/>
              </w:rPr>
              <w:t>C/106/3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0A591D" w:rsidP="00BB67F9">
            <w:pPr>
              <w:spacing w:before="240" w:line="240" w:lineRule="atLeast"/>
              <w:rPr>
                <w:rFonts w:hint="eastAsia"/>
                <w:sz w:val="20"/>
              </w:rPr>
            </w:pPr>
            <w:r>
              <w:rPr>
                <w:sz w:val="20"/>
              </w:rPr>
              <w:t xml:space="preserve">Distr.: </w:t>
            </w:r>
            <w:r w:rsidR="00E7412D" w:rsidRPr="00E7412D">
              <w:rPr>
                <w:sz w:val="20"/>
              </w:rPr>
              <w:t>General</w:t>
            </w:r>
          </w:p>
          <w:p w:rsidR="00C7462D" w:rsidRPr="00BB67F9" w:rsidRDefault="00E7412D" w:rsidP="00BB67F9">
            <w:pPr>
              <w:spacing w:line="240" w:lineRule="atLeast"/>
              <w:rPr>
                <w:rFonts w:hint="eastAsia"/>
                <w:sz w:val="20"/>
              </w:rPr>
            </w:pPr>
            <w:r>
              <w:rPr>
                <w:rFonts w:hint="eastAsia"/>
                <w:sz w:val="20"/>
              </w:rPr>
              <w:t xml:space="preserve">13 </w:t>
            </w:r>
            <w:r w:rsidRPr="00E7412D">
              <w:rPr>
                <w:sz w:val="20"/>
              </w:rPr>
              <w:t>November</w:t>
            </w:r>
            <w:r w:rsidR="00911A84">
              <w:rPr>
                <w:sz w:val="20"/>
              </w:rPr>
              <w:t xml:space="preserve"> 20</w:t>
            </w:r>
            <w:r w:rsidR="00911A84">
              <w:rPr>
                <w:rFonts w:hint="eastAsia"/>
                <w:sz w:val="20"/>
              </w:rPr>
              <w:t>1</w:t>
            </w:r>
            <w:r w:rsidR="005C365E">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0A591D"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7462D" w:rsidRDefault="00E7412D" w:rsidP="00E7412D">
      <w:pPr>
        <w:pStyle w:val="HChGC"/>
        <w:rPr>
          <w:rFonts w:hint="eastAsia"/>
        </w:rPr>
      </w:pPr>
      <w:r>
        <w:rPr>
          <w:rFonts w:hint="eastAsia"/>
        </w:rPr>
        <w:tab/>
      </w:r>
      <w:r>
        <w:rPr>
          <w:rFonts w:hint="eastAsia"/>
        </w:rPr>
        <w:tab/>
      </w:r>
      <w:r w:rsidRPr="00E7412D">
        <w:rPr>
          <w:rFonts w:hint="eastAsia"/>
          <w:spacing w:val="-4"/>
        </w:rPr>
        <w:t>委员会第一</w:t>
      </w:r>
      <w:r w:rsidR="000A591D" w:rsidRPr="000A591D">
        <w:rPr>
          <w:rFonts w:ascii="SimSun" w:hAnsi="SimSun" w:hint="eastAsia"/>
          <w:spacing w:val="-4"/>
        </w:rPr>
        <w:t>〇</w:t>
      </w:r>
      <w:r w:rsidRPr="00E7412D">
        <w:rPr>
          <w:rFonts w:hint="eastAsia"/>
          <w:spacing w:val="-4"/>
        </w:rPr>
        <w:t>六届会议通过的关于人权事务委员会与国家人权</w:t>
      </w:r>
      <w:r>
        <w:rPr>
          <w:rFonts w:hint="eastAsia"/>
        </w:rPr>
        <w:t>机构关系的文件</w:t>
      </w:r>
      <w:r w:rsidR="007D333D">
        <w:rPr>
          <w:rFonts w:hint="eastAsia"/>
        </w:rPr>
        <w:t>2012</w:t>
      </w:r>
      <w:r>
        <w:rPr>
          <w:rFonts w:hint="eastAsia"/>
        </w:rPr>
        <w:t>年</w:t>
      </w:r>
      <w:r>
        <w:rPr>
          <w:rFonts w:hint="eastAsia"/>
        </w:rPr>
        <w:t>10</w:t>
      </w:r>
      <w:r>
        <w:rPr>
          <w:rFonts w:hint="eastAsia"/>
        </w:rPr>
        <w:t>月</w:t>
      </w:r>
      <w:r>
        <w:rPr>
          <w:rFonts w:hint="eastAsia"/>
        </w:rPr>
        <w:t>15</w:t>
      </w:r>
      <w:r>
        <w:rPr>
          <w:rFonts w:hint="eastAsia"/>
        </w:rPr>
        <w:t>日至</w:t>
      </w:r>
      <w:r>
        <w:rPr>
          <w:rFonts w:hint="eastAsia"/>
        </w:rPr>
        <w:t>11</w:t>
      </w:r>
      <w:r>
        <w:rPr>
          <w:rFonts w:hint="eastAsia"/>
        </w:rPr>
        <w:t>月</w:t>
      </w:r>
      <w:r>
        <w:rPr>
          <w:rFonts w:hint="eastAsia"/>
        </w:rPr>
        <w:t>2</w:t>
      </w:r>
      <w:r>
        <w:rPr>
          <w:rFonts w:hint="eastAsia"/>
        </w:rPr>
        <w:t>日</w:t>
      </w:r>
    </w:p>
    <w:p w:rsidR="00E7412D" w:rsidRPr="00E7412D" w:rsidRDefault="00E7412D" w:rsidP="00E7412D">
      <w:pPr>
        <w:pStyle w:val="H1GC"/>
        <w:rPr>
          <w:rFonts w:hint="eastAsia"/>
        </w:rPr>
      </w:pPr>
      <w:r>
        <w:rPr>
          <w:rFonts w:hint="eastAsia"/>
        </w:rPr>
        <w:tab/>
      </w:r>
      <w:r w:rsidRPr="00E7412D">
        <w:t>A.</w:t>
      </w:r>
      <w:r w:rsidRPr="00E7412D">
        <w:tab/>
      </w:r>
      <w:r w:rsidRPr="00E7412D">
        <w:rPr>
          <w:rFonts w:hint="eastAsia"/>
        </w:rPr>
        <w:t>一般性意见</w:t>
      </w:r>
    </w:p>
    <w:p w:rsidR="00E7412D" w:rsidRPr="00E7412D" w:rsidRDefault="00E7412D" w:rsidP="00E7412D">
      <w:pPr>
        <w:pStyle w:val="SingleTxtGC"/>
        <w:rPr>
          <w:lang w:val="en-GB"/>
        </w:rPr>
      </w:pPr>
      <w:r w:rsidRPr="00E7412D">
        <w:rPr>
          <w:lang w:val="en-GB"/>
        </w:rPr>
        <w:t>1.</w:t>
      </w:r>
      <w:r>
        <w:rPr>
          <w:rFonts w:hint="eastAsia"/>
          <w:lang w:val="en-GB"/>
        </w:rPr>
        <w:t xml:space="preserve">  </w:t>
      </w:r>
      <w:r w:rsidRPr="00E7412D">
        <w:rPr>
          <w:rFonts w:hint="eastAsia"/>
          <w:lang w:val="en-GB"/>
        </w:rPr>
        <w:t>人权事务委员会认为，委员会与国家人权机构的合作关系对于从国内层面增进和落实《公民权利和政治权利国际公约》及其诸项《任择议定书》颇为重要。</w:t>
      </w:r>
    </w:p>
    <w:p w:rsidR="00E7412D" w:rsidRPr="00E7412D" w:rsidRDefault="00E7412D" w:rsidP="00E7412D">
      <w:pPr>
        <w:pStyle w:val="SingleTxtGC"/>
        <w:rPr>
          <w:rFonts w:hint="eastAsia"/>
          <w:lang w:val="en-GB"/>
        </w:rPr>
      </w:pPr>
      <w:r w:rsidRPr="00E7412D">
        <w:rPr>
          <w:lang w:val="en-GB"/>
        </w:rPr>
        <w:t>2.</w:t>
      </w:r>
      <w:r>
        <w:rPr>
          <w:rFonts w:hint="eastAsia"/>
          <w:lang w:val="en-GB"/>
        </w:rPr>
        <w:t xml:space="preserve">  </w:t>
      </w:r>
      <w:r w:rsidRPr="00E7412D">
        <w:rPr>
          <w:rFonts w:hint="eastAsia"/>
          <w:lang w:val="en-GB"/>
        </w:rPr>
        <w:t>委员会确认国家人权机构在弥合国际和国家人权制度之间的差距方面发挥了重要作用。委员会说，国际社会已承认国家人权机构发挥的作用，并为这类机构创造了越来越多促进从国际层面增强和保护人权的契机。</w:t>
      </w:r>
      <w:r w:rsidRPr="00E7412D">
        <w:rPr>
          <w:color w:val="0000FF"/>
          <w:vertAlign w:val="superscript"/>
          <w:lang w:val="en-GB"/>
        </w:rPr>
        <w:footnoteReference w:id="1"/>
      </w:r>
    </w:p>
    <w:p w:rsidR="00E7412D" w:rsidRPr="00E7412D" w:rsidRDefault="00E7412D" w:rsidP="00E7412D">
      <w:pPr>
        <w:pStyle w:val="SingleTxtGC"/>
        <w:rPr>
          <w:lang w:val="en-GB"/>
        </w:rPr>
      </w:pPr>
      <w:r w:rsidRPr="00E7412D">
        <w:rPr>
          <w:lang w:val="en-GB"/>
        </w:rPr>
        <w:t>3.</w:t>
      </w:r>
      <w:r>
        <w:rPr>
          <w:rFonts w:hint="eastAsia"/>
          <w:lang w:val="en-GB"/>
        </w:rPr>
        <w:t xml:space="preserve">  </w:t>
      </w:r>
      <w:r w:rsidRPr="00E7412D">
        <w:rPr>
          <w:rFonts w:hint="eastAsia"/>
          <w:lang w:val="en-GB"/>
        </w:rPr>
        <w:t>委员会指出，为使国家人权机构有效发挥作用，应全面遵循关于增进和保护人权国家人权机构地位的原则</w:t>
      </w:r>
      <w:r w:rsidRPr="00E7412D">
        <w:rPr>
          <w:rFonts w:hint="eastAsia"/>
          <w:lang w:val="en-GB"/>
        </w:rPr>
        <w:t>(</w:t>
      </w:r>
      <w:r w:rsidRPr="00E7412D">
        <w:rPr>
          <w:rFonts w:hint="eastAsia"/>
          <w:lang w:val="en-GB"/>
        </w:rPr>
        <w:t>《巴黎原则》</w:t>
      </w:r>
      <w:r w:rsidRPr="00E7412D">
        <w:rPr>
          <w:rFonts w:hint="eastAsia"/>
          <w:lang w:val="en-GB"/>
        </w:rPr>
        <w:t>)</w:t>
      </w:r>
      <w:r w:rsidRPr="00E7412D">
        <w:rPr>
          <w:rFonts w:hint="eastAsia"/>
          <w:lang w:val="en-GB"/>
        </w:rPr>
        <w:t>，创建且视需要加强国家人权机构，而且应争取增进和保护人权国家人权机构国际协调委员会</w:t>
      </w:r>
      <w:r w:rsidRPr="00E7412D">
        <w:rPr>
          <w:rFonts w:hint="eastAsia"/>
          <w:lang w:val="en-GB"/>
        </w:rPr>
        <w:t>(</w:t>
      </w:r>
      <w:r w:rsidRPr="00E7412D">
        <w:rPr>
          <w:rFonts w:hint="eastAsia"/>
          <w:lang w:val="en-GB"/>
        </w:rPr>
        <w:t>国际协调委</w:t>
      </w:r>
      <w:r w:rsidRPr="00E7412D">
        <w:rPr>
          <w:rFonts w:hint="eastAsia"/>
          <w:lang w:val="en-GB"/>
        </w:rPr>
        <w:t>)</w:t>
      </w:r>
      <w:r w:rsidRPr="00E7412D">
        <w:rPr>
          <w:rFonts w:hint="eastAsia"/>
          <w:lang w:val="en-GB"/>
        </w:rPr>
        <w:t>对此机构应有地位的认证。委员会业已建议并将继续酌情建议，所有各国全面遵循《巴黎原则》，创建并加强国家人权机构。</w:t>
      </w:r>
    </w:p>
    <w:p w:rsidR="00E7412D" w:rsidRPr="00E7412D" w:rsidRDefault="00E7412D" w:rsidP="00E7412D">
      <w:pPr>
        <w:pStyle w:val="SingleTxtGC"/>
        <w:rPr>
          <w:rFonts w:hint="eastAsia"/>
          <w:lang w:val="en-GB"/>
        </w:rPr>
      </w:pPr>
      <w:r w:rsidRPr="00E7412D">
        <w:rPr>
          <w:lang w:val="en-GB"/>
        </w:rPr>
        <w:t>4.</w:t>
      </w:r>
      <w:r>
        <w:rPr>
          <w:rFonts w:hint="eastAsia"/>
          <w:lang w:val="en-GB"/>
        </w:rPr>
        <w:t xml:space="preserve">  </w:t>
      </w:r>
      <w:r w:rsidRPr="00E7412D">
        <w:rPr>
          <w:rFonts w:hint="eastAsia"/>
          <w:lang w:val="en-GB"/>
        </w:rPr>
        <w:t>经</w:t>
      </w:r>
      <w:r w:rsidRPr="00E7412D">
        <w:rPr>
          <w:lang w:val="en-GB"/>
        </w:rPr>
        <w:t>国际协调委</w:t>
      </w:r>
      <w:r w:rsidRPr="00E7412D">
        <w:rPr>
          <w:rFonts w:hint="eastAsia"/>
          <w:lang w:val="en-GB"/>
        </w:rPr>
        <w:t>论证的国家人权机构是委员会重要的国家合作伙伴。在国家层面，国家人权机构可促进人权教育；增进了解《公约》权利、来文程序和委员会的工作；并监督国家执行《公约》条款的立法和政策，及提出咨询意见。在国际层面，国家人权机构鼓励并协助缔约国履行报告义务；向委员会提供有关国家执行《公约》情况的独立资料；和落实后续跟进工作，以及监督委员会结论性意见、《意见》和其它决定的执行情况。至于那些尚未成为本《公约》及其任择议定书缔约国的国家，国家人权机构不妨鼓励政府批准这些文书。</w:t>
      </w:r>
    </w:p>
    <w:p w:rsidR="00E7412D" w:rsidRPr="00E7412D" w:rsidRDefault="00E7412D" w:rsidP="00E7412D">
      <w:pPr>
        <w:pStyle w:val="SingleTxtGC"/>
        <w:rPr>
          <w:lang w:val="en-GB"/>
        </w:rPr>
      </w:pPr>
      <w:r w:rsidRPr="00E7412D">
        <w:rPr>
          <w:lang w:val="en-GB"/>
        </w:rPr>
        <w:t>5.</w:t>
      </w:r>
      <w:r>
        <w:rPr>
          <w:rFonts w:hint="eastAsia"/>
          <w:lang w:val="en-GB"/>
        </w:rPr>
        <w:t xml:space="preserve">  </w:t>
      </w:r>
      <w:r w:rsidRPr="00E7412D">
        <w:rPr>
          <w:rFonts w:hint="eastAsia"/>
          <w:lang w:val="en-GB"/>
        </w:rPr>
        <w:t>委员会承诺促使各国家人权机构更便于悉知其工作。为此，委员会秘书处及时地向各个国家人权机构提供有关参与委员会工作的信息和咨询意见。此外，委员会秘书处与</w:t>
      </w:r>
      <w:r w:rsidRPr="00E7412D">
        <w:rPr>
          <w:lang w:val="en-GB"/>
        </w:rPr>
        <w:t>国际协调委</w:t>
      </w:r>
      <w:r w:rsidRPr="00E7412D">
        <w:rPr>
          <w:rFonts w:hint="eastAsia"/>
          <w:lang w:val="en-GB"/>
        </w:rPr>
        <w:t>日内瓦代表处建立起了联络关系，旨在鼓励各国家人权机构更有效地与委员会的工作协调配合，包括交流信息、公布委员会的工作，并提请上述机构抓住契机献计献策。</w:t>
      </w:r>
    </w:p>
    <w:p w:rsidR="00E7412D" w:rsidRPr="00E7412D" w:rsidRDefault="00E7412D" w:rsidP="00E7412D">
      <w:pPr>
        <w:pStyle w:val="SingleTxtGC"/>
        <w:rPr>
          <w:lang w:val="en-GB"/>
        </w:rPr>
      </w:pPr>
      <w:r w:rsidRPr="00E7412D">
        <w:rPr>
          <w:lang w:val="en-GB"/>
        </w:rPr>
        <w:t>6.</w:t>
      </w:r>
      <w:r>
        <w:rPr>
          <w:rFonts w:hint="eastAsia"/>
          <w:lang w:val="en-GB"/>
        </w:rPr>
        <w:t xml:space="preserve">  </w:t>
      </w:r>
      <w:r w:rsidRPr="00E7412D">
        <w:rPr>
          <w:rFonts w:hint="eastAsia"/>
          <w:lang w:val="en-GB"/>
        </w:rPr>
        <w:t>委员会欢迎国家人权机构派代表出席委员会各届和各次会议。委员会还欢迎在届会举行期间，世界各区域的各国家人权机构利用诸如网络连接录像或电话会议及网播等新技术增进奉献工作。</w:t>
      </w:r>
    </w:p>
    <w:p w:rsidR="00E7412D" w:rsidRPr="00E7412D" w:rsidRDefault="00E7412D" w:rsidP="00E7412D">
      <w:pPr>
        <w:pStyle w:val="H1GC"/>
      </w:pPr>
      <w:r w:rsidRPr="00E7412D">
        <w:tab/>
        <w:t>B.</w:t>
      </w:r>
      <w:r w:rsidRPr="00E7412D">
        <w:tab/>
      </w:r>
      <w:r w:rsidRPr="00E7412D">
        <w:rPr>
          <w:rFonts w:hint="eastAsia"/>
        </w:rPr>
        <w:t>国家人权机构的独立作用</w:t>
      </w:r>
    </w:p>
    <w:p w:rsidR="00E7412D" w:rsidRPr="00E7412D" w:rsidRDefault="00E7412D" w:rsidP="00E7412D">
      <w:pPr>
        <w:pStyle w:val="SingleTxtGC"/>
        <w:rPr>
          <w:lang w:val="en-GB"/>
        </w:rPr>
      </w:pPr>
      <w:r w:rsidRPr="00E7412D">
        <w:rPr>
          <w:lang w:val="en-GB"/>
        </w:rPr>
        <w:t>7.</w:t>
      </w:r>
      <w:r>
        <w:rPr>
          <w:rFonts w:hint="eastAsia"/>
          <w:lang w:val="en-GB"/>
        </w:rPr>
        <w:t xml:space="preserve">  </w:t>
      </w:r>
      <w:r w:rsidRPr="00E7412D">
        <w:rPr>
          <w:rFonts w:hint="eastAsia"/>
          <w:lang w:val="en-GB"/>
        </w:rPr>
        <w:t>委员会承认，就依据《巴黎原则》确定的任务而论，国家人权机构与委员会之间具有独立且显然不同的关系。这种关系虽有区别，然而，却是对与缔约国、民间社会、非政府组织及其它行为方关系的补充。因此，委员会为经</w:t>
      </w:r>
      <w:r w:rsidRPr="00E7412D">
        <w:rPr>
          <w:lang w:val="en-GB"/>
        </w:rPr>
        <w:t>国际协调委</w:t>
      </w:r>
      <w:r w:rsidRPr="00E7412D">
        <w:rPr>
          <w:rFonts w:hint="eastAsia"/>
          <w:lang w:val="en-GB"/>
        </w:rPr>
        <w:t>认证的国家人权机构提供了以有别于上述其它行为方的方式，参与委员会工作的机会。</w:t>
      </w:r>
    </w:p>
    <w:p w:rsidR="00E7412D" w:rsidRPr="00E7412D" w:rsidRDefault="00E7412D" w:rsidP="00E7412D">
      <w:pPr>
        <w:pStyle w:val="H1GC"/>
      </w:pPr>
      <w:r w:rsidRPr="00E7412D">
        <w:tab/>
        <w:t>C.</w:t>
      </w:r>
      <w:r w:rsidRPr="00E7412D">
        <w:tab/>
      </w:r>
      <w:r w:rsidRPr="00E7412D">
        <w:rPr>
          <w:rFonts w:hint="eastAsia"/>
        </w:rPr>
        <w:t>国家人权机构在编撰报告程序方面的作用</w:t>
      </w:r>
    </w:p>
    <w:p w:rsidR="00E7412D" w:rsidRPr="00E7412D" w:rsidRDefault="00E7412D" w:rsidP="00E7412D">
      <w:pPr>
        <w:pStyle w:val="SingleTxtGC"/>
        <w:rPr>
          <w:lang w:val="en-GB"/>
        </w:rPr>
      </w:pPr>
      <w:r w:rsidRPr="00E7412D">
        <w:rPr>
          <w:lang w:val="en-GB"/>
        </w:rPr>
        <w:t>8.</w:t>
      </w:r>
      <w:r>
        <w:rPr>
          <w:rFonts w:hint="eastAsia"/>
          <w:lang w:val="en-GB"/>
        </w:rPr>
        <w:t xml:space="preserve">  </w:t>
      </w:r>
      <w:r w:rsidRPr="00E7412D">
        <w:rPr>
          <w:rFonts w:hint="eastAsia"/>
          <w:lang w:val="en-GB"/>
        </w:rPr>
        <w:t>委员会承认，依据《巴黎原则》设立的国家人权申诉机构可在编撰《公约》规定报告的每个阶段发挥促进作用，包括提供资料，编撰对问题单</w:t>
      </w:r>
      <w:r w:rsidRPr="00E7412D">
        <w:rPr>
          <w:rFonts w:hint="eastAsia"/>
          <w:lang w:val="en-GB"/>
        </w:rPr>
        <w:t>(</w:t>
      </w:r>
      <w:r w:rsidRPr="00E7412D">
        <w:rPr>
          <w:rFonts w:hint="eastAsia"/>
          <w:lang w:val="en-GB"/>
        </w:rPr>
        <w:t>和对在报告编撰前期问题单</w:t>
      </w:r>
      <w:r w:rsidRPr="00E7412D">
        <w:rPr>
          <w:rFonts w:hint="eastAsia"/>
          <w:lang w:val="en-GB"/>
        </w:rPr>
        <w:t>)</w:t>
      </w:r>
      <w:r w:rsidRPr="00E7412D">
        <w:rPr>
          <w:rFonts w:hint="eastAsia"/>
          <w:lang w:val="en-GB"/>
        </w:rPr>
        <w:t>的答复，以及促进结论性意见的后续履行工作。</w:t>
      </w:r>
    </w:p>
    <w:p w:rsidR="00E7412D" w:rsidRPr="00E7412D" w:rsidRDefault="00E7412D" w:rsidP="00E7412D">
      <w:pPr>
        <w:pStyle w:val="H23GC"/>
      </w:pPr>
      <w:r w:rsidRPr="00E7412D">
        <w:tab/>
        <w:t>1.</w:t>
      </w:r>
      <w:r w:rsidRPr="00E7412D">
        <w:tab/>
      </w:r>
      <w:r w:rsidRPr="00E7412D">
        <w:rPr>
          <w:rFonts w:hint="eastAsia"/>
        </w:rPr>
        <w:t>按《公约》要求编撰国家报告</w:t>
      </w:r>
    </w:p>
    <w:p w:rsidR="00E7412D" w:rsidRPr="00E7412D" w:rsidRDefault="00E7412D" w:rsidP="00E7412D">
      <w:pPr>
        <w:pStyle w:val="SingleTxtGC"/>
        <w:rPr>
          <w:lang w:val="en-GB"/>
        </w:rPr>
      </w:pPr>
      <w:r w:rsidRPr="00E7412D">
        <w:rPr>
          <w:lang w:val="en-GB"/>
        </w:rPr>
        <w:t>9.</w:t>
      </w:r>
      <w:r>
        <w:rPr>
          <w:rFonts w:hint="eastAsia"/>
          <w:lang w:val="en-GB"/>
        </w:rPr>
        <w:t xml:space="preserve">  </w:t>
      </w:r>
      <w:r w:rsidRPr="00E7412D">
        <w:rPr>
          <w:rFonts w:hint="eastAsia"/>
          <w:lang w:val="en-GB"/>
        </w:rPr>
        <w:t>委员会认为，国家人权机构可在鼓励缔约国履行报告义务方面发挥重大作用。</w:t>
      </w:r>
    </w:p>
    <w:p w:rsidR="00E7412D" w:rsidRPr="00E7412D" w:rsidRDefault="00E7412D" w:rsidP="00E7412D">
      <w:pPr>
        <w:pStyle w:val="SingleTxtGC"/>
        <w:rPr>
          <w:lang w:val="en-GB"/>
        </w:rPr>
      </w:pPr>
      <w:r w:rsidRPr="00E7412D">
        <w:rPr>
          <w:lang w:val="en-GB"/>
        </w:rPr>
        <w:t>10.</w:t>
      </w:r>
      <w:r>
        <w:rPr>
          <w:rFonts w:hint="eastAsia"/>
          <w:lang w:val="en-GB"/>
        </w:rPr>
        <w:t xml:space="preserve">  </w:t>
      </w:r>
      <w:r w:rsidRPr="00E7412D">
        <w:rPr>
          <w:rFonts w:hint="eastAsia"/>
          <w:lang w:val="en-GB"/>
        </w:rPr>
        <w:t>委员会鼓励国家人权机构开展人权教育和提高认识的运动，以期宣传并提高国家官员及其它利益攸关方，包括非政府组织对依《公约》规定履行国家报告义务的认识。</w:t>
      </w:r>
    </w:p>
    <w:p w:rsidR="00E7412D" w:rsidRPr="00E7412D" w:rsidRDefault="00E7412D" w:rsidP="00E7412D">
      <w:pPr>
        <w:pStyle w:val="H23GC"/>
      </w:pPr>
      <w:r w:rsidRPr="00E7412D">
        <w:tab/>
        <w:t>2.</w:t>
      </w:r>
      <w:r w:rsidRPr="00E7412D">
        <w:tab/>
      </w:r>
      <w:r w:rsidRPr="00E7412D">
        <w:rPr>
          <w:rFonts w:hint="eastAsia"/>
        </w:rPr>
        <w:t>就缔约国报告开展的磋商和投入</w:t>
      </w:r>
    </w:p>
    <w:p w:rsidR="00E7412D" w:rsidRPr="00E7412D" w:rsidRDefault="00E7412D" w:rsidP="00E7412D">
      <w:pPr>
        <w:pStyle w:val="SingleTxtGC"/>
        <w:rPr>
          <w:rFonts w:hint="eastAsia"/>
          <w:lang w:val="en-GB"/>
        </w:rPr>
      </w:pPr>
      <w:r w:rsidRPr="00E7412D">
        <w:rPr>
          <w:lang w:val="en-GB"/>
        </w:rPr>
        <w:t>11.</w:t>
      </w:r>
      <w:r>
        <w:rPr>
          <w:rFonts w:hint="eastAsia"/>
          <w:lang w:val="en-GB"/>
        </w:rPr>
        <w:t xml:space="preserve">  </w:t>
      </w:r>
      <w:r w:rsidRPr="00E7412D">
        <w:rPr>
          <w:rFonts w:hint="eastAsia"/>
          <w:lang w:val="en-GB"/>
        </w:rPr>
        <w:t>委员会承认缔约国各自在编撰《公约》规定的报告时，举行全国范围磋商的重要意义。为此，委员会还确认各国采取的重要举措，预先让国家人权机构和民间社会各部门悉知报告，并请各利益攸关方就报告开展商讨。</w:t>
      </w:r>
    </w:p>
    <w:p w:rsidR="00E7412D" w:rsidRPr="00E7412D" w:rsidRDefault="00E7412D" w:rsidP="00E7412D">
      <w:pPr>
        <w:pStyle w:val="H23GC"/>
      </w:pPr>
      <w:r w:rsidRPr="00E7412D">
        <w:rPr>
          <w:lang w:val="en-GB"/>
        </w:rPr>
        <w:tab/>
        <w:t>3.</w:t>
      </w:r>
      <w:r w:rsidRPr="00E7412D">
        <w:tab/>
      </w:r>
      <w:r w:rsidRPr="00E7412D">
        <w:rPr>
          <w:rFonts w:hint="eastAsia"/>
        </w:rPr>
        <w:t>促进问题单的汇编工作</w:t>
      </w:r>
    </w:p>
    <w:p w:rsidR="00E7412D" w:rsidRPr="00E7412D" w:rsidRDefault="00E7412D" w:rsidP="00E7412D">
      <w:pPr>
        <w:pStyle w:val="SingleTxtGC"/>
        <w:rPr>
          <w:lang w:val="en-GB"/>
        </w:rPr>
      </w:pPr>
      <w:r w:rsidRPr="00E7412D">
        <w:rPr>
          <w:lang w:val="en-GB"/>
        </w:rPr>
        <w:t>12.</w:t>
      </w:r>
      <w:r>
        <w:rPr>
          <w:rFonts w:hint="eastAsia"/>
          <w:lang w:val="en-GB"/>
        </w:rPr>
        <w:t xml:space="preserve">  </w:t>
      </w:r>
      <w:r w:rsidRPr="00E7412D">
        <w:rPr>
          <w:rFonts w:hint="eastAsia"/>
          <w:lang w:val="en-GB"/>
        </w:rPr>
        <w:t>在报告编撰的早期阶段，获悉国家人权机构提供的资料是委员会工作的关键。因此，委员会请各国家人权机构提供书面资料，协助问题单</w:t>
      </w:r>
      <w:r w:rsidRPr="00E7412D">
        <w:rPr>
          <w:rFonts w:hint="eastAsia"/>
          <w:lang w:val="en-GB"/>
        </w:rPr>
        <w:t>(</w:t>
      </w:r>
      <w:r w:rsidRPr="00E7412D">
        <w:rPr>
          <w:rFonts w:hint="eastAsia"/>
          <w:lang w:val="en-GB"/>
        </w:rPr>
        <w:t>包括报告编撰前期问题单</w:t>
      </w:r>
      <w:r w:rsidRPr="00E7412D">
        <w:rPr>
          <w:rFonts w:hint="eastAsia"/>
          <w:lang w:val="en-GB"/>
        </w:rPr>
        <w:t>)</w:t>
      </w:r>
      <w:r w:rsidRPr="00E7412D">
        <w:rPr>
          <w:rFonts w:hint="eastAsia"/>
          <w:lang w:val="en-GB"/>
        </w:rPr>
        <w:t>的汇编工作。此外，委员会欢迎在问题单通过之前有机会与国家人权机构举行会晤。</w:t>
      </w:r>
    </w:p>
    <w:p w:rsidR="00E7412D" w:rsidRPr="00E7412D" w:rsidRDefault="00E7412D" w:rsidP="00E7412D">
      <w:pPr>
        <w:pStyle w:val="SingleTxtGC"/>
        <w:rPr>
          <w:lang w:val="en-GB"/>
        </w:rPr>
      </w:pPr>
      <w:r w:rsidRPr="00E7412D">
        <w:rPr>
          <w:lang w:val="en-GB"/>
        </w:rPr>
        <w:t>13.</w:t>
      </w:r>
      <w:r>
        <w:rPr>
          <w:rFonts w:hint="eastAsia"/>
          <w:lang w:val="en-GB"/>
        </w:rPr>
        <w:t xml:space="preserve">  </w:t>
      </w:r>
      <w:r w:rsidRPr="00E7412D">
        <w:rPr>
          <w:rFonts w:hint="eastAsia"/>
          <w:lang w:val="en-GB"/>
        </w:rPr>
        <w:t>为便利于及时提交国家人权机构的报告，委员会秘书处向各所涉机构事先发出报告提交时限表，并就此通告抓住可为之献计献策的契机。</w:t>
      </w:r>
    </w:p>
    <w:p w:rsidR="00E7412D" w:rsidRPr="00E7412D" w:rsidRDefault="00E7412D" w:rsidP="00E7412D">
      <w:pPr>
        <w:pStyle w:val="H23GC"/>
      </w:pPr>
      <w:r w:rsidRPr="00E7412D">
        <w:tab/>
        <w:t>4.</w:t>
      </w:r>
      <w:r w:rsidRPr="00E7412D">
        <w:tab/>
      </w:r>
      <w:r w:rsidRPr="00E7412D">
        <w:rPr>
          <w:rFonts w:hint="eastAsia"/>
        </w:rPr>
        <w:t>为委员会届会和会期间所作的贡献</w:t>
      </w:r>
    </w:p>
    <w:p w:rsidR="00E7412D" w:rsidRPr="00E7412D" w:rsidRDefault="00E7412D" w:rsidP="00E7412D">
      <w:pPr>
        <w:pStyle w:val="SingleTxtGC"/>
        <w:rPr>
          <w:rFonts w:hint="eastAsia"/>
          <w:lang w:val="en-GB"/>
        </w:rPr>
      </w:pPr>
      <w:r w:rsidRPr="00E7412D">
        <w:rPr>
          <w:lang w:val="en-GB"/>
        </w:rPr>
        <w:t>14.</w:t>
      </w:r>
      <w:r>
        <w:rPr>
          <w:rFonts w:hint="eastAsia"/>
          <w:lang w:val="en-GB"/>
        </w:rPr>
        <w:t xml:space="preserve">  </w:t>
      </w:r>
      <w:r w:rsidRPr="00E7412D">
        <w:rPr>
          <w:rFonts w:hint="eastAsia"/>
          <w:lang w:val="en-GB"/>
        </w:rPr>
        <w:t>委员会欢迎在审议缔约国报告期间，国家人权机构提供的另行报告和口头简介。</w:t>
      </w:r>
    </w:p>
    <w:p w:rsidR="00E7412D" w:rsidRPr="00E7412D" w:rsidRDefault="00E7412D" w:rsidP="00E7412D">
      <w:pPr>
        <w:pStyle w:val="SingleTxtGC"/>
        <w:rPr>
          <w:lang w:val="en-GB"/>
        </w:rPr>
      </w:pPr>
      <w:r w:rsidRPr="00E7412D">
        <w:rPr>
          <w:lang w:val="en-GB"/>
        </w:rPr>
        <w:t>15.</w:t>
      </w:r>
      <w:r>
        <w:rPr>
          <w:rFonts w:hint="eastAsia"/>
          <w:lang w:val="en-GB"/>
        </w:rPr>
        <w:t xml:space="preserve">  </w:t>
      </w:r>
      <w:r w:rsidRPr="00E7412D">
        <w:rPr>
          <w:rFonts w:hint="eastAsia"/>
          <w:lang w:val="en-GB"/>
        </w:rPr>
        <w:t>自委员会第一</w:t>
      </w:r>
      <w:r w:rsidRPr="00E7412D">
        <w:rPr>
          <w:rFonts w:ascii="SimSun" w:hAnsi="SimSun" w:hint="eastAsia"/>
          <w:lang w:val="en-GB"/>
        </w:rPr>
        <w:t>〇</w:t>
      </w:r>
      <w:r w:rsidRPr="00E7412D">
        <w:rPr>
          <w:rFonts w:hint="eastAsia"/>
          <w:lang w:val="en-GB"/>
        </w:rPr>
        <w:t>三届会议以来，国家人权机构已有可能在配备传译的正式不公开和闭门会议上发言。这些会议得以让委员会与国家人权机构之间举行互动性讨论并交流最新的补充资料。</w:t>
      </w:r>
    </w:p>
    <w:p w:rsidR="00E7412D" w:rsidRPr="00E7412D" w:rsidRDefault="00E7412D" w:rsidP="00E7412D">
      <w:pPr>
        <w:pStyle w:val="H23GC"/>
      </w:pPr>
      <w:r w:rsidRPr="00E7412D">
        <w:tab/>
        <w:t>5.</w:t>
      </w:r>
      <w:r w:rsidRPr="00E7412D">
        <w:tab/>
      </w:r>
      <w:r w:rsidRPr="00E7412D">
        <w:rPr>
          <w:rFonts w:hint="eastAsia"/>
        </w:rPr>
        <w:t>促进结论性意见的后续履行工作</w:t>
      </w:r>
    </w:p>
    <w:p w:rsidR="00E7412D" w:rsidRPr="00E7412D" w:rsidRDefault="00E7412D" w:rsidP="00E7412D">
      <w:pPr>
        <w:pStyle w:val="SingleTxtGC"/>
        <w:rPr>
          <w:rFonts w:hint="eastAsia"/>
          <w:lang w:val="en-GB"/>
        </w:rPr>
      </w:pPr>
      <w:r w:rsidRPr="00E7412D">
        <w:rPr>
          <w:lang w:val="en-GB"/>
        </w:rPr>
        <w:t>16.</w:t>
      </w:r>
      <w:r>
        <w:rPr>
          <w:rFonts w:hint="eastAsia"/>
          <w:lang w:val="en-GB"/>
        </w:rPr>
        <w:t xml:space="preserve">  </w:t>
      </w:r>
      <w:r w:rsidRPr="00E7412D">
        <w:rPr>
          <w:rFonts w:hint="eastAsia"/>
          <w:lang w:val="en-GB"/>
        </w:rPr>
        <w:t>根据《巴黎原则》，国家人权机构所负的特殊使命是，监督和报告各自国家履行国际人权文书的情况，包括落实国际人权机构所提出建议的情况。国家人权机构要为委员会提供书面资料，包括评估缔约国为落实结论性意见所采取的措施。当缔约国的后续跟进报告已到期或报告一经公布之后，上述这些情况资料即应送交给委员会。</w:t>
      </w:r>
    </w:p>
    <w:p w:rsidR="00E7412D" w:rsidRPr="00E7412D" w:rsidRDefault="00E7412D" w:rsidP="00E7412D">
      <w:pPr>
        <w:pStyle w:val="SingleTxtGC"/>
        <w:rPr>
          <w:lang w:val="en-GB"/>
        </w:rPr>
      </w:pPr>
      <w:r w:rsidRPr="00E7412D">
        <w:rPr>
          <w:lang w:val="en-GB"/>
        </w:rPr>
        <w:t>17.</w:t>
      </w:r>
      <w:r>
        <w:rPr>
          <w:rFonts w:hint="eastAsia"/>
          <w:lang w:val="en-GB"/>
        </w:rPr>
        <w:t xml:space="preserve">  </w:t>
      </w:r>
      <w:r w:rsidRPr="00E7412D">
        <w:rPr>
          <w:rFonts w:hint="eastAsia"/>
          <w:lang w:val="en-GB"/>
        </w:rPr>
        <w:t>委员会在提醒地指出缔约国本身始终负有履行《公约》义务的同时，欢迎并支持国家人权机构为辅佐后续履行委员会结论性意见发挥的重大作用。国家人权机构可从若干方面辅佐履约工作，其包括如下：向各个利益攸关方广泛宣传结论性意见；举行由政府和非政府组织，及议会和其它各机构参与的后续履行工作磋商会；并向各自国家提出咨询意见，促使结论性意见融为通盘国家规划工作和法律审议程序的主流。此外，委员会鼓励国家人权机构运用其年度报告，监督对委员会结论性意见的执行情况。</w:t>
      </w:r>
    </w:p>
    <w:p w:rsidR="00E7412D" w:rsidRPr="00E7412D" w:rsidRDefault="00E7412D" w:rsidP="00E7412D">
      <w:pPr>
        <w:pStyle w:val="SingleTxtGC"/>
        <w:rPr>
          <w:lang w:val="en-GB"/>
        </w:rPr>
      </w:pPr>
      <w:r w:rsidRPr="00E7412D">
        <w:rPr>
          <w:lang w:val="en-GB"/>
        </w:rPr>
        <w:t>18.</w:t>
      </w:r>
      <w:r>
        <w:rPr>
          <w:rFonts w:hint="eastAsia"/>
          <w:lang w:val="en-GB"/>
        </w:rPr>
        <w:t xml:space="preserve">  </w:t>
      </w:r>
      <w:r w:rsidRPr="00E7412D">
        <w:rPr>
          <w:rFonts w:hint="eastAsia"/>
          <w:lang w:val="en-GB"/>
        </w:rPr>
        <w:t>为确保国家人权机构有效地参与委员会的后续进程，委员会秘书处事先向各相关机构通告后续进程的日程表以及通报可为之开展促进工作的契机。</w:t>
      </w:r>
    </w:p>
    <w:p w:rsidR="00E7412D" w:rsidRPr="00E7412D" w:rsidRDefault="00E7412D" w:rsidP="00E7412D">
      <w:pPr>
        <w:pStyle w:val="H23GC"/>
      </w:pPr>
      <w:r w:rsidRPr="00E7412D">
        <w:tab/>
        <w:t>6.</w:t>
      </w:r>
      <w:r w:rsidRPr="00E7412D">
        <w:tab/>
      </w:r>
      <w:r w:rsidRPr="00E7412D">
        <w:rPr>
          <w:rFonts w:hint="eastAsia"/>
        </w:rPr>
        <w:t>依据审议</w:t>
      </w:r>
      <w:r w:rsidRPr="00E7412D">
        <w:t>(</w:t>
      </w:r>
      <w:r w:rsidRPr="00E7412D">
        <w:rPr>
          <w:rFonts w:hint="eastAsia"/>
        </w:rPr>
        <w:t>在缔约国缺席情况下的审议</w:t>
      </w:r>
      <w:r w:rsidRPr="00E7412D">
        <w:t>)</w:t>
      </w:r>
      <w:r w:rsidRPr="00E7412D">
        <w:rPr>
          <w:rFonts w:hint="eastAsia"/>
        </w:rPr>
        <w:t>程序作出的奉献</w:t>
      </w:r>
    </w:p>
    <w:p w:rsidR="00E7412D" w:rsidRPr="00E7412D" w:rsidRDefault="00E7412D" w:rsidP="00E7412D">
      <w:pPr>
        <w:pStyle w:val="SingleTxtGC"/>
      </w:pPr>
      <w:r w:rsidRPr="00E7412D">
        <w:t>19.</w:t>
      </w:r>
      <w:r>
        <w:rPr>
          <w:rFonts w:hint="eastAsia"/>
        </w:rPr>
        <w:t xml:space="preserve">  </w:t>
      </w:r>
      <w:r w:rsidRPr="00E7412D">
        <w:rPr>
          <w:rFonts w:hint="eastAsia"/>
        </w:rPr>
        <w:t>在委员会决定编撰问题单和在缔约国未提交报告情况下开展审议时，委员会鼓励国家人权机构提交另行报告。国家人权机构将获得正常报告程序下规定的同等报告机会。</w:t>
      </w:r>
    </w:p>
    <w:p w:rsidR="00E7412D" w:rsidRPr="00E7412D" w:rsidRDefault="00E7412D" w:rsidP="00E7412D">
      <w:pPr>
        <w:pStyle w:val="H1GC"/>
      </w:pPr>
      <w:r w:rsidRPr="00E7412D">
        <w:tab/>
        <w:t>D.</w:t>
      </w:r>
      <w:r w:rsidRPr="00E7412D">
        <w:tab/>
      </w:r>
      <w:r w:rsidRPr="00E7412D">
        <w:rPr>
          <w:rFonts w:hint="eastAsia"/>
        </w:rPr>
        <w:t>国家人权机构在个人依《任择议定书》规定提交来文方面发挥的作用</w:t>
      </w:r>
    </w:p>
    <w:p w:rsidR="00E7412D" w:rsidRPr="00E7412D" w:rsidRDefault="00E7412D" w:rsidP="00E7412D">
      <w:pPr>
        <w:pStyle w:val="SingleTxtGC"/>
      </w:pPr>
      <w:r w:rsidRPr="00E7412D">
        <w:t>20.</w:t>
      </w:r>
      <w:r>
        <w:rPr>
          <w:rFonts w:hint="eastAsia"/>
        </w:rPr>
        <w:t xml:space="preserve">  </w:t>
      </w:r>
      <w:r w:rsidRPr="00E7412D">
        <w:rPr>
          <w:rFonts w:hint="eastAsia"/>
        </w:rPr>
        <w:t>国家人权机构在个人依《任择议定书》规定提交来文方面发挥着重大的作用。其作用包括：在国家层面提高对来文程序的认识；后续跟进执行委员会的《意见》和监督缔约国的执行行动；以及就委员会《意见》的落实情况提交后续跟进资料。</w:t>
      </w:r>
    </w:p>
    <w:p w:rsidR="00E7412D" w:rsidRPr="00E7412D" w:rsidRDefault="00E7412D" w:rsidP="00E7412D">
      <w:pPr>
        <w:pStyle w:val="H1GC"/>
      </w:pPr>
      <w:r w:rsidRPr="00E7412D">
        <w:tab/>
        <w:t>E.</w:t>
      </w:r>
      <w:r w:rsidRPr="00E7412D">
        <w:tab/>
      </w:r>
      <w:r w:rsidRPr="00E7412D">
        <w:rPr>
          <w:rFonts w:hint="eastAsia"/>
        </w:rPr>
        <w:t>投入编撰工作并援用委员会的一般性意见</w:t>
      </w:r>
    </w:p>
    <w:p w:rsidR="00E7412D" w:rsidRPr="00E7412D" w:rsidRDefault="00E7412D" w:rsidP="00E7412D">
      <w:pPr>
        <w:pStyle w:val="SingleTxtGC"/>
        <w:rPr>
          <w:rFonts w:hint="eastAsia"/>
          <w:lang w:val="en-GB"/>
        </w:rPr>
      </w:pPr>
      <w:r w:rsidRPr="00E7412D">
        <w:rPr>
          <w:lang w:val="en-GB"/>
        </w:rPr>
        <w:t>21.</w:t>
      </w:r>
      <w:r>
        <w:rPr>
          <w:rFonts w:hint="eastAsia"/>
          <w:lang w:val="en-GB"/>
        </w:rPr>
        <w:t xml:space="preserve">  </w:t>
      </w:r>
      <w:r w:rsidRPr="00E7412D">
        <w:rPr>
          <w:rFonts w:hint="eastAsia"/>
          <w:lang w:val="en-GB"/>
        </w:rPr>
        <w:t>委员会鼓励国家人权机构投入正在商议的一般性意见，包括委员会举行的几天一般性讨论。委员会鼓励国家人权机构在推举倡议活动时援用委员会的一般性意见。</w:t>
      </w:r>
    </w:p>
    <w:p w:rsidR="00E7412D" w:rsidRDefault="00E7412D" w:rsidP="00E7412D">
      <w:pPr>
        <w:pStyle w:val="SingleTxtGC"/>
        <w:rPr>
          <w:rFonts w:hint="eastAsia"/>
        </w:rPr>
      </w:pPr>
      <w:r w:rsidRPr="00E7412D">
        <w:t>22.</w:t>
      </w:r>
      <w:r>
        <w:rPr>
          <w:rFonts w:hint="eastAsia"/>
        </w:rPr>
        <w:t xml:space="preserve">  </w:t>
      </w:r>
      <w:r w:rsidRPr="00E7412D">
        <w:rPr>
          <w:rFonts w:hint="eastAsia"/>
        </w:rPr>
        <w:t>为确保国家人权机构最有效地促进一般性意见的编撰工作，委员会秘书处将及时向他们通报可为之作出奉献的契机。</w:t>
      </w:r>
    </w:p>
    <w:p w:rsidR="00E7412D" w:rsidRDefault="00E7412D" w:rsidP="00E7412D">
      <w:pPr>
        <w:pStyle w:val="SingleTxtGC"/>
        <w:rPr>
          <w:rFonts w:hint="eastAsia"/>
        </w:rPr>
      </w:pPr>
    </w:p>
    <w:p w:rsidR="00E7412D" w:rsidRPr="002D6A9C" w:rsidRDefault="00E7412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7412D" w:rsidRPr="00E7412D" w:rsidRDefault="00E7412D" w:rsidP="00E7412D">
      <w:pPr>
        <w:pStyle w:val="SingleTxtGC"/>
        <w:rPr>
          <w:rFonts w:hint="eastAsia"/>
        </w:rPr>
      </w:pPr>
    </w:p>
    <w:sectPr w:rsidR="00E7412D" w:rsidRPr="00E7412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236" w:rsidRPr="008C40EB" w:rsidRDefault="00B62236"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B62236" w:rsidRDefault="00B6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F0" w:rsidRPr="0083462B" w:rsidRDefault="00324BF0"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C702B8">
      <w:rPr>
        <w:rStyle w:val="PageNumber"/>
        <w:noProof/>
      </w:rPr>
      <w:t>4</w:t>
    </w:r>
    <w:r>
      <w:rPr>
        <w:rStyle w:val="PageNumber"/>
      </w:rPr>
      <w:fldChar w:fldCharType="end"/>
    </w:r>
    <w:r>
      <w:rPr>
        <w:rStyle w:val="PageNumber"/>
        <w:rFonts w:eastAsia="SimSun" w:hint="eastAsia"/>
        <w:lang w:eastAsia="zh-CN"/>
      </w:rPr>
      <w:tab/>
    </w:r>
    <w:r w:rsidRPr="0083462B">
      <w:rPr>
        <w:rFonts w:eastAsia="SimSun"/>
      </w:rPr>
      <w:t>GE.12-47634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F0" w:rsidRDefault="00324BF0">
    <w:pPr>
      <w:pStyle w:val="Footer"/>
      <w:tabs>
        <w:tab w:val="right" w:pos="9639"/>
      </w:tabs>
    </w:pPr>
    <w:r w:rsidRPr="0083462B">
      <w:rPr>
        <w:rFonts w:eastAsia="SimSun"/>
      </w:rPr>
      <w:t>GE.12-47634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702B8">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F0" w:rsidRPr="00FA3CA8" w:rsidRDefault="00324BF0"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47634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281112</w:t>
    </w:r>
    <w:r>
      <w:rPr>
        <w:rFonts w:eastAsia="SimSun"/>
        <w:sz w:val="20"/>
        <w:lang w:eastAsia="zh-CN"/>
      </w:rPr>
      <w:tab/>
    </w:r>
    <w:r>
      <w:rPr>
        <w:rFonts w:eastAsia="SimSun" w:hint="eastAsia"/>
        <w:sz w:val="20"/>
        <w:lang w:eastAsia="zh-CN"/>
      </w:rPr>
      <w:t>291112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236" w:rsidRPr="005749F7" w:rsidRDefault="00B62236"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62236" w:rsidRPr="005749F7" w:rsidRDefault="00B62236"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324BF0" w:rsidRPr="00E7412D" w:rsidRDefault="00324BF0" w:rsidP="00E7412D">
      <w:pPr>
        <w:pStyle w:val="EndnoteText"/>
        <w:rPr>
          <w:rStyle w:val="EndnoteTextChar"/>
        </w:rPr>
      </w:pPr>
      <w:r>
        <w:tab/>
      </w:r>
      <w:r w:rsidRPr="00E7412D">
        <w:rPr>
          <w:rStyle w:val="EndnoteTextChar"/>
          <w:color w:val="0000FF"/>
          <w:sz w:val="21"/>
          <w:szCs w:val="21"/>
          <w:vertAlign w:val="superscript"/>
        </w:rPr>
        <w:footnoteRef/>
      </w:r>
      <w:r w:rsidRPr="00E7412D">
        <w:rPr>
          <w:rStyle w:val="EndnoteTextChar"/>
        </w:rPr>
        <w:tab/>
      </w:r>
      <w:r w:rsidRPr="00E7412D">
        <w:t>见</w:t>
      </w:r>
      <w:r>
        <w:t>，</w:t>
      </w:r>
      <w:r w:rsidRPr="00E7412D">
        <w:t>最近秘书长关于国家人权机构的报告</w:t>
      </w:r>
      <w:r>
        <w:t>(</w:t>
      </w:r>
      <w:r w:rsidRPr="00E7412D">
        <w:t>A</w:t>
      </w:r>
      <w:r>
        <w:t>/</w:t>
      </w:r>
      <w:r w:rsidRPr="00E7412D">
        <w:t>HRC</w:t>
      </w:r>
      <w:r>
        <w:t>/</w:t>
      </w:r>
      <w:r w:rsidRPr="00E7412D">
        <w:t>20</w:t>
      </w:r>
      <w:r>
        <w:t>/</w:t>
      </w:r>
      <w:r w:rsidRPr="00E7412D">
        <w:t>9</w:t>
      </w:r>
      <w:r w:rsidRPr="00E7412D">
        <w:t>和</w:t>
      </w:r>
      <w:r w:rsidRPr="00E7412D">
        <w:t>A</w:t>
      </w:r>
      <w:r>
        <w:t>/</w:t>
      </w:r>
      <w:r w:rsidRPr="00E7412D">
        <w:t>HRC</w:t>
      </w:r>
      <w:r>
        <w:t>/</w:t>
      </w:r>
      <w:r w:rsidRPr="00E7412D">
        <w:t>20</w:t>
      </w:r>
      <w:r>
        <w:t>/</w:t>
      </w:r>
      <w:r w:rsidRPr="00E7412D">
        <w:t>10</w:t>
      </w:r>
      <w:r>
        <w:t>)</w:t>
      </w:r>
      <w:r>
        <w:t>；</w:t>
      </w:r>
      <w:r w:rsidRPr="00E7412D">
        <w:t>大会</w:t>
      </w:r>
      <w:r w:rsidRPr="00E7412D">
        <w:t>2011</w:t>
      </w:r>
      <w:r w:rsidRPr="00E7412D">
        <w:t>年</w:t>
      </w:r>
      <w:r w:rsidRPr="00E7412D">
        <w:t>12</w:t>
      </w:r>
      <w:r w:rsidRPr="00E7412D">
        <w:t>月</w:t>
      </w:r>
      <w:r w:rsidRPr="00E7412D">
        <w:t>19</w:t>
      </w:r>
      <w:r w:rsidRPr="00E7412D">
        <w:t>日第</w:t>
      </w:r>
      <w:r w:rsidRPr="00E7412D">
        <w:t>66</w:t>
      </w:r>
      <w:r>
        <w:t>/</w:t>
      </w:r>
      <w:r w:rsidRPr="00E7412D">
        <w:t>169</w:t>
      </w:r>
      <w:r w:rsidRPr="00E7412D">
        <w:t>号决议</w:t>
      </w:r>
      <w:r>
        <w:t>；</w:t>
      </w:r>
      <w:r w:rsidRPr="00E7412D">
        <w:t>人权理事会</w:t>
      </w:r>
      <w:r w:rsidRPr="00E7412D">
        <w:t>2011</w:t>
      </w:r>
      <w:r w:rsidRPr="00E7412D">
        <w:t>年</w:t>
      </w:r>
      <w:r w:rsidRPr="00E7412D">
        <w:t>6</w:t>
      </w:r>
      <w:r w:rsidRPr="00E7412D">
        <w:t>月</w:t>
      </w:r>
      <w:r w:rsidRPr="00E7412D">
        <w:t>16</w:t>
      </w:r>
      <w:r w:rsidRPr="00E7412D">
        <w:t>日第</w:t>
      </w:r>
      <w:r w:rsidRPr="00E7412D">
        <w:t>17</w:t>
      </w:r>
      <w:r>
        <w:t>/</w:t>
      </w:r>
      <w:r w:rsidRPr="00E7412D">
        <w:t>9</w:t>
      </w:r>
      <w:r w:rsidRPr="00E7412D">
        <w:t>号决议和</w:t>
      </w:r>
      <w:r w:rsidRPr="00E7412D">
        <w:t>2012</w:t>
      </w:r>
      <w:r w:rsidRPr="00E7412D">
        <w:t>年</w:t>
      </w:r>
      <w:r w:rsidRPr="00E7412D">
        <w:t>7</w:t>
      </w:r>
      <w:r w:rsidRPr="00E7412D">
        <w:t>月</w:t>
      </w:r>
      <w:r w:rsidRPr="00E7412D">
        <w:t>5</w:t>
      </w:r>
      <w:r w:rsidRPr="00E7412D">
        <w:t>日第</w:t>
      </w:r>
      <w:r w:rsidRPr="00E7412D">
        <w:t>20</w:t>
      </w:r>
      <w:r>
        <w:t>/</w:t>
      </w:r>
      <w:r w:rsidRPr="00E7412D">
        <w:t>14</w:t>
      </w:r>
      <w:r w:rsidRPr="00E7412D">
        <w:t>号决议</w:t>
      </w:r>
      <w:r>
        <w:t>；</w:t>
      </w:r>
      <w:r w:rsidRPr="00E7412D">
        <w:rPr>
          <w:rFonts w:hint="eastAsia"/>
        </w:rPr>
        <w:t>及</w:t>
      </w:r>
      <w:r>
        <w:rPr>
          <w:rFonts w:hint="eastAsia"/>
        </w:rPr>
        <w:t>，</w:t>
      </w:r>
      <w:r w:rsidRPr="00E7412D">
        <w:t>条约机构关于国家人权机构</w:t>
      </w:r>
      <w:r w:rsidRPr="00E7412D">
        <w:rPr>
          <w:rFonts w:hint="eastAsia"/>
        </w:rPr>
        <w:t>问题</w:t>
      </w:r>
      <w:r w:rsidRPr="00E7412D">
        <w:t>的评论和</w:t>
      </w:r>
      <w:r w:rsidRPr="00E7412D">
        <w:rPr>
          <w:rFonts w:hint="eastAsia"/>
        </w:rPr>
        <w:t>说</w:t>
      </w:r>
      <w:r w:rsidRPr="00E7412D">
        <w:t>明</w:t>
      </w:r>
      <w:r>
        <w:t>(</w:t>
      </w:r>
      <w:r w:rsidRPr="00E7412D">
        <w:t>消除种族歧视委员会关于创建促进《公约》执行情况国家机构的第</w:t>
      </w:r>
      <w:r w:rsidRPr="00E7412D">
        <w:t>17</w:t>
      </w:r>
      <w:r>
        <w:t>(</w:t>
      </w:r>
      <w:r w:rsidRPr="00E7412D">
        <w:t>1993</w:t>
      </w:r>
      <w:r>
        <w:t>)</w:t>
      </w:r>
      <w:r w:rsidRPr="00E7412D">
        <w:t>号一般性建议</w:t>
      </w:r>
      <w:r>
        <w:t>；</w:t>
      </w:r>
      <w:r w:rsidRPr="00E7412D">
        <w:t>经济、社会和文化权利关于国家人权机构保护经济、社会和文化权利作用的第</w:t>
      </w:r>
      <w:r w:rsidRPr="00E7412D">
        <w:t>10</w:t>
      </w:r>
      <w:r>
        <w:t>(</w:t>
      </w:r>
      <w:r w:rsidRPr="00E7412D">
        <w:t>1998</w:t>
      </w:r>
      <w:r>
        <w:t>)</w:t>
      </w:r>
      <w:r w:rsidRPr="00E7412D">
        <w:t>一般性意见</w:t>
      </w:r>
      <w:r>
        <w:t>；</w:t>
      </w:r>
      <w:r w:rsidRPr="00E7412D">
        <w:t>削除对妇女歧视委员会第四十五届会议通过的关于消妇歧委与国家人权机构关系的说明</w:t>
      </w:r>
      <w:r>
        <w:t>(</w:t>
      </w:r>
      <w:r w:rsidRPr="00A36927">
        <w:rPr>
          <w:rFonts w:eastAsia="KaiTi_GB2312"/>
        </w:rPr>
        <w:t>大会正式记录，第六十五届会议，补编第</w:t>
      </w:r>
      <w:r w:rsidRPr="00A36927">
        <w:rPr>
          <w:rFonts w:eastAsia="KaiTi_GB2312"/>
        </w:rPr>
        <w:t>38</w:t>
      </w:r>
      <w:r w:rsidRPr="00A36927">
        <w:rPr>
          <w:rFonts w:eastAsia="KaiTi_GB2312"/>
        </w:rPr>
        <w:t>号</w:t>
      </w:r>
      <w:r>
        <w:t>(</w:t>
      </w:r>
      <w:r w:rsidRPr="00E7412D">
        <w:t>A</w:t>
      </w:r>
      <w:r>
        <w:t>/</w:t>
      </w:r>
      <w:r w:rsidRPr="00E7412D">
        <w:t>65</w:t>
      </w:r>
      <w:r>
        <w:t>/</w:t>
      </w:r>
      <w:r w:rsidRPr="00E7412D">
        <w:t>3</w:t>
      </w:r>
      <w:r>
        <w:t>8,</w:t>
      </w:r>
      <w:r>
        <w:rPr>
          <w:rFonts w:hint="eastAsia"/>
        </w:rPr>
        <w:t xml:space="preserve"> </w:t>
      </w:r>
      <w:r w:rsidRPr="00E7412D">
        <w:t>附件五</w:t>
      </w:r>
      <w:r>
        <w:t>))</w:t>
      </w:r>
      <w:r>
        <w:t>；</w:t>
      </w:r>
      <w:r w:rsidRPr="00E7412D">
        <w:t>以及《禁止酷刑和其他残忍、不人道或有辱人格的待遇或处罚公约任择议定书》和《残疾人权利公约》均要求各国在给予关于促进和保护人权国家机构地位的原则</w:t>
      </w:r>
      <w:r>
        <w:t>(</w:t>
      </w:r>
      <w:r w:rsidRPr="00E7412D">
        <w:t>《巴黎原则》</w:t>
      </w:r>
      <w:r>
        <w:t>)</w:t>
      </w:r>
      <w:r w:rsidRPr="00E7412D">
        <w:t>应有考虑的情况下</w:t>
      </w:r>
      <w:r>
        <w:t>，</w:t>
      </w:r>
      <w:r w:rsidRPr="00E7412D">
        <w:t>建立有效的国家监督或防范性机制。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F0" w:rsidRPr="0083462B" w:rsidRDefault="00324BF0">
    <w:pPr>
      <w:pStyle w:val="Header"/>
    </w:pPr>
    <w:r w:rsidRPr="0083462B">
      <w:t>CCPR/C/106/3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BF0" w:rsidRPr="0083462B" w:rsidRDefault="00324BF0">
    <w:pPr>
      <w:pStyle w:val="Header"/>
      <w:jc w:val="right"/>
    </w:pPr>
    <w:r w:rsidRPr="0083462B">
      <w:t>CCPR/C/106/3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0">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19"/>
  </w:num>
  <w:num w:numId="13">
    <w:abstractNumId w:val="22"/>
  </w:num>
  <w:num w:numId="14">
    <w:abstractNumId w:val="12"/>
  </w:num>
  <w:num w:numId="15">
    <w:abstractNumId w:val="13"/>
  </w:num>
  <w:num w:numId="16">
    <w:abstractNumId w:val="24"/>
  </w:num>
  <w:num w:numId="17">
    <w:abstractNumId w:val="12"/>
  </w:num>
  <w:num w:numId="18">
    <w:abstractNumId w:val="12"/>
  </w:num>
  <w:num w:numId="19">
    <w:abstractNumId w:val="24"/>
  </w:num>
  <w:num w:numId="20">
    <w:abstractNumId w:val="13"/>
  </w:num>
  <w:num w:numId="21">
    <w:abstractNumId w:val="13"/>
  </w:num>
  <w:num w:numId="22">
    <w:abstractNumId w:val="18"/>
  </w:num>
  <w:num w:numId="23">
    <w:abstractNumId w:val="10"/>
  </w:num>
  <w:num w:numId="24">
    <w:abstractNumId w:val="16"/>
  </w:num>
  <w:num w:numId="25">
    <w:abstractNumId w:val="23"/>
  </w:num>
  <w:num w:numId="26">
    <w:abstractNumId w:val="17"/>
  </w:num>
  <w:num w:numId="27">
    <w:abstractNumId w:val="14"/>
  </w:num>
  <w:num w:numId="28">
    <w:abstractNumId w:val="18"/>
  </w:num>
  <w:num w:numId="29">
    <w:abstractNumId w:val="10"/>
  </w:num>
  <w:num w:numId="30">
    <w:abstractNumId w:val="16"/>
  </w:num>
  <w:num w:numId="31">
    <w:abstractNumId w:val="26"/>
  </w:num>
  <w:num w:numId="32">
    <w:abstractNumId w:val="23"/>
  </w:num>
  <w:num w:numId="33">
    <w:abstractNumId w:val="17"/>
  </w:num>
  <w:num w:numId="34">
    <w:abstractNumId w:val="14"/>
  </w:num>
  <w:num w:numId="35">
    <w:abstractNumId w:val="18"/>
  </w:num>
  <w:num w:numId="36">
    <w:abstractNumId w:val="10"/>
  </w:num>
  <w:num w:numId="37">
    <w:abstractNumId w:val="16"/>
  </w:num>
  <w:num w:numId="38">
    <w:abstractNumId w:val="26"/>
  </w:num>
  <w:num w:numId="39">
    <w:abstractNumId w:val="20"/>
  </w:num>
  <w:num w:numId="40">
    <w:abstractNumId w:val="15"/>
  </w:num>
  <w:num w:numId="41">
    <w:abstractNumId w:val="11"/>
  </w:num>
  <w:num w:numId="42">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62B"/>
    <w:rsid w:val="00020C87"/>
    <w:rsid w:val="00022C6D"/>
    <w:rsid w:val="00030AD2"/>
    <w:rsid w:val="000475C3"/>
    <w:rsid w:val="000511D6"/>
    <w:rsid w:val="00055382"/>
    <w:rsid w:val="0007052C"/>
    <w:rsid w:val="00085DDB"/>
    <w:rsid w:val="000A591D"/>
    <w:rsid w:val="000B5C2E"/>
    <w:rsid w:val="000C3594"/>
    <w:rsid w:val="000C6A2D"/>
    <w:rsid w:val="000E4FF4"/>
    <w:rsid w:val="000F04AE"/>
    <w:rsid w:val="000F66AB"/>
    <w:rsid w:val="00112244"/>
    <w:rsid w:val="0012413E"/>
    <w:rsid w:val="001259F1"/>
    <w:rsid w:val="00152893"/>
    <w:rsid w:val="00172BD1"/>
    <w:rsid w:val="001D0F8B"/>
    <w:rsid w:val="001D1874"/>
    <w:rsid w:val="001E0E36"/>
    <w:rsid w:val="001F2D62"/>
    <w:rsid w:val="002336D2"/>
    <w:rsid w:val="00251218"/>
    <w:rsid w:val="0026330B"/>
    <w:rsid w:val="00283897"/>
    <w:rsid w:val="00295F1A"/>
    <w:rsid w:val="0029644C"/>
    <w:rsid w:val="002A77DF"/>
    <w:rsid w:val="002D7642"/>
    <w:rsid w:val="002E1CDE"/>
    <w:rsid w:val="003024F1"/>
    <w:rsid w:val="00324BF0"/>
    <w:rsid w:val="00327B3E"/>
    <w:rsid w:val="0033248F"/>
    <w:rsid w:val="00334EDE"/>
    <w:rsid w:val="0035477D"/>
    <w:rsid w:val="00360908"/>
    <w:rsid w:val="0038336D"/>
    <w:rsid w:val="00384758"/>
    <w:rsid w:val="003E130D"/>
    <w:rsid w:val="003F1942"/>
    <w:rsid w:val="00411F1E"/>
    <w:rsid w:val="004303A9"/>
    <w:rsid w:val="00487142"/>
    <w:rsid w:val="00496D5F"/>
    <w:rsid w:val="004B208D"/>
    <w:rsid w:val="004B2290"/>
    <w:rsid w:val="004B3CB5"/>
    <w:rsid w:val="005060D3"/>
    <w:rsid w:val="00511D61"/>
    <w:rsid w:val="00547E6A"/>
    <w:rsid w:val="00566A63"/>
    <w:rsid w:val="005749F7"/>
    <w:rsid w:val="0058774F"/>
    <w:rsid w:val="00587F08"/>
    <w:rsid w:val="005B5430"/>
    <w:rsid w:val="005C3406"/>
    <w:rsid w:val="005C365E"/>
    <w:rsid w:val="005D73FB"/>
    <w:rsid w:val="00666AB7"/>
    <w:rsid w:val="00676167"/>
    <w:rsid w:val="0068582B"/>
    <w:rsid w:val="006D1BB2"/>
    <w:rsid w:val="00700C0F"/>
    <w:rsid w:val="00704F21"/>
    <w:rsid w:val="007109CC"/>
    <w:rsid w:val="00741758"/>
    <w:rsid w:val="007471AC"/>
    <w:rsid w:val="0075219B"/>
    <w:rsid w:val="00756446"/>
    <w:rsid w:val="00794610"/>
    <w:rsid w:val="00796148"/>
    <w:rsid w:val="007A39CF"/>
    <w:rsid w:val="007D333D"/>
    <w:rsid w:val="007E15C7"/>
    <w:rsid w:val="007F752C"/>
    <w:rsid w:val="0080101E"/>
    <w:rsid w:val="00833FBA"/>
    <w:rsid w:val="0083462B"/>
    <w:rsid w:val="00834F13"/>
    <w:rsid w:val="00883F5B"/>
    <w:rsid w:val="008A4C1F"/>
    <w:rsid w:val="008C40EB"/>
    <w:rsid w:val="008E7C19"/>
    <w:rsid w:val="008F23EE"/>
    <w:rsid w:val="008F2A60"/>
    <w:rsid w:val="008F6D12"/>
    <w:rsid w:val="00911A84"/>
    <w:rsid w:val="0091645A"/>
    <w:rsid w:val="00932962"/>
    <w:rsid w:val="0096650C"/>
    <w:rsid w:val="00976169"/>
    <w:rsid w:val="00985AAE"/>
    <w:rsid w:val="009902E4"/>
    <w:rsid w:val="009B7C5E"/>
    <w:rsid w:val="009C62AD"/>
    <w:rsid w:val="009E146E"/>
    <w:rsid w:val="00A11BC5"/>
    <w:rsid w:val="00A328C0"/>
    <w:rsid w:val="00A36927"/>
    <w:rsid w:val="00A43331"/>
    <w:rsid w:val="00A93A29"/>
    <w:rsid w:val="00AE65DA"/>
    <w:rsid w:val="00AF3863"/>
    <w:rsid w:val="00B03657"/>
    <w:rsid w:val="00B063C6"/>
    <w:rsid w:val="00B115C8"/>
    <w:rsid w:val="00B51E7A"/>
    <w:rsid w:val="00B62236"/>
    <w:rsid w:val="00B676D5"/>
    <w:rsid w:val="00B77980"/>
    <w:rsid w:val="00BA27E0"/>
    <w:rsid w:val="00BB67F9"/>
    <w:rsid w:val="00BE01D0"/>
    <w:rsid w:val="00C157B9"/>
    <w:rsid w:val="00C219B1"/>
    <w:rsid w:val="00C53E8D"/>
    <w:rsid w:val="00C702B8"/>
    <w:rsid w:val="00C7462D"/>
    <w:rsid w:val="00C80503"/>
    <w:rsid w:val="00C84DDE"/>
    <w:rsid w:val="00CC6B5C"/>
    <w:rsid w:val="00CE0E43"/>
    <w:rsid w:val="00CF59E4"/>
    <w:rsid w:val="00CF5A57"/>
    <w:rsid w:val="00CF7146"/>
    <w:rsid w:val="00D42589"/>
    <w:rsid w:val="00D4597B"/>
    <w:rsid w:val="00D62149"/>
    <w:rsid w:val="00D769E5"/>
    <w:rsid w:val="00D935F8"/>
    <w:rsid w:val="00DA74D3"/>
    <w:rsid w:val="00DB258F"/>
    <w:rsid w:val="00DD132F"/>
    <w:rsid w:val="00E12397"/>
    <w:rsid w:val="00E155E7"/>
    <w:rsid w:val="00E55684"/>
    <w:rsid w:val="00E7412D"/>
    <w:rsid w:val="00E77525"/>
    <w:rsid w:val="00EA3661"/>
    <w:rsid w:val="00EA62B1"/>
    <w:rsid w:val="00EB6660"/>
    <w:rsid w:val="00EF093E"/>
    <w:rsid w:val="00F1312C"/>
    <w:rsid w:val="00F15D03"/>
    <w:rsid w:val="00F25F14"/>
    <w:rsid w:val="00F377B3"/>
    <w:rsid w:val="00F418CC"/>
    <w:rsid w:val="00F81CE4"/>
    <w:rsid w:val="00F9137E"/>
    <w:rsid w:val="00FA3CA8"/>
    <w:rsid w:val="00FC1834"/>
    <w:rsid w:val="00FC3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link w:val="EndnoteTextChar"/>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
    <w:link w:val="FootnoteText"/>
    <w:rsid w:val="00E7412D"/>
    <w:rPr>
      <w:rFonts w:eastAsia="SimSun"/>
      <w:snapToGrid w:val="0"/>
      <w:sz w:val="18"/>
      <w:lang w:val="en-US" w:eastAsia="zh-CN" w:bidi="ar-SA"/>
    </w:rPr>
  </w:style>
  <w:style w:type="character" w:customStyle="1" w:styleId="EndnoteTextChar">
    <w:name w:val="Endnote Text Char"/>
    <w:basedOn w:val="FootnoteTextChar"/>
    <w:link w:val="EndnoteText"/>
    <w:rsid w:val="00E7412D"/>
    <w:rPr>
      <w:rFonts w:eastAsia="SimSun"/>
      <w:snapToGrid w:val="0"/>
      <w:sz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1</TotalTime>
  <Pages>1</Pages>
  <Words>1356</Words>
  <Characters>1412</Characters>
  <Application>Microsoft Office Word</Application>
  <DocSecurity>4</DocSecurity>
  <Lines>56</Lines>
  <Paragraphs>43</Paragraphs>
  <ScaleCrop>false</ScaleCrop>
  <Company>CSD</Company>
  <LinksUpToDate>false</LinksUpToDate>
  <CharactersWithSpaces>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dc:creator>
  <cp:keywords/>
  <dc:description/>
  <cp:lastModifiedBy>Master</cp:lastModifiedBy>
  <cp:revision>3</cp:revision>
  <cp:lastPrinted>2012-11-29T14:10:00Z</cp:lastPrinted>
  <dcterms:created xsi:type="dcterms:W3CDTF">2012-11-29T14:10:00Z</dcterms:created>
  <dcterms:modified xsi:type="dcterms:W3CDTF">2012-11-29T14:11:00Z</dcterms:modified>
</cp:coreProperties>
</file>