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F221B" w:rsidP="004F221B">
            <w:pPr>
              <w:bidi w:val="0"/>
              <w:spacing w:after="20"/>
              <w:jc w:val="left"/>
              <w:rPr>
                <w:szCs w:val="20"/>
              </w:rPr>
            </w:pPr>
            <w:r w:rsidRPr="004F221B">
              <w:rPr>
                <w:sz w:val="40"/>
                <w:szCs w:val="20"/>
              </w:rPr>
              <w:t>CCPR</w:t>
            </w:r>
            <w:r>
              <w:rPr>
                <w:szCs w:val="20"/>
              </w:rPr>
              <w:t>/C/SR.2678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F221B" w:rsidRDefault="004F221B" w:rsidP="00E15430">
            <w:pPr>
              <w:bidi w:val="0"/>
              <w:spacing w:before="240" w:line="240" w:lineRule="exact"/>
              <w:jc w:val="left"/>
            </w:pPr>
            <w:r w:rsidRPr="00275D25">
              <w:rPr>
                <w:sz w:val="18"/>
                <w:szCs w:val="28"/>
              </w:rPr>
              <w:t>Distr.: General</w:t>
            </w:r>
            <w:r w:rsidR="000A0C14" w:rsidRPr="000A0C14">
              <w:rPr>
                <w:rStyle w:val="FootnoteReference"/>
                <w:sz w:val="20"/>
                <w:vertAlign w:val="baseline"/>
                <w:rtl/>
              </w:rPr>
              <w:footnoteReference w:customMarkFollows="1" w:id="1"/>
              <w:t>*</w:t>
            </w:r>
          </w:p>
          <w:p w:rsidR="004F221B" w:rsidRPr="00275D25" w:rsidRDefault="004F221B" w:rsidP="00BF7AB7">
            <w:pPr>
              <w:bidi w:val="0"/>
              <w:spacing w:line="240" w:lineRule="exact"/>
              <w:jc w:val="left"/>
              <w:rPr>
                <w:sz w:val="18"/>
                <w:szCs w:val="28"/>
              </w:rPr>
            </w:pPr>
            <w:r w:rsidRPr="00275D25">
              <w:rPr>
                <w:sz w:val="18"/>
                <w:szCs w:val="28"/>
              </w:rPr>
              <w:t>1</w:t>
            </w:r>
            <w:r w:rsidR="00BF7AB7">
              <w:rPr>
                <w:sz w:val="18"/>
                <w:szCs w:val="28"/>
              </w:rPr>
              <w:t>2</w:t>
            </w:r>
            <w:r w:rsidRPr="00275D25">
              <w:rPr>
                <w:sz w:val="18"/>
                <w:szCs w:val="28"/>
              </w:rPr>
              <w:t xml:space="preserve"> May 2010</w:t>
            </w:r>
          </w:p>
          <w:p w:rsidR="004F221B" w:rsidRPr="00275D25" w:rsidRDefault="004F221B" w:rsidP="00E15430">
            <w:pPr>
              <w:bidi w:val="0"/>
              <w:spacing w:line="240" w:lineRule="exact"/>
              <w:jc w:val="left"/>
              <w:rPr>
                <w:sz w:val="18"/>
                <w:szCs w:val="28"/>
              </w:rPr>
            </w:pPr>
            <w:r w:rsidRPr="00275D25">
              <w:rPr>
                <w:sz w:val="18"/>
                <w:szCs w:val="28"/>
              </w:rPr>
              <w:t>Arabic</w:t>
            </w:r>
          </w:p>
          <w:p w:rsidR="00257225" w:rsidRPr="008B4BC6" w:rsidRDefault="004F221B" w:rsidP="00E15430">
            <w:pPr>
              <w:bidi w:val="0"/>
              <w:spacing w:line="240" w:lineRule="exact"/>
              <w:jc w:val="left"/>
            </w:pPr>
            <w:r w:rsidRPr="00275D25">
              <w:rPr>
                <w:sz w:val="18"/>
                <w:szCs w:val="28"/>
              </w:rPr>
              <w:t>Original: French</w:t>
            </w:r>
          </w:p>
        </w:tc>
      </w:tr>
    </w:tbl>
    <w:p w:rsidR="000A0C14" w:rsidRPr="006C069B" w:rsidRDefault="000A0C14" w:rsidP="000A0C14">
      <w:pPr>
        <w:spacing w:before="120" w:line="380" w:lineRule="exact"/>
        <w:rPr>
          <w:rFonts w:hint="cs"/>
          <w:b/>
          <w:bCs/>
          <w:sz w:val="36"/>
          <w:szCs w:val="36"/>
          <w:rtl/>
        </w:rPr>
      </w:pPr>
      <w:r w:rsidRPr="006C069B">
        <w:rPr>
          <w:rFonts w:hint="cs"/>
          <w:b/>
          <w:bCs/>
          <w:sz w:val="36"/>
          <w:szCs w:val="36"/>
          <w:rtl/>
        </w:rPr>
        <w:t>اللجنة المعنية بحقوق الإنسان</w:t>
      </w:r>
    </w:p>
    <w:p w:rsidR="000A0C14" w:rsidRPr="006C069B" w:rsidRDefault="000A0C14" w:rsidP="000A0C14">
      <w:pPr>
        <w:spacing w:line="380" w:lineRule="exact"/>
        <w:rPr>
          <w:rFonts w:hint="cs"/>
          <w:b/>
          <w:bCs/>
          <w:rtl/>
        </w:rPr>
      </w:pPr>
      <w:r w:rsidRPr="006C069B">
        <w:rPr>
          <w:rFonts w:hint="cs"/>
          <w:b/>
          <w:bCs/>
          <w:rtl/>
        </w:rPr>
        <w:t xml:space="preserve">الدورة </w:t>
      </w:r>
      <w:r>
        <w:rPr>
          <w:rFonts w:hint="cs"/>
          <w:b/>
          <w:bCs/>
          <w:rtl/>
        </w:rPr>
        <w:t>السابعة</w:t>
      </w:r>
      <w:r w:rsidRPr="006C069B">
        <w:rPr>
          <w:rFonts w:hint="cs"/>
          <w:b/>
          <w:bCs/>
          <w:rtl/>
        </w:rPr>
        <w:t xml:space="preserve"> والتسعون</w:t>
      </w:r>
    </w:p>
    <w:p w:rsidR="000A0C14" w:rsidRPr="006C069B" w:rsidRDefault="000A0C14" w:rsidP="000A0C14">
      <w:pPr>
        <w:spacing w:before="120" w:line="380" w:lineRule="exact"/>
        <w:rPr>
          <w:rFonts w:hint="cs"/>
          <w:b/>
          <w:bCs/>
          <w:rtl/>
        </w:rPr>
      </w:pPr>
      <w:r w:rsidRPr="006C069B">
        <w:rPr>
          <w:rFonts w:hint="cs"/>
          <w:b/>
          <w:bCs/>
          <w:rtl/>
        </w:rPr>
        <w:t>محضر موجز</w:t>
      </w:r>
      <w:r>
        <w:rPr>
          <w:rFonts w:hint="cs"/>
          <w:b/>
          <w:bCs/>
          <w:rtl/>
        </w:rPr>
        <w:t xml:space="preserve"> للجزء الثاني (العلني)</w:t>
      </w:r>
      <w:r w:rsidRPr="000A0C14">
        <w:rPr>
          <w:rStyle w:val="FootnoteReference"/>
          <w:b w:val="0"/>
          <w:bCs/>
          <w:sz w:val="20"/>
          <w:vertAlign w:val="baseline"/>
          <w:rtl/>
        </w:rPr>
        <w:footnoteReference w:customMarkFollows="1" w:id="2"/>
        <w:t>**</w:t>
      </w:r>
      <w:r>
        <w:rPr>
          <w:rFonts w:hint="cs"/>
          <w:b/>
          <w:bCs/>
          <w:rtl/>
        </w:rPr>
        <w:t xml:space="preserve"> من الجلسة 2678</w:t>
      </w:r>
    </w:p>
    <w:p w:rsidR="000A0C14" w:rsidRPr="006C069B" w:rsidRDefault="000A0C14" w:rsidP="000A0C14">
      <w:pPr>
        <w:spacing w:line="380" w:lineRule="exact"/>
        <w:rPr>
          <w:rFonts w:hint="cs"/>
          <w:rtl/>
        </w:rPr>
      </w:pPr>
      <w:r w:rsidRPr="006C069B">
        <w:rPr>
          <w:rFonts w:hint="cs"/>
          <w:rtl/>
        </w:rPr>
        <w:t xml:space="preserve">المعقودة </w:t>
      </w:r>
      <w:r>
        <w:rPr>
          <w:rFonts w:hint="cs"/>
          <w:rtl/>
        </w:rPr>
        <w:t xml:space="preserve">في </w:t>
      </w:r>
      <w:r w:rsidRPr="006C069B">
        <w:rPr>
          <w:rFonts w:hint="cs"/>
          <w:rtl/>
        </w:rPr>
        <w:t>قصر ويلس</w:t>
      </w:r>
      <w:r>
        <w:rPr>
          <w:rFonts w:hint="cs"/>
          <w:rtl/>
        </w:rPr>
        <w:t>و</w:t>
      </w:r>
      <w:r w:rsidRPr="006C069B">
        <w:rPr>
          <w:rFonts w:hint="cs"/>
          <w:rtl/>
        </w:rPr>
        <w:t xml:space="preserve">ن، جنيف، يوم </w:t>
      </w:r>
      <w:r>
        <w:rPr>
          <w:rFonts w:hint="cs"/>
          <w:rtl/>
        </w:rPr>
        <w:t>الثلاثاء</w:t>
      </w:r>
      <w:r w:rsidRPr="006C069B">
        <w:rPr>
          <w:rFonts w:hint="cs"/>
          <w:rtl/>
        </w:rPr>
        <w:t xml:space="preserve">، </w:t>
      </w:r>
      <w:r>
        <w:rPr>
          <w:rFonts w:hint="cs"/>
          <w:rtl/>
        </w:rPr>
        <w:t>27 تشرين الأول/أكتوبر</w:t>
      </w:r>
      <w:r w:rsidRPr="006C069B">
        <w:rPr>
          <w:rFonts w:hint="cs"/>
          <w:rtl/>
        </w:rPr>
        <w:t xml:space="preserve"> 2009، الساعة 00/</w:t>
      </w:r>
      <w:r>
        <w:rPr>
          <w:rFonts w:hint="cs"/>
          <w:rtl/>
        </w:rPr>
        <w:t>10</w:t>
      </w:r>
    </w:p>
    <w:p w:rsidR="000A0C14" w:rsidRPr="009D2C99" w:rsidRDefault="000A0C14" w:rsidP="000A0C14">
      <w:pPr>
        <w:pStyle w:val="SingleTxtGA"/>
        <w:tabs>
          <w:tab w:val="left" w:pos="818"/>
        </w:tabs>
        <w:spacing w:before="240"/>
        <w:ind w:left="0"/>
        <w:rPr>
          <w:rFonts w:hint="cs"/>
          <w:rtl/>
        </w:rPr>
      </w:pPr>
      <w:r w:rsidRPr="009D2C99">
        <w:rPr>
          <w:rFonts w:hint="cs"/>
          <w:i/>
          <w:iCs/>
          <w:rtl/>
        </w:rPr>
        <w:t>الرئيس</w:t>
      </w:r>
      <w:r w:rsidRPr="00FD1A0A">
        <w:rPr>
          <w:rFonts w:hint="cs"/>
          <w:i/>
          <w:iCs/>
          <w:rtl/>
        </w:rPr>
        <w:t>:</w:t>
      </w:r>
      <w:r>
        <w:rPr>
          <w:rFonts w:hint="cs"/>
          <w:rtl/>
        </w:rPr>
        <w:tab/>
      </w:r>
      <w:r w:rsidRPr="009D2C99">
        <w:rPr>
          <w:rFonts w:hint="cs"/>
          <w:rtl/>
        </w:rPr>
        <w:t xml:space="preserve">السيد </w:t>
      </w:r>
      <w:proofErr w:type="spellStart"/>
      <w:r w:rsidRPr="00EF53E7">
        <w:rPr>
          <w:rFonts w:hint="cs"/>
          <w:b/>
          <w:bCs/>
          <w:rtl/>
        </w:rPr>
        <w:t>إيواساوا</w:t>
      </w:r>
      <w:proofErr w:type="spellEnd"/>
    </w:p>
    <w:p w:rsidR="000A0C14" w:rsidRDefault="000A0C14" w:rsidP="000A0C14">
      <w:pPr>
        <w:spacing w:before="360" w:line="380" w:lineRule="exact"/>
        <w:rPr>
          <w:sz w:val="36"/>
          <w:szCs w:val="36"/>
        </w:rPr>
      </w:pPr>
      <w:r>
        <w:rPr>
          <w:rFonts w:hint="cs"/>
          <w:sz w:val="36"/>
          <w:szCs w:val="36"/>
          <w:rtl/>
        </w:rPr>
        <w:t>المحتويات</w:t>
      </w:r>
    </w:p>
    <w:p w:rsidR="000A0C14" w:rsidRDefault="000A0C14" w:rsidP="000A0C14">
      <w:pPr>
        <w:spacing w:before="120" w:line="380" w:lineRule="exact"/>
        <w:rPr>
          <w:rFonts w:hint="cs"/>
          <w:i/>
          <w:iCs/>
          <w:rtl/>
        </w:rPr>
      </w:pPr>
      <w:r w:rsidRPr="00D268EC">
        <w:rPr>
          <w:rFonts w:hint="cs"/>
          <w:rtl/>
        </w:rPr>
        <w:tab/>
      </w:r>
      <w:r>
        <w:rPr>
          <w:rFonts w:hint="cs"/>
          <w:rtl/>
        </w:rPr>
        <w:t>التعليقات العامة للجنة</w:t>
      </w:r>
      <w:r w:rsidRPr="00D268EC">
        <w:rPr>
          <w:rFonts w:hint="cs"/>
          <w:rtl/>
        </w:rPr>
        <w:t xml:space="preserve"> </w:t>
      </w:r>
      <w:r w:rsidRPr="00D268EC">
        <w:rPr>
          <w:rFonts w:hint="cs"/>
          <w:i/>
          <w:iCs/>
          <w:rtl/>
        </w:rPr>
        <w:t>(تابع)</w:t>
      </w:r>
    </w:p>
    <w:p w:rsidR="00816D81" w:rsidRPr="00816D81" w:rsidRDefault="00816D81" w:rsidP="000A0C14">
      <w:pPr>
        <w:spacing w:before="120" w:line="380" w:lineRule="exact"/>
        <w:rPr>
          <w:rFonts w:hint="cs"/>
          <w:rtl/>
        </w:rPr>
      </w:pPr>
      <w:r w:rsidRPr="00816D81">
        <w:rPr>
          <w:rFonts w:hint="cs"/>
          <w:i/>
          <w:iCs/>
          <w:rtl/>
        </w:rPr>
        <w:tab/>
      </w:r>
      <w:r w:rsidRPr="00816D81">
        <w:rPr>
          <w:rFonts w:hint="cs"/>
          <w:i/>
          <w:iCs/>
          <w:rtl/>
        </w:rPr>
        <w:tab/>
      </w:r>
      <w:r w:rsidRPr="00816D81">
        <w:rPr>
          <w:rFonts w:hint="cs"/>
          <w:sz w:val="30"/>
          <w:rtl/>
        </w:rPr>
        <w:t xml:space="preserve">مشروع التعليق العام رقم 34 المتعلق بالمادة 19 من العهد </w:t>
      </w:r>
      <w:r w:rsidRPr="00816D81">
        <w:rPr>
          <w:rFonts w:hint="cs"/>
          <w:i/>
          <w:iCs/>
          <w:sz w:val="30"/>
          <w:rtl/>
        </w:rPr>
        <w:t>(تابع)</w:t>
      </w:r>
    </w:p>
    <w:p w:rsidR="00044157" w:rsidRPr="00ED50C6" w:rsidRDefault="00E15430" w:rsidP="001A3BA4">
      <w:pPr>
        <w:pStyle w:val="H4GA"/>
        <w:ind w:hanging="226"/>
        <w:rPr>
          <w:rFonts w:hint="cs"/>
          <w:rtl/>
        </w:rPr>
      </w:pPr>
      <w:r>
        <w:rPr>
          <w:rtl/>
        </w:rPr>
        <w:br w:type="page"/>
      </w:r>
      <w:r w:rsidR="00044157">
        <w:rPr>
          <w:rFonts w:hint="cs"/>
          <w:rtl/>
        </w:rPr>
        <w:t>بدأ الجزء الثاني (العلني) من الجلسة في الساعة 45/11</w:t>
      </w:r>
    </w:p>
    <w:p w:rsidR="00044157" w:rsidRPr="00407F03" w:rsidRDefault="00044157" w:rsidP="00407F03">
      <w:pPr>
        <w:pStyle w:val="H23GA"/>
        <w:rPr>
          <w:rFonts w:hint="cs"/>
          <w:b w:val="0"/>
          <w:bCs w:val="0"/>
          <w:i/>
          <w:iCs/>
          <w:rtl/>
        </w:rPr>
      </w:pPr>
      <w:r w:rsidRPr="00ED50C6">
        <w:rPr>
          <w:rFonts w:hint="cs"/>
          <w:rtl/>
        </w:rPr>
        <w:tab/>
      </w:r>
      <w:r w:rsidRPr="00ED50C6">
        <w:rPr>
          <w:rFonts w:hint="cs"/>
          <w:rtl/>
        </w:rPr>
        <w:tab/>
      </w:r>
      <w:r>
        <w:rPr>
          <w:rFonts w:hint="cs"/>
          <w:rtl/>
        </w:rPr>
        <w:t xml:space="preserve">التعليقات العامة للجنة </w:t>
      </w:r>
      <w:r w:rsidRPr="00407F03">
        <w:rPr>
          <w:rFonts w:hint="cs"/>
          <w:b w:val="0"/>
          <w:bCs w:val="0"/>
          <w:rtl/>
        </w:rPr>
        <w:t xml:space="preserve">(البند 8 من جدول الأعمال) </w:t>
      </w:r>
      <w:r w:rsidRPr="00407F03">
        <w:rPr>
          <w:rFonts w:hint="cs"/>
          <w:b w:val="0"/>
          <w:bCs w:val="0"/>
          <w:i/>
          <w:iCs/>
          <w:rtl/>
        </w:rPr>
        <w:t>(تابع)</w:t>
      </w:r>
    </w:p>
    <w:p w:rsidR="00044157" w:rsidRDefault="00044157" w:rsidP="009002C9">
      <w:pPr>
        <w:pStyle w:val="H4GA"/>
        <w:rPr>
          <w:rFonts w:hint="cs"/>
          <w:rtl/>
        </w:rPr>
      </w:pPr>
      <w:r w:rsidRPr="00BA122C">
        <w:rPr>
          <w:rFonts w:hint="cs"/>
          <w:rtl/>
        </w:rPr>
        <w:tab/>
      </w:r>
      <w:r w:rsidRPr="00BA122C">
        <w:rPr>
          <w:rFonts w:hint="cs"/>
          <w:rtl/>
        </w:rPr>
        <w:tab/>
        <w:t xml:space="preserve">مشروع التعليق العام رقم 34 المتعلق بالمادة 19 من العهد </w:t>
      </w:r>
      <w:r w:rsidRPr="009002C9">
        <w:rPr>
          <w:rFonts w:hint="cs"/>
          <w:rtl/>
        </w:rPr>
        <w:t>(تابع) (</w:t>
      </w:r>
      <w:r w:rsidRPr="009002C9">
        <w:t>CCPR/C/GC/34/CRP.1</w:t>
      </w:r>
      <w:r w:rsidRPr="009002C9">
        <w:rPr>
          <w:rFonts w:hint="cs"/>
          <w:rtl/>
        </w:rPr>
        <w:t>)</w:t>
      </w:r>
    </w:p>
    <w:p w:rsidR="00497BC0" w:rsidRPr="00497BC0" w:rsidRDefault="00497BC0" w:rsidP="00497BC0">
      <w:pPr>
        <w:pStyle w:val="SingleTxtGA"/>
        <w:rPr>
          <w:rFonts w:hint="cs"/>
          <w:rtl/>
        </w:rPr>
      </w:pPr>
      <w:r w:rsidRPr="00497BC0">
        <w:rPr>
          <w:rFonts w:hint="cs"/>
          <w:rtl/>
        </w:rPr>
        <w:t>1-</w:t>
      </w:r>
      <w:r w:rsidRPr="00497BC0">
        <w:rPr>
          <w:rFonts w:hint="cs"/>
          <w:rtl/>
        </w:rPr>
        <w:tab/>
      </w:r>
      <w:r w:rsidRPr="00497BC0">
        <w:rPr>
          <w:rFonts w:hint="cs"/>
          <w:b/>
          <w:bCs/>
          <w:rtl/>
        </w:rPr>
        <w:t>الرئيس</w:t>
      </w:r>
      <w:r w:rsidRPr="00497BC0">
        <w:rPr>
          <w:rFonts w:hint="cs"/>
          <w:rtl/>
        </w:rPr>
        <w:t xml:space="preserve"> دعا أعضاء اللجنة إلى مواصلة النظر في مشروع التعليق العام.</w:t>
      </w:r>
    </w:p>
    <w:p w:rsidR="00497BC0" w:rsidRPr="00497BC0" w:rsidRDefault="00497BC0" w:rsidP="00497BC0">
      <w:pPr>
        <w:pStyle w:val="SingleTxtGA"/>
        <w:rPr>
          <w:rFonts w:hint="cs"/>
          <w:rtl/>
        </w:rPr>
      </w:pPr>
      <w:r w:rsidRPr="00497BC0">
        <w:rPr>
          <w:rFonts w:hint="cs"/>
          <w:rtl/>
        </w:rPr>
        <w:t>2-</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قدم الفقرات 5 إلى 8 من مشروع النص. </w:t>
      </w:r>
      <w:proofErr w:type="spellStart"/>
      <w:r w:rsidRPr="00497BC0">
        <w:rPr>
          <w:rFonts w:hint="cs"/>
          <w:rtl/>
        </w:rPr>
        <w:t>وتنص</w:t>
      </w:r>
      <w:proofErr w:type="spellEnd"/>
      <w:r w:rsidRPr="00497BC0">
        <w:rPr>
          <w:rFonts w:hint="cs"/>
          <w:rtl/>
        </w:rPr>
        <w:t xml:space="preserve"> الفقرة 5، التي تستلهم صياغتها من التعليق العام رقم 24 (التحفظات على العهد)، على عدم جواز إبداء تحفظ عام على الفقرة 2 من المادة 19 المتعلقة بحرية التعبير؛ وهي ترتبط ارتباطاً مباشراً بالفقرة 4 المخصصة لحرية الرأي. وتتعلق الفقرتان 6 و7، القائمتان في جزء كبير منهما على التعليق العام رقم 31 (طبيعة الالتزام القانوني العام المفروض على الدول الأطراف في العهد)، بالتزامات الدول الأطراف. وتتعلق الفقرة 8، المستمدة من التعليق العام رقم 27 (حرية التنقل)، بمتطلبات إعداد التقارير.</w:t>
      </w:r>
    </w:p>
    <w:p w:rsidR="00497BC0" w:rsidRPr="00497BC0" w:rsidRDefault="00497BC0" w:rsidP="00497BC0">
      <w:pPr>
        <w:pStyle w:val="SingleTxtGA"/>
        <w:rPr>
          <w:rFonts w:hint="cs"/>
          <w:rtl/>
        </w:rPr>
      </w:pPr>
      <w:r w:rsidRPr="00497BC0">
        <w:rPr>
          <w:rFonts w:hint="cs"/>
          <w:rtl/>
        </w:rPr>
        <w:t>3-</w:t>
      </w:r>
      <w:r w:rsidRPr="00497BC0">
        <w:rPr>
          <w:rFonts w:hint="cs"/>
          <w:rtl/>
        </w:rPr>
        <w:tab/>
      </w:r>
      <w:r w:rsidRPr="00497BC0">
        <w:rPr>
          <w:rFonts w:hint="cs"/>
          <w:b/>
          <w:bCs/>
          <w:rtl/>
        </w:rPr>
        <w:t xml:space="preserve">السيدة </w:t>
      </w:r>
      <w:proofErr w:type="spellStart"/>
      <w:r w:rsidRPr="00497BC0">
        <w:rPr>
          <w:rFonts w:hint="cs"/>
          <w:b/>
          <w:bCs/>
          <w:rtl/>
        </w:rPr>
        <w:t>ماجودينا</w:t>
      </w:r>
      <w:proofErr w:type="spellEnd"/>
      <w:r w:rsidRPr="00497BC0">
        <w:rPr>
          <w:rFonts w:hint="cs"/>
          <w:rtl/>
        </w:rPr>
        <w:t xml:space="preserve"> قالت إنه من المفضل، لتيسير قراءة الفقرة 4، أن توضع في نهاية الجملة الأولى منها الإشارة إلى التعليق العام بشأن التحفظات الواردة في الحاشية 6 في نهاية الفقرة 5.</w:t>
      </w:r>
    </w:p>
    <w:p w:rsidR="00497BC0" w:rsidRPr="00497BC0" w:rsidRDefault="00497BC0" w:rsidP="00497BC0">
      <w:pPr>
        <w:pStyle w:val="SingleTxtGA"/>
        <w:rPr>
          <w:rFonts w:hint="cs"/>
          <w:rtl/>
        </w:rPr>
      </w:pPr>
      <w:r w:rsidRPr="00497BC0">
        <w:rPr>
          <w:rFonts w:hint="cs"/>
          <w:rtl/>
        </w:rPr>
        <w:t>4-</w:t>
      </w:r>
      <w:r w:rsidRPr="00497BC0">
        <w:rPr>
          <w:rFonts w:hint="cs"/>
          <w:rtl/>
        </w:rPr>
        <w:tab/>
      </w:r>
      <w:r w:rsidRPr="00497BC0">
        <w:rPr>
          <w:rFonts w:hint="cs"/>
          <w:i/>
          <w:iCs/>
          <w:rtl/>
        </w:rPr>
        <w:t>وقد قُبِل الاقتراح</w:t>
      </w:r>
      <w:r w:rsidRPr="00497BC0">
        <w:rPr>
          <w:rFonts w:hint="cs"/>
          <w:rtl/>
        </w:rPr>
        <w:t>.</w:t>
      </w:r>
    </w:p>
    <w:p w:rsidR="00497BC0" w:rsidRPr="00497BC0" w:rsidRDefault="00497BC0" w:rsidP="00497BC0">
      <w:pPr>
        <w:pStyle w:val="SingleTxtGA"/>
        <w:rPr>
          <w:rFonts w:hint="cs"/>
          <w:rtl/>
        </w:rPr>
      </w:pPr>
      <w:r w:rsidRPr="00497BC0">
        <w:rPr>
          <w:rFonts w:hint="cs"/>
          <w:rtl/>
        </w:rPr>
        <w:t>5-</w:t>
      </w:r>
      <w:r w:rsidRPr="00497BC0">
        <w:rPr>
          <w:rFonts w:hint="cs"/>
          <w:rtl/>
        </w:rPr>
        <w:tab/>
      </w:r>
      <w:r w:rsidRPr="00497BC0">
        <w:rPr>
          <w:rFonts w:hint="cs"/>
          <w:b/>
          <w:bCs/>
          <w:rtl/>
        </w:rPr>
        <w:t>السيدة موتوك</w:t>
      </w:r>
      <w:r w:rsidRPr="00497BC0">
        <w:rPr>
          <w:rFonts w:hint="cs"/>
          <w:rtl/>
        </w:rPr>
        <w:t xml:space="preserve"> تساءلت، وهي تثير مسألة ذات طابع عام، عما إذا كان يمكن الإشارة في التعليق العام إلى قضايا من قضايا الساعة رغم أن اللجنة ليس لديها أي سابقة في هذا المجال. وأعربت عن اعتقادها بأن مسألة حرية التعبير الفني - التي اهتمت </w:t>
      </w:r>
      <w:proofErr w:type="spellStart"/>
      <w:r w:rsidRPr="00497BC0">
        <w:rPr>
          <w:rFonts w:hint="cs"/>
          <w:rtl/>
        </w:rPr>
        <w:t>بها</w:t>
      </w:r>
      <w:proofErr w:type="spellEnd"/>
      <w:r w:rsidRPr="00497BC0">
        <w:rPr>
          <w:rFonts w:hint="cs"/>
          <w:rtl/>
        </w:rPr>
        <w:t xml:space="preserve"> اللجنة عقب الجدل الذي أثاره نشر رسوم كاريكاتورية للنبي محمد في جريدة دانمركية - تمثل إشكالية مهمة تستحق في حد ذاتها فقرة.</w:t>
      </w:r>
    </w:p>
    <w:p w:rsidR="00497BC0" w:rsidRPr="00497BC0" w:rsidRDefault="00497BC0" w:rsidP="00497BC0">
      <w:pPr>
        <w:pStyle w:val="SingleTxtGA"/>
        <w:rPr>
          <w:rFonts w:hint="cs"/>
          <w:rtl/>
        </w:rPr>
      </w:pPr>
      <w:r w:rsidRPr="00497BC0">
        <w:rPr>
          <w:rFonts w:hint="cs"/>
          <w:rtl/>
        </w:rPr>
        <w:t>6-</w:t>
      </w:r>
      <w:r w:rsidRPr="00497BC0">
        <w:rPr>
          <w:rFonts w:hint="cs"/>
          <w:rtl/>
        </w:rPr>
        <w:tab/>
      </w:r>
      <w:r w:rsidRPr="00497BC0">
        <w:rPr>
          <w:rFonts w:hint="cs"/>
          <w:b/>
          <w:bCs/>
          <w:rtl/>
        </w:rPr>
        <w:t>السيد عمر</w:t>
      </w:r>
      <w:r w:rsidRPr="00497BC0">
        <w:rPr>
          <w:rFonts w:hint="cs"/>
          <w:rtl/>
        </w:rPr>
        <w:t xml:space="preserve"> قال إن هناك مسألتين مهمتين تستحقان الإشارة إليهما في "الملاحظات ذات الطابع العام". أولا، تُلزِم بعض الدول </w:t>
      </w:r>
      <w:proofErr w:type="spellStart"/>
      <w:r w:rsidRPr="00497BC0">
        <w:rPr>
          <w:rFonts w:hint="cs"/>
          <w:rtl/>
        </w:rPr>
        <w:t>مسؤولي</w:t>
      </w:r>
      <w:proofErr w:type="spellEnd"/>
      <w:r w:rsidRPr="00497BC0">
        <w:rPr>
          <w:rFonts w:hint="cs"/>
          <w:rtl/>
        </w:rPr>
        <w:t xml:space="preserve"> القطاع الخاص والقطاع العام بأن يبيِّنوا في ملفات الموظفين المعتقدات السياسية أو الدينية. وثانيا، يشار في بعض البلدان إلى الانتماء الديني في بطاقة الهوية الوطنية. واقترح إضافة فقرة بشأن هاتين المسألتين الحساستين للغاية بين الفقرتين 4 و5.</w:t>
      </w:r>
    </w:p>
    <w:p w:rsidR="00497BC0" w:rsidRPr="00497BC0" w:rsidRDefault="00497BC0" w:rsidP="00497BC0">
      <w:pPr>
        <w:pStyle w:val="SingleTxtGA"/>
        <w:rPr>
          <w:rFonts w:hint="cs"/>
          <w:rtl/>
        </w:rPr>
      </w:pPr>
      <w:r w:rsidRPr="00497BC0">
        <w:rPr>
          <w:rFonts w:hint="cs"/>
          <w:rtl/>
        </w:rPr>
        <w:t>7-</w:t>
      </w:r>
      <w:r w:rsidRPr="00497BC0">
        <w:rPr>
          <w:rFonts w:hint="cs"/>
          <w:rtl/>
        </w:rPr>
        <w:tab/>
      </w:r>
      <w:r w:rsidRPr="00497BC0">
        <w:rPr>
          <w:rFonts w:hint="cs"/>
          <w:b/>
          <w:bCs/>
          <w:rtl/>
        </w:rPr>
        <w:t xml:space="preserve">السير </w:t>
      </w:r>
      <w:proofErr w:type="spellStart"/>
      <w:r w:rsidRPr="00497BC0">
        <w:rPr>
          <w:rFonts w:hint="cs"/>
          <w:b/>
          <w:bCs/>
          <w:rtl/>
        </w:rPr>
        <w:t>نايجل</w:t>
      </w:r>
      <w:proofErr w:type="spellEnd"/>
      <w:r w:rsidRPr="00497BC0">
        <w:rPr>
          <w:rFonts w:hint="cs"/>
          <w:b/>
          <w:bCs/>
          <w:rtl/>
        </w:rPr>
        <w:t xml:space="preserve"> </w:t>
      </w:r>
      <w:proofErr w:type="spellStart"/>
      <w:r w:rsidRPr="00497BC0">
        <w:rPr>
          <w:rFonts w:hint="cs"/>
          <w:b/>
          <w:bCs/>
          <w:rtl/>
        </w:rPr>
        <w:t>رودلي</w:t>
      </w:r>
      <w:proofErr w:type="spellEnd"/>
      <w:r w:rsidRPr="00497BC0">
        <w:rPr>
          <w:rFonts w:hint="cs"/>
          <w:rtl/>
        </w:rPr>
        <w:t xml:space="preserve"> قال إن المسائل التي أثارها كل من السيد عمر والسيدة موتوك مهمة وجديرة بأن تنعكس في النص، ولكن في موضع آخر منه لأن الملاحظات ذات الطابع العام تتعلق بمفاهيم الرأي والتعبير العامة وليس بتجلياتها الملموسة.</w:t>
      </w:r>
    </w:p>
    <w:p w:rsidR="00497BC0" w:rsidRPr="00497BC0" w:rsidRDefault="00497BC0" w:rsidP="00497BC0">
      <w:pPr>
        <w:pStyle w:val="SingleTxtGA"/>
        <w:rPr>
          <w:rFonts w:hint="cs"/>
          <w:rtl/>
        </w:rPr>
      </w:pPr>
      <w:r w:rsidRPr="00497BC0">
        <w:rPr>
          <w:rFonts w:hint="cs"/>
          <w:rtl/>
        </w:rPr>
        <w:t>8-</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أبدى اتفاقه. وأضاف أن اللجنة يمكن أن تعود إلى اقتراح السيد عمر لدى النظر في الفرع المخصص لحرية التعبير وإلى اقتراح السيدة موتوك لدى النظر في الفرع المتعلق بنطاق الحق في حرية التعبير.</w:t>
      </w:r>
    </w:p>
    <w:p w:rsidR="00497BC0" w:rsidRPr="00497BC0" w:rsidRDefault="00497BC0" w:rsidP="00497BC0">
      <w:pPr>
        <w:pStyle w:val="SingleTxtGA"/>
        <w:rPr>
          <w:rFonts w:hint="cs"/>
          <w:rtl/>
        </w:rPr>
      </w:pPr>
      <w:r w:rsidRPr="00497BC0">
        <w:rPr>
          <w:rFonts w:hint="cs"/>
          <w:rtl/>
        </w:rPr>
        <w:t>9-</w:t>
      </w:r>
      <w:r w:rsidRPr="00497BC0">
        <w:rPr>
          <w:rFonts w:hint="cs"/>
          <w:rtl/>
        </w:rPr>
        <w:tab/>
      </w:r>
      <w:r w:rsidRPr="00497BC0">
        <w:rPr>
          <w:rFonts w:hint="cs"/>
          <w:b/>
          <w:bCs/>
          <w:rtl/>
        </w:rPr>
        <w:t xml:space="preserve">السيدة </w:t>
      </w:r>
      <w:proofErr w:type="spellStart"/>
      <w:r w:rsidRPr="00497BC0">
        <w:rPr>
          <w:rFonts w:hint="cs"/>
          <w:b/>
          <w:bCs/>
          <w:rtl/>
        </w:rPr>
        <w:t>ودجوود</w:t>
      </w:r>
      <w:proofErr w:type="spellEnd"/>
      <w:r w:rsidRPr="00497BC0">
        <w:rPr>
          <w:rFonts w:hint="cs"/>
          <w:rtl/>
        </w:rPr>
        <w:t xml:space="preserve"> قالت إن اللجنة ليس لديها سند لتؤكد على نحو ما يرد في </w:t>
      </w:r>
      <w:r w:rsidR="006D7E85">
        <w:rPr>
          <w:rFonts w:hint="cs"/>
          <w:rtl/>
        </w:rPr>
        <w:t xml:space="preserve">        </w:t>
      </w:r>
      <w:r w:rsidRPr="00497BC0">
        <w:rPr>
          <w:rFonts w:hint="cs"/>
          <w:rtl/>
        </w:rPr>
        <w:t>الفقرة 4 أنه لا يجوز إبداء تحفظ على الفقرة 1 من المادة 19. فمن الأسلم الاكتفاء بقول إن هذا الحكم أساسي لتحقيق غرض العهد وهدفه وتحاشي مسألة جواز أو عدم جواز التحفظ عليه. وبالإضافة إلى ذلك، من غير المستحب الاستناد إلى التعليق العام رقم 24، الذي صيغ في ظروف غير عادية. وينبغي أن يستند التعليق العام رقم 19 إلى عناصر غير خلافية.</w:t>
      </w:r>
    </w:p>
    <w:p w:rsidR="00497BC0" w:rsidRPr="00497BC0" w:rsidRDefault="00497BC0" w:rsidP="00497BC0">
      <w:pPr>
        <w:pStyle w:val="SingleTxtGA"/>
        <w:rPr>
          <w:rFonts w:hint="cs"/>
          <w:rtl/>
        </w:rPr>
      </w:pPr>
      <w:r w:rsidRPr="00497BC0">
        <w:rPr>
          <w:rFonts w:hint="cs"/>
          <w:rtl/>
        </w:rPr>
        <w:t>10-</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قال إن جميع التعليقات العامة للجنة متساوية ولا يوجد بالتالي أي سبب لعدم الإشارة إلى التعليق العام رقم 24. غير أنه اقترح، لتبديد قلق السيدة </w:t>
      </w:r>
      <w:proofErr w:type="spellStart"/>
      <w:r w:rsidRPr="00497BC0">
        <w:rPr>
          <w:rFonts w:hint="cs"/>
          <w:rtl/>
        </w:rPr>
        <w:t>ودجوود</w:t>
      </w:r>
      <w:proofErr w:type="spellEnd"/>
      <w:r w:rsidRPr="00497BC0">
        <w:rPr>
          <w:rFonts w:hint="cs"/>
          <w:rtl/>
        </w:rPr>
        <w:t>، إعادة صياغة الجزء الأخير من الجملة الأولى من الفقرة 4 باستلهام الصياغة المستعملة في الفقرة 5 المستمدة من التعليق العام رقم 32.</w:t>
      </w:r>
    </w:p>
    <w:p w:rsidR="00497BC0" w:rsidRPr="00497BC0" w:rsidRDefault="00497BC0" w:rsidP="00497BC0">
      <w:pPr>
        <w:pStyle w:val="SingleTxtGA"/>
        <w:rPr>
          <w:rFonts w:hint="cs"/>
          <w:rtl/>
        </w:rPr>
      </w:pPr>
      <w:r w:rsidRPr="00497BC0">
        <w:rPr>
          <w:rFonts w:hint="cs"/>
          <w:rtl/>
        </w:rPr>
        <w:t>11-</w:t>
      </w:r>
      <w:r w:rsidRPr="00497BC0">
        <w:rPr>
          <w:rFonts w:hint="cs"/>
          <w:rtl/>
        </w:rPr>
        <w:tab/>
      </w:r>
      <w:r w:rsidRPr="00497BC0">
        <w:rPr>
          <w:rFonts w:hint="cs"/>
          <w:b/>
          <w:bCs/>
          <w:rtl/>
        </w:rPr>
        <w:t xml:space="preserve">السيدة </w:t>
      </w:r>
      <w:proofErr w:type="spellStart"/>
      <w:r w:rsidRPr="00497BC0">
        <w:rPr>
          <w:rFonts w:hint="cs"/>
          <w:b/>
          <w:bCs/>
          <w:rtl/>
        </w:rPr>
        <w:t>ودجوود</w:t>
      </w:r>
      <w:proofErr w:type="spellEnd"/>
      <w:r w:rsidRPr="00497BC0">
        <w:rPr>
          <w:rFonts w:hint="cs"/>
          <w:rtl/>
        </w:rPr>
        <w:t xml:space="preserve"> اقترحت صياغة المقطع الثاني من الجملة الأولى من الفقرة 4 كما يلي: "... قد يتنافى إبداء تحفظ عام على الفقرة 1 ونص العهد وروحه".</w:t>
      </w:r>
    </w:p>
    <w:p w:rsidR="00497BC0" w:rsidRPr="00497BC0" w:rsidRDefault="00497BC0" w:rsidP="00497BC0">
      <w:pPr>
        <w:pStyle w:val="SingleTxtGA"/>
        <w:rPr>
          <w:rFonts w:hint="cs"/>
          <w:rtl/>
        </w:rPr>
      </w:pPr>
      <w:r w:rsidRPr="00497BC0">
        <w:rPr>
          <w:rFonts w:hint="cs"/>
          <w:rtl/>
        </w:rPr>
        <w:t>12-</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قال إنه يقبل الإشارة إلى نص العهد وروحه ولكن دون استعمال صفة "عام" في هذه الفقرة التي تعالج حصرا مسألة حرية الرأي لأنه لا يجوز لأي دولة أن تُبدي أي تحفظ كان على الحق المطلق في حرية الرأي.</w:t>
      </w:r>
    </w:p>
    <w:p w:rsidR="00497BC0" w:rsidRPr="00497BC0" w:rsidRDefault="00497BC0" w:rsidP="00497BC0">
      <w:pPr>
        <w:pStyle w:val="SingleTxtGA"/>
        <w:rPr>
          <w:rFonts w:hint="cs"/>
          <w:rtl/>
        </w:rPr>
      </w:pPr>
      <w:r w:rsidRPr="00497BC0">
        <w:rPr>
          <w:rFonts w:hint="cs"/>
          <w:rtl/>
        </w:rPr>
        <w:t>13-</w:t>
      </w:r>
      <w:r w:rsidRPr="00497BC0">
        <w:rPr>
          <w:rFonts w:hint="cs"/>
          <w:rtl/>
        </w:rPr>
        <w:tab/>
      </w:r>
      <w:r w:rsidRPr="00497BC0">
        <w:rPr>
          <w:rFonts w:hint="cs"/>
          <w:b/>
          <w:bCs/>
          <w:rtl/>
        </w:rPr>
        <w:t xml:space="preserve">السيدة </w:t>
      </w:r>
      <w:proofErr w:type="spellStart"/>
      <w:r w:rsidRPr="00497BC0">
        <w:rPr>
          <w:rFonts w:hint="cs"/>
          <w:b/>
          <w:bCs/>
          <w:rtl/>
        </w:rPr>
        <w:t>ودجوود</w:t>
      </w:r>
      <w:proofErr w:type="spellEnd"/>
      <w:r w:rsidRPr="00497BC0">
        <w:rPr>
          <w:rFonts w:hint="cs"/>
          <w:rtl/>
        </w:rPr>
        <w:t xml:space="preserve"> جادلت بأنه ينبغي، وإن كان صحيحا أن حرية الرأي مطلقة، أن تُترَك للدول إمكانية إبداء تحفظ على الفقرة 1 من المادة 19 في حالات معينة. وبالتالي يمكن تماما لدولة ما أن تقرر حظر تجنيد النازيين في الشرطة لأن انتماءهم إلى تنظيم يدعو إلى استعمال العنف البدني ضد جماعة من المواطنين يتعارض مع واجبات المهنة. وقد تود هذه الدولة بلا شك أن تبدي تحفظاً على الفقرة 1 وينبغي أن يسمح التعليق العام بذلك.</w:t>
      </w:r>
    </w:p>
    <w:p w:rsidR="00497BC0" w:rsidRPr="00497BC0" w:rsidRDefault="00497BC0" w:rsidP="00497BC0">
      <w:pPr>
        <w:pStyle w:val="SingleTxtGA"/>
        <w:rPr>
          <w:rFonts w:hint="cs"/>
          <w:rtl/>
        </w:rPr>
      </w:pPr>
      <w:r w:rsidRPr="00497BC0">
        <w:rPr>
          <w:rFonts w:hint="cs"/>
          <w:rtl/>
        </w:rPr>
        <w:t>14-</w:t>
      </w:r>
      <w:r w:rsidRPr="00497BC0">
        <w:rPr>
          <w:rFonts w:hint="cs"/>
          <w:rtl/>
        </w:rPr>
        <w:tab/>
      </w:r>
      <w:r w:rsidRPr="00497BC0">
        <w:rPr>
          <w:rFonts w:hint="cs"/>
          <w:b/>
          <w:bCs/>
          <w:rtl/>
        </w:rPr>
        <w:t xml:space="preserve">السيد </w:t>
      </w:r>
      <w:proofErr w:type="spellStart"/>
      <w:r w:rsidRPr="00497BC0">
        <w:rPr>
          <w:rFonts w:hint="cs"/>
          <w:b/>
          <w:bCs/>
          <w:rtl/>
        </w:rPr>
        <w:t>سالفيولي</w:t>
      </w:r>
      <w:proofErr w:type="spellEnd"/>
      <w:r w:rsidRPr="00497BC0">
        <w:rPr>
          <w:rFonts w:hint="cs"/>
          <w:rtl/>
        </w:rPr>
        <w:t xml:space="preserve"> ذكَّر بأن الفقرة 1 </w:t>
      </w:r>
      <w:proofErr w:type="spellStart"/>
      <w:r w:rsidRPr="00497BC0">
        <w:rPr>
          <w:rFonts w:hint="cs"/>
          <w:rtl/>
        </w:rPr>
        <w:t>تنص</w:t>
      </w:r>
      <w:proofErr w:type="spellEnd"/>
      <w:r w:rsidRPr="00497BC0">
        <w:rPr>
          <w:rFonts w:hint="cs"/>
          <w:rtl/>
        </w:rPr>
        <w:t xml:space="preserve"> على أنه "لا يجوز مضايقة أي شخص بسبب آرائه". ومن غير الممكن القول بأن هذه الفقرة يمكن أن تسمح بفرض قيود. وينبغي بالتالي الاحتفاظ بالفقرة 4 بصيغتها الحالية.</w:t>
      </w:r>
    </w:p>
    <w:p w:rsidR="00497BC0" w:rsidRPr="00497BC0" w:rsidRDefault="00497BC0" w:rsidP="00497BC0">
      <w:pPr>
        <w:pStyle w:val="SingleTxtGA"/>
        <w:rPr>
          <w:rFonts w:hint="cs"/>
          <w:rtl/>
        </w:rPr>
      </w:pPr>
      <w:r w:rsidRPr="00497BC0">
        <w:rPr>
          <w:rFonts w:hint="cs"/>
          <w:rtl/>
        </w:rPr>
        <w:t>15-</w:t>
      </w:r>
      <w:r w:rsidRPr="00497BC0">
        <w:rPr>
          <w:rFonts w:hint="cs"/>
          <w:rtl/>
        </w:rPr>
        <w:tab/>
      </w:r>
      <w:r w:rsidRPr="00497BC0">
        <w:rPr>
          <w:rFonts w:hint="cs"/>
          <w:b/>
          <w:bCs/>
          <w:rtl/>
        </w:rPr>
        <w:t xml:space="preserve">السير </w:t>
      </w:r>
      <w:proofErr w:type="spellStart"/>
      <w:r w:rsidRPr="00497BC0">
        <w:rPr>
          <w:rFonts w:hint="cs"/>
          <w:b/>
          <w:bCs/>
          <w:rtl/>
        </w:rPr>
        <w:t>نايجل</w:t>
      </w:r>
      <w:proofErr w:type="spellEnd"/>
      <w:r w:rsidRPr="00497BC0">
        <w:rPr>
          <w:rFonts w:hint="cs"/>
          <w:b/>
          <w:bCs/>
          <w:rtl/>
        </w:rPr>
        <w:t xml:space="preserve"> </w:t>
      </w:r>
      <w:proofErr w:type="spellStart"/>
      <w:r w:rsidRPr="00497BC0">
        <w:rPr>
          <w:rFonts w:hint="cs"/>
          <w:b/>
          <w:bCs/>
          <w:rtl/>
        </w:rPr>
        <w:t>رودلي</w:t>
      </w:r>
      <w:proofErr w:type="spellEnd"/>
      <w:r w:rsidRPr="00497BC0">
        <w:rPr>
          <w:rFonts w:hint="cs"/>
          <w:rtl/>
        </w:rPr>
        <w:t xml:space="preserve"> قال إنه لا داعي لإعادة فتح النقاش بشأن مسألة سبق للجنة أن نظرت فيها وإنه يعارض تعديل الجملة الأولى من الفقرة 4. وأوضح أن المثال الذي قدمته السيدة </w:t>
      </w:r>
      <w:proofErr w:type="spellStart"/>
      <w:r w:rsidRPr="00497BC0">
        <w:rPr>
          <w:rFonts w:hint="cs"/>
          <w:rtl/>
        </w:rPr>
        <w:t>ودجوود</w:t>
      </w:r>
      <w:proofErr w:type="spellEnd"/>
      <w:r w:rsidRPr="00497BC0">
        <w:rPr>
          <w:rFonts w:hint="cs"/>
          <w:rtl/>
        </w:rPr>
        <w:t xml:space="preserve"> يتصل بممارسة حرية التعبير وليس حرية الرأي التي تتناولها الفقرة 4.</w:t>
      </w:r>
    </w:p>
    <w:p w:rsidR="00497BC0" w:rsidRPr="00497BC0" w:rsidRDefault="00497BC0" w:rsidP="00497BC0">
      <w:pPr>
        <w:pStyle w:val="SingleTxtGA"/>
        <w:rPr>
          <w:rFonts w:hint="cs"/>
          <w:rtl/>
        </w:rPr>
      </w:pPr>
      <w:r w:rsidRPr="00497BC0">
        <w:rPr>
          <w:rFonts w:hint="cs"/>
          <w:rtl/>
        </w:rPr>
        <w:t>16-</w:t>
      </w:r>
      <w:r w:rsidRPr="00497BC0">
        <w:rPr>
          <w:rFonts w:hint="cs"/>
          <w:rtl/>
        </w:rPr>
        <w:tab/>
      </w:r>
      <w:r w:rsidRPr="00497BC0">
        <w:rPr>
          <w:rFonts w:hint="cs"/>
          <w:b/>
          <w:bCs/>
          <w:rtl/>
        </w:rPr>
        <w:t xml:space="preserve">السيدة </w:t>
      </w:r>
      <w:proofErr w:type="spellStart"/>
      <w:r w:rsidRPr="00497BC0">
        <w:rPr>
          <w:rFonts w:hint="cs"/>
          <w:b/>
          <w:bCs/>
          <w:rtl/>
        </w:rPr>
        <w:t>شانيه</w:t>
      </w:r>
      <w:proofErr w:type="spellEnd"/>
      <w:r w:rsidRPr="00497BC0">
        <w:rPr>
          <w:rFonts w:hint="cs"/>
          <w:rtl/>
        </w:rPr>
        <w:t xml:space="preserve"> قالت إنها تؤيد تماما</w:t>
      </w:r>
      <w:r w:rsidR="00C32C2E">
        <w:rPr>
          <w:rFonts w:hint="cs"/>
          <w:rtl/>
        </w:rPr>
        <w:t>ً</w:t>
      </w:r>
      <w:r w:rsidRPr="00497BC0">
        <w:rPr>
          <w:rFonts w:hint="cs"/>
          <w:rtl/>
        </w:rPr>
        <w:t xml:space="preserve"> ما قاله السير </w:t>
      </w:r>
      <w:proofErr w:type="spellStart"/>
      <w:r w:rsidRPr="00497BC0">
        <w:rPr>
          <w:rFonts w:hint="cs"/>
          <w:rtl/>
        </w:rPr>
        <w:t>نايجل</w:t>
      </w:r>
      <w:proofErr w:type="spellEnd"/>
      <w:r w:rsidRPr="00497BC0">
        <w:rPr>
          <w:rFonts w:hint="cs"/>
          <w:rtl/>
        </w:rPr>
        <w:t xml:space="preserve"> </w:t>
      </w:r>
      <w:proofErr w:type="spellStart"/>
      <w:r w:rsidRPr="00497BC0">
        <w:rPr>
          <w:rFonts w:hint="cs"/>
          <w:rtl/>
        </w:rPr>
        <w:t>رودلي</w:t>
      </w:r>
      <w:proofErr w:type="spellEnd"/>
      <w:r w:rsidRPr="00497BC0">
        <w:rPr>
          <w:rFonts w:hint="cs"/>
          <w:rtl/>
        </w:rPr>
        <w:t>. فلا تستهدف</w:t>
      </w:r>
      <w:r w:rsidR="00C32C2E">
        <w:rPr>
          <w:rFonts w:hint="cs"/>
          <w:rtl/>
        </w:rPr>
        <w:t xml:space="preserve">          </w:t>
      </w:r>
      <w:r w:rsidRPr="00497BC0">
        <w:rPr>
          <w:rFonts w:hint="cs"/>
          <w:rtl/>
        </w:rPr>
        <w:t xml:space="preserve"> الفقرة 1 من المادة 19 الحالة التي يعرب فيها شخص ما عن رأيه، وإنما تلك التي يسعى فيها طرف ثالث إلى معرفة آراء شخص ما. إن حق الشخص في عدم التعرض للمضايقة بسبب آرائه مطلق وينبغي الاحتفاظ بالنص بصيغته الحالية.</w:t>
      </w:r>
    </w:p>
    <w:p w:rsidR="00497BC0" w:rsidRPr="00497BC0" w:rsidRDefault="00497BC0" w:rsidP="00497BC0">
      <w:pPr>
        <w:pStyle w:val="SingleTxtGA"/>
        <w:rPr>
          <w:rFonts w:hint="cs"/>
          <w:rtl/>
        </w:rPr>
      </w:pPr>
      <w:r w:rsidRPr="00497BC0">
        <w:rPr>
          <w:rFonts w:hint="cs"/>
          <w:rtl/>
        </w:rPr>
        <w:t>17-</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ذكَّر بأنه ورد في التعليق العام رقم 24 أن المادة 18 (حرية الفكر والوجدان والدين) تتعلق بمسألة متصلة بالقانون الدولي العرفي وأنه لا يجوز بالتالي أن تخضع للتحفظات. وبما أن الرأي لا يمكن فصله عن الفكر، فإنه ينبغي بالتالي أن تتمتع الفقرة 1 من المادة 19 بالوضع ذاته الذي تحظى </w:t>
      </w:r>
      <w:proofErr w:type="spellStart"/>
      <w:r w:rsidRPr="00497BC0">
        <w:rPr>
          <w:rFonts w:hint="cs"/>
          <w:rtl/>
        </w:rPr>
        <w:t>به</w:t>
      </w:r>
      <w:proofErr w:type="spellEnd"/>
      <w:r w:rsidRPr="00497BC0">
        <w:rPr>
          <w:rFonts w:hint="cs"/>
          <w:rtl/>
        </w:rPr>
        <w:t xml:space="preserve"> المادة 18.</w:t>
      </w:r>
    </w:p>
    <w:p w:rsidR="00497BC0" w:rsidRPr="00497BC0" w:rsidRDefault="00497BC0" w:rsidP="00497BC0">
      <w:pPr>
        <w:pStyle w:val="SingleTxtGA"/>
        <w:rPr>
          <w:rFonts w:hint="cs"/>
          <w:rtl/>
        </w:rPr>
      </w:pPr>
      <w:r w:rsidRPr="00497BC0">
        <w:rPr>
          <w:rFonts w:hint="cs"/>
          <w:rtl/>
        </w:rPr>
        <w:t>18-</w:t>
      </w:r>
      <w:r w:rsidRPr="00497BC0">
        <w:rPr>
          <w:rFonts w:hint="cs"/>
          <w:rtl/>
        </w:rPr>
        <w:tab/>
      </w:r>
      <w:r w:rsidRPr="00497BC0">
        <w:rPr>
          <w:rFonts w:hint="cs"/>
          <w:b/>
          <w:bCs/>
          <w:rtl/>
        </w:rPr>
        <w:t>الرئيس</w:t>
      </w:r>
      <w:r w:rsidRPr="00497BC0">
        <w:rPr>
          <w:rFonts w:hint="cs"/>
          <w:rtl/>
        </w:rPr>
        <w:t xml:space="preserve"> قال إنه يعتبر أن اللجنة تؤيد نص الجملة الأولى من الفقرة 4 بصيغته الحالية، مع التعديل الذي قدمه السيد </w:t>
      </w:r>
      <w:proofErr w:type="spellStart"/>
      <w:r w:rsidRPr="00497BC0">
        <w:rPr>
          <w:rFonts w:hint="cs"/>
          <w:rtl/>
        </w:rPr>
        <w:t>أوفلاهرتي</w:t>
      </w:r>
      <w:proofErr w:type="spellEnd"/>
      <w:r w:rsidRPr="00497BC0">
        <w:rPr>
          <w:rFonts w:hint="cs"/>
          <w:rtl/>
        </w:rPr>
        <w:t xml:space="preserve"> وهو </w:t>
      </w:r>
      <w:r w:rsidRPr="00497BC0">
        <w:rPr>
          <w:rtl/>
        </w:rPr>
        <w:t xml:space="preserve">"... قد يتنافى </w:t>
      </w:r>
      <w:r w:rsidRPr="00497BC0">
        <w:rPr>
          <w:rFonts w:hint="cs"/>
          <w:rtl/>
        </w:rPr>
        <w:t xml:space="preserve">إبداء </w:t>
      </w:r>
      <w:r w:rsidRPr="00497BC0">
        <w:rPr>
          <w:rtl/>
        </w:rPr>
        <w:t>تحفظ عام على الفقرة 1 ونص العهد وروحه".</w:t>
      </w:r>
    </w:p>
    <w:p w:rsidR="00497BC0" w:rsidRPr="00497BC0" w:rsidRDefault="00497BC0" w:rsidP="00497BC0">
      <w:pPr>
        <w:pStyle w:val="SingleTxtGA"/>
        <w:rPr>
          <w:rFonts w:hint="cs"/>
          <w:rtl/>
        </w:rPr>
      </w:pPr>
      <w:r w:rsidRPr="00497BC0">
        <w:rPr>
          <w:rFonts w:hint="cs"/>
          <w:rtl/>
        </w:rPr>
        <w:t>19-</w:t>
      </w:r>
      <w:r w:rsidRPr="00497BC0">
        <w:rPr>
          <w:rFonts w:hint="cs"/>
          <w:rtl/>
        </w:rPr>
        <w:tab/>
      </w:r>
      <w:r w:rsidRPr="00497BC0">
        <w:rPr>
          <w:rFonts w:hint="cs"/>
          <w:i/>
          <w:iCs/>
          <w:rtl/>
        </w:rPr>
        <w:t>واعتُمدت الفقرة 4 بصيغتها المعدلة</w:t>
      </w:r>
      <w:r w:rsidRPr="00497BC0">
        <w:rPr>
          <w:rFonts w:hint="cs"/>
          <w:rtl/>
        </w:rPr>
        <w:t>.</w:t>
      </w:r>
    </w:p>
    <w:p w:rsidR="00497BC0" w:rsidRPr="00497BC0" w:rsidRDefault="00497BC0" w:rsidP="00497BC0">
      <w:pPr>
        <w:pStyle w:val="SingleTxtGA"/>
        <w:rPr>
          <w:rFonts w:hint="cs"/>
          <w:rtl/>
        </w:rPr>
      </w:pPr>
      <w:r w:rsidRPr="00497BC0">
        <w:rPr>
          <w:rFonts w:hint="cs"/>
          <w:rtl/>
        </w:rPr>
        <w:t>20-</w:t>
      </w:r>
      <w:r w:rsidRPr="00497BC0">
        <w:rPr>
          <w:rFonts w:hint="cs"/>
          <w:rtl/>
        </w:rPr>
        <w:tab/>
      </w:r>
      <w:r w:rsidRPr="00497BC0">
        <w:rPr>
          <w:rFonts w:hint="cs"/>
          <w:i/>
          <w:iCs/>
          <w:rtl/>
        </w:rPr>
        <w:t>واعتُمدت الفقرة 5 مؤقتا</w:t>
      </w:r>
      <w:r w:rsidR="00C32C2E">
        <w:rPr>
          <w:rFonts w:hint="cs"/>
          <w:i/>
          <w:iCs/>
          <w:rtl/>
        </w:rPr>
        <w:t>ً</w:t>
      </w:r>
      <w:r w:rsidRPr="00497BC0">
        <w:rPr>
          <w:rFonts w:hint="cs"/>
          <w:i/>
          <w:iCs/>
          <w:rtl/>
        </w:rPr>
        <w:t xml:space="preserve"> دون تعديل</w:t>
      </w:r>
      <w:r w:rsidRPr="00497BC0">
        <w:rPr>
          <w:rFonts w:hint="cs"/>
          <w:rtl/>
        </w:rPr>
        <w:t>.</w:t>
      </w:r>
    </w:p>
    <w:p w:rsidR="00497BC0" w:rsidRPr="00497BC0" w:rsidRDefault="00771BBF" w:rsidP="00771BBF">
      <w:pPr>
        <w:pStyle w:val="H4GA"/>
        <w:rPr>
          <w:rFonts w:hint="cs"/>
          <w:rtl/>
        </w:rPr>
      </w:pPr>
      <w:r>
        <w:rPr>
          <w:rFonts w:hint="cs"/>
          <w:rtl/>
        </w:rPr>
        <w:tab/>
      </w:r>
      <w:r>
        <w:rPr>
          <w:rFonts w:hint="cs"/>
          <w:rtl/>
        </w:rPr>
        <w:tab/>
      </w:r>
      <w:r w:rsidR="00497BC0" w:rsidRPr="00497BC0">
        <w:rPr>
          <w:rFonts w:hint="cs"/>
          <w:rtl/>
        </w:rPr>
        <w:t>الفقرة 6</w:t>
      </w:r>
    </w:p>
    <w:p w:rsidR="00497BC0" w:rsidRPr="00497BC0" w:rsidRDefault="00497BC0" w:rsidP="00497BC0">
      <w:pPr>
        <w:pStyle w:val="SingleTxtGA"/>
        <w:rPr>
          <w:rFonts w:hint="cs"/>
          <w:rtl/>
        </w:rPr>
      </w:pPr>
      <w:r w:rsidRPr="00497BC0">
        <w:rPr>
          <w:rFonts w:hint="cs"/>
          <w:rtl/>
        </w:rPr>
        <w:t>21-</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اقترح إتمام الجملة الأخيرة من الفقرة بحيث يرد فيها النص المقتبس من الفقرة 8 من التعليق العام رقم 31 بكامله. وسيكون نص الجملة الأخيرة كما يلي: "ينبغي أيضا أن تحرص الدولة الطرف على توفير الحماية للأفراد من أي فعل يرتكبه الأشخاص المستقلون، الطبيعيون أو </w:t>
      </w:r>
      <w:proofErr w:type="spellStart"/>
      <w:r w:rsidRPr="00497BC0">
        <w:rPr>
          <w:rFonts w:hint="cs"/>
          <w:rtl/>
        </w:rPr>
        <w:t>الاعتباريون</w:t>
      </w:r>
      <w:proofErr w:type="spellEnd"/>
      <w:r w:rsidRPr="00497BC0">
        <w:rPr>
          <w:rFonts w:hint="cs"/>
          <w:rtl/>
        </w:rPr>
        <w:t xml:space="preserve">، قد يمس بممارسة حرية الرأي وحرية التعبير </w:t>
      </w:r>
      <w:r w:rsidRPr="00497BC0">
        <w:rPr>
          <w:rFonts w:hint="cs"/>
          <w:i/>
          <w:iCs/>
          <w:rtl/>
        </w:rPr>
        <w:t>حيث</w:t>
      </w:r>
      <w:r w:rsidRPr="00497BC0">
        <w:rPr>
          <w:rFonts w:hint="cs"/>
          <w:rtl/>
        </w:rPr>
        <w:t xml:space="preserve"> </w:t>
      </w:r>
      <w:proofErr w:type="spellStart"/>
      <w:r w:rsidRPr="00497BC0">
        <w:rPr>
          <w:rFonts w:hint="cs"/>
          <w:rtl/>
        </w:rPr>
        <w:t>تنطبقان</w:t>
      </w:r>
      <w:proofErr w:type="spellEnd"/>
      <w:r w:rsidRPr="00497BC0">
        <w:rPr>
          <w:rFonts w:hint="cs"/>
          <w:rtl/>
        </w:rPr>
        <w:t xml:space="preserve"> في أوساط الأشخاص المستقلين الطبيعيين أو الاعتباريين".</w:t>
      </w:r>
    </w:p>
    <w:p w:rsidR="00497BC0" w:rsidRPr="00497BC0" w:rsidRDefault="00497BC0" w:rsidP="00497BC0">
      <w:pPr>
        <w:pStyle w:val="SingleTxtGA"/>
        <w:rPr>
          <w:rFonts w:hint="cs"/>
          <w:rtl/>
        </w:rPr>
      </w:pPr>
      <w:r w:rsidRPr="00497BC0">
        <w:rPr>
          <w:rFonts w:hint="cs"/>
          <w:rtl/>
        </w:rPr>
        <w:t>22-</w:t>
      </w:r>
      <w:r w:rsidRPr="00497BC0">
        <w:rPr>
          <w:rFonts w:hint="cs"/>
          <w:rtl/>
        </w:rPr>
        <w:tab/>
      </w:r>
      <w:r w:rsidRPr="00497BC0">
        <w:rPr>
          <w:rFonts w:hint="cs"/>
          <w:b/>
          <w:bCs/>
          <w:rtl/>
        </w:rPr>
        <w:t xml:space="preserve">السيدة </w:t>
      </w:r>
      <w:proofErr w:type="spellStart"/>
      <w:r w:rsidRPr="00497BC0">
        <w:rPr>
          <w:rFonts w:hint="cs"/>
          <w:b/>
          <w:bCs/>
          <w:rtl/>
        </w:rPr>
        <w:t>ودجوود</w:t>
      </w:r>
      <w:proofErr w:type="spellEnd"/>
      <w:r w:rsidRPr="00497BC0">
        <w:rPr>
          <w:rFonts w:hint="cs"/>
          <w:rtl/>
        </w:rPr>
        <w:t xml:space="preserve"> وافقت على الإضافة التي اقترحها السيد </w:t>
      </w:r>
      <w:proofErr w:type="spellStart"/>
      <w:r w:rsidRPr="00497BC0">
        <w:rPr>
          <w:rFonts w:hint="cs"/>
          <w:rtl/>
        </w:rPr>
        <w:t>أوفلاهرتي</w:t>
      </w:r>
      <w:proofErr w:type="spellEnd"/>
      <w:r w:rsidRPr="00497BC0">
        <w:rPr>
          <w:rFonts w:hint="cs"/>
          <w:rtl/>
        </w:rPr>
        <w:t xml:space="preserve"> عدا استعمال الضمير "</w:t>
      </w:r>
      <w:proofErr w:type="spellStart"/>
      <w:r w:rsidRPr="00497BC0">
        <w:t>elles</w:t>
      </w:r>
      <w:proofErr w:type="spellEnd"/>
      <w:r w:rsidRPr="00497BC0">
        <w:rPr>
          <w:rFonts w:hint="cs"/>
          <w:rtl/>
        </w:rPr>
        <w:t xml:space="preserve">"، الذي قد يجد القارئ صعوبة في إدراك أنه يشير إلى حريتي الرأي والتعبير وقد يكون بالتالي من الأفضل توضيح ذلك. وبالإضافة إلى ذلك، ينبغي، على سبيل التقيد بالعبارات المستخدمة في الفقرة 8 من التعليق العام رقم 31 تكرار عبارة "الحقوق المعترف </w:t>
      </w:r>
      <w:proofErr w:type="spellStart"/>
      <w:r w:rsidRPr="00497BC0">
        <w:rPr>
          <w:rFonts w:hint="cs"/>
          <w:rtl/>
        </w:rPr>
        <w:t>بها</w:t>
      </w:r>
      <w:proofErr w:type="spellEnd"/>
      <w:r w:rsidRPr="00497BC0">
        <w:rPr>
          <w:rFonts w:hint="cs"/>
          <w:rtl/>
        </w:rPr>
        <w:t xml:space="preserve"> في العهد" هنا.</w:t>
      </w:r>
    </w:p>
    <w:p w:rsidR="00497BC0" w:rsidRPr="00497BC0" w:rsidRDefault="00497BC0" w:rsidP="00497BC0">
      <w:pPr>
        <w:pStyle w:val="SingleTxtGA"/>
        <w:rPr>
          <w:rFonts w:hint="cs"/>
          <w:rtl/>
        </w:rPr>
      </w:pPr>
      <w:r w:rsidRPr="00497BC0">
        <w:rPr>
          <w:rFonts w:hint="cs"/>
          <w:rtl/>
        </w:rPr>
        <w:t>23-</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قال إن النص </w:t>
      </w:r>
      <w:proofErr w:type="spellStart"/>
      <w:r w:rsidRPr="00497BC0">
        <w:rPr>
          <w:rFonts w:hint="cs"/>
          <w:rtl/>
        </w:rPr>
        <w:t>سينتسخ</w:t>
      </w:r>
      <w:proofErr w:type="spellEnd"/>
      <w:r w:rsidRPr="00497BC0">
        <w:rPr>
          <w:rFonts w:hint="cs"/>
          <w:rtl/>
        </w:rPr>
        <w:t xml:space="preserve"> بالضبط صياغة الفقرة 8 من التعليق العام رقم 31.</w:t>
      </w:r>
    </w:p>
    <w:p w:rsidR="00497BC0" w:rsidRPr="00497BC0" w:rsidRDefault="00497BC0" w:rsidP="00497BC0">
      <w:pPr>
        <w:pStyle w:val="SingleTxtGA"/>
        <w:rPr>
          <w:rFonts w:hint="cs"/>
          <w:rtl/>
        </w:rPr>
      </w:pPr>
      <w:r w:rsidRPr="00497BC0">
        <w:rPr>
          <w:rFonts w:hint="cs"/>
          <w:rtl/>
        </w:rPr>
        <w:t>24-</w:t>
      </w:r>
      <w:r w:rsidRPr="00497BC0">
        <w:rPr>
          <w:rFonts w:hint="cs"/>
          <w:rtl/>
        </w:rPr>
        <w:tab/>
      </w:r>
      <w:r w:rsidRPr="00497BC0">
        <w:rPr>
          <w:rFonts w:hint="cs"/>
          <w:b/>
          <w:bCs/>
          <w:rtl/>
        </w:rPr>
        <w:t>الرئيس</w:t>
      </w:r>
      <w:r w:rsidRPr="00497BC0">
        <w:rPr>
          <w:rFonts w:hint="cs"/>
          <w:rtl/>
        </w:rPr>
        <w:t xml:space="preserve"> قال إنه لا يؤيد الجزم الوارد في الجملة الثانية من الفقرة بأن المؤسسات شبه العامة تقع عليها بدورها مسؤولية الدولة الطرف، فلا النظرية التقليدية المتعلقة بمسؤولية الدول ولا تعليق اللجنة العام رقم 31 يشيران إلى المؤسسات شبه العامة.</w:t>
      </w:r>
    </w:p>
    <w:p w:rsidR="00497BC0" w:rsidRPr="00497BC0" w:rsidRDefault="00497BC0" w:rsidP="00497BC0">
      <w:pPr>
        <w:pStyle w:val="SingleTxtGA"/>
        <w:rPr>
          <w:rFonts w:hint="cs"/>
          <w:rtl/>
        </w:rPr>
      </w:pPr>
      <w:r w:rsidRPr="00497BC0">
        <w:rPr>
          <w:rFonts w:hint="cs"/>
          <w:rtl/>
        </w:rPr>
        <w:t>25-</w:t>
      </w:r>
      <w:r w:rsidRPr="00497BC0">
        <w:rPr>
          <w:rFonts w:hint="cs"/>
          <w:rtl/>
        </w:rPr>
        <w:tab/>
      </w:r>
      <w:r w:rsidRPr="00497BC0">
        <w:rPr>
          <w:rFonts w:hint="cs"/>
          <w:b/>
          <w:bCs/>
          <w:rtl/>
        </w:rPr>
        <w:t>السيد عمر</w:t>
      </w:r>
      <w:r w:rsidRPr="00497BC0">
        <w:rPr>
          <w:rFonts w:hint="cs"/>
          <w:rtl/>
        </w:rPr>
        <w:t xml:space="preserve"> قال إن مفهوم المؤسسات شبه العامة قابل للتفسير لأنه لا يعني نفس الشيء في كل مكان وإنه قد يكون من الأفضل التكلم عن مؤسسات يشارك فيها القطاع العام. وعلاوة على ذلك، يوجد في بلدان عديدة هيئات إدارية مستقلة غير تابعة لا للسلطة التنفيذية ولا للسلطة التشريعية، تتمتع بالاستقلال الذاتي وتُكلف بأداء بعض المهام؛ وينبغي الإشارة إليها بإضافة العبارات "... بما في ذلك المؤسسات التي يشارك فيها القطاع العام والهيئات الإدارية المستقلة ...".</w:t>
      </w:r>
    </w:p>
    <w:p w:rsidR="00497BC0" w:rsidRPr="00497BC0" w:rsidRDefault="00497BC0" w:rsidP="00497BC0">
      <w:pPr>
        <w:pStyle w:val="SingleTxtGA"/>
        <w:rPr>
          <w:rFonts w:hint="cs"/>
          <w:rtl/>
        </w:rPr>
      </w:pPr>
      <w:r w:rsidRPr="00497BC0">
        <w:rPr>
          <w:rFonts w:hint="cs"/>
          <w:rtl/>
        </w:rPr>
        <w:t>26-</w:t>
      </w:r>
      <w:r w:rsidRPr="00497BC0">
        <w:rPr>
          <w:rFonts w:hint="cs"/>
          <w:rtl/>
        </w:rPr>
        <w:tab/>
      </w:r>
      <w:r w:rsidRPr="00497BC0">
        <w:rPr>
          <w:rFonts w:hint="cs"/>
          <w:b/>
          <w:bCs/>
          <w:rtl/>
        </w:rPr>
        <w:t xml:space="preserve">السيد </w:t>
      </w:r>
      <w:proofErr w:type="spellStart"/>
      <w:r w:rsidRPr="00497BC0">
        <w:rPr>
          <w:rFonts w:hint="cs"/>
          <w:b/>
          <w:bCs/>
          <w:rtl/>
        </w:rPr>
        <w:t>سالفيولي</w:t>
      </w:r>
      <w:proofErr w:type="spellEnd"/>
      <w:r w:rsidRPr="00497BC0">
        <w:rPr>
          <w:rFonts w:hint="cs"/>
          <w:rtl/>
        </w:rPr>
        <w:t xml:space="preserve"> قال إنه من الضروري الاحتفاظ بالفكرة التي مؤداها أن مسؤولية الدول الأطراف قد تندرج ضمنها انتهاكات حقوق الإنسان التي ترتكبها أطراف عدا وكلائها أو سلطاتها.</w:t>
      </w:r>
    </w:p>
    <w:p w:rsidR="00497BC0" w:rsidRPr="00497BC0" w:rsidRDefault="00497BC0" w:rsidP="00497BC0">
      <w:pPr>
        <w:pStyle w:val="SingleTxtGA"/>
        <w:rPr>
          <w:rFonts w:hint="cs"/>
          <w:rtl/>
        </w:rPr>
      </w:pPr>
      <w:r w:rsidRPr="00497BC0">
        <w:rPr>
          <w:rFonts w:hint="cs"/>
          <w:rtl/>
        </w:rPr>
        <w:t>27-</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ليس لديه أي اعتراض على تسمية "المؤسسات شبه العامة" بأي اسم آخر تراه اللجنة أنسب. فما يهم هو أن يشار بشكل صريح إلى هذه الكيانات التي ليست عامة كليا ولا خاصة كليا.</w:t>
      </w:r>
    </w:p>
    <w:p w:rsidR="00497BC0" w:rsidRPr="00497BC0" w:rsidRDefault="00497BC0" w:rsidP="00497BC0">
      <w:pPr>
        <w:pStyle w:val="SingleTxtGA"/>
        <w:rPr>
          <w:rFonts w:hint="cs"/>
          <w:rtl/>
        </w:rPr>
      </w:pPr>
      <w:r w:rsidRPr="00497BC0">
        <w:rPr>
          <w:rFonts w:hint="cs"/>
          <w:rtl/>
        </w:rPr>
        <w:t>28-</w:t>
      </w:r>
      <w:r w:rsidRPr="00497BC0">
        <w:rPr>
          <w:rFonts w:hint="cs"/>
          <w:rtl/>
        </w:rPr>
        <w:tab/>
      </w:r>
      <w:r w:rsidRPr="00497BC0">
        <w:rPr>
          <w:rFonts w:hint="cs"/>
          <w:b/>
          <w:bCs/>
          <w:rtl/>
        </w:rPr>
        <w:t xml:space="preserve">السير </w:t>
      </w:r>
      <w:proofErr w:type="spellStart"/>
      <w:r w:rsidRPr="00497BC0">
        <w:rPr>
          <w:rFonts w:hint="cs"/>
          <w:b/>
          <w:bCs/>
          <w:rtl/>
        </w:rPr>
        <w:t>نايجل</w:t>
      </w:r>
      <w:proofErr w:type="spellEnd"/>
      <w:r w:rsidRPr="00497BC0">
        <w:rPr>
          <w:rFonts w:hint="cs"/>
          <w:b/>
          <w:bCs/>
          <w:rtl/>
        </w:rPr>
        <w:t xml:space="preserve"> </w:t>
      </w:r>
      <w:proofErr w:type="spellStart"/>
      <w:r w:rsidRPr="00497BC0">
        <w:rPr>
          <w:rFonts w:hint="cs"/>
          <w:b/>
          <w:bCs/>
          <w:rtl/>
        </w:rPr>
        <w:t>رودلي</w:t>
      </w:r>
      <w:proofErr w:type="spellEnd"/>
      <w:r w:rsidRPr="00497BC0">
        <w:rPr>
          <w:rFonts w:hint="cs"/>
          <w:rtl/>
        </w:rPr>
        <w:t xml:space="preserve"> قال إنه ينبغي أن تشكل الإشارة إلى هذه الكيانات، إذا احتُفِظ </w:t>
      </w:r>
      <w:proofErr w:type="spellStart"/>
      <w:r w:rsidRPr="00497BC0">
        <w:rPr>
          <w:rFonts w:hint="cs"/>
          <w:rtl/>
        </w:rPr>
        <w:t>بها</w:t>
      </w:r>
      <w:proofErr w:type="spellEnd"/>
      <w:r w:rsidRPr="00497BC0">
        <w:rPr>
          <w:rFonts w:hint="cs"/>
          <w:rtl/>
        </w:rPr>
        <w:t>، جملة منفصلة تضاف بعد الجملة الثانية ويمكن أن يكون نصها كالتالي: "كما يمكن، في ظروف معينة، أن تندرج ضمن هذه المسؤولية أنشطة ..."، وينبغي الاستعاضة عن نقط الوقوف بالعبارة المستعملة عادة للإشارة إلى هذا النوع من الكيانات.</w:t>
      </w:r>
    </w:p>
    <w:p w:rsidR="00497BC0" w:rsidRPr="00497BC0" w:rsidRDefault="00497BC0" w:rsidP="00497BC0">
      <w:pPr>
        <w:pStyle w:val="SingleTxtGA"/>
        <w:rPr>
          <w:rFonts w:hint="cs"/>
          <w:rtl/>
        </w:rPr>
      </w:pPr>
      <w:r w:rsidRPr="00497BC0">
        <w:rPr>
          <w:rFonts w:hint="cs"/>
          <w:rtl/>
        </w:rPr>
        <w:t>29-</w:t>
      </w:r>
      <w:r w:rsidRPr="00497BC0">
        <w:rPr>
          <w:rFonts w:hint="cs"/>
          <w:rtl/>
        </w:rPr>
        <w:tab/>
      </w:r>
      <w:r w:rsidRPr="00497BC0">
        <w:rPr>
          <w:rFonts w:hint="cs"/>
          <w:i/>
          <w:iCs/>
          <w:rtl/>
        </w:rPr>
        <w:t>وقد قُبِل الاقتراح</w:t>
      </w:r>
      <w:r w:rsidRPr="00497BC0">
        <w:rPr>
          <w:rFonts w:hint="cs"/>
          <w:rtl/>
        </w:rPr>
        <w:t>.</w:t>
      </w:r>
    </w:p>
    <w:p w:rsidR="00497BC0" w:rsidRPr="00497BC0" w:rsidRDefault="00C32C2E" w:rsidP="00C32C2E">
      <w:pPr>
        <w:pStyle w:val="H4GA"/>
        <w:rPr>
          <w:rFonts w:hint="cs"/>
          <w:rtl/>
        </w:rPr>
      </w:pPr>
      <w:r>
        <w:rPr>
          <w:rFonts w:hint="cs"/>
          <w:rtl/>
        </w:rPr>
        <w:tab/>
      </w:r>
      <w:r>
        <w:rPr>
          <w:rFonts w:hint="cs"/>
          <w:rtl/>
        </w:rPr>
        <w:tab/>
      </w:r>
      <w:r w:rsidR="00497BC0" w:rsidRPr="00497BC0">
        <w:rPr>
          <w:rFonts w:hint="cs"/>
          <w:rtl/>
        </w:rPr>
        <w:t>الفقرة 7</w:t>
      </w:r>
    </w:p>
    <w:p w:rsidR="00497BC0" w:rsidRPr="00497BC0" w:rsidRDefault="00497BC0" w:rsidP="00497BC0">
      <w:pPr>
        <w:pStyle w:val="SingleTxtGA"/>
        <w:rPr>
          <w:rFonts w:hint="cs"/>
          <w:rtl/>
        </w:rPr>
      </w:pPr>
      <w:r w:rsidRPr="00497BC0">
        <w:rPr>
          <w:rFonts w:hint="cs"/>
          <w:rtl/>
        </w:rPr>
        <w:t>30-</w:t>
      </w:r>
      <w:r w:rsidRPr="00497BC0">
        <w:rPr>
          <w:rFonts w:hint="cs"/>
          <w:rtl/>
        </w:rPr>
        <w:tab/>
      </w:r>
      <w:r w:rsidRPr="00497BC0">
        <w:rPr>
          <w:rFonts w:hint="cs"/>
          <w:b/>
          <w:bCs/>
          <w:rtl/>
        </w:rPr>
        <w:t>الرئيس</w:t>
      </w:r>
      <w:r w:rsidRPr="00497BC0">
        <w:rPr>
          <w:rFonts w:hint="cs"/>
          <w:rtl/>
        </w:rPr>
        <w:t xml:space="preserve"> قال إنه غير مقتنع بضرورة الاحتفاظ بهذه الفقرة، التي تكتفي بالتذكير بالمبادئ العامة للتعليق العام رقم 31. ولكي يكون التعليق العام على المادة 19 مفيدا</w:t>
      </w:r>
      <w:r w:rsidR="00C32C2E">
        <w:rPr>
          <w:rFonts w:hint="cs"/>
          <w:rtl/>
        </w:rPr>
        <w:t>ً</w:t>
      </w:r>
      <w:r w:rsidRPr="00497BC0">
        <w:rPr>
          <w:rFonts w:hint="cs"/>
          <w:rtl/>
        </w:rPr>
        <w:t>، ينبغي أن يكون قصيرا</w:t>
      </w:r>
      <w:r w:rsidR="00C32C2E">
        <w:rPr>
          <w:rFonts w:hint="cs"/>
          <w:rtl/>
        </w:rPr>
        <w:t>ً</w:t>
      </w:r>
      <w:r w:rsidRPr="00497BC0">
        <w:rPr>
          <w:rFonts w:hint="cs"/>
          <w:rtl/>
        </w:rPr>
        <w:t xml:space="preserve"> قدر الإمكان.</w:t>
      </w:r>
    </w:p>
    <w:p w:rsidR="00497BC0" w:rsidRPr="00497BC0" w:rsidRDefault="00497BC0" w:rsidP="00497BC0">
      <w:pPr>
        <w:pStyle w:val="SingleTxtGA"/>
        <w:rPr>
          <w:rFonts w:hint="cs"/>
          <w:rtl/>
        </w:rPr>
      </w:pPr>
      <w:r w:rsidRPr="00497BC0">
        <w:rPr>
          <w:rFonts w:hint="cs"/>
          <w:rtl/>
        </w:rPr>
        <w:t>31-</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قال إنه يعتقد على العكس من ذلك أن أوجز الكلام ليس دائما أفضله. فالتعليقات العامة الأحدث عهداً للجنة شاملة جدا</w:t>
      </w:r>
      <w:r w:rsidR="00C32C2E">
        <w:rPr>
          <w:rFonts w:hint="cs"/>
          <w:rtl/>
        </w:rPr>
        <w:t>ً</w:t>
      </w:r>
      <w:r w:rsidRPr="00497BC0">
        <w:rPr>
          <w:rFonts w:hint="cs"/>
          <w:rtl/>
        </w:rPr>
        <w:t>،</w:t>
      </w:r>
      <w:r w:rsidR="00C32C2E">
        <w:rPr>
          <w:rFonts w:hint="cs"/>
          <w:rtl/>
        </w:rPr>
        <w:t xml:space="preserve">         </w:t>
      </w:r>
      <w:r w:rsidRPr="00497BC0">
        <w:rPr>
          <w:rFonts w:hint="cs"/>
          <w:rtl/>
        </w:rPr>
        <w:t xml:space="preserve"> ما يجعلها أكثر إلزاماً. وقد يكون من المفيد تذكير الدول على هذا النحو بالتزاماتها.</w:t>
      </w:r>
    </w:p>
    <w:p w:rsidR="00497BC0" w:rsidRPr="00497BC0" w:rsidRDefault="00497BC0" w:rsidP="00497BC0">
      <w:pPr>
        <w:pStyle w:val="SingleTxtGA"/>
        <w:rPr>
          <w:rFonts w:hint="cs"/>
          <w:rtl/>
        </w:rPr>
      </w:pPr>
      <w:r w:rsidRPr="00497BC0">
        <w:rPr>
          <w:rFonts w:hint="cs"/>
          <w:rtl/>
        </w:rPr>
        <w:t>32-</w:t>
      </w:r>
      <w:r w:rsidRPr="00497BC0">
        <w:rPr>
          <w:rFonts w:hint="cs"/>
          <w:rtl/>
        </w:rPr>
        <w:tab/>
      </w:r>
      <w:r w:rsidRPr="00497BC0">
        <w:rPr>
          <w:rFonts w:hint="cs"/>
          <w:b/>
          <w:bCs/>
          <w:rtl/>
        </w:rPr>
        <w:t xml:space="preserve">السيد </w:t>
      </w:r>
      <w:proofErr w:type="spellStart"/>
      <w:r w:rsidRPr="00497BC0">
        <w:rPr>
          <w:rFonts w:hint="cs"/>
          <w:b/>
          <w:bCs/>
          <w:rtl/>
        </w:rPr>
        <w:t>لالاه</w:t>
      </w:r>
      <w:proofErr w:type="spellEnd"/>
      <w:r w:rsidRPr="00497BC0">
        <w:rPr>
          <w:rFonts w:hint="cs"/>
          <w:rtl/>
        </w:rPr>
        <w:t xml:space="preserve"> أبدى موافقته على هذا الرأي.</w:t>
      </w:r>
    </w:p>
    <w:p w:rsidR="00497BC0" w:rsidRPr="00497BC0" w:rsidRDefault="00497BC0" w:rsidP="00497BC0">
      <w:pPr>
        <w:pStyle w:val="SingleTxtGA"/>
        <w:rPr>
          <w:rFonts w:hint="cs"/>
          <w:rtl/>
        </w:rPr>
      </w:pPr>
      <w:r w:rsidRPr="00497BC0">
        <w:rPr>
          <w:rFonts w:hint="cs"/>
          <w:rtl/>
        </w:rPr>
        <w:t>33-</w:t>
      </w:r>
      <w:r w:rsidRPr="00497BC0">
        <w:rPr>
          <w:rFonts w:hint="cs"/>
          <w:rtl/>
        </w:rPr>
        <w:tab/>
      </w:r>
      <w:r w:rsidRPr="00497BC0">
        <w:rPr>
          <w:rFonts w:hint="cs"/>
          <w:b/>
          <w:bCs/>
          <w:rtl/>
        </w:rPr>
        <w:t xml:space="preserve">السير </w:t>
      </w:r>
      <w:proofErr w:type="spellStart"/>
      <w:r w:rsidRPr="00497BC0">
        <w:rPr>
          <w:rFonts w:hint="cs"/>
          <w:b/>
          <w:bCs/>
          <w:rtl/>
        </w:rPr>
        <w:t>نايجل</w:t>
      </w:r>
      <w:proofErr w:type="spellEnd"/>
      <w:r w:rsidRPr="00497BC0">
        <w:rPr>
          <w:rFonts w:hint="cs"/>
          <w:b/>
          <w:bCs/>
          <w:rtl/>
        </w:rPr>
        <w:t xml:space="preserve"> </w:t>
      </w:r>
      <w:proofErr w:type="spellStart"/>
      <w:r w:rsidRPr="00497BC0">
        <w:rPr>
          <w:rFonts w:hint="cs"/>
          <w:b/>
          <w:bCs/>
          <w:rtl/>
        </w:rPr>
        <w:t>رودلي</w:t>
      </w:r>
      <w:proofErr w:type="spellEnd"/>
      <w:r w:rsidRPr="00497BC0">
        <w:rPr>
          <w:rFonts w:hint="cs"/>
          <w:rtl/>
        </w:rPr>
        <w:t xml:space="preserve"> اقترح تقديم هذا التذكير بطريقة ذات نبرة إلزامية أخف، وذلك على سبيل المثال بقول إنه "يعود إليها" أمر الحرص على أن تُكرَّس الحقوق المنصوص عليها في المادة 19 من العهد في قانونها المحلي، عِوض القول بأنه "ينبغي" أن تحرص على ذلك.</w:t>
      </w:r>
    </w:p>
    <w:p w:rsidR="00497BC0" w:rsidRPr="00497BC0" w:rsidRDefault="00497BC0" w:rsidP="00497BC0">
      <w:pPr>
        <w:pStyle w:val="SingleTxtGA"/>
        <w:rPr>
          <w:rFonts w:hint="cs"/>
          <w:rtl/>
        </w:rPr>
      </w:pPr>
      <w:r w:rsidRPr="00497BC0">
        <w:rPr>
          <w:rFonts w:hint="cs"/>
          <w:rtl/>
        </w:rPr>
        <w:t>34-</w:t>
      </w:r>
      <w:r w:rsidRPr="00497BC0">
        <w:rPr>
          <w:rFonts w:hint="cs"/>
          <w:rtl/>
        </w:rPr>
        <w:tab/>
      </w:r>
      <w:r w:rsidRPr="00497BC0">
        <w:rPr>
          <w:rFonts w:hint="cs"/>
          <w:i/>
          <w:iCs/>
          <w:rtl/>
        </w:rPr>
        <w:t>واعتُمدت الفقرة 7 بصيغتها المعدلة</w:t>
      </w:r>
      <w:r w:rsidRPr="00497BC0">
        <w:rPr>
          <w:rFonts w:hint="cs"/>
          <w:rtl/>
        </w:rPr>
        <w:t>.</w:t>
      </w:r>
    </w:p>
    <w:p w:rsidR="00497BC0" w:rsidRPr="00497BC0" w:rsidRDefault="00C32C2E" w:rsidP="00C32C2E">
      <w:pPr>
        <w:pStyle w:val="H4GA"/>
        <w:rPr>
          <w:rFonts w:hint="cs"/>
          <w:rtl/>
        </w:rPr>
      </w:pPr>
      <w:r>
        <w:rPr>
          <w:rFonts w:hint="cs"/>
          <w:rtl/>
        </w:rPr>
        <w:tab/>
      </w:r>
      <w:r>
        <w:rPr>
          <w:rFonts w:hint="cs"/>
          <w:rtl/>
        </w:rPr>
        <w:tab/>
      </w:r>
      <w:r w:rsidR="00497BC0" w:rsidRPr="00497BC0">
        <w:rPr>
          <w:rFonts w:hint="cs"/>
          <w:rtl/>
        </w:rPr>
        <w:t>الفقرة 8</w:t>
      </w:r>
    </w:p>
    <w:p w:rsidR="00497BC0" w:rsidRPr="00497BC0" w:rsidRDefault="00497BC0" w:rsidP="00497BC0">
      <w:pPr>
        <w:pStyle w:val="SingleTxtGA"/>
        <w:rPr>
          <w:rFonts w:hint="cs"/>
          <w:rtl/>
        </w:rPr>
      </w:pPr>
      <w:r w:rsidRPr="00497BC0">
        <w:rPr>
          <w:rFonts w:hint="cs"/>
          <w:rtl/>
        </w:rPr>
        <w:t>35-</w:t>
      </w:r>
      <w:r w:rsidRPr="00497BC0">
        <w:rPr>
          <w:rFonts w:hint="cs"/>
          <w:rtl/>
        </w:rPr>
        <w:tab/>
      </w:r>
      <w:r w:rsidRPr="00497BC0">
        <w:rPr>
          <w:rFonts w:hint="cs"/>
          <w:b/>
          <w:bCs/>
          <w:rtl/>
        </w:rPr>
        <w:t xml:space="preserve">السيدة </w:t>
      </w:r>
      <w:proofErr w:type="spellStart"/>
      <w:r w:rsidRPr="00497BC0">
        <w:rPr>
          <w:rFonts w:hint="cs"/>
          <w:b/>
          <w:bCs/>
          <w:rtl/>
        </w:rPr>
        <w:t>ماجودينا</w:t>
      </w:r>
      <w:proofErr w:type="spellEnd"/>
      <w:r w:rsidRPr="00497BC0">
        <w:rPr>
          <w:rFonts w:hint="cs"/>
          <w:rtl/>
        </w:rPr>
        <w:t xml:space="preserve"> تساءلت عما إذا كان الأمر يتعلق في هذه الفقرة أيضا</w:t>
      </w:r>
      <w:r w:rsidR="00C32C2E">
        <w:rPr>
          <w:rFonts w:hint="cs"/>
          <w:rtl/>
        </w:rPr>
        <w:t>ً</w:t>
      </w:r>
      <w:r w:rsidRPr="00497BC0">
        <w:rPr>
          <w:rFonts w:hint="cs"/>
          <w:rtl/>
        </w:rPr>
        <w:t xml:space="preserve"> بتذكير. وقالت إنه بالأحرى اقتراح على ما يبدو، حيث قيل إنه "يُفترض" أن تقدم الدول معلومات.</w:t>
      </w:r>
    </w:p>
    <w:p w:rsidR="00497BC0" w:rsidRPr="00497BC0" w:rsidRDefault="00497BC0" w:rsidP="00497BC0">
      <w:pPr>
        <w:pStyle w:val="SingleTxtGA"/>
        <w:rPr>
          <w:rFonts w:hint="cs"/>
          <w:rtl/>
        </w:rPr>
      </w:pPr>
      <w:r w:rsidRPr="00497BC0">
        <w:rPr>
          <w:rFonts w:hint="cs"/>
          <w:rtl/>
        </w:rPr>
        <w:t>36-</w:t>
      </w:r>
      <w:r w:rsidRPr="00497BC0">
        <w:rPr>
          <w:rFonts w:hint="cs"/>
          <w:rtl/>
        </w:rPr>
        <w:tab/>
      </w:r>
      <w:r w:rsidRPr="00497BC0">
        <w:rPr>
          <w:rFonts w:hint="cs"/>
          <w:b/>
          <w:bCs/>
          <w:rtl/>
        </w:rPr>
        <w:t>الرئيس</w:t>
      </w:r>
      <w:r w:rsidRPr="00497BC0">
        <w:rPr>
          <w:rFonts w:hint="cs"/>
          <w:rtl/>
        </w:rPr>
        <w:t xml:space="preserve"> تساءل في هذه الحالة أيضا عن جدوى الاحتفاظ بهذه الفقرة، التي تذكِّر بقاعدة تنطبق على جميع الحقوق الواردة في العهد.</w:t>
      </w:r>
    </w:p>
    <w:p w:rsidR="00497BC0" w:rsidRPr="00497BC0" w:rsidRDefault="00497BC0" w:rsidP="00497BC0">
      <w:pPr>
        <w:pStyle w:val="SingleTxtGA"/>
        <w:rPr>
          <w:rFonts w:hint="cs"/>
          <w:rtl/>
        </w:rPr>
      </w:pPr>
      <w:r w:rsidRPr="00497BC0">
        <w:rPr>
          <w:rFonts w:hint="cs"/>
          <w:rtl/>
        </w:rPr>
        <w:t>37-</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أوضح بأن كل التعليقات العامة للجنة تقريبا تتضمن هذا التذكير، وذلك على وجه التحديد لأن الهدف الأساسي المتوخى منها هو "مساعدة الدول الأطراف على الوفاء بما يقع عليها من التزام بتقديم تقارير". فهي إذن فقرة تقليدية من المناسب الاحتفاظ </w:t>
      </w:r>
      <w:proofErr w:type="spellStart"/>
      <w:r w:rsidRPr="00497BC0">
        <w:rPr>
          <w:rFonts w:hint="cs"/>
          <w:rtl/>
        </w:rPr>
        <w:t>بها</w:t>
      </w:r>
      <w:proofErr w:type="spellEnd"/>
      <w:r w:rsidRPr="00497BC0">
        <w:rPr>
          <w:rFonts w:hint="cs"/>
          <w:rtl/>
        </w:rPr>
        <w:t>. أمّا استخدام الصيغة غير القطعية، فلا يلبي في هذه الحالة غرضا معيَّناً؛ فهو الخيار المعتمد في التعليق العام رقم 27 المتعلق بالمادة 12. ويمكن، على غرار ما حصل في الفقرة السابقة، اعتماد صيغة أكثر حيادا</w:t>
      </w:r>
      <w:r w:rsidR="00C32C2E">
        <w:rPr>
          <w:rFonts w:hint="cs"/>
          <w:rtl/>
        </w:rPr>
        <w:t>ً</w:t>
      </w:r>
      <w:r w:rsidRPr="00497BC0">
        <w:rPr>
          <w:rFonts w:hint="cs"/>
          <w:rtl/>
        </w:rPr>
        <w:t>، من قبيل: "تجدر الإشارة إلى أن الدول الأطراف من المفترض أن</w:t>
      </w:r>
      <w:r w:rsidR="00C32C2E">
        <w:rPr>
          <w:rFonts w:hint="cs"/>
          <w:rtl/>
        </w:rPr>
        <w:t xml:space="preserve"> </w:t>
      </w:r>
      <w:r w:rsidRPr="00497BC0">
        <w:rPr>
          <w:rFonts w:hint="cs"/>
          <w:rtl/>
        </w:rPr>
        <w:t>..."، واستعمال صيغة الشرط أيضا في الجملة الأخيرة.</w:t>
      </w:r>
    </w:p>
    <w:p w:rsidR="00497BC0" w:rsidRPr="00497BC0" w:rsidRDefault="00497BC0" w:rsidP="00497BC0">
      <w:pPr>
        <w:pStyle w:val="SingleTxtGA"/>
        <w:rPr>
          <w:rFonts w:hint="cs"/>
          <w:rtl/>
        </w:rPr>
      </w:pPr>
      <w:r w:rsidRPr="00497BC0">
        <w:rPr>
          <w:rFonts w:hint="cs"/>
          <w:rtl/>
        </w:rPr>
        <w:t>38-</w:t>
      </w:r>
      <w:r w:rsidRPr="00497BC0">
        <w:rPr>
          <w:rFonts w:hint="cs"/>
          <w:rtl/>
        </w:rPr>
        <w:tab/>
      </w:r>
      <w:r w:rsidRPr="00497BC0">
        <w:rPr>
          <w:rFonts w:hint="cs"/>
          <w:b/>
          <w:bCs/>
          <w:rtl/>
        </w:rPr>
        <w:t>السيد عمر</w:t>
      </w:r>
      <w:r w:rsidRPr="00497BC0">
        <w:rPr>
          <w:rFonts w:hint="cs"/>
          <w:rtl/>
        </w:rPr>
        <w:t xml:space="preserve"> اقترح استبدال عبارة "الممارسات على صعيد البرامج" بعبارة "الممارسات على صعيد القطاعات".</w:t>
      </w:r>
    </w:p>
    <w:p w:rsidR="00497BC0" w:rsidRPr="00497BC0" w:rsidRDefault="00497BC0" w:rsidP="00497BC0">
      <w:pPr>
        <w:pStyle w:val="SingleTxtGA"/>
        <w:rPr>
          <w:rFonts w:hint="cs"/>
          <w:rtl/>
        </w:rPr>
      </w:pPr>
      <w:r w:rsidRPr="00497BC0">
        <w:rPr>
          <w:rFonts w:hint="cs"/>
          <w:rtl/>
        </w:rPr>
        <w:t>39-</w:t>
      </w:r>
      <w:r w:rsidRPr="00497BC0">
        <w:rPr>
          <w:rFonts w:hint="cs"/>
          <w:rtl/>
        </w:rPr>
        <w:tab/>
      </w:r>
      <w:r w:rsidRPr="00497BC0">
        <w:rPr>
          <w:rFonts w:hint="cs"/>
          <w:b/>
          <w:bCs/>
          <w:rtl/>
        </w:rPr>
        <w:t xml:space="preserve">السيد </w:t>
      </w:r>
      <w:proofErr w:type="spellStart"/>
      <w:r w:rsidRPr="00497BC0">
        <w:rPr>
          <w:rFonts w:hint="cs"/>
          <w:b/>
          <w:bCs/>
          <w:rtl/>
        </w:rPr>
        <w:t>باغواتي</w:t>
      </w:r>
      <w:proofErr w:type="spellEnd"/>
      <w:r w:rsidRPr="00497BC0">
        <w:rPr>
          <w:rFonts w:hint="cs"/>
          <w:rtl/>
        </w:rPr>
        <w:t xml:space="preserve"> أضاف أنه ينبغي استبدال عبارة "الممارسات القضائية" بعبارة "القرارات القضائية".</w:t>
      </w:r>
    </w:p>
    <w:p w:rsidR="00497BC0" w:rsidRPr="00497BC0" w:rsidRDefault="00497BC0" w:rsidP="00C32C2E">
      <w:pPr>
        <w:pStyle w:val="SingleTxtGA"/>
        <w:rPr>
          <w:rFonts w:hint="cs"/>
          <w:rtl/>
        </w:rPr>
      </w:pPr>
      <w:r w:rsidRPr="00497BC0">
        <w:rPr>
          <w:rFonts w:hint="cs"/>
          <w:rtl/>
        </w:rPr>
        <w:t>40-</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وافق على هذين الاقتراحين. وسيكون إذن النص الجديد للفقرة 8 كما يلي: "تجدر الإشارة إلى أن</w:t>
      </w:r>
      <w:r w:rsidR="00921EF4">
        <w:rPr>
          <w:rFonts w:hint="cs"/>
          <w:rtl/>
        </w:rPr>
        <w:t>ه</w:t>
      </w:r>
      <w:r w:rsidRPr="00497BC0">
        <w:rPr>
          <w:rFonts w:hint="cs"/>
          <w:rtl/>
        </w:rPr>
        <w:t xml:space="preserve"> يُفترض أن تقدم الدول الأطراف في تقاريرها الدورية إلى اللجنة معلومات بشأن الأحكام التشريعية والممارسات الإدارية والقرارات القضائية المحلية، وكذلك بشأن الممارسات المتصلة بالسياسات العامة وبالقطاعات، فيما يتعلق بالحقوق التي تحميها المادة 19، آخذةً في الاعتبار المسائل المتناولة في هذا التعليق العام. كما يُفترض أن تورد معلومات بشأن سبل الانتصاف المتاحة في حالة انتهاك</w:t>
      </w:r>
      <w:r w:rsidR="00C32C2E">
        <w:rPr>
          <w:rFonts w:hint="cs"/>
          <w:rtl/>
        </w:rPr>
        <w:t xml:space="preserve">        </w:t>
      </w:r>
      <w:r w:rsidRPr="00497BC0">
        <w:rPr>
          <w:rFonts w:hint="cs"/>
          <w:rtl/>
        </w:rPr>
        <w:t xml:space="preserve"> هذه الحقوق".</w:t>
      </w:r>
    </w:p>
    <w:p w:rsidR="00497BC0" w:rsidRPr="00497BC0" w:rsidRDefault="00497BC0" w:rsidP="00497BC0">
      <w:pPr>
        <w:pStyle w:val="SingleTxtGA"/>
        <w:rPr>
          <w:rFonts w:hint="cs"/>
          <w:rtl/>
        </w:rPr>
      </w:pPr>
      <w:r w:rsidRPr="00497BC0">
        <w:rPr>
          <w:rFonts w:hint="cs"/>
          <w:rtl/>
        </w:rPr>
        <w:t>41-</w:t>
      </w:r>
      <w:r w:rsidRPr="00497BC0">
        <w:rPr>
          <w:rFonts w:hint="cs"/>
          <w:rtl/>
        </w:rPr>
        <w:tab/>
      </w:r>
      <w:r w:rsidRPr="00497BC0">
        <w:rPr>
          <w:rFonts w:hint="cs"/>
          <w:i/>
          <w:iCs/>
          <w:rtl/>
        </w:rPr>
        <w:t>واعتُمدت الفقرة 8 بصيغتها المعدلة</w:t>
      </w:r>
      <w:r w:rsidRPr="00497BC0">
        <w:rPr>
          <w:rFonts w:hint="cs"/>
          <w:rtl/>
        </w:rPr>
        <w:t>.</w:t>
      </w:r>
    </w:p>
    <w:p w:rsidR="00497BC0" w:rsidRPr="00497BC0" w:rsidRDefault="00C32C2E" w:rsidP="00C32C2E">
      <w:pPr>
        <w:pStyle w:val="H4GA"/>
        <w:rPr>
          <w:rFonts w:hint="cs"/>
          <w:rtl/>
        </w:rPr>
      </w:pPr>
      <w:r>
        <w:rPr>
          <w:rFonts w:hint="cs"/>
          <w:rtl/>
        </w:rPr>
        <w:tab/>
      </w:r>
      <w:r>
        <w:rPr>
          <w:rFonts w:hint="cs"/>
          <w:rtl/>
        </w:rPr>
        <w:tab/>
      </w:r>
      <w:r w:rsidR="00497BC0" w:rsidRPr="00497BC0">
        <w:rPr>
          <w:rFonts w:hint="cs"/>
          <w:rtl/>
        </w:rPr>
        <w:t>الفقرة 9</w:t>
      </w:r>
    </w:p>
    <w:p w:rsidR="00497BC0" w:rsidRPr="00497BC0" w:rsidRDefault="00497BC0" w:rsidP="00497BC0">
      <w:pPr>
        <w:pStyle w:val="SingleTxtGA"/>
        <w:rPr>
          <w:rFonts w:hint="cs"/>
          <w:rtl/>
        </w:rPr>
      </w:pPr>
      <w:r w:rsidRPr="00497BC0">
        <w:rPr>
          <w:rFonts w:hint="cs"/>
          <w:rtl/>
        </w:rPr>
        <w:t>42-</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أوضح أن هذه الفقرة تتعلق حصرا</w:t>
      </w:r>
      <w:r w:rsidR="00C32C2E">
        <w:rPr>
          <w:rFonts w:hint="cs"/>
          <w:rtl/>
        </w:rPr>
        <w:t>ً</w:t>
      </w:r>
      <w:r w:rsidRPr="00497BC0">
        <w:rPr>
          <w:rFonts w:hint="cs"/>
          <w:rtl/>
        </w:rPr>
        <w:t xml:space="preserve"> بحرية الرأي. وها هنا يمكن لاقتراحات السيد عمر بشأن المعتقدات السياسية أو الدينية أن تجد مكانها. ويقوم هذا الفرع المتعلق بحرية الرأي على المبادئ الجوهرية للتعليق العام رقم 10 وكذلك على ما يترتب على البلاغات المتعلقة بالموضوع. وسوابق اللجنة بشأن حرية الرأي محدودة جدا</w:t>
      </w:r>
      <w:r w:rsidR="00C32C2E">
        <w:rPr>
          <w:rFonts w:hint="cs"/>
          <w:rtl/>
        </w:rPr>
        <w:t>ً</w:t>
      </w:r>
      <w:r w:rsidRPr="00497BC0">
        <w:rPr>
          <w:rFonts w:hint="cs"/>
          <w:rtl/>
        </w:rPr>
        <w:t>. وترد الإشارة في هذه الفقرة أساسا</w:t>
      </w:r>
      <w:r w:rsidR="00C32C2E">
        <w:rPr>
          <w:rFonts w:hint="cs"/>
          <w:rtl/>
        </w:rPr>
        <w:t>ً</w:t>
      </w:r>
      <w:r w:rsidRPr="00497BC0">
        <w:rPr>
          <w:rFonts w:hint="cs"/>
          <w:rtl/>
        </w:rPr>
        <w:t xml:space="preserve"> إلى قضيتي </w:t>
      </w:r>
      <w:proofErr w:type="spellStart"/>
      <w:r w:rsidRPr="00C32C2E">
        <w:rPr>
          <w:rFonts w:hint="cs"/>
          <w:i/>
          <w:iCs/>
          <w:rtl/>
        </w:rPr>
        <w:t>كانغ</w:t>
      </w:r>
      <w:proofErr w:type="spellEnd"/>
      <w:r w:rsidRPr="00C32C2E">
        <w:rPr>
          <w:rFonts w:hint="cs"/>
          <w:i/>
          <w:iCs/>
          <w:rtl/>
        </w:rPr>
        <w:t xml:space="preserve"> </w:t>
      </w:r>
      <w:proofErr w:type="spellStart"/>
      <w:r w:rsidRPr="00C32C2E">
        <w:rPr>
          <w:rFonts w:hint="cs"/>
          <w:i/>
          <w:iCs/>
          <w:rtl/>
        </w:rPr>
        <w:t>وفوريسون</w:t>
      </w:r>
      <w:proofErr w:type="spellEnd"/>
      <w:r w:rsidRPr="00497BC0">
        <w:rPr>
          <w:rFonts w:hint="cs"/>
          <w:rtl/>
        </w:rPr>
        <w:t>.</w:t>
      </w:r>
    </w:p>
    <w:p w:rsidR="00497BC0" w:rsidRPr="00497BC0" w:rsidRDefault="00497BC0" w:rsidP="00497BC0">
      <w:pPr>
        <w:pStyle w:val="SingleTxtGA"/>
        <w:rPr>
          <w:rFonts w:hint="cs"/>
          <w:rtl/>
        </w:rPr>
      </w:pPr>
      <w:r w:rsidRPr="00497BC0">
        <w:rPr>
          <w:rFonts w:hint="cs"/>
          <w:rtl/>
        </w:rPr>
        <w:t>43-</w:t>
      </w:r>
      <w:r w:rsidRPr="00497BC0">
        <w:rPr>
          <w:rFonts w:hint="cs"/>
          <w:rtl/>
        </w:rPr>
        <w:tab/>
      </w:r>
      <w:r w:rsidRPr="00497BC0">
        <w:rPr>
          <w:rFonts w:hint="cs"/>
          <w:b/>
          <w:bCs/>
          <w:rtl/>
        </w:rPr>
        <w:t xml:space="preserve">السيدة </w:t>
      </w:r>
      <w:proofErr w:type="spellStart"/>
      <w:r w:rsidRPr="00497BC0">
        <w:rPr>
          <w:rFonts w:hint="cs"/>
          <w:b/>
          <w:bCs/>
          <w:rtl/>
        </w:rPr>
        <w:t>شانيه</w:t>
      </w:r>
      <w:proofErr w:type="spellEnd"/>
      <w:r w:rsidRPr="00497BC0">
        <w:rPr>
          <w:rFonts w:hint="cs"/>
          <w:rtl/>
        </w:rPr>
        <w:t xml:space="preserve"> اقترحت إعادة صياغة الفقرة بطريقة أكثر منطقية، ولا </w:t>
      </w:r>
      <w:proofErr w:type="spellStart"/>
      <w:r w:rsidRPr="00497BC0">
        <w:rPr>
          <w:rFonts w:hint="cs"/>
          <w:rtl/>
        </w:rPr>
        <w:t>سيما</w:t>
      </w:r>
      <w:proofErr w:type="spellEnd"/>
      <w:r w:rsidRPr="00497BC0">
        <w:rPr>
          <w:rFonts w:hint="cs"/>
          <w:rtl/>
        </w:rPr>
        <w:t xml:space="preserve"> بعكس الجملتين الرابعة والخامسة، بحيث يبتدئ الكلام بالحديث عما يشكل حرية الرأي، ثم أشكال الرأي الواجب حمايتها، وأخيرا انتهاكات هذا الحق. كما اقترحت الإشارة في الجملة ما قبل الأخيرة أولا إلى "التوقيف أو الاحتجاز أو المحاكمة أو الحبس" وإضافة </w:t>
      </w:r>
      <w:r w:rsidRPr="00C32C2E">
        <w:rPr>
          <w:rFonts w:hint="cs"/>
          <w:i/>
          <w:iCs/>
          <w:rtl/>
        </w:rPr>
        <w:t>"</w:t>
      </w:r>
      <w:r w:rsidRPr="00497BC0">
        <w:rPr>
          <w:rFonts w:hint="cs"/>
          <w:i/>
          <w:iCs/>
          <w:rtl/>
        </w:rPr>
        <w:t>وكذلك</w:t>
      </w:r>
      <w:r w:rsidRPr="00497BC0">
        <w:rPr>
          <w:rFonts w:hint="cs"/>
          <w:rtl/>
        </w:rPr>
        <w:t xml:space="preserve"> المضايقة</w:t>
      </w:r>
      <w:r w:rsidR="00C32C2E">
        <w:rPr>
          <w:rFonts w:hint="cs"/>
          <w:rtl/>
        </w:rPr>
        <w:t xml:space="preserve">         </w:t>
      </w:r>
      <w:r w:rsidRPr="00497BC0">
        <w:rPr>
          <w:rFonts w:hint="cs"/>
          <w:rtl/>
        </w:rPr>
        <w:t xml:space="preserve"> أو التخويف"، لإقرار نوع من </w:t>
      </w:r>
      <w:proofErr w:type="spellStart"/>
      <w:r w:rsidRPr="00497BC0">
        <w:rPr>
          <w:rFonts w:hint="cs"/>
          <w:rtl/>
        </w:rPr>
        <w:t>التراتبية</w:t>
      </w:r>
      <w:proofErr w:type="spellEnd"/>
      <w:r w:rsidRPr="00497BC0">
        <w:rPr>
          <w:rFonts w:hint="cs"/>
          <w:rtl/>
        </w:rPr>
        <w:t xml:space="preserve"> - حيث أن هذين الشكلين الأخيرين من الانتهاك أقل خطورة مما سبقهما - وإضافة "الوصم" أيضاً.</w:t>
      </w:r>
    </w:p>
    <w:p w:rsidR="00497BC0" w:rsidRPr="00497BC0" w:rsidRDefault="00497BC0" w:rsidP="00497BC0">
      <w:pPr>
        <w:pStyle w:val="SingleTxtGA"/>
        <w:rPr>
          <w:rFonts w:hint="cs"/>
          <w:rtl/>
        </w:rPr>
      </w:pPr>
      <w:r w:rsidRPr="00497BC0">
        <w:rPr>
          <w:rFonts w:hint="cs"/>
          <w:rtl/>
        </w:rPr>
        <w:t>44-</w:t>
      </w:r>
      <w:r w:rsidRPr="00497BC0">
        <w:rPr>
          <w:rFonts w:hint="cs"/>
          <w:rtl/>
        </w:rPr>
        <w:tab/>
      </w:r>
      <w:r w:rsidRPr="00497BC0">
        <w:rPr>
          <w:rFonts w:hint="cs"/>
          <w:b/>
          <w:bCs/>
          <w:rtl/>
        </w:rPr>
        <w:t xml:space="preserve">السيد </w:t>
      </w:r>
      <w:proofErr w:type="spellStart"/>
      <w:r w:rsidRPr="00497BC0">
        <w:rPr>
          <w:rFonts w:hint="cs"/>
          <w:b/>
          <w:bCs/>
          <w:rtl/>
        </w:rPr>
        <w:t>ريفاس</w:t>
      </w:r>
      <w:proofErr w:type="spellEnd"/>
      <w:r w:rsidRPr="00497BC0">
        <w:rPr>
          <w:rFonts w:hint="cs"/>
          <w:b/>
          <w:bCs/>
          <w:rtl/>
        </w:rPr>
        <w:t xml:space="preserve"> </w:t>
      </w:r>
      <w:proofErr w:type="spellStart"/>
      <w:r w:rsidRPr="00497BC0">
        <w:rPr>
          <w:rFonts w:hint="cs"/>
          <w:b/>
          <w:bCs/>
          <w:rtl/>
        </w:rPr>
        <w:t>بوسادا</w:t>
      </w:r>
      <w:proofErr w:type="spellEnd"/>
      <w:r w:rsidRPr="00497BC0">
        <w:rPr>
          <w:rFonts w:hint="cs"/>
          <w:rtl/>
        </w:rPr>
        <w:t xml:space="preserve"> قال إنه ينبغي أن يُوضَّح في الجملة الأولى أن الأمر يتعلق بالفقرة 1 من المادة 19.</w:t>
      </w:r>
    </w:p>
    <w:p w:rsidR="00497BC0" w:rsidRPr="00497BC0" w:rsidRDefault="00497BC0" w:rsidP="00497BC0">
      <w:pPr>
        <w:pStyle w:val="SingleTxtGA"/>
        <w:rPr>
          <w:rFonts w:hint="cs"/>
          <w:rtl/>
        </w:rPr>
      </w:pPr>
      <w:r w:rsidRPr="00497BC0">
        <w:rPr>
          <w:rFonts w:hint="cs"/>
          <w:rtl/>
        </w:rPr>
        <w:t>45-</w:t>
      </w:r>
      <w:r w:rsidRPr="00497BC0">
        <w:rPr>
          <w:rFonts w:hint="cs"/>
          <w:rtl/>
        </w:rPr>
        <w:tab/>
      </w:r>
      <w:r w:rsidRPr="00497BC0">
        <w:rPr>
          <w:rFonts w:hint="cs"/>
          <w:b/>
          <w:bCs/>
          <w:rtl/>
        </w:rPr>
        <w:t xml:space="preserve">السيد </w:t>
      </w:r>
      <w:proofErr w:type="spellStart"/>
      <w:r w:rsidRPr="00497BC0">
        <w:rPr>
          <w:rFonts w:hint="cs"/>
          <w:b/>
          <w:bCs/>
          <w:rtl/>
        </w:rPr>
        <w:t>ب</w:t>
      </w:r>
      <w:r w:rsidR="00C32C2E">
        <w:rPr>
          <w:rFonts w:hint="cs"/>
          <w:b/>
          <w:bCs/>
          <w:rtl/>
        </w:rPr>
        <w:t>و</w:t>
      </w:r>
      <w:r w:rsidRPr="00497BC0">
        <w:rPr>
          <w:rFonts w:hint="cs"/>
          <w:b/>
          <w:bCs/>
          <w:rtl/>
        </w:rPr>
        <w:t>زيد</w:t>
      </w:r>
      <w:proofErr w:type="spellEnd"/>
      <w:r w:rsidRPr="00497BC0">
        <w:rPr>
          <w:rFonts w:hint="cs"/>
          <w:rtl/>
        </w:rPr>
        <w:t xml:space="preserve"> اقترح إتمام الجملة الثالثة بعبارات "بكل حرية": "تشمل حرية الرأي حق الشخص في تغيير رأيه </w:t>
      </w:r>
      <w:r w:rsidRPr="00497BC0">
        <w:rPr>
          <w:rFonts w:hint="cs"/>
          <w:i/>
          <w:iCs/>
          <w:rtl/>
        </w:rPr>
        <w:t>بكل حرية</w:t>
      </w:r>
      <w:r w:rsidRPr="00497BC0">
        <w:rPr>
          <w:rFonts w:hint="cs"/>
          <w:rtl/>
        </w:rPr>
        <w:t xml:space="preserve"> عندما يرغب في ذلك، وفي الاتجاه الذي يود".</w:t>
      </w:r>
    </w:p>
    <w:p w:rsidR="00497BC0" w:rsidRPr="00497BC0" w:rsidRDefault="00497BC0" w:rsidP="00497BC0">
      <w:pPr>
        <w:pStyle w:val="SingleTxtGA"/>
        <w:rPr>
          <w:rFonts w:hint="cs"/>
          <w:rtl/>
        </w:rPr>
      </w:pPr>
      <w:r w:rsidRPr="00497BC0">
        <w:rPr>
          <w:rFonts w:hint="cs"/>
          <w:rtl/>
        </w:rPr>
        <w:t>46-</w:t>
      </w:r>
      <w:r w:rsidRPr="00497BC0">
        <w:rPr>
          <w:rFonts w:hint="cs"/>
          <w:rtl/>
        </w:rPr>
        <w:tab/>
      </w:r>
      <w:r w:rsidRPr="00497BC0">
        <w:rPr>
          <w:rFonts w:hint="cs"/>
          <w:b/>
          <w:bCs/>
          <w:rtl/>
        </w:rPr>
        <w:t xml:space="preserve">السيد </w:t>
      </w:r>
      <w:proofErr w:type="spellStart"/>
      <w:r w:rsidRPr="00497BC0">
        <w:rPr>
          <w:rFonts w:hint="cs"/>
          <w:b/>
          <w:bCs/>
          <w:rtl/>
        </w:rPr>
        <w:t>باغواتي</w:t>
      </w:r>
      <w:proofErr w:type="spellEnd"/>
      <w:r w:rsidRPr="00497BC0">
        <w:rPr>
          <w:rFonts w:hint="cs"/>
          <w:rtl/>
        </w:rPr>
        <w:t xml:space="preserve"> اقترح استبدال عبارة "في الاتجاه الذي يود" بعبارة </w:t>
      </w:r>
      <w:r w:rsidRPr="00497BC0">
        <w:rPr>
          <w:rFonts w:hint="cs"/>
          <w:i/>
          <w:iCs/>
          <w:rtl/>
        </w:rPr>
        <w:t>"كما يشاء"</w:t>
      </w:r>
      <w:r w:rsidRPr="00497BC0">
        <w:rPr>
          <w:rFonts w:hint="cs"/>
          <w:rtl/>
        </w:rPr>
        <w:t>.</w:t>
      </w:r>
    </w:p>
    <w:p w:rsidR="00497BC0" w:rsidRPr="00497BC0" w:rsidRDefault="00497BC0" w:rsidP="00497BC0">
      <w:pPr>
        <w:pStyle w:val="SingleTxtGA"/>
        <w:rPr>
          <w:rFonts w:hint="cs"/>
          <w:rtl/>
        </w:rPr>
      </w:pPr>
      <w:r w:rsidRPr="00497BC0">
        <w:rPr>
          <w:rFonts w:hint="cs"/>
          <w:rtl/>
        </w:rPr>
        <w:t>47-</w:t>
      </w:r>
      <w:r w:rsidRPr="00497BC0">
        <w:rPr>
          <w:rFonts w:hint="cs"/>
          <w:rtl/>
        </w:rPr>
        <w:tab/>
      </w:r>
      <w:r w:rsidRPr="00497BC0">
        <w:rPr>
          <w:rFonts w:hint="cs"/>
          <w:b/>
          <w:bCs/>
          <w:rtl/>
        </w:rPr>
        <w:t>السيد عمر</w:t>
      </w:r>
      <w:r w:rsidRPr="00497BC0">
        <w:rPr>
          <w:rFonts w:hint="cs"/>
          <w:rtl/>
        </w:rPr>
        <w:t xml:space="preserve"> أعرب عن موافقته على إعادة الصياغة التي اقترحتها السيدة </w:t>
      </w:r>
      <w:proofErr w:type="spellStart"/>
      <w:r w:rsidRPr="00497BC0">
        <w:rPr>
          <w:rFonts w:hint="cs"/>
          <w:rtl/>
        </w:rPr>
        <w:t>شانيه</w:t>
      </w:r>
      <w:proofErr w:type="spellEnd"/>
      <w:r w:rsidRPr="00497BC0">
        <w:rPr>
          <w:rFonts w:hint="cs"/>
          <w:rtl/>
        </w:rPr>
        <w:t>. وأبدى رغبته في أن تضاف عبارات "</w:t>
      </w:r>
      <w:r w:rsidRPr="00497BC0">
        <w:rPr>
          <w:rFonts w:hint="cs"/>
          <w:i/>
          <w:iCs/>
          <w:rtl/>
        </w:rPr>
        <w:t>الآراء الحقيقية أو المتصوَّرة أو المفترضة</w:t>
      </w:r>
      <w:r w:rsidRPr="00497BC0">
        <w:rPr>
          <w:rFonts w:hint="cs"/>
          <w:rtl/>
        </w:rPr>
        <w:t xml:space="preserve">" في الجملة الرابعة. وتساءل بالإضافة إلى ذلك عما إذا وجب تقسيم الفقرة إلى </w:t>
      </w:r>
      <w:proofErr w:type="spellStart"/>
      <w:r w:rsidRPr="00497BC0">
        <w:rPr>
          <w:rFonts w:hint="cs"/>
          <w:rtl/>
        </w:rPr>
        <w:t>شطرين</w:t>
      </w:r>
      <w:proofErr w:type="spellEnd"/>
      <w:r w:rsidRPr="00497BC0">
        <w:rPr>
          <w:rFonts w:hint="cs"/>
          <w:rtl/>
        </w:rPr>
        <w:t>.</w:t>
      </w:r>
    </w:p>
    <w:p w:rsidR="00497BC0" w:rsidRPr="00497BC0" w:rsidRDefault="00497BC0" w:rsidP="00497BC0">
      <w:pPr>
        <w:pStyle w:val="SingleTxtGA"/>
        <w:rPr>
          <w:rFonts w:hint="cs"/>
          <w:rtl/>
        </w:rPr>
      </w:pPr>
      <w:r w:rsidRPr="00497BC0">
        <w:rPr>
          <w:rFonts w:hint="cs"/>
          <w:rtl/>
        </w:rPr>
        <w:t>48-</w:t>
      </w:r>
      <w:r w:rsidRPr="00497BC0">
        <w:rPr>
          <w:rFonts w:hint="cs"/>
          <w:rtl/>
        </w:rPr>
        <w:tab/>
      </w:r>
      <w:r w:rsidRPr="00497BC0">
        <w:rPr>
          <w:rFonts w:hint="cs"/>
          <w:b/>
          <w:bCs/>
          <w:rtl/>
        </w:rPr>
        <w:t xml:space="preserve">السيد </w:t>
      </w:r>
      <w:proofErr w:type="spellStart"/>
      <w:r w:rsidRPr="00497BC0">
        <w:rPr>
          <w:rFonts w:hint="cs"/>
          <w:b/>
          <w:bCs/>
          <w:rtl/>
        </w:rPr>
        <w:t>أوفلاهرتي</w:t>
      </w:r>
      <w:proofErr w:type="spellEnd"/>
      <w:r w:rsidRPr="00497BC0">
        <w:rPr>
          <w:rFonts w:hint="cs"/>
          <w:rtl/>
        </w:rPr>
        <w:t xml:space="preserve"> (المقرر المعني بالتعليق العام) وافق على اقتراح السيدة </w:t>
      </w:r>
      <w:proofErr w:type="spellStart"/>
      <w:r w:rsidRPr="00497BC0">
        <w:rPr>
          <w:rFonts w:hint="cs"/>
          <w:rtl/>
        </w:rPr>
        <w:t>شانيه</w:t>
      </w:r>
      <w:proofErr w:type="spellEnd"/>
      <w:r w:rsidRPr="00497BC0">
        <w:rPr>
          <w:rFonts w:hint="cs"/>
          <w:rtl/>
        </w:rPr>
        <w:t xml:space="preserve"> وعلى جميع التعديلات المقترحة فيما يتعلق بالصياغة. وبالمقابل، لم يؤيد فكرة تقسيم الفقرة إلى </w:t>
      </w:r>
      <w:proofErr w:type="spellStart"/>
      <w:r w:rsidRPr="00497BC0">
        <w:rPr>
          <w:rFonts w:hint="cs"/>
          <w:rtl/>
        </w:rPr>
        <w:t>شطرين</w:t>
      </w:r>
      <w:proofErr w:type="spellEnd"/>
      <w:r w:rsidRPr="00497BC0">
        <w:rPr>
          <w:rFonts w:hint="cs"/>
          <w:rtl/>
        </w:rPr>
        <w:t>، لأنهما سيكونان قصيرين أكثر من اللازم.</w:t>
      </w:r>
    </w:p>
    <w:p w:rsidR="00497BC0" w:rsidRPr="00497BC0" w:rsidRDefault="00497BC0" w:rsidP="00497BC0">
      <w:pPr>
        <w:pStyle w:val="SingleTxtGA"/>
        <w:rPr>
          <w:rFonts w:hint="cs"/>
          <w:rtl/>
        </w:rPr>
      </w:pPr>
      <w:r w:rsidRPr="00497BC0">
        <w:rPr>
          <w:rFonts w:hint="cs"/>
          <w:rtl/>
        </w:rPr>
        <w:t>49-</w:t>
      </w:r>
      <w:r w:rsidRPr="00497BC0">
        <w:rPr>
          <w:rFonts w:hint="cs"/>
          <w:rtl/>
        </w:rPr>
        <w:tab/>
      </w:r>
      <w:r w:rsidRPr="00497BC0">
        <w:rPr>
          <w:rFonts w:hint="cs"/>
          <w:i/>
          <w:iCs/>
          <w:rtl/>
        </w:rPr>
        <w:t>واعتُمدت الفقرة 9 بصيغتها المعدلة</w:t>
      </w:r>
      <w:r w:rsidRPr="00497BC0">
        <w:rPr>
          <w:rFonts w:hint="cs"/>
          <w:rtl/>
        </w:rPr>
        <w:t>.</w:t>
      </w:r>
    </w:p>
    <w:p w:rsidR="00497BC0" w:rsidRPr="00497BC0" w:rsidRDefault="003A7809" w:rsidP="003A7809">
      <w:pPr>
        <w:pStyle w:val="H4GA"/>
        <w:rPr>
          <w:rFonts w:hint="cs"/>
          <w:rtl/>
        </w:rPr>
      </w:pPr>
      <w:r>
        <w:rPr>
          <w:rFonts w:hint="cs"/>
          <w:rtl/>
        </w:rPr>
        <w:tab/>
      </w:r>
      <w:r>
        <w:rPr>
          <w:rFonts w:hint="cs"/>
          <w:rtl/>
        </w:rPr>
        <w:tab/>
      </w:r>
      <w:r w:rsidR="00497BC0" w:rsidRPr="00497BC0">
        <w:rPr>
          <w:rFonts w:hint="cs"/>
          <w:rtl/>
        </w:rPr>
        <w:t>رُفعت الجلسة الساعة 10/13</w:t>
      </w:r>
    </w:p>
    <w:p w:rsidR="00497BC0" w:rsidRPr="00497BC0" w:rsidRDefault="00497BC0" w:rsidP="00497BC0">
      <w:pPr>
        <w:spacing w:before="120"/>
        <w:jc w:val="center"/>
        <w:rPr>
          <w:rFonts w:hint="cs"/>
          <w:u w:val="single"/>
          <w:rtl/>
        </w:rPr>
      </w:pPr>
      <w:r>
        <w:rPr>
          <w:u w:val="single"/>
          <w:rtl/>
        </w:rPr>
        <w:tab/>
      </w:r>
      <w:r>
        <w:rPr>
          <w:u w:val="single"/>
          <w:rtl/>
        </w:rPr>
        <w:tab/>
      </w:r>
      <w:r>
        <w:rPr>
          <w:u w:val="single"/>
          <w:rtl/>
        </w:rPr>
        <w:tab/>
      </w:r>
    </w:p>
    <w:sectPr w:rsidR="00497BC0" w:rsidRPr="00497BC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5B7" w:rsidRPr="00FE6865" w:rsidRDefault="00F035B7" w:rsidP="00FE6865">
      <w:pPr>
        <w:pStyle w:val="Footer"/>
      </w:pPr>
    </w:p>
  </w:endnote>
  <w:endnote w:type="continuationSeparator" w:id="0">
    <w:p w:rsidR="00F035B7" w:rsidRDefault="00F03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21B" w:rsidRPr="004F221B" w:rsidRDefault="004F221B" w:rsidP="004F221B">
    <w:pPr>
      <w:pStyle w:val="Footer"/>
      <w:tabs>
        <w:tab w:val="right" w:pos="9598"/>
      </w:tabs>
    </w:pPr>
    <w:r>
      <w:t>GE</w:t>
    </w:r>
    <w:r>
      <w:rPr>
        <w:rtl/>
      </w:rPr>
      <w:t>.</w:t>
    </w:r>
    <w:r>
      <w:t>09</w:t>
    </w:r>
    <w:r>
      <w:rPr>
        <w:rtl/>
      </w:rPr>
      <w:t>-</w:t>
    </w:r>
    <w:r>
      <w:t>45812</w:t>
    </w:r>
    <w:r>
      <w:rPr>
        <w:rtl/>
      </w:rPr>
      <w:tab/>
    </w:r>
    <w:r w:rsidRPr="004F221B">
      <w:rPr>
        <w:b/>
        <w:sz w:val="18"/>
      </w:rPr>
      <w:fldChar w:fldCharType="begin"/>
    </w:r>
    <w:r w:rsidRPr="004F221B">
      <w:rPr>
        <w:b/>
        <w:sz w:val="18"/>
        <w:rtl/>
      </w:rPr>
      <w:instrText xml:space="preserve"> </w:instrText>
    </w:r>
    <w:r w:rsidRPr="004F221B">
      <w:rPr>
        <w:b/>
        <w:sz w:val="18"/>
      </w:rPr>
      <w:instrText>PAGE</w:instrText>
    </w:r>
    <w:r w:rsidRPr="004F221B">
      <w:rPr>
        <w:b/>
        <w:sz w:val="18"/>
        <w:rtl/>
      </w:rPr>
      <w:instrText xml:space="preserve">  \* </w:instrText>
    </w:r>
    <w:r w:rsidRPr="004F221B">
      <w:rPr>
        <w:b/>
        <w:sz w:val="18"/>
      </w:rPr>
      <w:instrText>MERGEFORMAT</w:instrText>
    </w:r>
    <w:r w:rsidRPr="004F221B">
      <w:rPr>
        <w:b/>
        <w:sz w:val="18"/>
        <w:rtl/>
      </w:rPr>
      <w:instrText xml:space="preserve"> </w:instrText>
    </w:r>
    <w:r w:rsidRPr="004F221B">
      <w:rPr>
        <w:b/>
        <w:sz w:val="18"/>
      </w:rPr>
      <w:fldChar w:fldCharType="separate"/>
    </w:r>
    <w:r w:rsidR="00041728">
      <w:rPr>
        <w:b/>
        <w:noProof/>
        <w:sz w:val="18"/>
      </w:rPr>
      <w:t>6</w:t>
    </w:r>
    <w:r w:rsidRPr="004F221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21B" w:rsidRPr="004F221B" w:rsidRDefault="004F221B" w:rsidP="004F221B">
    <w:pPr>
      <w:pStyle w:val="Footer"/>
      <w:tabs>
        <w:tab w:val="right" w:pos="9598"/>
      </w:tabs>
      <w:rPr>
        <w:b/>
        <w:sz w:val="18"/>
      </w:rPr>
    </w:pPr>
    <w:r w:rsidRPr="004F221B">
      <w:rPr>
        <w:b/>
        <w:sz w:val="18"/>
        <w:rtl/>
      </w:rPr>
      <w:fldChar w:fldCharType="begin"/>
    </w:r>
    <w:r w:rsidRPr="004F221B">
      <w:rPr>
        <w:b/>
        <w:sz w:val="18"/>
        <w:rtl/>
      </w:rPr>
      <w:instrText xml:space="preserve"> </w:instrText>
    </w:r>
    <w:r w:rsidRPr="004F221B">
      <w:rPr>
        <w:b/>
        <w:sz w:val="18"/>
      </w:rPr>
      <w:instrText>PAGE</w:instrText>
    </w:r>
    <w:r w:rsidRPr="004F221B">
      <w:rPr>
        <w:b/>
        <w:sz w:val="18"/>
        <w:rtl/>
      </w:rPr>
      <w:instrText xml:space="preserve">  \* </w:instrText>
    </w:r>
    <w:r w:rsidRPr="004F221B">
      <w:rPr>
        <w:b/>
        <w:sz w:val="18"/>
      </w:rPr>
      <w:instrText>MERGEFORMAT</w:instrText>
    </w:r>
    <w:r w:rsidRPr="004F221B">
      <w:rPr>
        <w:b/>
        <w:sz w:val="18"/>
        <w:rtl/>
      </w:rPr>
      <w:instrText xml:space="preserve"> </w:instrText>
    </w:r>
    <w:r w:rsidRPr="004F221B">
      <w:rPr>
        <w:b/>
        <w:sz w:val="18"/>
        <w:rtl/>
      </w:rPr>
      <w:fldChar w:fldCharType="separate"/>
    </w:r>
    <w:r w:rsidR="00041728">
      <w:rPr>
        <w:b/>
        <w:noProof/>
        <w:sz w:val="18"/>
      </w:rPr>
      <w:t>5</w:t>
    </w:r>
    <w:r w:rsidRPr="004F221B">
      <w:rPr>
        <w:b/>
        <w:sz w:val="18"/>
        <w:rtl/>
      </w:rPr>
      <w:fldChar w:fldCharType="end"/>
    </w:r>
    <w:r>
      <w:rPr>
        <w:b/>
        <w:sz w:val="18"/>
        <w:rtl/>
      </w:rPr>
      <w:tab/>
    </w:r>
    <w:r>
      <w:t>GE</w:t>
    </w:r>
    <w:r>
      <w:rPr>
        <w:rtl/>
      </w:rPr>
      <w:t>.</w:t>
    </w:r>
    <w:r>
      <w:t>09</w:t>
    </w:r>
    <w:r>
      <w:rPr>
        <w:rtl/>
      </w:rPr>
      <w:t>-</w:t>
    </w:r>
    <w:r>
      <w:t>45812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2CE" w:rsidRPr="004F221B" w:rsidRDefault="00ED42CE" w:rsidP="004F221B">
    <w:pPr>
      <w:pStyle w:val="footnoteText0"/>
      <w:pBdr>
        <w:bottom w:val="single" w:sz="4" w:space="1" w:color="auto"/>
      </w:pBdr>
      <w:tabs>
        <w:tab w:val="clear" w:pos="1021"/>
      </w:tabs>
      <w:ind w:left="0" w:right="0" w:firstLine="0"/>
      <w:jc w:val="left"/>
      <w:rPr>
        <w:rFonts w:hint="cs"/>
        <w:sz w:val="20"/>
        <w:rtl/>
      </w:rPr>
    </w:pPr>
  </w:p>
  <w:p w:rsidR="00ED42CE" w:rsidRPr="00236B1D" w:rsidRDefault="00ED42CE" w:rsidP="00C92171">
    <w:pPr>
      <w:pStyle w:val="footnoteText0"/>
      <w:ind w:firstLine="680"/>
      <w:rPr>
        <w:rtl/>
      </w:rPr>
    </w:pPr>
    <w:r w:rsidRPr="00236B1D">
      <w:rPr>
        <w:rtl/>
      </w:rPr>
      <w:t>هذا المحضر قابل للتصويب.</w:t>
    </w:r>
  </w:p>
  <w:p w:rsidR="00ED42CE" w:rsidRPr="00236B1D" w:rsidRDefault="00ED42C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ED42CE" w:rsidRDefault="00ED42C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ED42CE" w:rsidRPr="00C92171" w:rsidRDefault="00ED42CE" w:rsidP="00904DB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002D68">
      <w:rPr>
        <w:sz w:val="20"/>
      </w:rPr>
      <w:t>(A)   GE.09-45812    100510    1</w:t>
    </w:r>
    <w:r w:rsidR="00904DB9">
      <w:rPr>
        <w:sz w:val="20"/>
      </w:rPr>
      <w:t>2</w:t>
    </w:r>
    <w:r w:rsidR="00002D68">
      <w:rPr>
        <w:sz w:val="20"/>
      </w:rP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5B7" w:rsidRDefault="00F035B7" w:rsidP="000C5F83">
      <w:pPr>
        <w:pStyle w:val="Footer"/>
        <w:bidi/>
        <w:spacing w:after="80" w:line="200" w:lineRule="exact"/>
        <w:ind w:left="680"/>
        <w:rPr>
          <w:rFonts w:hint="cs"/>
          <w:rtl/>
        </w:rPr>
      </w:pPr>
      <w:r>
        <w:rPr>
          <w:rFonts w:hint="cs"/>
          <w:rtl/>
        </w:rPr>
        <w:t>__________</w:t>
      </w:r>
    </w:p>
  </w:footnote>
  <w:footnote w:type="continuationSeparator" w:id="0">
    <w:p w:rsidR="00F035B7" w:rsidRDefault="00F035B7" w:rsidP="000C5F83">
      <w:pPr>
        <w:pStyle w:val="Footer"/>
        <w:bidi/>
        <w:spacing w:after="80" w:line="200" w:lineRule="exact"/>
        <w:ind w:left="680"/>
        <w:rPr>
          <w:rFonts w:hint="cs"/>
          <w:rtl/>
        </w:rPr>
      </w:pPr>
      <w:r>
        <w:rPr>
          <w:rFonts w:hint="cs"/>
          <w:rtl/>
        </w:rPr>
        <w:t>__________</w:t>
      </w:r>
    </w:p>
    <w:p w:rsidR="00F035B7" w:rsidRPr="000C5F83" w:rsidRDefault="00F035B7" w:rsidP="000C5F83">
      <w:pPr>
        <w:pStyle w:val="Footer"/>
      </w:pPr>
    </w:p>
  </w:footnote>
  <w:footnote w:id="1">
    <w:p w:rsidR="000A0C14" w:rsidRPr="000A0C14" w:rsidRDefault="000A0C14" w:rsidP="000A0C14">
      <w:pPr>
        <w:pStyle w:val="footnoteText0"/>
        <w:rPr>
          <w:rFonts w:hint="cs"/>
        </w:rPr>
      </w:pPr>
      <w:r>
        <w:rPr>
          <w:rtl/>
        </w:rPr>
        <w:tab/>
      </w:r>
      <w:r w:rsidRPr="000A0C14">
        <w:rPr>
          <w:rStyle w:val="FootnoteReference"/>
          <w:sz w:val="20"/>
          <w:vertAlign w:val="baseline"/>
          <w:rtl/>
        </w:rPr>
        <w:t>*</w:t>
      </w:r>
      <w:r>
        <w:rPr>
          <w:rtl/>
        </w:rPr>
        <w:tab/>
      </w:r>
      <w:r w:rsidR="00E15430">
        <w:rPr>
          <w:rFonts w:hint="cs"/>
          <w:rtl/>
        </w:rPr>
        <w:t>لم تعد محاضر موجزة للجلسات 2675 و2676 و2677.</w:t>
      </w:r>
    </w:p>
  </w:footnote>
  <w:footnote w:id="2">
    <w:p w:rsidR="000A0C14" w:rsidRPr="000A0C14" w:rsidRDefault="000A0C14" w:rsidP="00BF7AB7">
      <w:pPr>
        <w:pStyle w:val="footnoteText0"/>
        <w:rPr>
          <w:rFonts w:hint="cs"/>
          <w:rtl/>
        </w:rPr>
      </w:pPr>
      <w:r>
        <w:rPr>
          <w:rtl/>
        </w:rPr>
        <w:tab/>
      </w:r>
      <w:r w:rsidRPr="000A0C14">
        <w:rPr>
          <w:rStyle w:val="FootnoteReference"/>
          <w:sz w:val="20"/>
          <w:vertAlign w:val="baseline"/>
          <w:rtl/>
        </w:rPr>
        <w:t>**</w:t>
      </w:r>
      <w:r>
        <w:rPr>
          <w:rtl/>
        </w:rPr>
        <w:tab/>
      </w:r>
      <w:r w:rsidR="00BE361E">
        <w:rPr>
          <w:rFonts w:hint="cs"/>
          <w:rtl/>
        </w:rPr>
        <w:t>لم يعد محضر موجز للجز</w:t>
      </w:r>
      <w:r w:rsidR="00BF7AB7">
        <w:rPr>
          <w:rFonts w:hint="cs"/>
          <w:rtl/>
        </w:rPr>
        <w:t>ء</w:t>
      </w:r>
      <w:r w:rsidR="00BE361E">
        <w:rPr>
          <w:rFonts w:hint="cs"/>
          <w:rtl/>
        </w:rPr>
        <w:t xml:space="preserve"> الأول (المغلق) من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21B" w:rsidRPr="004F221B" w:rsidRDefault="004F221B" w:rsidP="004F221B">
    <w:pPr>
      <w:pStyle w:val="Header"/>
      <w:jc w:val="right"/>
    </w:pPr>
    <w:r w:rsidRPr="004F221B">
      <w:t>CCPR/C/SR.2678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2CE" w:rsidRPr="004F221B" w:rsidRDefault="004F221B" w:rsidP="004F221B">
    <w:pPr>
      <w:pStyle w:val="Header"/>
      <w:jc w:val="left"/>
    </w:pPr>
    <w:r w:rsidRPr="004F221B">
      <w:t>CCPR/C/SR.2678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2CE" w:rsidRDefault="00ED42C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D42CE" w:rsidRPr="008F6743" w:rsidRDefault="00ED42C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2CE"/>
    <w:rsid w:val="00002D68"/>
    <w:rsid w:val="00040E25"/>
    <w:rsid w:val="00041728"/>
    <w:rsid w:val="00042149"/>
    <w:rsid w:val="00044157"/>
    <w:rsid w:val="000578A6"/>
    <w:rsid w:val="000648EA"/>
    <w:rsid w:val="000957C8"/>
    <w:rsid w:val="00097049"/>
    <w:rsid w:val="000A008A"/>
    <w:rsid w:val="000A04D5"/>
    <w:rsid w:val="000A0C14"/>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3BA4"/>
    <w:rsid w:val="001A5161"/>
    <w:rsid w:val="001A60BD"/>
    <w:rsid w:val="001B6A82"/>
    <w:rsid w:val="001C1903"/>
    <w:rsid w:val="001E5042"/>
    <w:rsid w:val="00232277"/>
    <w:rsid w:val="0023736D"/>
    <w:rsid w:val="00257225"/>
    <w:rsid w:val="00275D25"/>
    <w:rsid w:val="002B50A2"/>
    <w:rsid w:val="00310160"/>
    <w:rsid w:val="00341A8C"/>
    <w:rsid w:val="003519E6"/>
    <w:rsid w:val="00355F81"/>
    <w:rsid w:val="003A7809"/>
    <w:rsid w:val="003B4356"/>
    <w:rsid w:val="003C5DA3"/>
    <w:rsid w:val="003C74A2"/>
    <w:rsid w:val="003F08A8"/>
    <w:rsid w:val="004008E4"/>
    <w:rsid w:val="00405359"/>
    <w:rsid w:val="00407F03"/>
    <w:rsid w:val="004218A7"/>
    <w:rsid w:val="004250E3"/>
    <w:rsid w:val="00426045"/>
    <w:rsid w:val="00463E02"/>
    <w:rsid w:val="00472A81"/>
    <w:rsid w:val="00497BC0"/>
    <w:rsid w:val="004A20A6"/>
    <w:rsid w:val="004A2155"/>
    <w:rsid w:val="004B2C92"/>
    <w:rsid w:val="004D6A3A"/>
    <w:rsid w:val="004F221B"/>
    <w:rsid w:val="004F4AD7"/>
    <w:rsid w:val="005115B8"/>
    <w:rsid w:val="00557CD3"/>
    <w:rsid w:val="00571432"/>
    <w:rsid w:val="005732A2"/>
    <w:rsid w:val="005762A5"/>
    <w:rsid w:val="00590BA3"/>
    <w:rsid w:val="005B46D9"/>
    <w:rsid w:val="005B7AE0"/>
    <w:rsid w:val="005D1733"/>
    <w:rsid w:val="005E23F5"/>
    <w:rsid w:val="005F146F"/>
    <w:rsid w:val="005F71B6"/>
    <w:rsid w:val="006129AA"/>
    <w:rsid w:val="00654786"/>
    <w:rsid w:val="00660FD4"/>
    <w:rsid w:val="00663816"/>
    <w:rsid w:val="00665BE4"/>
    <w:rsid w:val="006A4425"/>
    <w:rsid w:val="006B00A4"/>
    <w:rsid w:val="006B4669"/>
    <w:rsid w:val="006D3CFA"/>
    <w:rsid w:val="006D7E85"/>
    <w:rsid w:val="006F6BF8"/>
    <w:rsid w:val="00707BDF"/>
    <w:rsid w:val="00710727"/>
    <w:rsid w:val="00715F45"/>
    <w:rsid w:val="0072608F"/>
    <w:rsid w:val="00731815"/>
    <w:rsid w:val="00731B84"/>
    <w:rsid w:val="00734AE7"/>
    <w:rsid w:val="00771BBF"/>
    <w:rsid w:val="0079344E"/>
    <w:rsid w:val="0079690B"/>
    <w:rsid w:val="007A4FB9"/>
    <w:rsid w:val="007E197F"/>
    <w:rsid w:val="007E2786"/>
    <w:rsid w:val="007F68C4"/>
    <w:rsid w:val="008153DE"/>
    <w:rsid w:val="00816D81"/>
    <w:rsid w:val="00832A9B"/>
    <w:rsid w:val="00852A10"/>
    <w:rsid w:val="00862634"/>
    <w:rsid w:val="00866C59"/>
    <w:rsid w:val="008671CF"/>
    <w:rsid w:val="00877306"/>
    <w:rsid w:val="00885524"/>
    <w:rsid w:val="008A6242"/>
    <w:rsid w:val="008B4BC6"/>
    <w:rsid w:val="008F6743"/>
    <w:rsid w:val="009002C9"/>
    <w:rsid w:val="00901E57"/>
    <w:rsid w:val="00904DB9"/>
    <w:rsid w:val="009070DF"/>
    <w:rsid w:val="00921EF4"/>
    <w:rsid w:val="00935F0E"/>
    <w:rsid w:val="0095208F"/>
    <w:rsid w:val="00977B3F"/>
    <w:rsid w:val="009814AE"/>
    <w:rsid w:val="009901D3"/>
    <w:rsid w:val="0099276D"/>
    <w:rsid w:val="00996BBE"/>
    <w:rsid w:val="009B2C03"/>
    <w:rsid w:val="009B37C5"/>
    <w:rsid w:val="009D17B9"/>
    <w:rsid w:val="009D1DD5"/>
    <w:rsid w:val="009F722C"/>
    <w:rsid w:val="00A0502A"/>
    <w:rsid w:val="00A26157"/>
    <w:rsid w:val="00A265C3"/>
    <w:rsid w:val="00A43F9A"/>
    <w:rsid w:val="00A53F38"/>
    <w:rsid w:val="00A543D4"/>
    <w:rsid w:val="00A743B0"/>
    <w:rsid w:val="00A766E5"/>
    <w:rsid w:val="00A90FF5"/>
    <w:rsid w:val="00AD0014"/>
    <w:rsid w:val="00AD4CF2"/>
    <w:rsid w:val="00AF0BBA"/>
    <w:rsid w:val="00B0449F"/>
    <w:rsid w:val="00B25159"/>
    <w:rsid w:val="00B30468"/>
    <w:rsid w:val="00B44E31"/>
    <w:rsid w:val="00B56F07"/>
    <w:rsid w:val="00BA122C"/>
    <w:rsid w:val="00BA4F7E"/>
    <w:rsid w:val="00BB2C41"/>
    <w:rsid w:val="00BB55B1"/>
    <w:rsid w:val="00BC55C8"/>
    <w:rsid w:val="00BC5C10"/>
    <w:rsid w:val="00BD6E08"/>
    <w:rsid w:val="00BE2964"/>
    <w:rsid w:val="00BE361E"/>
    <w:rsid w:val="00BF7AB7"/>
    <w:rsid w:val="00C21623"/>
    <w:rsid w:val="00C24FBD"/>
    <w:rsid w:val="00C32C2E"/>
    <w:rsid w:val="00C473BA"/>
    <w:rsid w:val="00C611ED"/>
    <w:rsid w:val="00C62F74"/>
    <w:rsid w:val="00C6490A"/>
    <w:rsid w:val="00C64FE1"/>
    <w:rsid w:val="00C726D2"/>
    <w:rsid w:val="00C74296"/>
    <w:rsid w:val="00C8345E"/>
    <w:rsid w:val="00C92171"/>
    <w:rsid w:val="00CA10D1"/>
    <w:rsid w:val="00CA5F7C"/>
    <w:rsid w:val="00CD56F8"/>
    <w:rsid w:val="00CF47AD"/>
    <w:rsid w:val="00D51067"/>
    <w:rsid w:val="00D75657"/>
    <w:rsid w:val="00D76FEC"/>
    <w:rsid w:val="00D82E50"/>
    <w:rsid w:val="00D960AD"/>
    <w:rsid w:val="00DA0E0E"/>
    <w:rsid w:val="00DB0885"/>
    <w:rsid w:val="00DB0C39"/>
    <w:rsid w:val="00DB7679"/>
    <w:rsid w:val="00DF1702"/>
    <w:rsid w:val="00DF2268"/>
    <w:rsid w:val="00DF4DD8"/>
    <w:rsid w:val="00DF668E"/>
    <w:rsid w:val="00E04826"/>
    <w:rsid w:val="00E14D2B"/>
    <w:rsid w:val="00E15430"/>
    <w:rsid w:val="00E20DBA"/>
    <w:rsid w:val="00E6524A"/>
    <w:rsid w:val="00E660D6"/>
    <w:rsid w:val="00E771AB"/>
    <w:rsid w:val="00EA796F"/>
    <w:rsid w:val="00EB077B"/>
    <w:rsid w:val="00EC50B9"/>
    <w:rsid w:val="00ED26A0"/>
    <w:rsid w:val="00ED42CE"/>
    <w:rsid w:val="00EF40EA"/>
    <w:rsid w:val="00F035B7"/>
    <w:rsid w:val="00F134BB"/>
    <w:rsid w:val="00F1727A"/>
    <w:rsid w:val="00F34764"/>
    <w:rsid w:val="00F54E3C"/>
    <w:rsid w:val="00F874BD"/>
    <w:rsid w:val="00FB1D0B"/>
    <w:rsid w:val="00FB722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7</Pages>
  <Words>1773</Words>
  <Characters>10109</Characters>
  <Application>Microsoft Office Word</Application>
  <DocSecurity>4</DocSecurity>
  <Lines>84</Lines>
  <Paragraphs>23</Paragraphs>
  <ScaleCrop>false</ScaleCrop>
  <HeadingPairs>
    <vt:vector size="2" baseType="variant">
      <vt:variant>
        <vt:lpstr>العنوان</vt:lpstr>
      </vt:variant>
      <vt:variant>
        <vt:i4>1</vt:i4>
      </vt:variant>
    </vt:vector>
  </HeadingPairs>
  <TitlesOfParts>
    <vt:vector size="1" baseType="lpstr">
      <vt:lpstr>CCPR/C/SR.2678</vt:lpstr>
    </vt:vector>
  </TitlesOfParts>
  <Company>CSD</Company>
  <LinksUpToDate>false</LinksUpToDate>
  <CharactersWithSpaces>11859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CCPR/C/SR.2678</dc:title>
  <dc:subject>Boulhaj-Sharaf</dc:subject>
  <dc:creator>Morcos</dc:creator>
  <cp:keywords/>
  <dc:description/>
  <cp:lastModifiedBy>Morcos</cp:lastModifiedBy>
  <cp:revision>2</cp:revision>
  <cp:lastPrinted>2010-05-12T06:53:00Z</cp:lastPrinted>
  <dcterms:created xsi:type="dcterms:W3CDTF">2010-05-12T12:33:00Z</dcterms:created>
  <dcterms:modified xsi:type="dcterms:W3CDTF">2010-05-12T12:33:00Z</dcterms:modified>
</cp:coreProperties>
</file>