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20E49" w:rsidRDefault="00320E49">
      <w:pPr>
        <w:spacing w:line="60" w:lineRule="exact"/>
        <w:rPr>
          <w:sz w:val="6"/>
        </w:rPr>
        <w:sectPr w:rsidR="00320E49">
          <w:headerReference w:type="even" r:id="rId7"/>
          <w:headerReference w:type="default" r:id="rId8"/>
          <w:footerReference w:type="even" r:id="rId9"/>
          <w:footerReference w:type="default" r:id="rId10"/>
          <w:headerReference w:type="first" r:id="rId11"/>
          <w:footerReference w:type="first" r:id="rId12"/>
          <w:type w:val="continuous"/>
          <w:pgSz w:w="12242" w:h="15842" w:code="1"/>
          <w:pgMar w:top="1742" w:right="1195" w:bottom="1898" w:left="1195" w:header="576" w:footer="1030" w:gutter="0"/>
          <w:pgNumType w:start="1"/>
          <w:cols w:space="425"/>
          <w:titlePg/>
          <w:docGrid w:type="lines" w:linePitch="312"/>
        </w:sectPr>
      </w:pPr>
      <w:r>
        <w:rPr>
          <w:rStyle w:val="CommentReference"/>
          <w:rFonts w:hint="eastAsia"/>
          <w:vanish/>
        </w:rPr>
        <w:commentReference w:id="0"/>
      </w:r>
    </w:p>
    <w:p w:rsidR="00320E49" w:rsidRDefault="00320E49">
      <w:pPr>
        <w:spacing w:line="60" w:lineRule="exact"/>
        <w:rPr>
          <w:sz w:val="6"/>
        </w:rPr>
      </w:pPr>
    </w:p>
    <w:p w:rsidR="00320E49" w:rsidRDefault="00320E49">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消除对妇女歧视委员会</w:t>
      </w:r>
    </w:p>
    <w:p w:rsidR="00320E49" w:rsidRDefault="00320E49">
      <w:pPr>
        <w:pStyle w:val="SingleTxt"/>
      </w:pPr>
    </w:p>
    <w:p w:rsidR="00320E49" w:rsidRDefault="00320E49">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tab/>
      </w:r>
      <w:r>
        <w:tab/>
      </w:r>
      <w:r>
        <w:rPr>
          <w:rFonts w:hint="eastAsia"/>
        </w:rPr>
        <w:t>审议缔约国根据《消除对妇女一切形式歧视公约》第十八条提交的报告</w:t>
      </w:r>
    </w:p>
    <w:p w:rsidR="00320E49" w:rsidRDefault="00320E49">
      <w:pPr>
        <w:pStyle w:val="SingleTxt"/>
      </w:pPr>
    </w:p>
    <w:p w:rsidR="00320E49" w:rsidRDefault="00320E49">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tab/>
      </w:r>
      <w:r>
        <w:tab/>
      </w:r>
      <w:r>
        <w:rPr>
          <w:rFonts w:hint="eastAsia"/>
        </w:rPr>
        <w:t>缔约国的第四和五次合并定期报告</w:t>
      </w:r>
    </w:p>
    <w:p w:rsidR="00320E49" w:rsidRDefault="00320E49">
      <w:pPr>
        <w:pStyle w:val="SingleTxt"/>
      </w:pPr>
    </w:p>
    <w:p w:rsidR="00320E49" w:rsidRDefault="00320E49">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pPr>
      <w:r>
        <w:tab/>
      </w:r>
      <w:r>
        <w:tab/>
      </w:r>
      <w:r>
        <w:rPr>
          <w:rFonts w:hint="eastAsia"/>
        </w:rPr>
        <w:t>土耳其</w:t>
      </w:r>
      <w:r>
        <w:rPr>
          <w:rStyle w:val="FootnoteReference"/>
          <w:sz w:val="21"/>
        </w:rPr>
        <w:footnoteReference w:customMarkFollows="1" w:id="1"/>
        <w:t>*</w:t>
      </w:r>
    </w:p>
    <w:p w:rsidR="00320E49" w:rsidRDefault="00320E49">
      <w:pPr>
        <w:pStyle w:val="SingleTxt"/>
      </w:pPr>
    </w:p>
    <w:p w:rsidR="00320E49" w:rsidRDefault="00320E49">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40"/>
        <w:ind w:left="1264" w:right="1264" w:hanging="1264"/>
        <w:jc w:val="both"/>
        <w:rPr>
          <w:rFonts w:hint="eastAsia"/>
        </w:rPr>
      </w:pPr>
      <w:r>
        <w:br w:type="page"/>
      </w:r>
      <w:r>
        <w:tab/>
      </w:r>
      <w:r>
        <w:tab/>
      </w:r>
      <w:r>
        <w:rPr>
          <w:rFonts w:hint="eastAsia"/>
        </w:rPr>
        <w:t>导言</w:t>
      </w:r>
    </w:p>
    <w:p w:rsidR="00320E49" w:rsidRDefault="00320E49">
      <w:pPr>
        <w:pStyle w:val="SingleTxt"/>
        <w:rPr>
          <w:rFonts w:hint="eastAsia"/>
        </w:rPr>
      </w:pPr>
      <w:r>
        <w:tab/>
      </w:r>
      <w:r>
        <w:rPr>
          <w:rFonts w:hint="eastAsia"/>
        </w:rPr>
        <w:t>1997年1月17日，土耳其向消除对妇女歧视委员会第318和第319次会议提交了其第二和三次定期报告（CEDAW/C/TUR/2-3）。自此以后，全球和土耳其全国发生了许多变化，支持两性平等议程乃至维护世界和平方面喜忧并存。</w:t>
      </w:r>
    </w:p>
    <w:p w:rsidR="00320E49" w:rsidRDefault="00320E49">
      <w:pPr>
        <w:pStyle w:val="SingleTxt"/>
        <w:rPr>
          <w:rFonts w:hint="eastAsia"/>
        </w:rPr>
      </w:pPr>
      <w:r>
        <w:tab/>
      </w:r>
      <w:r>
        <w:rPr>
          <w:rFonts w:hint="eastAsia"/>
          <w:spacing w:val="2"/>
        </w:rPr>
        <w:t>1999年，我们庆祝了《消除对妇女一切形式歧视公约》——妇女的权利议案</w:t>
      </w:r>
      <w:r>
        <w:rPr>
          <w:rFonts w:hint="eastAsia"/>
        </w:rPr>
        <w:t>——诞生20周年；同年，大会通过了《消除对妇女一切形式歧视公约任择议定书》，从而授权委员会对系统地侵犯妇女权利现象做出前摄性更强的反应；2000年，国际社会联合审查并评价了执行《行动纲要》方面取得的进展，并且确定了实现男女平等所需的进一步行动和倡议；同年，安全理事会讨论了妇女与和平问题，从而将性别议程置于关于预防冲突和建设和平问题的多边对话的核心地位；2001年，妇女地位委员会通过了新的多年工作方案，该方案阐述了2002至2006年两性平等政策框架的优先领域；最后的但并非最不重要的是，2002年，大会通过了最受欢迎的关于“为维护名誉而犯罪”的决议。</w:t>
      </w:r>
    </w:p>
    <w:p w:rsidR="00320E49" w:rsidRDefault="00320E49">
      <w:pPr>
        <w:pStyle w:val="SingleTxt"/>
        <w:rPr>
          <w:rFonts w:hint="eastAsia"/>
        </w:rPr>
      </w:pPr>
      <w:r>
        <w:tab/>
      </w:r>
      <w:r>
        <w:rPr>
          <w:rFonts w:hint="eastAsia"/>
        </w:rPr>
        <w:t>对于土耳其来说，1997年以来这一时期的里程碑是取消了歧视妇女的基本规定的法律改革和致力于扩大平等范围和妇女人权的其他倡议。1997年，义务基础教育从五年延长至八年；1998年通过了家庭暴力法（保护家庭法）；1999年取消了对《消除对妇女一切形式歧视公约》提出的保留意见；2002年，经过五年漫长而艰辛的工作，通过了新的《民法》；2001年，议会批准了《消除对妇女一切形式歧视公约任择议定书》；在这一有利的立法环境里，除其他之外，遵守《消除对妇女一切形式歧视公约》在打击对妇女的暴力、消除妇女的贫穷与经济上受剥削状况方面的原则已列入了新近组阁的第58届政府的纲领中。</w:t>
      </w:r>
    </w:p>
    <w:p w:rsidR="00320E49" w:rsidRDefault="00320E49">
      <w:pPr>
        <w:pStyle w:val="SingleTxt"/>
        <w:rPr>
          <w:rFonts w:hint="eastAsia"/>
        </w:rPr>
      </w:pPr>
      <w:r>
        <w:tab/>
      </w:r>
      <w:r>
        <w:rPr>
          <w:rFonts w:hint="eastAsia"/>
        </w:rPr>
        <w:t>但是，国内外取得的进展在加剧的政治保守趋势、日益严重的社会经济差异和全世界深化的冲突面前相形见绌。最引人注目的是，不幸的“9.11事件”及其后来的事态发展无疑继续威胁着国际社会维持建设性对话。在这方面，土耳其有幸于2002年2月12-13日在伊斯坦布尔主办了欧盟与伊斯兰会议组织的论坛，这成了保持对话公开的良好做法的一个实例。对话继续防止迄今在公民自由、普遍人权和国际合作方面取得的进展发生逆转才是最重要的。现在众所周知的是，当反民主的专制环境笼罩时，妇女权利首先受到侵犯，成为牺牲品。</w:t>
      </w:r>
    </w:p>
    <w:p w:rsidR="00320E49" w:rsidRDefault="00320E49">
      <w:pPr>
        <w:pStyle w:val="SingleTxt"/>
        <w:rPr>
          <w:rFonts w:hint="eastAsia"/>
        </w:rPr>
      </w:pPr>
      <w:r>
        <w:tab/>
      </w:r>
      <w:r>
        <w:rPr>
          <w:rFonts w:hint="eastAsia"/>
        </w:rPr>
        <w:t>在国内，土耳其社会面临着严重的挑战。八十年代中期开始且在九十年代前五年加剧的恐怖活动终于在1997年被保安部门遏制住。这使得国家能够立即为受破坏最严重的东部省份启动社会经济发展的积极方案。同时，为了打击恐怖主义而在该区部署的特别安全机制也系统地启动，以恢复社会秩序。这为执行有效的政策和方案以打击东部地区妇女面临的多方面问题，保障了一种有利的环境。</w:t>
      </w:r>
    </w:p>
    <w:p w:rsidR="00320E49" w:rsidRDefault="00320E49">
      <w:pPr>
        <w:pStyle w:val="SingleTxt"/>
        <w:spacing w:line="324" w:lineRule="exact"/>
        <w:rPr>
          <w:rFonts w:hint="eastAsia"/>
        </w:rPr>
      </w:pPr>
      <w:r>
        <w:tab/>
      </w:r>
      <w:r>
        <w:rPr>
          <w:rFonts w:hint="eastAsia"/>
        </w:rPr>
        <w:t>1999年，另一场灾难袭击了土耳其。毁灭性的地震使人民的生命和财产遭受了严重的损失，破坏了公众意识，现在其后果仍然难以消除。废墟上的重建活动因最近的经济危机而受到限制，这大幅度地增加了贫困线以下的人口的比例。尽管经济恢复出现了可喜的迹象，但在撰写本报告时，该地区可能爆发战争，这似乎对土耳其乃至整个地区构成了另一种威胁。</w:t>
      </w:r>
    </w:p>
    <w:p w:rsidR="00320E49" w:rsidRDefault="00320E49">
      <w:pPr>
        <w:pStyle w:val="SingleTxt"/>
        <w:spacing w:line="324" w:lineRule="exact"/>
        <w:rPr>
          <w:rFonts w:hint="eastAsia"/>
        </w:rPr>
      </w:pPr>
      <w:r>
        <w:tab/>
      </w:r>
      <w:r>
        <w:rPr>
          <w:rFonts w:hint="eastAsia"/>
        </w:rPr>
        <w:t>土耳其第四和五次合并定期报告是在这种背景下编写的。尽管土耳其充满了脆弱性，但国家对《消除对妇女一切形式歧视公约》和《北京行动纲要》的原则所做的承诺仍然是完整的。政府更替没有导致不遵守这一承诺。在欧洲联盟的加入进程的范围内开展的行动也补充了《消除对妇女一切形式歧视公约》和《行动纲要》承诺方面所做的努力。</w:t>
      </w:r>
    </w:p>
    <w:p w:rsidR="00320E49" w:rsidRDefault="00320E49">
      <w:pPr>
        <w:pStyle w:val="SingleTxt"/>
        <w:spacing w:line="324" w:lineRule="exact"/>
        <w:rPr>
          <w:rFonts w:hint="eastAsia"/>
        </w:rPr>
      </w:pPr>
      <w:r>
        <w:tab/>
      </w:r>
      <w:r>
        <w:rPr>
          <w:rFonts w:hint="eastAsia"/>
        </w:rPr>
        <w:t>土耳其的第三和四次合并报告是以参与方式编写的，采纳了相关的政府机构以及学者和非政府组织的意见。报告旨在突出自最后一次报告以来在公约每一条方面所取得的成就，而且还确定了不足之处，尤其是执行方面的不足之处和改革方面顽固不化的障碍。尽管在成就方面有许多可喜可贺之处，但土耳其的妇女状况在基本发展指标和妇女参与决策及其在公共领域任职这些更具象征性的方面，离理想的水平相差甚远。</w:t>
      </w:r>
    </w:p>
    <w:p w:rsidR="00320E49" w:rsidRDefault="00320E49">
      <w:pPr>
        <w:pStyle w:val="SingleTxt"/>
        <w:spacing w:line="324" w:lineRule="exact"/>
        <w:rPr>
          <w:rFonts w:hint="eastAsia"/>
        </w:rPr>
      </w:pPr>
      <w:r>
        <w:tab/>
      </w:r>
      <w:r>
        <w:rPr>
          <w:rFonts w:hint="eastAsia"/>
        </w:rPr>
        <w:t>妇女在国会中仍然是代表名额严重不足，对妇女的暴力仍然是一种社会弊病，资源分配，特别是在国民预算中仍然具有性别偏见。预算分配过程中的不足之处反映在提供给妇女地位和妇女问题司的人力资源和财政资源有限上。令人遗憾的是，该司在运作时仍然没有组织法，因为组织法正等待议会审议。在加强提高妇女地位的国家机制的机构能力和消除公共生活和私人生活两个领域对妇女的歧视方面仍有许多工作要做。</w:t>
      </w:r>
    </w:p>
    <w:p w:rsidR="00320E49" w:rsidRDefault="00320E49">
      <w:pPr>
        <w:pStyle w:val="SingleTxt"/>
        <w:spacing w:line="332" w:lineRule="exact"/>
        <w:rPr>
          <w:rFonts w:hint="eastAsia"/>
        </w:rPr>
      </w:pPr>
      <w:r>
        <w:tab/>
      </w:r>
      <w:r>
        <w:rPr>
          <w:rFonts w:hint="eastAsia"/>
        </w:rPr>
        <w:t>土耳其政府赞赏消除对妇女歧视委员会所做的努力和开展的宝贵工作，并且期待在审查土耳其的第三和四次合并报告期间开展富有成果的对话。</w:t>
      </w:r>
    </w:p>
    <w:p w:rsidR="00320E49" w:rsidRDefault="00320E49">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40"/>
        <w:ind w:left="1264" w:right="1264" w:hanging="1264"/>
        <w:jc w:val="both"/>
        <w:rPr>
          <w:rFonts w:ascii="KaiTi_GB2312" w:eastAsia="KaiTi_GB2312" w:hint="eastAsia"/>
          <w:color w:val="0000FF"/>
        </w:rPr>
      </w:pPr>
      <w:r>
        <w:tab/>
      </w:r>
      <w:r>
        <w:tab/>
      </w:r>
      <w:r>
        <w:rPr>
          <w:rFonts w:ascii="KaiTi_GB2312" w:eastAsia="KaiTi_GB2312" w:hint="eastAsia"/>
          <w:color w:val="0000FF"/>
        </w:rPr>
        <w:t>对妇女的歧视概念</w:t>
      </w:r>
    </w:p>
    <w:p w:rsidR="00320E49" w:rsidRDefault="00320E49">
      <w:pPr>
        <w:pStyle w:val="SingleTxt"/>
        <w:spacing w:line="332" w:lineRule="exact"/>
        <w:rPr>
          <w:rFonts w:hint="eastAsia"/>
        </w:rPr>
      </w:pPr>
      <w:r>
        <w:rPr>
          <w:rFonts w:ascii="KaiTi_GB2312" w:eastAsia="KaiTi_GB2312"/>
          <w:b/>
          <w:bCs/>
          <w:color w:val="0000FF"/>
        </w:rPr>
        <w:tab/>
      </w:r>
      <w:r>
        <w:rPr>
          <w:rFonts w:ascii="KaiTi_GB2312" w:eastAsia="KaiTi_GB2312" w:hint="eastAsia"/>
          <w:b/>
          <w:bCs/>
          <w:color w:val="0000FF"/>
        </w:rPr>
        <w:t>第一条</w:t>
      </w:r>
      <w:r>
        <w:rPr>
          <w:rFonts w:hint="eastAsia"/>
        </w:rPr>
        <w:t>．</w:t>
      </w:r>
      <w:r>
        <w:rPr>
          <w:rFonts w:ascii="KaiTi_GB2312" w:eastAsia="KaiTi_GB2312" w:hint="eastAsia"/>
          <w:color w:val="0000FF"/>
        </w:rPr>
        <w:t>为本公约的目的，“对妇女的歧视”一词指基于性别而作的任何区别、排斥或限制，其影响或其目的均足以妨碍或否认妇女不论已婚未婚在男女平等的基础上认识、享有或行使在政治、经济、社会、文化、公民或任何其他方面的人权和基本自由</w:t>
      </w:r>
      <w:r>
        <w:rPr>
          <w:rFonts w:hint="eastAsia"/>
        </w:rPr>
        <w:t>。</w:t>
      </w:r>
    </w:p>
    <w:p w:rsidR="00320E49" w:rsidRDefault="00320E49">
      <w:pPr>
        <w:pStyle w:val="SingleTxt"/>
        <w:spacing w:line="332" w:lineRule="exact"/>
        <w:rPr>
          <w:rFonts w:hint="eastAsia"/>
        </w:rPr>
      </w:pPr>
      <w:r>
        <w:tab/>
      </w:r>
      <w:r>
        <w:rPr>
          <w:rFonts w:hint="eastAsia"/>
        </w:rPr>
        <w:t>土耳其政府于1985年签署了《消除对妇女一切形式歧视公约》，在1986年批准了该公约并提出了一些保留意见，因为公约第十五条（第2和第4款）和第十六条（第1/c至第1/g款）与《土耳其民法》中家庭关系法一章不一致，特别是与妇女的法律行为能力有关的规定不一致，如：订立合同的权利；对子女的责任；以及选择居所、姓氏、职业和工作。1999年9月，根据对《民法》的审查和修正，撤销了这些保留意见。2000年9月8日签署的公约任择议定书于2002年7月30日得到批准。该议定书将于2003年1月生效。土耳其政府借助通过《任择议定书》，确认了它对提高妇女地位和充分遵守《消除对妇女一切形式歧视公约》所做的承诺。</w:t>
      </w:r>
    </w:p>
    <w:p w:rsidR="00320E49" w:rsidRDefault="00320E49">
      <w:pPr>
        <w:pStyle w:val="SingleTxt"/>
        <w:rPr>
          <w:rFonts w:hint="eastAsia"/>
        </w:rPr>
      </w:pPr>
      <w:r>
        <w:tab/>
      </w:r>
      <w:r>
        <w:rPr>
          <w:rFonts w:hint="eastAsia"/>
        </w:rPr>
        <w:t>《土耳其民法》的审查过程是在1993至2001年进行的。按照不歧视原则修正了歧视性条款，从而使《民法》与公约保持一致。2001年11月22日，土耳其议会通过了新的《民法》，该法典于2002年1月1日生效。此外，2001年10月，土耳其修正了《宪法》第41条，将家庭界定为“基于配偶之间的平等”的实体。</w:t>
      </w:r>
    </w:p>
    <w:p w:rsidR="00320E49" w:rsidRDefault="00320E49">
      <w:pPr>
        <w:pStyle w:val="SingleTxt"/>
        <w:rPr>
          <w:rFonts w:hint="eastAsia"/>
        </w:rPr>
      </w:pPr>
      <w:r>
        <w:tab/>
      </w:r>
      <w:r>
        <w:rPr>
          <w:rFonts w:hint="eastAsia"/>
        </w:rPr>
        <w:t>妇女地位和妇女问题司在《民法》漫长而艰难的起草过程中发挥了积极的作用，并使司法部授权编写《民法》的委员会注意到需要解决的问题，包括非政府组织为了取消歧视性条款和维护歧视性做法并限制妇女享有其基本权利和自由的条款提出的相关的建议。</w:t>
      </w:r>
    </w:p>
    <w:p w:rsidR="00320E49" w:rsidRDefault="00320E49">
      <w:pPr>
        <w:pStyle w:val="SingleTxt"/>
        <w:rPr>
          <w:rFonts w:hint="eastAsia"/>
        </w:rPr>
      </w:pPr>
      <w:r>
        <w:tab/>
      </w:r>
      <w:r>
        <w:rPr>
          <w:rFonts w:hint="eastAsia"/>
        </w:rPr>
        <w:t>第十五和第十六条下面详细讨论的新的《民法》对家庭和妇女在家庭中的角色采取了新的态度，从而瞄准了不断产生性别歧视的隐私方面。新的法律使用更简洁且更易理解的语言，以若干方式确定了配偶之间的平等：男性担任户主的概念由平等的伙伴关系所代替，配偶共同管理家庭并拥有平等的决策权；配偶对家庭居所拥有平等的权利而且他们拥有平等的代表权。以前的法律中对婚外所生的“非婚生子女”的概念已经废除，他们的监护权给予母亲。最低结婚年龄提高了，而且男女相同。新的《民法》中所做的最重要的修正是将“既得财产的所有权制度”视为合法财产制度（第218至第241条）。本报告第十五和第十六条下详细阐述了这些立法改革。</w:t>
      </w:r>
    </w:p>
    <w:p w:rsidR="00320E49" w:rsidRDefault="00320E49">
      <w:pPr>
        <w:pStyle w:val="SingleTxt"/>
        <w:rPr>
          <w:rFonts w:hint="eastAsia"/>
        </w:rPr>
      </w:pPr>
      <w:r>
        <w:tab/>
      </w:r>
      <w:r>
        <w:rPr>
          <w:rFonts w:hint="eastAsia"/>
        </w:rPr>
        <w:t>在司法部协调下，《土耳其刑法》的审查和改革工作也在进行之中。妇女地位和妇女问题司根据它所建立的、由学者和非政府组织组成的一个特别委员会进行的审查，提交了其对经过修正的法律初稿的意见。《刑法》修正案已由司法部定稿，并且提交给总理府审议（见本报告第二/g条）。</w:t>
      </w:r>
    </w:p>
    <w:p w:rsidR="00320E49" w:rsidRDefault="00320E49">
      <w:pPr>
        <w:pStyle w:val="SingleTxt"/>
        <w:rPr>
          <w:rFonts w:hint="eastAsia"/>
        </w:rPr>
      </w:pPr>
      <w:r>
        <w:tab/>
      </w:r>
      <w:r>
        <w:rPr>
          <w:rFonts w:hint="eastAsia"/>
        </w:rPr>
        <w:t>司法部联系对《联合国打击跨国有组织犯罪公约》进行补充的《关于防止、禁止和惩治贩运人口特别是妇女和儿童的补充议定书》起草了一项法律（《为土耳其刑法增加若干条款和修正打击有组织犯罪法中的一项条款》。2002年8月3日，议会通过了此项法律。该法律将强迫劳动、提供非自愿服务、奴役性待遇、通过威胁、强迫、压力和滥用职权索取机关赠款、以及欺骗和剥削那些易于参与走私、运输、拘留和贩运妇女、儿童和男子的人定为犯罪（见本报告第六条）。</w:t>
      </w:r>
    </w:p>
    <w:p w:rsidR="00320E49" w:rsidRDefault="00320E49">
      <w:pPr>
        <w:pStyle w:val="SingleTxt"/>
        <w:rPr>
          <w:rFonts w:hint="eastAsia"/>
        </w:rPr>
      </w:pPr>
      <w:r>
        <w:tab/>
      </w:r>
      <w:r>
        <w:rPr>
          <w:rFonts w:hint="eastAsia"/>
        </w:rPr>
        <w:t>为了遏制家庭暴力而通过的第4320号家庭保护法于1998年1月17日生效。鉴于自法律颁布以来在执法方面遇到的批评和问题，有关方面编写了修正某些法律条款的建议草案并且提交给总理府审议。</w:t>
      </w:r>
    </w:p>
    <w:p w:rsidR="00320E49" w:rsidRDefault="00320E49">
      <w:pPr>
        <w:pStyle w:val="SingleTxt"/>
        <w:spacing w:after="124"/>
        <w:rPr>
          <w:rFonts w:hint="eastAsia"/>
        </w:rPr>
      </w:pPr>
      <w:r>
        <w:tab/>
      </w:r>
      <w:r>
        <w:rPr>
          <w:rFonts w:hint="eastAsia"/>
        </w:rPr>
        <w:t>遵照妇女在工作场所机会平等的原则并且按照欧盟的标准，土耳其起草了一项法律草案，以调整现行的社会保障制度中的父母产假规定并使这些规定平等。此项法律草案规定，配偶双方可在分娩之后分享六个月的不带薪产假。如果收养子女也给予父母同样的权利。该法律草案已经提交给总理府审议。此项法律通过了父亲产假，对传统的父母身份观念以及生儿育女对妇女来说天经地义这种看法可能形成挑战。此项法律生效后，将为配偶双方提供安排其私人生活和工作的替代办法，同时充分考虑到男女双方的需要和利益。该法律也会对减少工作领域的歧视性做法产生积极影响，工作领域经常剥夺妇女的就业或晋升机会，因为她们由于其生育功能被某些雇主视为靠不住的劳动者。此外，在父母双方分担生育责任的家庭长大的儿童在社会上能扮演更加平等的性别角色。</w:t>
      </w:r>
    </w:p>
    <w:p w:rsidR="00320E49" w:rsidRDefault="00320E49">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24"/>
        <w:ind w:left="1264" w:right="1264" w:hanging="1264"/>
        <w:jc w:val="both"/>
        <w:rPr>
          <w:rFonts w:ascii="KaiTi_GB2312" w:eastAsia="KaiTi_GB2312" w:hint="eastAsia"/>
          <w:color w:val="0000FF"/>
          <w:sz w:val="28"/>
        </w:rPr>
      </w:pPr>
      <w:r>
        <w:tab/>
      </w:r>
      <w:r>
        <w:tab/>
      </w:r>
      <w:r>
        <w:rPr>
          <w:rFonts w:ascii="KaiTi_GB2312" w:eastAsia="KaiTi_GB2312" w:hint="eastAsia"/>
          <w:color w:val="0000FF"/>
          <w:sz w:val="28"/>
        </w:rPr>
        <w:t>消除对妇女的歧视</w:t>
      </w:r>
    </w:p>
    <w:p w:rsidR="00320E49" w:rsidRDefault="00320E49">
      <w:pPr>
        <w:pStyle w:val="SingleTxt"/>
        <w:spacing w:after="124"/>
        <w:rPr>
          <w:rFonts w:ascii="KaiTi_GB2312" w:eastAsia="KaiTi_GB2312" w:hint="eastAsia"/>
          <w:color w:val="0000FF"/>
        </w:rPr>
      </w:pPr>
      <w:r>
        <w:rPr>
          <w:rFonts w:ascii="KaiTi_GB2312" w:eastAsia="KaiTi_GB2312"/>
          <w:b/>
          <w:bCs/>
          <w:color w:val="0000FF"/>
        </w:rPr>
        <w:tab/>
      </w:r>
      <w:r>
        <w:rPr>
          <w:rFonts w:ascii="KaiTi_GB2312" w:eastAsia="KaiTi_GB2312" w:hint="eastAsia"/>
          <w:b/>
          <w:bCs/>
          <w:color w:val="0000FF"/>
        </w:rPr>
        <w:t>第二条</w:t>
      </w:r>
      <w:r>
        <w:rPr>
          <w:rFonts w:hint="eastAsia"/>
        </w:rPr>
        <w:t>．</w:t>
      </w:r>
      <w:r>
        <w:rPr>
          <w:rFonts w:ascii="KaiTi_GB2312" w:eastAsia="KaiTi_GB2312" w:hint="eastAsia"/>
          <w:color w:val="0000FF"/>
        </w:rPr>
        <w:t>缔约各国谴责对妇女一切形式的歧视，协议立即用一切适当办法，推行政策，消除对妇女的歧视。为此目的，承担：</w:t>
      </w:r>
    </w:p>
    <w:p w:rsidR="00320E49" w:rsidRDefault="00320E49">
      <w:pPr>
        <w:pStyle w:val="SingleTxt"/>
        <w:spacing w:after="124"/>
        <w:rPr>
          <w:rFonts w:ascii="KaiTi_GB2312" w:eastAsia="KaiTi_GB2312" w:hint="eastAsia"/>
          <w:color w:val="0000FF"/>
        </w:rPr>
      </w:pPr>
      <w:r>
        <w:rPr>
          <w:rFonts w:ascii="KaiTi_GB2312" w:eastAsia="KaiTi_GB2312"/>
          <w:color w:val="0000FF"/>
        </w:rPr>
        <w:tab/>
        <w:t>(</w:t>
      </w:r>
      <w:r>
        <w:rPr>
          <w:rFonts w:ascii="KaiTi_GB2312" w:eastAsia="KaiTi_GB2312" w:hint="eastAsia"/>
          <w:color w:val="0000FF"/>
        </w:rPr>
        <w:t>a)</w:t>
      </w:r>
      <w:r>
        <w:rPr>
          <w:rFonts w:ascii="KaiTi_GB2312" w:eastAsia="KaiTi_GB2312" w:hint="eastAsia"/>
          <w:color w:val="0000FF"/>
        </w:rPr>
        <w:tab/>
        <w:t>男女平等的原则如尚未列入本国宪法或其他有关法律者，应将其列入，并以法律或其他适当办法，保证实现这项原则；</w:t>
      </w:r>
    </w:p>
    <w:p w:rsidR="00320E49" w:rsidRDefault="00320E49">
      <w:pPr>
        <w:pStyle w:val="SingleTxt"/>
        <w:spacing w:after="124"/>
        <w:rPr>
          <w:rFonts w:ascii="KaiTi_GB2312" w:eastAsia="KaiTi_GB2312" w:hint="eastAsia"/>
          <w:color w:val="0000FF"/>
        </w:rPr>
      </w:pPr>
      <w:r>
        <w:rPr>
          <w:rFonts w:ascii="KaiTi_GB2312" w:eastAsia="KaiTi_GB2312"/>
          <w:color w:val="0000FF"/>
        </w:rPr>
        <w:tab/>
      </w:r>
      <w:r>
        <w:rPr>
          <w:rFonts w:hint="eastAsia"/>
        </w:rPr>
        <w:t>参考土耳其第二和三次合并报告以及本报告第十五和第十六条。</w:t>
      </w:r>
    </w:p>
    <w:p w:rsidR="00320E49" w:rsidRDefault="00320E49">
      <w:pPr>
        <w:pStyle w:val="SingleTxt"/>
        <w:spacing w:after="124"/>
        <w:rPr>
          <w:rFonts w:hint="eastAsia"/>
        </w:rPr>
      </w:pPr>
      <w:r>
        <w:rPr>
          <w:rFonts w:ascii="KaiTi_GB2312" w:eastAsia="KaiTi_GB2312"/>
          <w:color w:val="0000FF"/>
        </w:rPr>
        <w:tab/>
      </w:r>
      <w:r>
        <w:rPr>
          <w:rFonts w:hint="eastAsia"/>
        </w:rPr>
        <w:t>缔约各国应……确保：</w:t>
      </w:r>
    </w:p>
    <w:p w:rsidR="00320E49" w:rsidRDefault="00320E49">
      <w:pPr>
        <w:pStyle w:val="SingleTxt"/>
        <w:spacing w:after="124"/>
        <w:rPr>
          <w:rFonts w:ascii="KaiTi_GB2312" w:eastAsia="KaiTi_GB2312" w:hint="eastAsia"/>
          <w:color w:val="0000FF"/>
        </w:rPr>
      </w:pPr>
      <w:r>
        <w:rPr>
          <w:rFonts w:ascii="KaiTi_GB2312" w:eastAsia="KaiTi_GB2312"/>
          <w:color w:val="0000FF"/>
        </w:rPr>
        <w:tab/>
        <w:t>(</w:t>
      </w:r>
      <w:r>
        <w:rPr>
          <w:rFonts w:ascii="KaiTi_GB2312" w:eastAsia="KaiTi_GB2312" w:hint="eastAsia"/>
          <w:color w:val="0000FF"/>
        </w:rPr>
        <w:t>b)</w:t>
      </w:r>
      <w:r>
        <w:rPr>
          <w:rFonts w:ascii="KaiTi_GB2312" w:eastAsia="KaiTi_GB2312" w:hint="eastAsia"/>
          <w:color w:val="0000FF"/>
        </w:rPr>
        <w:tab/>
        <w:t>采取适当立法和其他措施，包括适当时采取制裁，禁止对妇女的一切歧视；</w:t>
      </w:r>
    </w:p>
    <w:p w:rsidR="00320E49" w:rsidRDefault="00320E49">
      <w:pPr>
        <w:pStyle w:val="SingleTxt"/>
        <w:spacing w:after="124"/>
        <w:rPr>
          <w:rFonts w:hint="eastAsia"/>
        </w:rPr>
      </w:pPr>
      <w:r>
        <w:tab/>
      </w:r>
      <w:r>
        <w:rPr>
          <w:rFonts w:hint="eastAsia"/>
        </w:rPr>
        <w:t>提高妇女地位问题自土耳其共和国的现代化项目开始以来就是该项目的组成部分。尽管在这方面进行了许多改革，但直到第五个五年发展计划期间（1985-1990年）才在发展规划范围内讨论妇女地位。第八个五年计划（2001-2005年）载有发展战略，该计划确定了为提高妇女地位将要采取的具体措施。在这方面，第十/e条提出了妇女平等机会措施，特别是教育领域的平等机会措施。此外，鉴于正出现的社会经济挑战，在关于“法律和组织改革”一章中，该计划阐述了《土耳其民法》中将要进行的修改。如上所述，此项法律得到了修正并于2002年1月1日生效（参见本报告第十五和第十六条）。</w:t>
      </w:r>
    </w:p>
    <w:p w:rsidR="00320E49" w:rsidRDefault="00320E49">
      <w:pPr>
        <w:pStyle w:val="SingleTxt"/>
        <w:spacing w:after="124"/>
        <w:rPr>
          <w:rFonts w:hint="eastAsia"/>
        </w:rPr>
      </w:pPr>
      <w:r>
        <w:tab/>
      </w:r>
      <w:r>
        <w:rPr>
          <w:rFonts w:hint="eastAsia"/>
        </w:rPr>
        <w:t>提高妇女地位成为随后的政府纲领的组成部分。例如，在1999年大选后产生的第57届政府的纲领指出，“鼓励妇女参与社会和经济生活的所有生产活动，加速开展提高妇女地位的工作”。同样，现行的《政府纲领》（2002年11月3日大选之后建立了第58届政府）重申两性平等在所有生活领域的重要性，指出执行《消除对妇女一切形式歧视公约》原则是政府政策方案中的优先议程项目。</w:t>
      </w:r>
    </w:p>
    <w:p w:rsidR="00320E49" w:rsidRDefault="00320E49">
      <w:pPr>
        <w:pStyle w:val="SingleTxt"/>
        <w:spacing w:after="124"/>
        <w:rPr>
          <w:rFonts w:ascii="KaiTi_GB2312" w:eastAsia="KaiTi_GB2312" w:hint="eastAsia"/>
          <w:color w:val="0000FF"/>
        </w:rPr>
      </w:pPr>
      <w:r>
        <w:rPr>
          <w:rFonts w:ascii="KaiTi_GB2312" w:eastAsia="KaiTi_GB2312"/>
          <w:color w:val="0000FF"/>
        </w:rPr>
        <w:tab/>
      </w:r>
      <w:r>
        <w:rPr>
          <w:rFonts w:hint="eastAsia"/>
        </w:rPr>
        <w:t>缔约各国应……确保：</w:t>
      </w:r>
    </w:p>
    <w:p w:rsidR="00320E49" w:rsidRDefault="00320E49">
      <w:pPr>
        <w:pStyle w:val="SingleTxt"/>
        <w:spacing w:after="124"/>
        <w:rPr>
          <w:rFonts w:hint="eastAsia"/>
        </w:rPr>
      </w:pPr>
      <w:r>
        <w:rPr>
          <w:rFonts w:ascii="KaiTi_GB2312" w:eastAsia="KaiTi_GB2312"/>
          <w:color w:val="0000FF"/>
        </w:rPr>
        <w:tab/>
        <w:t>(</w:t>
      </w:r>
      <w:r>
        <w:rPr>
          <w:rFonts w:ascii="KaiTi_GB2312" w:eastAsia="KaiTi_GB2312" w:hint="eastAsia"/>
          <w:color w:val="0000FF"/>
        </w:rPr>
        <w:t>c)</w:t>
      </w:r>
      <w:r>
        <w:rPr>
          <w:rFonts w:ascii="KaiTi_GB2312" w:eastAsia="KaiTi_GB2312" w:hint="eastAsia"/>
          <w:color w:val="0000FF"/>
        </w:rPr>
        <w:tab/>
        <w:t>为妇女与男子平等的权利确立法律保护，通过各国的主管法庭及其他公共机构，保证切实保护妇女不受任何歧视；</w:t>
      </w:r>
    </w:p>
    <w:p w:rsidR="00320E49" w:rsidRDefault="00320E49">
      <w:pPr>
        <w:pStyle w:val="SingleTxt"/>
        <w:rPr>
          <w:rFonts w:hint="eastAsia"/>
          <w:spacing w:val="2"/>
        </w:rPr>
      </w:pPr>
      <w:r>
        <w:rPr>
          <w:spacing w:val="2"/>
        </w:rPr>
        <w:tab/>
      </w:r>
      <w:r>
        <w:rPr>
          <w:rFonts w:hint="eastAsia"/>
          <w:spacing w:val="2"/>
        </w:rPr>
        <w:t>土耳其第二和三次合并报告阐述了作为保护妇女免受歧视的国家机制的妇女地位和妇女问题司的建立和组织情况。自上次报告以来，议会的有关委员会接受了关于妇女地位和妇女问题司重组的法律草案；但是，迄今没有采取任何行动。该议案草案设想建立妇女地位咨询理事会，作为一个将性别问题纳入所有政府计划和方案的主流之中的机制。该理事会一旦设立将有助于建立其他保护性机构。</w:t>
      </w:r>
    </w:p>
    <w:p w:rsidR="00320E49" w:rsidRDefault="00320E49">
      <w:pPr>
        <w:pStyle w:val="SingleTxt"/>
        <w:rPr>
          <w:rFonts w:hint="eastAsia"/>
        </w:rPr>
      </w:pPr>
      <w:r>
        <w:tab/>
      </w:r>
      <w:r>
        <w:rPr>
          <w:rFonts w:hint="eastAsia"/>
        </w:rPr>
        <w:t>妇女地位和妇女问题司通过提交给总理府的议案草案，提议修改关于议会内部运作的法令，以保证建立“男女平等委员会”。目前议会中共有16个专门委员会。如果提议的法律获得通过，受权从两性平等角度审查所有法律的体制机构将在议会内运行。</w:t>
      </w:r>
    </w:p>
    <w:p w:rsidR="00320E49" w:rsidRDefault="00320E49">
      <w:pPr>
        <w:pStyle w:val="SingleTxt"/>
        <w:rPr>
          <w:rFonts w:hint="eastAsia"/>
        </w:rPr>
      </w:pPr>
      <w:r>
        <w:tab/>
      </w:r>
      <w:r>
        <w:rPr>
          <w:rFonts w:hint="eastAsia"/>
        </w:rPr>
        <w:t>这方面的另一个进展是司法部为了建立监察员制度而正在开展的工作，制订该制度是为了监督由于公共行政系统内部的决定和做法导致的个人损害的赔偿要求。妇女地位和妇女问题司为这一过程做出了贡献。</w:t>
      </w:r>
    </w:p>
    <w:p w:rsidR="00320E49" w:rsidRDefault="00320E49">
      <w:pPr>
        <w:pStyle w:val="SingleTxt"/>
        <w:rPr>
          <w:rFonts w:hint="eastAsia"/>
        </w:rPr>
      </w:pPr>
      <w:r>
        <w:tab/>
      </w:r>
      <w:r>
        <w:rPr>
          <w:rFonts w:hint="eastAsia"/>
        </w:rPr>
        <w:t>缔约各国应……确保：</w:t>
      </w:r>
    </w:p>
    <w:p w:rsidR="00320E49" w:rsidRDefault="00320E49">
      <w:pPr>
        <w:pStyle w:val="SingleTxt"/>
        <w:rPr>
          <w:rFonts w:hint="eastAsia"/>
        </w:rPr>
      </w:pPr>
      <w:r>
        <w:rPr>
          <w:rFonts w:ascii="KaiTi_GB2312" w:eastAsia="KaiTi_GB2312"/>
          <w:color w:val="0000FF"/>
        </w:rPr>
        <w:tab/>
        <w:t>(</w:t>
      </w:r>
      <w:r>
        <w:rPr>
          <w:rFonts w:ascii="KaiTi_GB2312" w:eastAsia="KaiTi_GB2312" w:hint="eastAsia"/>
          <w:color w:val="0000FF"/>
        </w:rPr>
        <w:t>d)</w:t>
      </w:r>
      <w:r>
        <w:rPr>
          <w:rFonts w:ascii="KaiTi_GB2312" w:eastAsia="KaiTi_GB2312" w:hint="eastAsia"/>
          <w:color w:val="0000FF"/>
        </w:rPr>
        <w:tab/>
        <w:t>不采取任何歧视妇女的行为或做法，并保证公共当局和公共机构的行动都不违背这项义务</w:t>
      </w:r>
      <w:r>
        <w:rPr>
          <w:rFonts w:hint="eastAsia"/>
        </w:rPr>
        <w:t>；</w:t>
      </w:r>
    </w:p>
    <w:p w:rsidR="00320E49" w:rsidRDefault="00320E49">
      <w:pPr>
        <w:pStyle w:val="SingleTxt"/>
        <w:rPr>
          <w:rFonts w:hint="eastAsia"/>
        </w:rPr>
      </w:pPr>
      <w:r>
        <w:rPr>
          <w:rFonts w:hint="eastAsia"/>
        </w:rPr>
        <w:t>参考土耳其第二和三次合并报告。</w:t>
      </w:r>
    </w:p>
    <w:p w:rsidR="00320E49" w:rsidRDefault="00320E49">
      <w:pPr>
        <w:pStyle w:val="SingleTxt"/>
        <w:rPr>
          <w:rFonts w:ascii="KaiTi_GB2312" w:eastAsia="KaiTi_GB2312" w:hint="eastAsia"/>
          <w:color w:val="0000FF"/>
        </w:rPr>
      </w:pPr>
      <w:r>
        <w:tab/>
      </w:r>
      <w:r>
        <w:rPr>
          <w:rFonts w:ascii="KaiTi_GB2312" w:eastAsia="KaiTi_GB2312"/>
          <w:color w:val="0000FF"/>
        </w:rPr>
        <w:t>(</w:t>
      </w:r>
      <w:r>
        <w:rPr>
          <w:rFonts w:ascii="KaiTi_GB2312" w:eastAsia="KaiTi_GB2312" w:hint="eastAsia"/>
          <w:color w:val="0000FF"/>
        </w:rPr>
        <w:t>e)</w:t>
      </w:r>
      <w:r>
        <w:rPr>
          <w:rFonts w:ascii="KaiTi_GB2312" w:eastAsia="KaiTi_GB2312" w:hint="eastAsia"/>
          <w:color w:val="0000FF"/>
        </w:rPr>
        <w:tab/>
        <w:t>采取一切适当措施，消除任何个人、组织或企业对妇女的歧视；</w:t>
      </w:r>
    </w:p>
    <w:p w:rsidR="00320E49" w:rsidRDefault="00320E49">
      <w:pPr>
        <w:pStyle w:val="SingleTxt"/>
        <w:rPr>
          <w:rFonts w:hint="eastAsia"/>
        </w:rPr>
      </w:pPr>
      <w:r>
        <w:tab/>
      </w:r>
      <w:r>
        <w:rPr>
          <w:rFonts w:hint="eastAsia"/>
        </w:rPr>
        <w:t>本报告的具体条款下面讨论了这方面采取的措施。</w:t>
      </w:r>
    </w:p>
    <w:p w:rsidR="00320E49" w:rsidRDefault="00320E49">
      <w:pPr>
        <w:pStyle w:val="SingleTxt"/>
        <w:rPr>
          <w:rFonts w:hint="eastAsia"/>
        </w:rPr>
      </w:pPr>
      <w:r>
        <w:tab/>
      </w:r>
      <w:r>
        <w:rPr>
          <w:rFonts w:ascii="KaiTi_GB2312" w:eastAsia="KaiTi_GB2312"/>
          <w:color w:val="0000FF"/>
        </w:rPr>
        <w:t>(</w:t>
      </w:r>
      <w:r>
        <w:rPr>
          <w:rFonts w:ascii="KaiTi_GB2312" w:eastAsia="KaiTi_GB2312" w:hint="eastAsia"/>
          <w:color w:val="0000FF"/>
        </w:rPr>
        <w:t>f)</w:t>
      </w:r>
      <w:r>
        <w:rPr>
          <w:rFonts w:ascii="KaiTi_GB2312" w:eastAsia="KaiTi_GB2312" w:hint="eastAsia"/>
          <w:color w:val="0000FF"/>
        </w:rPr>
        <w:tab/>
        <w:t>应采取一切适当措施，包括制定法律，以修改或废除构成对妇女歧视的现行法律、规章、习俗和惯例</w:t>
      </w:r>
      <w:r>
        <w:rPr>
          <w:rFonts w:hint="eastAsia"/>
        </w:rPr>
        <w:t>；</w:t>
      </w:r>
    </w:p>
    <w:p w:rsidR="00320E49" w:rsidRDefault="00320E49">
      <w:pPr>
        <w:pStyle w:val="SingleTxt"/>
        <w:rPr>
          <w:rFonts w:hint="eastAsia"/>
        </w:rPr>
      </w:pPr>
      <w:r>
        <w:tab/>
      </w:r>
      <w:r>
        <w:rPr>
          <w:rFonts w:hint="eastAsia"/>
        </w:rPr>
        <w:t>为了传播关于新的《民法》的信息并促进该法典，妇女地位和妇女问题司与各行政区、律师协会和妇女非政府组织合作，于2002年举行了各种全国会议。</w:t>
      </w:r>
    </w:p>
    <w:p w:rsidR="00320E49" w:rsidRDefault="00320E49">
      <w:pPr>
        <w:pStyle w:val="SingleTxt"/>
        <w:rPr>
          <w:rFonts w:hint="eastAsia"/>
        </w:rPr>
      </w:pPr>
      <w:r>
        <w:tab/>
      </w:r>
      <w:r>
        <w:rPr>
          <w:rFonts w:hint="eastAsia"/>
        </w:rPr>
        <w:t>《土耳其民法》的改革成为废除歧视性法律规定和引进对家庭和两性关系的平等理解的一个重大进步。本报告已经提到过某些修改。第十五和第十六条下总结了主要修正案。新的法律不仅将增进妇女的权利和提高她们的法律地位，而且将对改变构成对妇女歧视的观念、习俗和做法产生长期影响。</w:t>
      </w:r>
    </w:p>
    <w:p w:rsidR="00320E49" w:rsidRDefault="00320E49">
      <w:pPr>
        <w:pStyle w:val="SingleTxt"/>
        <w:rPr>
          <w:rFonts w:hint="eastAsia"/>
        </w:rPr>
      </w:pPr>
      <w:r>
        <w:tab/>
      </w:r>
      <w:r>
        <w:rPr>
          <w:rFonts w:hint="eastAsia"/>
        </w:rPr>
        <w:t>改革进程有助于扩大两性平等议程，因为改革刺激了立法者和决策者乃至广大公众对其他相关问题的辩论。例如，拟订并向议会提交了关于设立家事法院的议案草案，预计议会不久将通过该草案。家事法院运作后将监督与家庭关系法和1998年打击家庭暴力的法律有关的案件。这种专门法院和相关的干部的出现，无疑将增强法律系统更加有效地对不歧视原则做出反应的能力，并从而将妇女在合法交易中受到的限制降低到最低限度。</w:t>
      </w:r>
    </w:p>
    <w:p w:rsidR="00320E49" w:rsidRDefault="00320E49">
      <w:pPr>
        <w:pStyle w:val="SingleTxt"/>
        <w:rPr>
          <w:rFonts w:hint="eastAsia"/>
        </w:rPr>
      </w:pPr>
      <w:r>
        <w:tab/>
      </w:r>
      <w:r>
        <w:rPr>
          <w:rFonts w:hint="eastAsia"/>
        </w:rPr>
        <w:t>此外，为了修正《宪法》、《刑法》、《国籍法》、《公务员法》、《劳动法》和《社会保障法》中其余的歧视性规定，需要进一步改革。如上所述，在其中的某些领域已经开展工作。第二(g)条下面讨论了《刑法》的提议修改意见。修改歧视性规定的其他重要举措如下：</w:t>
      </w:r>
    </w:p>
    <w:p w:rsidR="00320E49" w:rsidRDefault="00320E49">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40"/>
        <w:ind w:left="1264" w:right="1264" w:hanging="1264"/>
        <w:jc w:val="both"/>
        <w:rPr>
          <w:rFonts w:hint="eastAsia"/>
        </w:rPr>
      </w:pPr>
      <w:r>
        <w:tab/>
      </w:r>
      <w:r>
        <w:tab/>
      </w:r>
      <w:r>
        <w:rPr>
          <w:rFonts w:hint="eastAsia"/>
        </w:rPr>
        <w:t>家庭暴力法</w:t>
      </w:r>
    </w:p>
    <w:p w:rsidR="00320E49" w:rsidRDefault="00320E49">
      <w:pPr>
        <w:pStyle w:val="SingleTxt"/>
        <w:rPr>
          <w:rFonts w:hint="eastAsia"/>
        </w:rPr>
      </w:pPr>
      <w:r>
        <w:tab/>
      </w:r>
      <w:r>
        <w:rPr>
          <w:rFonts w:hint="eastAsia"/>
        </w:rPr>
        <w:t>1998年1月17日颁布的前述《家庭保护法》是处理对妇女暴力问题方面积极的一步，这种暴力主要是在家庭内部犯下的。委员会对土耳其的一次报告所做的建议有助于推动这方面的立法。在通过此项法律之前，涉及家庭暴力的案件是根据《刑法》的一般规定审理的。由于家庭生活的私人领域大部分仍然处于现有的立法框架管制机制之外，这给认定和处罚这些罪行出了难题。鉴于涉及家庭暴力的新法律已经让公众注意到曾经被视为私事的问题，而罪犯须因此受到各种惩罚性措施的惩罚，如强迫罪犯放弃房屋、没收罪犯拥有的武器、支付临时生活费、禁止通过通信设施骚扰家庭、以及禁止破坏其他家庭成员的财产。违反这些措施将被处以三至六个月的监禁。当受害人或其他任何人向警察提出控告时，此项法律即适用。自《家庭保护法》生效以来，报告的案件越来越多。1999年1月1日至2001年12月31日，共有7 613起家庭暴力案件提交法院，其中的7 449起已经定案。</w:t>
      </w:r>
    </w:p>
    <w:p w:rsidR="00320E49" w:rsidRDefault="00320E49">
      <w:pPr>
        <w:pStyle w:val="SingleTxt"/>
        <w:spacing w:line="328" w:lineRule="exact"/>
        <w:rPr>
          <w:rFonts w:hint="eastAsia"/>
        </w:rPr>
      </w:pPr>
      <w:r>
        <w:tab/>
      </w:r>
      <w:r>
        <w:rPr>
          <w:rFonts w:hint="eastAsia"/>
        </w:rPr>
        <w:t>妇女地位和妇女问题司编写了一本小册子，介绍此项法律的各项规定并在全国宣传该手册。该司还监督此项法律的执行情况。在这方面，拟议的修正案已经提交总理府审议。此外，2002年11月15日，司法部颁发了一部规章手册，为解释和执行该法律提供了准则。</w:t>
      </w:r>
    </w:p>
    <w:p w:rsidR="00320E49" w:rsidRDefault="00320E49">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40" w:line="328" w:lineRule="exact"/>
        <w:ind w:left="1264" w:right="1264" w:hanging="1264"/>
        <w:jc w:val="both"/>
        <w:rPr>
          <w:rFonts w:hint="eastAsia"/>
        </w:rPr>
      </w:pPr>
      <w:r>
        <w:tab/>
      </w:r>
      <w:r>
        <w:tab/>
      </w:r>
      <w:r>
        <w:rPr>
          <w:rFonts w:hint="eastAsia"/>
        </w:rPr>
        <w:t>妇女的贞洁</w:t>
      </w:r>
    </w:p>
    <w:p w:rsidR="00320E49" w:rsidRDefault="00320E49">
      <w:pPr>
        <w:pStyle w:val="SingleTxt"/>
        <w:spacing w:line="328" w:lineRule="exact"/>
        <w:rPr>
          <w:rFonts w:hint="eastAsia"/>
        </w:rPr>
      </w:pPr>
      <w:r>
        <w:tab/>
      </w:r>
      <w:r>
        <w:rPr>
          <w:rFonts w:hint="eastAsia"/>
        </w:rPr>
        <w:t>土耳其在过去的十年里遇到的最有争议的一个问题是处女检查问题，这被视为严重侵犯了妇女人权、其性行为和《土耳其宪法》第17条。后者指出，除非医疗要求和法律规定的情形，否则，任何人的身体尊严都不得遭受侵犯。过去曾经使用过法律中的各项规定以证明强制执行的处女检查是正确的。其中的一项法规就是1995年1月31日生效的《教育部中学教育机构奖惩》。此项法规指出，“证明不贞洁”是将学生从正规教育体系中开除的一个确凿的理由。处女检查通常是提出必要的证据所依据的方法。由于妇女团体和公共辩论的压力，在妇女地位和妇女问题司建议下，教育部于2002年2月26日从经过修订的法规中删除了“不贞洁”这种说法，从而消除了一种严重的性别歧视。</w:t>
      </w:r>
    </w:p>
    <w:p w:rsidR="00320E49" w:rsidRDefault="00320E49">
      <w:pPr>
        <w:pStyle w:val="SingleTxt"/>
        <w:spacing w:line="328" w:lineRule="exact"/>
        <w:rPr>
          <w:rFonts w:hint="eastAsia"/>
        </w:rPr>
      </w:pPr>
      <w:r>
        <w:tab/>
      </w:r>
      <w:r>
        <w:rPr>
          <w:rFonts w:hint="eastAsia"/>
        </w:rPr>
        <w:t>在此之前，1999年1月13日，司法部对抗议和公众压力做出反应，颁布了一项法规，禁止未经妇女同意出于纪律处分目的或以伤害或折磨她们的方式，对她们进行体检。法规取消了处女检查，将这种检查与依法要求的、在强奸、与未成年人发生性行为和鼓励卖淫或拉皮条情况下的阴道或肛门检查区分开来。在这种情况下，如果认为有必要，法官可以不经该妇女的同意命令进行阴道或肛门检查。但是，在发布司法命令时需要同时出具检察官的书面同意。</w:t>
      </w:r>
    </w:p>
    <w:p w:rsidR="00320E49" w:rsidRDefault="00320E49">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40"/>
        <w:ind w:left="1264" w:right="1264" w:hanging="1264"/>
        <w:jc w:val="both"/>
        <w:rPr>
          <w:rFonts w:hint="eastAsia"/>
        </w:rPr>
      </w:pPr>
      <w:r>
        <w:tab/>
      </w:r>
      <w:r>
        <w:tab/>
      </w:r>
      <w:r>
        <w:rPr>
          <w:rFonts w:hint="eastAsia"/>
        </w:rPr>
        <w:t>与产妇有关的法律</w:t>
      </w:r>
    </w:p>
    <w:p w:rsidR="00320E49" w:rsidRDefault="00320E49">
      <w:pPr>
        <w:pStyle w:val="SingleTxt"/>
        <w:spacing w:line="330" w:lineRule="exact"/>
        <w:rPr>
          <w:rFonts w:hint="eastAsia"/>
        </w:rPr>
      </w:pPr>
      <w:r>
        <w:tab/>
      </w:r>
      <w:r>
        <w:rPr>
          <w:rFonts w:hint="eastAsia"/>
        </w:rPr>
        <w:t>产假和相关问题由《公务员法》和《劳动法》管理。前者准予产前三周产假、产后六周带薪假和一年不带薪产假。另一方面，《劳动法》准予产前六周产假、产后六周带薪产假和六个月不带薪产假。妇女地位和妇女问题司起草的法律草案已经提交给总理府，该草案旨在使两项管理机制之下的权利相容。此外，该议案草案建议用父母产假代替产假、在收养的情况下准予父母产假以及让父亲全身心地照顾和养育子女。</w:t>
      </w:r>
    </w:p>
    <w:p w:rsidR="00320E49" w:rsidRDefault="00320E49">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40" w:line="330" w:lineRule="exact"/>
        <w:ind w:left="1264" w:right="1264" w:hanging="1264"/>
        <w:jc w:val="both"/>
        <w:rPr>
          <w:rFonts w:hint="eastAsia"/>
        </w:rPr>
      </w:pPr>
      <w:r>
        <w:tab/>
      </w:r>
      <w:r>
        <w:tab/>
      </w:r>
      <w:r>
        <w:rPr>
          <w:rFonts w:hint="eastAsia"/>
        </w:rPr>
        <w:t>工作保障</w:t>
      </w:r>
    </w:p>
    <w:p w:rsidR="00320E49" w:rsidRDefault="00320E49">
      <w:pPr>
        <w:pStyle w:val="SingleTxt"/>
        <w:spacing w:line="330" w:lineRule="exact"/>
        <w:rPr>
          <w:rFonts w:hint="eastAsia"/>
        </w:rPr>
      </w:pPr>
      <w:r>
        <w:tab/>
      </w:r>
      <w:r>
        <w:rPr>
          <w:rFonts w:hint="eastAsia"/>
        </w:rPr>
        <w:t>《劳动法》和其他相关法律中关于工作保障的条款已经修正，预计将在2003年3月15日生效。按照修正案，不能因加入工会和参加工会活动终止劳动合同，因雇主违反了合同和劳动管理条例条条款可将雇主送上法庭。经过修正的法律也保护雇员免受基于种族、性别、婚姻状况、家庭责任、怀孕、宗教、政治见解及社会出身和民族血统的一切形式的歧视。在涉及终止合同的案件中，雇主有义务提供终止合同的理由的书面证明，在有争议的情况下，举证责任由雇主承担。</w:t>
      </w:r>
    </w:p>
    <w:p w:rsidR="00320E49" w:rsidRDefault="00320E49">
      <w:pPr>
        <w:pStyle w:val="SingleTxt"/>
        <w:spacing w:line="330" w:lineRule="exact"/>
        <w:rPr>
          <w:rFonts w:hint="eastAsia"/>
        </w:rPr>
      </w:pPr>
      <w:r>
        <w:tab/>
      </w:r>
      <w:r>
        <w:rPr>
          <w:rFonts w:hint="eastAsia"/>
        </w:rPr>
        <w:t>缔约各国应……确保：</w:t>
      </w:r>
    </w:p>
    <w:p w:rsidR="00320E49" w:rsidRDefault="00320E49">
      <w:pPr>
        <w:pStyle w:val="SingleTxt"/>
        <w:spacing w:line="330" w:lineRule="exact"/>
        <w:rPr>
          <w:rFonts w:ascii="KaiTi_GB2312" w:eastAsia="KaiTi_GB2312" w:hint="eastAsia"/>
          <w:color w:val="0000FF"/>
        </w:rPr>
      </w:pPr>
      <w:r>
        <w:tab/>
      </w:r>
      <w:r>
        <w:rPr>
          <w:rFonts w:ascii="KaiTi_GB2312" w:eastAsia="KaiTi_GB2312"/>
          <w:color w:val="0000FF"/>
        </w:rPr>
        <w:t>(</w:t>
      </w:r>
      <w:r>
        <w:rPr>
          <w:rFonts w:ascii="KaiTi_GB2312" w:eastAsia="KaiTi_GB2312" w:hint="eastAsia"/>
          <w:color w:val="0000FF"/>
        </w:rPr>
        <w:t>g)</w:t>
      </w:r>
      <w:r>
        <w:rPr>
          <w:rFonts w:ascii="KaiTi_GB2312" w:eastAsia="KaiTi_GB2312" w:hint="eastAsia"/>
          <w:color w:val="0000FF"/>
        </w:rPr>
        <w:tab/>
        <w:t>同意废止本国刑法内构成对妇女歧视的一切规定。</w:t>
      </w:r>
    </w:p>
    <w:p w:rsidR="00320E49" w:rsidRDefault="00320E49">
      <w:pPr>
        <w:pStyle w:val="SingleTxt"/>
        <w:spacing w:line="330" w:lineRule="exact"/>
        <w:rPr>
          <w:rFonts w:hint="eastAsia"/>
        </w:rPr>
      </w:pPr>
      <w:r>
        <w:tab/>
      </w:r>
      <w:r>
        <w:rPr>
          <w:rFonts w:hint="eastAsia"/>
        </w:rPr>
        <w:t>司法部于2002年10月9日向总理府提交了一份议案草案，对《刑法》进行修改。建议的修改包括：</w:t>
      </w:r>
    </w:p>
    <w:p w:rsidR="00320E49" w:rsidRDefault="00320E49">
      <w:pPr>
        <w:pStyle w:val="SingleTxt"/>
        <w:spacing w:line="330" w:lineRule="exact"/>
        <w:ind w:left="1695" w:hanging="431"/>
        <w:rPr>
          <w:rFonts w:hint="eastAsia"/>
        </w:rPr>
      </w:pPr>
      <w:r>
        <w:rPr>
          <w:rFonts w:hint="eastAsia"/>
        </w:rPr>
        <w:sym w:font="Symbol" w:char="F0B7"/>
      </w:r>
      <w:r>
        <w:tab/>
      </w:r>
      <w:r>
        <w:rPr>
          <w:rFonts w:hint="eastAsia"/>
        </w:rPr>
        <w:t>酷刑行为被界定为个人犯下的独立罪行。对18岁以下的未成年人和配偶犯下的这种行为被视为使罪行加重的因素，因此成为重罚的一个理由；</w:t>
      </w:r>
    </w:p>
    <w:p w:rsidR="00320E49" w:rsidRDefault="00320E49">
      <w:pPr>
        <w:pStyle w:val="SingleTxt"/>
        <w:spacing w:line="330" w:lineRule="exact"/>
        <w:ind w:left="1695" w:hanging="431"/>
        <w:rPr>
          <w:rFonts w:hint="eastAsia"/>
        </w:rPr>
      </w:pPr>
      <w:r>
        <w:rPr>
          <w:rFonts w:hint="eastAsia"/>
        </w:rPr>
        <w:sym w:font="Symbol" w:char="F0B7"/>
      </w:r>
      <w:r>
        <w:tab/>
      </w:r>
      <w:r>
        <w:rPr>
          <w:rFonts w:hint="eastAsia"/>
        </w:rPr>
        <w:t>423条，</w:t>
      </w:r>
    </w:p>
    <w:p w:rsidR="00320E49" w:rsidRDefault="00320E49">
      <w:pPr>
        <w:pStyle w:val="SingleTxt"/>
        <w:spacing w:line="330" w:lineRule="exact"/>
        <w:ind w:left="1695" w:hanging="431"/>
        <w:rPr>
          <w:rFonts w:hint="eastAsia"/>
        </w:rPr>
      </w:pPr>
      <w:r>
        <w:rPr>
          <w:rFonts w:hint="eastAsia"/>
        </w:rPr>
        <w:sym w:font="Symbol" w:char="F0B7"/>
      </w:r>
      <w:r>
        <w:tab/>
      </w:r>
      <w:r>
        <w:rPr>
          <w:rFonts w:hint="eastAsia"/>
        </w:rPr>
        <w:t>为强奸或强奸未遂案件中的强迫行为；</w:t>
      </w:r>
    </w:p>
    <w:p w:rsidR="00320E49" w:rsidRDefault="00320E49">
      <w:pPr>
        <w:pStyle w:val="SingleTxt"/>
        <w:spacing w:line="330" w:lineRule="exact"/>
        <w:ind w:left="1695" w:hanging="431"/>
        <w:rPr>
          <w:rFonts w:hint="eastAsia"/>
        </w:rPr>
      </w:pPr>
      <w:r>
        <w:rPr>
          <w:rFonts w:hint="eastAsia"/>
        </w:rPr>
        <w:sym w:font="Symbol" w:char="F0B7"/>
      </w:r>
      <w:r>
        <w:tab/>
      </w:r>
      <w:r>
        <w:rPr>
          <w:rFonts w:hint="eastAsia"/>
        </w:rPr>
        <w:t>罪”定义为危害个人罪而不是危害公众体面罪</w:t>
      </w:r>
    </w:p>
    <w:p w:rsidR="00320E49" w:rsidRDefault="00320E49">
      <w:pPr>
        <w:pStyle w:val="SingleTxt"/>
        <w:spacing w:line="330" w:lineRule="exact"/>
        <w:ind w:left="1695" w:hanging="431"/>
        <w:rPr>
          <w:rFonts w:hint="eastAsia"/>
        </w:rPr>
      </w:pPr>
      <w:r>
        <w:rPr>
          <w:rFonts w:hint="eastAsia"/>
        </w:rPr>
        <w:sym w:font="Symbol" w:char="F0B7"/>
      </w:r>
      <w:r>
        <w:tab/>
      </w:r>
      <w:r>
        <w:rPr>
          <w:rFonts w:hint="eastAsia"/>
        </w:rPr>
        <w:t>规定；</w:t>
      </w:r>
    </w:p>
    <w:p w:rsidR="00320E49" w:rsidRDefault="00320E49">
      <w:pPr>
        <w:pStyle w:val="SingleTxt"/>
        <w:spacing w:line="330" w:lineRule="exact"/>
        <w:ind w:left="1695" w:hanging="431"/>
        <w:rPr>
          <w:rFonts w:hint="eastAsia"/>
        </w:rPr>
      </w:pPr>
      <w:r>
        <w:rPr>
          <w:rFonts w:hint="eastAsia"/>
        </w:rPr>
        <w:sym w:font="Symbol" w:char="F0B7"/>
      </w:r>
      <w:r>
        <w:tab/>
      </w:r>
      <w:r>
        <w:rPr>
          <w:rFonts w:hint="eastAsia"/>
        </w:rPr>
        <w:t>罚因受害人的年龄而定，但预计对12岁以下的儿童犯下性犯罪者将受到最重的处罚；</w:t>
      </w:r>
    </w:p>
    <w:p w:rsidR="00320E49" w:rsidRDefault="00320E49">
      <w:pPr>
        <w:pStyle w:val="SingleTxt"/>
        <w:spacing w:line="330" w:lineRule="exact"/>
        <w:ind w:left="1695" w:hanging="431"/>
        <w:rPr>
          <w:rFonts w:hint="eastAsia"/>
        </w:rPr>
      </w:pPr>
      <w:r>
        <w:rPr>
          <w:rFonts w:hint="eastAsia"/>
        </w:rPr>
        <w:sym w:font="Symbol" w:char="F0B7"/>
      </w:r>
      <w:r>
        <w:tab/>
      </w:r>
      <w:r>
        <w:rPr>
          <w:rFonts w:hint="eastAsia"/>
        </w:rPr>
        <w:t>的引诱罪受害人的妇女的婚姻状况所做的区别；</w:t>
      </w:r>
    </w:p>
    <w:p w:rsidR="00320E49" w:rsidRDefault="00320E49">
      <w:pPr>
        <w:pStyle w:val="SingleTxt"/>
        <w:spacing w:line="330" w:lineRule="exact"/>
        <w:ind w:left="1695" w:hanging="431"/>
        <w:rPr>
          <w:rFonts w:hint="eastAsia"/>
        </w:rPr>
      </w:pPr>
      <w:r>
        <w:rPr>
          <w:rFonts w:hint="eastAsia"/>
        </w:rPr>
        <w:sym w:font="Symbol" w:char="F0B7"/>
      </w:r>
      <w:r>
        <w:tab/>
      </w:r>
      <w:r>
        <w:rPr>
          <w:rFonts w:hint="eastAsia"/>
        </w:rPr>
        <w:t>受害人与罪犯结婚，则不再判刑；但草案改变这种状况，规定法官将先听取受害人和罪犯的陈述，只有法官确信双方自愿结婚，他/她才不再作出判决。如果罪犯不只一人，其中一人与受害人结婚，有关不再对其他人判刑的规定保持不变；</w:t>
      </w:r>
    </w:p>
    <w:p w:rsidR="00320E49" w:rsidRDefault="00320E49">
      <w:pPr>
        <w:pStyle w:val="SingleTxt"/>
        <w:spacing w:after="126"/>
        <w:ind w:left="1695" w:hanging="431"/>
        <w:rPr>
          <w:rFonts w:hint="eastAsia"/>
        </w:rPr>
      </w:pPr>
      <w:r>
        <w:rPr>
          <w:rFonts w:hint="eastAsia"/>
        </w:rPr>
        <w:sym w:font="Symbol" w:char="F0B7"/>
      </w:r>
      <w:r>
        <w:tab/>
      </w:r>
      <w:r>
        <w:rPr>
          <w:rFonts w:hint="eastAsia"/>
        </w:rPr>
        <w:t>为”之外的任何手段也被视为强奸；</w:t>
      </w:r>
    </w:p>
    <w:p w:rsidR="00320E49" w:rsidRDefault="00320E49">
      <w:pPr>
        <w:pStyle w:val="SingleTxt"/>
        <w:spacing w:after="126"/>
        <w:ind w:left="1695" w:hanging="431"/>
        <w:rPr>
          <w:rFonts w:hint="eastAsia"/>
        </w:rPr>
      </w:pPr>
      <w:r>
        <w:rPr>
          <w:rFonts w:hint="eastAsia"/>
        </w:rPr>
        <w:sym w:font="Symbol" w:char="F0B7"/>
      </w:r>
      <w:r>
        <w:tab/>
      </w:r>
      <w:r>
        <w:rPr>
          <w:rFonts w:hint="eastAsia"/>
        </w:rPr>
        <w:t>犯职业和工作自由罪的条款是一项修正案，作为议会于2002年8月3日通过的欧盟加入一揽子措施的一部分。在经过这次修正之后，将对有组织贩运人口做出详细的管制规定并对此加重处罚。</w:t>
      </w:r>
    </w:p>
    <w:p w:rsidR="00320E49" w:rsidRDefault="00320E49">
      <w:pPr>
        <w:pStyle w:val="SingleTxt"/>
        <w:spacing w:after="126"/>
        <w:rPr>
          <w:rFonts w:hint="eastAsia"/>
        </w:rPr>
      </w:pPr>
      <w:r>
        <w:tab/>
      </w:r>
      <w:r>
        <w:rPr>
          <w:rFonts w:hint="eastAsia"/>
        </w:rPr>
        <w:t>上述修正草案是现行法律中反映的父权制社会对性行为的理解方面的一个重大的突破，现行法律将对妇女和女童的性攻击罪处理为危害公众体面和家庭秩序的重罪。该议案草案将性犯罪概念作为危害个人罪，不仅促进了公正，而且最终也将有助于质疑土耳其社会中的名誉观念，这种观念仍然与妇女的性行为密切相连，而且是性别歧视的主要因素。</w:t>
      </w:r>
    </w:p>
    <w:p w:rsidR="00320E49" w:rsidRDefault="00320E49">
      <w:pPr>
        <w:pStyle w:val="SingleTxt"/>
        <w:spacing w:after="126"/>
        <w:rPr>
          <w:rFonts w:hint="eastAsia"/>
        </w:rPr>
      </w:pPr>
      <w:r>
        <w:tab/>
      </w:r>
      <w:r>
        <w:rPr>
          <w:rFonts w:hint="eastAsia"/>
        </w:rPr>
        <w:t>土耳其以前的报告中提到过，宪法法院于1996年取消了有关男性通奸的《刑法》第441条，其理由是该条款违反了宪法的平等原则。因为在一年的法定期限内没有制订一部新法律，所以在该法律下男性因过失通奸不再是犯罪，但第440条涉及的妇女通奸罪仍然有效。1998年6月23日，宪法法院宣布后者无效，因此纠正了现有的不一致之处。因此，在土耳其法律中，通奸不再构成一项罪行，但按照《民法》（第161条）通奸可以构成离婚的理由。基于配偶不忠的理由申请离婚，使受害一方有权要求一般性赔偿（《民法》第174条）。</w:t>
      </w:r>
    </w:p>
    <w:p w:rsidR="00320E49" w:rsidRDefault="00320E49">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26"/>
        <w:ind w:left="1264" w:right="1264" w:hanging="1264"/>
        <w:jc w:val="both"/>
        <w:rPr>
          <w:rFonts w:ascii="KaiTi_GB2312" w:eastAsia="KaiTi_GB2312" w:hint="eastAsia"/>
          <w:color w:val="0000FF"/>
          <w:sz w:val="28"/>
        </w:rPr>
      </w:pPr>
      <w:r>
        <w:tab/>
      </w:r>
      <w:r>
        <w:tab/>
      </w:r>
      <w:r>
        <w:rPr>
          <w:rFonts w:ascii="KaiTi_GB2312" w:eastAsia="KaiTi_GB2312" w:hint="eastAsia"/>
          <w:color w:val="0000FF"/>
          <w:sz w:val="28"/>
        </w:rPr>
        <w:t>妇女的发展和进步</w:t>
      </w:r>
    </w:p>
    <w:p w:rsidR="00320E49" w:rsidRDefault="00320E49">
      <w:pPr>
        <w:pStyle w:val="SingleTxt"/>
        <w:spacing w:after="126"/>
        <w:rPr>
          <w:rFonts w:hint="eastAsia"/>
        </w:rPr>
      </w:pPr>
      <w:r>
        <w:tab/>
      </w:r>
      <w:r>
        <w:rPr>
          <w:rFonts w:ascii="KaiTi_GB2312" w:eastAsia="KaiTi_GB2312" w:hint="eastAsia"/>
          <w:b/>
          <w:bCs/>
          <w:color w:val="0000FF"/>
        </w:rPr>
        <w:t>第三条</w:t>
      </w:r>
      <w:r>
        <w:rPr>
          <w:rFonts w:hint="eastAsia"/>
        </w:rPr>
        <w:t>．</w:t>
      </w:r>
      <w:r>
        <w:rPr>
          <w:rFonts w:ascii="KaiTi_GB2312" w:eastAsia="KaiTi_GB2312" w:hint="eastAsia"/>
          <w:color w:val="0000FF"/>
        </w:rPr>
        <w:t>缔约各国应承担在所有领域，特别是在政治、社会、经济、文化领域，采取一切适当措施，包括制定法律，保证妇女得到充分发展和进步，其目的是为确保她们在与男子平等的基础上，行使和享有人权和基本自由</w:t>
      </w:r>
      <w:r>
        <w:rPr>
          <w:rFonts w:hint="eastAsia"/>
        </w:rPr>
        <w:t>。</w:t>
      </w:r>
    </w:p>
    <w:p w:rsidR="00320E49" w:rsidRDefault="00320E49">
      <w:pPr>
        <w:pStyle w:val="SingleTxt"/>
        <w:spacing w:after="126"/>
        <w:rPr>
          <w:rFonts w:hint="eastAsia"/>
        </w:rPr>
      </w:pPr>
      <w:r>
        <w:tab/>
      </w:r>
      <w:r>
        <w:rPr>
          <w:rFonts w:hint="eastAsia"/>
        </w:rPr>
        <w:t>妇女的发展和进步是土耳其共和国自建国以来在现代化奋斗中的组成部分。如以前的报告所述，在这一进程中，土耳其妇女在按世界标准来看较早的时间里获得了多种公民自由。如上所述，自第五个五年发展计划（1985-90年）以来，妇女问题被确定为发展政策和规划的一个独立的关注领域。按照本报告第十四条下的讨论，妇女被界定为发展项目中的优先目标群体，以弥补现有的区域差距和部门差距。</w:t>
      </w:r>
    </w:p>
    <w:p w:rsidR="00320E49" w:rsidRDefault="00320E49">
      <w:pPr>
        <w:pStyle w:val="SingleTxt"/>
        <w:spacing w:after="126"/>
        <w:rPr>
          <w:rFonts w:hint="eastAsia"/>
        </w:rPr>
      </w:pPr>
      <w:r>
        <w:tab/>
      </w:r>
      <w:r>
        <w:rPr>
          <w:rFonts w:hint="eastAsia"/>
        </w:rPr>
        <w:t>土耳其按照国际标准，成为《消除对妇女一切形式歧视公约》和《任择议定书》、《儿童权利公约》及其他相关的国际协定的缔约国，这些协定除其他外包括与劳工组织、经合组织、欧洲委员会、欧洲安全与合作组织有关的协定。土耳其也支持所有区域和全球的平等和人权倡议，并参加相关的国际平台。</w:t>
      </w:r>
    </w:p>
    <w:p w:rsidR="00320E49" w:rsidRDefault="00320E49">
      <w:pPr>
        <w:pStyle w:val="SingleTxt"/>
        <w:spacing w:after="126"/>
        <w:rPr>
          <w:rFonts w:hint="eastAsia"/>
        </w:rPr>
      </w:pPr>
      <w:r>
        <w:tab/>
      </w:r>
      <w:r>
        <w:rPr>
          <w:rFonts w:hint="eastAsia"/>
        </w:rPr>
        <w:t>1997年11月，土耳其在伊斯坦布尔主办了欧洲委员会第四届男女平等问题欧洲部长级会议。会议的主题是“民主与两性平等”。讨论是在两个次级主题内进行的：“两性平等是一项基本的民主标准”和“在民主社会中实现两性平等：男子的角色”。会议结束时通过了“伊斯坦布尔宣言”，成为对指导两性平等政策的一份贡献。</w:t>
      </w:r>
    </w:p>
    <w:p w:rsidR="00320E49" w:rsidRDefault="00320E49">
      <w:pPr>
        <w:pStyle w:val="SingleTxt"/>
        <w:spacing w:after="124"/>
        <w:rPr>
          <w:rFonts w:hint="eastAsia"/>
        </w:rPr>
      </w:pPr>
      <w:r>
        <w:tab/>
      </w:r>
      <w:r>
        <w:rPr>
          <w:rFonts w:hint="eastAsia"/>
        </w:rPr>
        <w:t>土耳其支持并积极参与所有联合国大会、经济及社会理事会和妇女地位委员会的所有倡议和工作，以增进和捍卫妇女的人权。在这方面，妇女地位和妇女问题司与非政府组织密切合作，筹备北京会议五周年工作。由政府和非政府组织代表组成的官方代表团积极参加了欧洲经济共同体的北京会议五周年区域筹备会议以及联合国大会的特别会议“2000年妇女：二十一世纪两性平等、发展与和平”。土耳其代表团为北京会议五周年的最后结果文件的谈判，特别是对生育权利、为维护名誉而犯罪和逼婚及早婚等问题的讨论立下了汗马功劳。</w:t>
      </w:r>
    </w:p>
    <w:p w:rsidR="00320E49" w:rsidRDefault="00320E49">
      <w:pPr>
        <w:pStyle w:val="SingleTxt"/>
        <w:spacing w:after="124"/>
        <w:rPr>
          <w:rFonts w:hint="eastAsia"/>
        </w:rPr>
      </w:pPr>
      <w:r>
        <w:tab/>
      </w:r>
      <w:r>
        <w:rPr>
          <w:rFonts w:hint="eastAsia"/>
        </w:rPr>
        <w:t>2001年11月6日至9日，该司与联合国提高妇女地位司合作举办了“环境管理和减轻自然灾害：性别观点”专家小组会议。该司还与妇女地位委员会第四十六届会议一起举行了会议，讨论自然灾害问题。</w:t>
      </w:r>
    </w:p>
    <w:p w:rsidR="00320E49" w:rsidRDefault="00320E49">
      <w:pPr>
        <w:pStyle w:val="SingleTxt"/>
        <w:spacing w:after="124"/>
        <w:rPr>
          <w:rFonts w:hint="eastAsia"/>
        </w:rPr>
      </w:pPr>
      <w:r>
        <w:tab/>
      </w:r>
      <w:r>
        <w:rPr>
          <w:rFonts w:hint="eastAsia"/>
        </w:rPr>
        <w:t>国家一级对妇女发展和进步所做的最重大的贡献之一是在生成和传播按性别分列的数据领域。国家统计所是负责土耳其的人力资源统计数据的主要机构。统计所社会结构和妇女统计部门汇编的性别统计和指标数据库为制订政策以及监测和评估发展方案提供了可靠的最新数据。</w:t>
      </w:r>
    </w:p>
    <w:p w:rsidR="00320E49" w:rsidRDefault="00320E49">
      <w:pPr>
        <w:pStyle w:val="SingleTxt"/>
        <w:spacing w:after="124"/>
        <w:rPr>
          <w:rFonts w:hint="eastAsia"/>
        </w:rPr>
      </w:pPr>
      <w:r>
        <w:tab/>
      </w:r>
      <w:r>
        <w:rPr>
          <w:rFonts w:hint="eastAsia"/>
        </w:rPr>
        <w:t>1998年，妇女地位和妇女问题司与妇女统计司在开发计划署支助的一个项目中协作，以开发性别统计资料和指标数据库，重点特别放在民主、家庭结构、教育和就业上。通过国家统计所网址（www.die.gov.tr）能够进入该数据库。按照土耳其政府与儿童基金会2001－2005年合作方案中所载的建议，目前正在开展工作，合并妇女统计资料和指标数据库和儿童信息网数据库，以保证更有效地监督《儿童权利公约》和《消除对妇女一切形式歧视公约》的执行情况。</w:t>
      </w:r>
    </w:p>
    <w:p w:rsidR="00320E49" w:rsidRDefault="00320E49">
      <w:pPr>
        <w:pStyle w:val="SingleTxt"/>
        <w:spacing w:after="124"/>
        <w:rPr>
          <w:rFonts w:hint="eastAsia"/>
        </w:rPr>
      </w:pPr>
      <w:r>
        <w:tab/>
      </w:r>
      <w:r>
        <w:rPr>
          <w:rFonts w:hint="eastAsia"/>
        </w:rPr>
        <w:t>与这些事态发展平行的是，国家统计所正在从性别角度修改其数据收集方法，并在拟订参与性研究和项目实施办法。</w:t>
      </w:r>
    </w:p>
    <w:p w:rsidR="00320E49" w:rsidRDefault="00320E49">
      <w:pPr>
        <w:pStyle w:val="H1"/>
        <w:tabs>
          <w:tab w:val="right" w:pos="1022"/>
          <w:tab w:val="left" w:pos="1264"/>
          <w:tab w:val="left" w:pos="1695"/>
          <w:tab w:val="left" w:pos="2126"/>
          <w:tab w:val="left" w:pos="2557"/>
          <w:tab w:val="left" w:pos="7575"/>
        </w:tabs>
        <w:spacing w:after="124"/>
        <w:ind w:left="1264" w:right="1264" w:hanging="1264"/>
        <w:jc w:val="both"/>
        <w:rPr>
          <w:rFonts w:ascii="KaiTi_GB2312" w:eastAsia="KaiTi_GB2312" w:hint="eastAsia"/>
          <w:color w:val="0000FF"/>
          <w:sz w:val="28"/>
        </w:rPr>
      </w:pPr>
      <w:r>
        <w:tab/>
      </w:r>
      <w:r>
        <w:tab/>
      </w:r>
      <w:r>
        <w:rPr>
          <w:rFonts w:ascii="KaiTi_GB2312" w:eastAsia="KaiTi_GB2312" w:hint="eastAsia"/>
          <w:color w:val="0000FF"/>
          <w:sz w:val="28"/>
        </w:rPr>
        <w:t>加速男女平等</w:t>
      </w:r>
      <w:r>
        <w:rPr>
          <w:rFonts w:ascii="KaiTi_GB2312" w:eastAsia="KaiTi_GB2312"/>
          <w:color w:val="0000FF"/>
          <w:sz w:val="28"/>
        </w:rPr>
        <w:tab/>
      </w:r>
    </w:p>
    <w:p w:rsidR="00320E49" w:rsidRDefault="00320E49">
      <w:pPr>
        <w:pStyle w:val="SingleTxt"/>
        <w:spacing w:after="124"/>
        <w:rPr>
          <w:rFonts w:hint="eastAsia"/>
        </w:rPr>
      </w:pPr>
      <w:r>
        <w:rPr>
          <w:rFonts w:ascii="KaiTi_GB2312" w:eastAsia="KaiTi_GB2312"/>
          <w:b/>
          <w:bCs/>
          <w:color w:val="0000FF"/>
        </w:rPr>
        <w:tab/>
      </w:r>
      <w:r>
        <w:rPr>
          <w:rFonts w:ascii="KaiTi_GB2312" w:eastAsia="KaiTi_GB2312" w:hint="eastAsia"/>
          <w:b/>
          <w:bCs/>
          <w:color w:val="0000FF"/>
        </w:rPr>
        <w:t>第四条.1.</w:t>
      </w:r>
      <w:r>
        <w:rPr>
          <w:rFonts w:hint="eastAsia"/>
        </w:rPr>
        <w:t xml:space="preserve"> </w:t>
      </w:r>
      <w:r>
        <w:rPr>
          <w:rFonts w:ascii="KaiTi_GB2312" w:eastAsia="KaiTi_GB2312" w:hint="eastAsia"/>
          <w:color w:val="0000FF"/>
        </w:rPr>
        <w:t>缔约各国为加速实现男女事实上的平等而采取的暂行特别措施，不得视为本公约所指的歧视，亦不得因此导致维持不平等或分别的标准；这些措施应在男女机会和待遇平等的目的达到之后，停止采用。</w:t>
      </w:r>
    </w:p>
    <w:p w:rsidR="00320E49" w:rsidRDefault="00320E49">
      <w:pPr>
        <w:pStyle w:val="SingleTxt"/>
        <w:spacing w:after="124"/>
        <w:rPr>
          <w:rFonts w:hint="eastAsia"/>
        </w:rPr>
      </w:pPr>
      <w:r>
        <w:rPr>
          <w:rFonts w:ascii="KaiTi_GB2312" w:eastAsia="KaiTi_GB2312"/>
          <w:b/>
          <w:bCs/>
          <w:color w:val="0000FF"/>
        </w:rPr>
        <w:tab/>
      </w:r>
      <w:r>
        <w:rPr>
          <w:rFonts w:ascii="KaiTi_GB2312" w:eastAsia="KaiTi_GB2312" w:hint="eastAsia"/>
          <w:b/>
          <w:bCs/>
          <w:color w:val="0000FF"/>
        </w:rPr>
        <w:t>第四条.2.</w:t>
      </w:r>
      <w:r>
        <w:rPr>
          <w:rFonts w:hint="eastAsia"/>
        </w:rPr>
        <w:t xml:space="preserve"> </w:t>
      </w:r>
      <w:r>
        <w:rPr>
          <w:rFonts w:ascii="KaiTi_GB2312" w:eastAsia="KaiTi_GB2312" w:hint="eastAsia"/>
          <w:color w:val="0000FF"/>
        </w:rPr>
        <w:t>缔约各国为保护母性而采取的特别措施，包括本公约所列各项措施，不得视为歧视</w:t>
      </w:r>
      <w:r>
        <w:rPr>
          <w:rFonts w:hint="eastAsia"/>
        </w:rPr>
        <w:t>。</w:t>
      </w:r>
    </w:p>
    <w:p w:rsidR="00320E49" w:rsidRDefault="00320E49">
      <w:pPr>
        <w:pStyle w:val="SingleTxt"/>
        <w:spacing w:after="124"/>
        <w:rPr>
          <w:rFonts w:hint="eastAsia"/>
        </w:rPr>
      </w:pPr>
      <w:r>
        <w:tab/>
      </w:r>
      <w:r>
        <w:rPr>
          <w:rFonts w:hint="eastAsia"/>
        </w:rPr>
        <w:t>参考土耳其第二和三次合并报告。</w:t>
      </w:r>
    </w:p>
    <w:p w:rsidR="00320E49" w:rsidRDefault="00320E49">
      <w:pPr>
        <w:pStyle w:val="SingleTxt"/>
        <w:spacing w:after="124"/>
        <w:rPr>
          <w:rFonts w:hint="eastAsia"/>
        </w:rPr>
      </w:pPr>
      <w:r>
        <w:tab/>
      </w:r>
      <w:r>
        <w:rPr>
          <w:rFonts w:hint="eastAsia"/>
        </w:rPr>
        <w:t>土耳其的上次报告指出，人民银行和基金银行发起了“对妇女特别信贷方案”，以确保妇女参与发展并鼓励她们从事企业活动。这些方案正在实施当中。</w:t>
      </w:r>
    </w:p>
    <w:p w:rsidR="00320E49" w:rsidRDefault="00320E49">
      <w:pPr>
        <w:pStyle w:val="SingleTxt"/>
        <w:spacing w:after="124"/>
        <w:rPr>
          <w:rFonts w:hint="eastAsia"/>
        </w:rPr>
      </w:pPr>
      <w:r>
        <w:tab/>
      </w:r>
      <w:r>
        <w:rPr>
          <w:rFonts w:hint="eastAsia"/>
        </w:rPr>
        <w:t>有关各政党为增强妇女参政所采取的特别措施，见本报告第七条。</w:t>
      </w:r>
    </w:p>
    <w:p w:rsidR="00320E49" w:rsidRDefault="00320E49">
      <w:pPr>
        <w:pStyle w:val="SingleTxt"/>
        <w:rPr>
          <w:rFonts w:hint="eastAsia"/>
        </w:rPr>
      </w:pPr>
      <w:r>
        <w:tab/>
      </w:r>
      <w:r>
        <w:rPr>
          <w:rFonts w:hint="eastAsia"/>
        </w:rPr>
        <w:t>《第1475号劳动法》关于保护女工的规定已经扩大并纳入《工作法》草案（4857）之中。此项法律草案规定，不得因怀孕和分娩而终止劳动合同（第18条）；不得因性别和怀孕而适用直接或间接的歧视性待遇（第5条）；法定产假假期应被计为工作时间；女工可以在工作时间内喂养婴儿（第66条）。</w:t>
      </w:r>
    </w:p>
    <w:p w:rsidR="00320E49" w:rsidRDefault="00320E49">
      <w:pPr>
        <w:pStyle w:val="SingleTxt"/>
        <w:spacing w:after="132"/>
        <w:rPr>
          <w:rFonts w:hint="eastAsia"/>
        </w:rPr>
      </w:pPr>
      <w:r>
        <w:tab/>
      </w:r>
      <w:r>
        <w:rPr>
          <w:rFonts w:hint="eastAsia"/>
        </w:rPr>
        <w:t>有些具体法律列举了妇女不能工作的场所。所有年龄的妇女都不能从事地下或水下作业（第72条）。法律还规定，如果医生认为有必要，孕妇应从事轻闲的工作，而且这不应成为减薪的理由（第74条）。</w:t>
      </w:r>
    </w:p>
    <w:p w:rsidR="00320E49" w:rsidRDefault="00320E49">
      <w:pPr>
        <w:pStyle w:val="SingleTxt"/>
        <w:spacing w:after="132"/>
        <w:rPr>
          <w:rFonts w:hint="eastAsia"/>
        </w:rPr>
      </w:pPr>
      <w:r>
        <w:tab/>
      </w:r>
      <w:r>
        <w:rPr>
          <w:rFonts w:hint="eastAsia"/>
        </w:rPr>
        <w:t>法律界定了艰辛的和危险的工作环境（第85条）和妇女不能工作的夜班条件（第73条）。这方面的条例应由卫生部与劳动和社会保障部共同确定。</w:t>
      </w:r>
    </w:p>
    <w:p w:rsidR="00320E49" w:rsidRDefault="00320E49">
      <w:pPr>
        <w:pStyle w:val="SingleTxt"/>
        <w:spacing w:after="132"/>
        <w:rPr>
          <w:rFonts w:hint="eastAsia"/>
        </w:rPr>
      </w:pPr>
      <w:r>
        <w:tab/>
      </w:r>
      <w:r>
        <w:rPr>
          <w:rFonts w:hint="eastAsia"/>
        </w:rPr>
        <w:t>按照该法律草案，在工作场所遭受性虐待或性骚扰的劳动者可以不经事先通知终止自己的合同，并且有权要求裁员费和一般性赔偿。《刑法》规定了可以由法院处理性骚扰案的法律框架。</w:t>
      </w:r>
    </w:p>
    <w:p w:rsidR="00320E49" w:rsidRDefault="00320E49">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32"/>
        <w:ind w:left="1264" w:right="1264" w:hanging="1264"/>
        <w:jc w:val="both"/>
        <w:rPr>
          <w:rFonts w:ascii="KaiTi_GB2312" w:eastAsia="KaiTi_GB2312" w:hint="eastAsia"/>
          <w:color w:val="0000FF"/>
          <w:sz w:val="28"/>
        </w:rPr>
      </w:pPr>
      <w:r>
        <w:tab/>
      </w:r>
      <w:r>
        <w:tab/>
      </w:r>
      <w:r>
        <w:rPr>
          <w:rFonts w:ascii="KaiTi_GB2312" w:eastAsia="KaiTi_GB2312" w:hint="eastAsia"/>
          <w:color w:val="0000FF"/>
          <w:sz w:val="28"/>
        </w:rPr>
        <w:t>性别角色和陈规定型</w:t>
      </w:r>
    </w:p>
    <w:p w:rsidR="00320E49" w:rsidRDefault="00320E49">
      <w:pPr>
        <w:pStyle w:val="SingleTxt"/>
        <w:spacing w:after="132"/>
        <w:rPr>
          <w:rFonts w:ascii="KaiTi_GB2312" w:eastAsia="KaiTi_GB2312" w:hint="eastAsia"/>
          <w:color w:val="0000FF"/>
        </w:rPr>
      </w:pPr>
      <w:r>
        <w:tab/>
      </w:r>
      <w:r>
        <w:rPr>
          <w:rFonts w:ascii="KaiTi_GB2312" w:eastAsia="KaiTi_GB2312" w:hint="eastAsia"/>
          <w:b/>
          <w:bCs/>
          <w:color w:val="0000FF"/>
        </w:rPr>
        <w:t>第五条．</w:t>
      </w:r>
      <w:r>
        <w:rPr>
          <w:rFonts w:ascii="KaiTi_GB2312" w:eastAsia="KaiTi_GB2312" w:hint="eastAsia"/>
          <w:color w:val="0000FF"/>
        </w:rPr>
        <w:t>缔约各国应采取一切适当措施：</w:t>
      </w:r>
    </w:p>
    <w:p w:rsidR="00320E49" w:rsidRDefault="00320E49">
      <w:pPr>
        <w:pStyle w:val="SingleTxt"/>
        <w:spacing w:after="132"/>
        <w:rPr>
          <w:rFonts w:hint="eastAsia"/>
        </w:rPr>
      </w:pPr>
      <w:r>
        <w:rPr>
          <w:rFonts w:ascii="KaiTi_GB2312" w:eastAsia="KaiTi_GB2312"/>
          <w:color w:val="0000FF"/>
        </w:rPr>
        <w:tab/>
        <w:t>(</w:t>
      </w:r>
      <w:r>
        <w:rPr>
          <w:rFonts w:ascii="KaiTi_GB2312" w:eastAsia="KaiTi_GB2312" w:hint="eastAsia"/>
          <w:color w:val="0000FF"/>
        </w:rPr>
        <w:t>a)</w:t>
      </w:r>
      <w:r>
        <w:rPr>
          <w:rFonts w:ascii="KaiTi_GB2312" w:eastAsia="KaiTi_GB2312" w:hint="eastAsia"/>
          <w:color w:val="0000FF"/>
        </w:rPr>
        <w:tab/>
        <w:t>改变男女的社会和文化行为模式，以消除基于性别而分尊卑观念或基于男女定型任务的偏见、习俗和一切其他做法</w:t>
      </w:r>
      <w:r>
        <w:rPr>
          <w:rFonts w:hint="eastAsia"/>
        </w:rPr>
        <w:t>；</w:t>
      </w:r>
    </w:p>
    <w:p w:rsidR="00320E49" w:rsidRDefault="00320E49">
      <w:pPr>
        <w:pStyle w:val="SingleTxt"/>
        <w:spacing w:after="132"/>
        <w:rPr>
          <w:rFonts w:hint="eastAsia"/>
        </w:rPr>
      </w:pPr>
      <w:r>
        <w:tab/>
      </w:r>
      <w:r>
        <w:rPr>
          <w:rFonts w:hint="eastAsia"/>
        </w:rPr>
        <w:t>将性别观点纳入土耳其所有政策、计划和方案的主流之中，是土耳其为了消除维护消极的性别陈规定型观念的歧视和做法正在做出的一种努力，但是，这一进程尚处于初级阶段。妇女地位和妇女问题司旨在与其他政府实体、非政府组织和大学内的性别与妇女研究中心和方案以及其他相关组织协作，拟订和执行其方案和活动。</w:t>
      </w:r>
    </w:p>
    <w:p w:rsidR="00320E49" w:rsidRDefault="00320E49">
      <w:pPr>
        <w:pStyle w:val="SingleTxt"/>
        <w:spacing w:after="132"/>
        <w:rPr>
          <w:rFonts w:hint="eastAsia"/>
        </w:rPr>
      </w:pPr>
      <w:r>
        <w:tab/>
      </w:r>
      <w:r>
        <w:rPr>
          <w:rFonts w:hint="eastAsia"/>
        </w:rPr>
        <w:t>妇女地位和妇女问题司在所有相关部委内建立了交流网，以便在整个公共部门内促进和鼓励对性别问题有敏感认识的政策和方案。源于这一倡议的一种良好的做法就是在省一级在省长办公室内建立妇女地位联络中心。自1998年以来，尽管只建立了14家联络中心，而且其中的大部分人员不足、经费不足，但联络中心有助于将国家机制所促进的两性平等政策和方案下放，并且成为通过它们将信息传播到外围的中心，因此有助于在更加传统省区里消除有关妇女的消极的陈规定型的性别宣传。</w:t>
      </w:r>
    </w:p>
    <w:p w:rsidR="00320E49" w:rsidRDefault="00320E49">
      <w:pPr>
        <w:pStyle w:val="SingleTxt"/>
        <w:spacing w:after="132"/>
        <w:rPr>
          <w:rFonts w:ascii="SimHei" w:eastAsia="SimHei" w:hint="eastAsia"/>
          <w:color w:val="FF0000"/>
        </w:rPr>
      </w:pPr>
      <w:r>
        <w:rPr>
          <w:rFonts w:ascii="SimHei" w:eastAsia="SimHei" w:hint="eastAsia"/>
          <w:color w:val="FF0000"/>
        </w:rPr>
        <w:t>性别研究和培训的学术机构</w:t>
      </w:r>
    </w:p>
    <w:p w:rsidR="00320E49" w:rsidRDefault="00320E49">
      <w:pPr>
        <w:pStyle w:val="SingleTxt"/>
        <w:spacing w:after="132"/>
        <w:rPr>
          <w:rFonts w:hint="eastAsia"/>
        </w:rPr>
      </w:pPr>
      <w:r>
        <w:tab/>
      </w:r>
      <w:r>
        <w:rPr>
          <w:rFonts w:hint="eastAsia"/>
        </w:rPr>
        <w:t>学术机构特别是通过性别和妇女研究方案和中心，在营造关于人权和妇女平等的公众舆论方面起了重要的作用。各大学里基本上有两类这种实体：㈠</w:t>
      </w:r>
      <w:r>
        <w:t xml:space="preserve"> </w:t>
      </w:r>
      <w:r>
        <w:rPr>
          <w:rFonts w:hint="eastAsia"/>
        </w:rPr>
        <w:t>跨学科研究生课程，就妇女问题开展研究并授予硕士学位。目前全国各大学里共有四个研究生课程；㈡</w:t>
      </w:r>
      <w:r>
        <w:t xml:space="preserve"> </w:t>
      </w:r>
      <w:r>
        <w:rPr>
          <w:rFonts w:hint="eastAsia"/>
        </w:rPr>
        <w:t>妇女问题研究和执行中心，除了学位课程外，这些中心还开办培训班。自1990年代中期以来，此类中心已达14个。高等教育委员会一直在积极促进在大学里建立这种中心。妇女地位和妇女问题司为建立某些方案/中心提供了财政支助。</w:t>
      </w:r>
    </w:p>
    <w:p w:rsidR="00320E49" w:rsidRDefault="00320E49">
      <w:pPr>
        <w:pStyle w:val="SingleTxt"/>
        <w:spacing w:line="330" w:lineRule="exact"/>
        <w:rPr>
          <w:rFonts w:hint="eastAsia"/>
        </w:rPr>
      </w:pPr>
      <w:r>
        <w:tab/>
      </w:r>
      <w:r>
        <w:rPr>
          <w:rFonts w:hint="eastAsia"/>
        </w:rPr>
        <w:t>这些学术实体向青年专业人员提供对性别问题有敏感认识的教育，传播关于妇女地位和两性关系的知识，将性别观点纳入学术界的主流中、促进政策制订、为处理妇女问题的公共和私人行动者，除其他外，如保安部门、法律人员、非政府组织成员举办培训讲习班和研讨会，并通过宣传提高社会对妇女人权和平等的意识。这些机构中的一些院系积极参加国际性别平台，不仅推动了全球性别议程而且也促进了国内遵守国际两性平等准则。女学者通过她们的个人研究、出版物和参加国际会议，促进了土耳其国内理论、方法和妇女状况详细情况方面的文献工作。</w:t>
      </w:r>
    </w:p>
    <w:p w:rsidR="00320E49" w:rsidRDefault="00320E49">
      <w:pPr>
        <w:pStyle w:val="SingleTxt"/>
        <w:spacing w:line="330" w:lineRule="exact"/>
        <w:rPr>
          <w:rFonts w:hint="eastAsia"/>
        </w:rPr>
      </w:pPr>
      <w:r>
        <w:tab/>
      </w:r>
      <w:r>
        <w:rPr>
          <w:rFonts w:hint="eastAsia"/>
        </w:rPr>
        <w:t>妇女研究和培训方案和中心遇到了财政困难。这些机构主要依靠多边和双边捐助基金以实施项目和开展其他课外活动。妇女地位和妇女问题司自己在相当大的程度上由外部资源来提供经费，它对这些学术机构的研究和培训活动提供了财政支助。联合国开发计划署（开发计划署）的技术支助成为一个重要的经费来源，使得该司多年来能够支助这些倡议。</w:t>
      </w:r>
    </w:p>
    <w:p w:rsidR="00320E49" w:rsidRDefault="00320E49">
      <w:pPr>
        <w:pStyle w:val="SingleTxt"/>
        <w:spacing w:line="330" w:lineRule="exact"/>
        <w:rPr>
          <w:rFonts w:ascii="SimHei" w:eastAsia="SimHei" w:hint="eastAsia"/>
          <w:color w:val="FF0000"/>
        </w:rPr>
      </w:pPr>
      <w:r>
        <w:rPr>
          <w:rFonts w:ascii="SimHei" w:eastAsia="SimHei" w:hint="eastAsia"/>
          <w:color w:val="FF0000"/>
        </w:rPr>
        <w:t>媒体中的性别歧视</w:t>
      </w:r>
    </w:p>
    <w:p w:rsidR="00320E49" w:rsidRDefault="00320E49">
      <w:pPr>
        <w:pStyle w:val="SingleTxt"/>
        <w:spacing w:line="330" w:lineRule="exact"/>
        <w:rPr>
          <w:rFonts w:hint="eastAsia"/>
        </w:rPr>
      </w:pPr>
      <w:r>
        <w:tab/>
      </w:r>
      <w:r>
        <w:rPr>
          <w:rFonts w:hint="eastAsia"/>
        </w:rPr>
        <w:t>媒体继续制作歧视妇女的性别角色定型并使这种定型永久化。除了使妇女的身体直观化以外，媒体以传统的性别角色来形容男女，经常将妇女设计为没有性行为的母亲和操持家务者，将男子设计为专业人员和权力与权威的代表。</w:t>
      </w:r>
    </w:p>
    <w:p w:rsidR="00320E49" w:rsidRDefault="00320E49">
      <w:pPr>
        <w:pStyle w:val="SingleTxt"/>
        <w:spacing w:line="330" w:lineRule="exact"/>
        <w:rPr>
          <w:rFonts w:hint="eastAsia"/>
        </w:rPr>
      </w:pPr>
      <w:r>
        <w:tab/>
      </w:r>
      <w:r>
        <w:rPr>
          <w:rFonts w:hint="eastAsia"/>
        </w:rPr>
        <w:t>但是，随着妇女运动在1990年代以后的成熟和国家机制对妇女以及妇女研究方案的影响，媒体中的性别歧视——在妇女形象和妇女作为专业人员参与各种媒体组织两方面——更加明显，并且成为辩论和研究的主题。分析新闻、广告制作等、印刷和影视媒体中的性别歧视规范的学术出版物和学生论文不断增多，使得这一问题更加明显。媒体中的性别歧视问题日益引人注目，还必须归功于《星期一》杂志所起的作用，这是一本面向妇女的杂志，1995年以来由妇女、文化和交流基金会出版。与其他女性出版物昙花一现的经历不同，《星期一》杂志自1995年以来成为了一份成功的双月刊出版物，并且成为拥有全国经销网的首屈一指的女性出版物。</w:t>
      </w:r>
    </w:p>
    <w:p w:rsidR="00320E49" w:rsidRDefault="00320E49">
      <w:pPr>
        <w:pStyle w:val="SingleTxt"/>
        <w:spacing w:line="330" w:lineRule="exact"/>
        <w:rPr>
          <w:rFonts w:hint="eastAsia"/>
        </w:rPr>
      </w:pPr>
      <w:r>
        <w:tab/>
      </w:r>
      <w:r>
        <w:rPr>
          <w:rFonts w:hint="eastAsia"/>
        </w:rPr>
        <w:t>妇女在媒体各个部门的代表严重不足，也助长了该部门的性别歧视顽固不化。但是，随着过去十年里私人媒体公司的增多，在影视行业中工作的妇女尤其增多。但是，担任管理职务的妇女比例依然无足轻重。关于媒体不同部门里的雇员按性别分类的数据实属稀有。因此，只能参考某些零散的资料来源。例如，2000年6月，在总共发放给记者的11 322张黄色身份证中，妇女只持有1 873张；在实行自治的土耳其广播电视局， 8 180名工作人员中只有2 030名妇女，在214个管理职务中，妇女担任其中的116个职务。在后者中，妇女主要集中在中层管理职位上，她们在高级管理职务中仅占1%。每年广播电视局的电视频道上面向妇女的节目占6.9%，在广播频道上，该比率为15-17%。</w:t>
      </w:r>
    </w:p>
    <w:p w:rsidR="00320E49" w:rsidRDefault="00320E49">
      <w:pPr>
        <w:pStyle w:val="SingleTxt"/>
        <w:rPr>
          <w:rFonts w:ascii="SimHei" w:eastAsia="SimHei" w:hint="eastAsia"/>
          <w:color w:val="FF0000"/>
        </w:rPr>
      </w:pPr>
      <w:r>
        <w:rPr>
          <w:rFonts w:ascii="SimHei" w:eastAsia="SimHei" w:hint="eastAsia"/>
          <w:color w:val="FF0000"/>
        </w:rPr>
        <w:t>对妇女的暴力</w:t>
      </w:r>
    </w:p>
    <w:p w:rsidR="00320E49" w:rsidRDefault="00320E49">
      <w:pPr>
        <w:pStyle w:val="SingleTxt"/>
        <w:rPr>
          <w:rFonts w:hint="eastAsia"/>
        </w:rPr>
      </w:pPr>
      <w:r>
        <w:tab/>
      </w:r>
      <w:r>
        <w:rPr>
          <w:rFonts w:hint="eastAsia"/>
        </w:rPr>
        <w:t>对妇女的暴力是对大部分社会部门产生直接或间接影响的一个重要问题，要求采取紧急措施以遏制并消除对妇女的暴力。暴力现象长期存在，可能要归咎于许多因素，包括执行禁止这些行为的法规、法律和规章方面的困难、对现行条例和机制缺乏了解和认识、缺乏有效的措施来对付该问题的根本原因以及媒体在报道暴力行为时继续扮演的挑衅性角色。</w:t>
      </w:r>
    </w:p>
    <w:p w:rsidR="00320E49" w:rsidRDefault="00320E49">
      <w:pPr>
        <w:pStyle w:val="SingleTxt"/>
        <w:rPr>
          <w:rFonts w:hint="eastAsia"/>
        </w:rPr>
      </w:pPr>
      <w:r>
        <w:tab/>
      </w:r>
      <w:r>
        <w:rPr>
          <w:rFonts w:hint="eastAsia"/>
        </w:rPr>
        <w:t>在面向遭受暴力侵害的妇女的现有支助和机制中，以下各方面最值得关注：</w:t>
      </w:r>
    </w:p>
    <w:p w:rsidR="00320E49" w:rsidRDefault="00320E49">
      <w:pPr>
        <w:pStyle w:val="H4"/>
        <w:tabs>
          <w:tab w:val="clear" w:pos="431"/>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40"/>
        <w:ind w:left="1264" w:right="1264" w:hanging="1264"/>
        <w:jc w:val="both"/>
        <w:rPr>
          <w:rFonts w:hint="eastAsia"/>
        </w:rPr>
      </w:pPr>
      <w:r>
        <w:tab/>
      </w:r>
      <w:r>
        <w:rPr>
          <w:rFonts w:hint="eastAsia"/>
        </w:rPr>
        <w:t>⑴</w:t>
      </w:r>
      <w:r>
        <w:tab/>
      </w:r>
      <w:r>
        <w:rPr>
          <w:rFonts w:hint="eastAsia"/>
        </w:rPr>
        <w:t>指导中心和收容所</w:t>
      </w:r>
    </w:p>
    <w:p w:rsidR="00320E49" w:rsidRDefault="00320E49">
      <w:pPr>
        <w:pStyle w:val="SingleTxt"/>
        <w:rPr>
          <w:rFonts w:hint="eastAsia"/>
        </w:rPr>
      </w:pPr>
      <w:r>
        <w:tab/>
      </w:r>
      <w:r>
        <w:rPr>
          <w:rFonts w:hint="eastAsia"/>
        </w:rPr>
        <w:t>由于土耳其国内的妇女运动所做的种种努力，对妇女的暴力问题成为了公共议程项目。通过广泛的非暴力运动和妇女人权宣传，这些机构在提高公众对针对妇女的暴力的认识以及向妇女宣传这方面的现行法律和机制的提供情况中发挥了重要的作用。</w:t>
      </w:r>
    </w:p>
    <w:p w:rsidR="00320E49" w:rsidRDefault="00320E49">
      <w:pPr>
        <w:pStyle w:val="SingleTxt"/>
        <w:rPr>
          <w:rFonts w:hint="eastAsia"/>
        </w:rPr>
      </w:pPr>
      <w:r>
        <w:tab/>
      </w:r>
      <w:r>
        <w:rPr>
          <w:rFonts w:hint="eastAsia"/>
        </w:rPr>
        <w:t>非政府组织的一部分任务就是消除对妇女的暴力，它们对暴力问题开展研究和收集数据并且制订了解决问题的战略，以便对发生暴力所引起的生理、心理、社会、财政和法律问题做出反应。在这一背景下，它们提供咨询服务并为被殴妇女提供收容所。尽管由于财政限制两家由非政府组织开办的妇女收容所不得不关闭，但非政府组织的指导中心从1995年的三家增至2000年的八家。另一方面，81个省的省社会服务司以及妇女地位和妇女问题司也提供指导和咨询服务。</w:t>
      </w:r>
    </w:p>
    <w:p w:rsidR="00320E49" w:rsidRDefault="00320E49">
      <w:pPr>
        <w:pStyle w:val="SingleTxt"/>
        <w:rPr>
          <w:rFonts w:hint="eastAsia"/>
        </w:rPr>
      </w:pPr>
      <w:r>
        <w:tab/>
      </w:r>
      <w:r>
        <w:rPr>
          <w:rFonts w:hint="eastAsia"/>
        </w:rPr>
        <w:t>妇女地位和妇女问题司与社会服务和儿童保护司获得授权，制订政府服务和方案的国家政策及计划，以消除对妇女和儿童的暴力。</w:t>
      </w:r>
    </w:p>
    <w:p w:rsidR="00320E49" w:rsidRDefault="00320E49">
      <w:pPr>
        <w:pStyle w:val="SingleTxt"/>
        <w:rPr>
          <w:rFonts w:hint="eastAsia"/>
        </w:rPr>
      </w:pPr>
      <w:r>
        <w:tab/>
      </w:r>
      <w:r>
        <w:rPr>
          <w:rFonts w:hint="eastAsia"/>
        </w:rPr>
        <w:t>社会服务和儿童保护司通过妇女招待所向被殴妇女或可能遭受暴力的妇女提供服务。尽管妇女招待所数量有限，但它们的确在其预算拨款的范围内向妇女及其子女（如果有的话）提供避难和治疗服务。九家受虐待妇女招待所中有八家由社会服务和儿童保护司运作。1995至2002年，总共有3 139名妇女和2 609名受抚养儿童收容在这些收容所中，为541名妇女安排了工作。伊斯坦布尔的一个市政当局开办了一家妇女招待所。</w:t>
      </w:r>
    </w:p>
    <w:p w:rsidR="00320E49" w:rsidRDefault="00320E49">
      <w:pPr>
        <w:pStyle w:val="SingleTxt"/>
        <w:rPr>
          <w:rFonts w:hint="eastAsia"/>
        </w:rPr>
      </w:pPr>
      <w:r>
        <w:tab/>
      </w:r>
      <w:r>
        <w:rPr>
          <w:rFonts w:hint="eastAsia"/>
        </w:rPr>
        <w:t>此外，遭受暴力的妇女和女童也由各种社区中心、家庭咨询中心、日托中心、孤儿院、康复中心、退休办公室来照顾，这些机构也提供实物和现金支助。受虐待妇女收容所是土耳其国内比较新的一种行动，对公共部门来说尤其如此。为了加强和扩大收容所的能力，包括收容少女母亲和未婚母亲，目前正在开展工作。此外，目前21个省份开通了为妇女服务的直线电话服务，为被殴妇女或受到暴力威胁的妇女提供心理、法律和财政指导服务。</w:t>
      </w:r>
    </w:p>
    <w:p w:rsidR="00320E49" w:rsidRDefault="00320E49">
      <w:pPr>
        <w:pStyle w:val="SingleTxt"/>
        <w:rPr>
          <w:rFonts w:hint="eastAsia"/>
        </w:rPr>
      </w:pPr>
      <w:r>
        <w:tab/>
      </w:r>
      <w:r>
        <w:rPr>
          <w:rFonts w:hint="eastAsia"/>
        </w:rPr>
        <w:t>援助遭受了身体、情感或性虐待的女童的类似服务还没有制度化。需要在这方面再做些工作</w:t>
      </w:r>
    </w:p>
    <w:p w:rsidR="00320E49" w:rsidRDefault="00320E49">
      <w:pPr>
        <w:pStyle w:val="H4"/>
        <w:tabs>
          <w:tab w:val="clear" w:pos="431"/>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28"/>
        <w:ind w:left="1264" w:right="1264" w:hanging="1264"/>
        <w:jc w:val="both"/>
        <w:rPr>
          <w:rFonts w:hint="eastAsia"/>
        </w:rPr>
      </w:pPr>
      <w:r>
        <w:tab/>
      </w:r>
      <w:r>
        <w:rPr>
          <w:rFonts w:hint="eastAsia"/>
        </w:rPr>
        <w:t>⑵</w:t>
      </w:r>
      <w:r>
        <w:tab/>
      </w:r>
      <w:r>
        <w:rPr>
          <w:rFonts w:hint="eastAsia"/>
        </w:rPr>
        <w:t>教育和培训</w:t>
      </w:r>
    </w:p>
    <w:p w:rsidR="00320E49" w:rsidRDefault="00320E49">
      <w:pPr>
        <w:pStyle w:val="SingleTxt"/>
        <w:spacing w:after="128"/>
        <w:rPr>
          <w:rFonts w:hint="eastAsia"/>
        </w:rPr>
      </w:pPr>
      <w:r>
        <w:tab/>
      </w:r>
      <w:r>
        <w:rPr>
          <w:rFonts w:hint="eastAsia"/>
        </w:rPr>
        <w:t>培训保安部队、保健人员和与遭受暴力的妇女打交道的其他公务员，以及教育妇女和女童了解自己的合法权利，是打击对妇女的暴力斗争中的另一个高度优先的目标。妇女地位和妇女问题司除了执行本机构的方案外，还与在这一领域开展工作的非政府组织协作。在这方面，已经制作了14部插播电视片和3部短剧，来介绍对妇女的暴力和被殴妇女中心。</w:t>
      </w:r>
    </w:p>
    <w:p w:rsidR="00320E49" w:rsidRDefault="00320E49">
      <w:pPr>
        <w:pStyle w:val="SingleTxt"/>
        <w:spacing w:after="128"/>
        <w:rPr>
          <w:rFonts w:hint="eastAsia"/>
        </w:rPr>
      </w:pPr>
      <w:r>
        <w:tab/>
      </w:r>
      <w:r>
        <w:rPr>
          <w:rFonts w:hint="eastAsia"/>
        </w:rPr>
        <w:t>社会服务和儿童保护司也与非政府组织协作开办了培训班。自1998年以来，举办了为期三个月的每周半天的妇女人权培训班，旨在提高妇女和女童对其权利的认识并提高其自身形象和自卫能力。其他培训方案包括母幼教育方案（自1995年以来）、成人识字方案和父亲支持方案，后两个方案均是在1998年5月14日发起的。</w:t>
      </w:r>
    </w:p>
    <w:p w:rsidR="00320E49" w:rsidRDefault="00320E49">
      <w:pPr>
        <w:pStyle w:val="SingleTxt"/>
        <w:spacing w:after="128"/>
        <w:rPr>
          <w:rFonts w:hint="eastAsia"/>
        </w:rPr>
      </w:pPr>
      <w:r>
        <w:tab/>
      </w:r>
      <w:r>
        <w:rPr>
          <w:rFonts w:hint="eastAsia"/>
        </w:rPr>
        <w:t>自1999年以来，政府方面以及非政府组织做了广泛的努力，就为维护名誉而犯罪的问题发起了公共辩论。在这方面，它们举办了各种专家小组讨论，以讨论以文化为借口做出的最具暴力的行为以及法律体系在对付这种现象方法方面的不足之处。2000年11月25日，即在制止对妇女暴力行为国际日，在东南部安纳托利亚地区举办了小组讨论，在该地区为维护名誉而犯罪仍能找到正当的文化理由。小组讨论的会议记录已经出版，并且向所有政府当局和大学散发，并应要求提供给其他机构。值得提及的还有，对媒体中为维护名誉而犯罪的敏感性最近已经相当明显。媒体广泛地报道了为维护名誉而犯罪的发生情况，并且登载在报纸的头版上。</w:t>
      </w:r>
    </w:p>
    <w:p w:rsidR="00320E49" w:rsidRDefault="00320E49">
      <w:pPr>
        <w:pStyle w:val="SingleTxt"/>
        <w:spacing w:after="128"/>
        <w:rPr>
          <w:rFonts w:hint="eastAsia"/>
        </w:rPr>
      </w:pPr>
      <w:r>
        <w:tab/>
      </w:r>
      <w:r>
        <w:rPr>
          <w:rFonts w:hint="eastAsia"/>
        </w:rPr>
        <w:t>自1998年以来，妇女的非政府组织一直在举办妇女收容所年度大会，以提高公众对收容所作为打击对妇女的暴力斗争的体制机构的重要性的认识，为给成为暴力受害人的妇女建立收容所和指导中心而动员支助。政府组织也参加了这些会议。</w:t>
      </w:r>
    </w:p>
    <w:p w:rsidR="00320E49" w:rsidRDefault="00320E49">
      <w:pPr>
        <w:pStyle w:val="SingleTxt"/>
        <w:spacing w:after="128"/>
        <w:rPr>
          <w:rFonts w:hint="eastAsia"/>
        </w:rPr>
      </w:pPr>
      <w:r>
        <w:tab/>
      </w:r>
      <w:r>
        <w:rPr>
          <w:rFonts w:hint="eastAsia"/>
        </w:rPr>
        <w:t>各委员会也提供关于妇女立法的教育和咨询活动，这种活动是在28个省的律师协会内组织的。1999年5月，这些委员会建立了土耳其律师妇女委员会网络，以便更有效地工作。教育和指导活动以及确定管制机构中的性别歧视规定及提出纠正措施，是各委员会在妇女立法方面开展的活动。</w:t>
      </w:r>
    </w:p>
    <w:p w:rsidR="00320E49" w:rsidRDefault="00320E49">
      <w:pPr>
        <w:pStyle w:val="SingleTxt"/>
        <w:spacing w:after="128"/>
        <w:rPr>
          <w:rFonts w:hint="eastAsia"/>
        </w:rPr>
      </w:pPr>
      <w:r>
        <w:tab/>
      </w:r>
      <w:r>
        <w:rPr>
          <w:rFonts w:hint="eastAsia"/>
        </w:rPr>
        <w:t>缔约各国应：</w:t>
      </w:r>
    </w:p>
    <w:p w:rsidR="00320E49" w:rsidRDefault="00320E49">
      <w:pPr>
        <w:pStyle w:val="SingleTxt"/>
        <w:spacing w:after="128"/>
        <w:rPr>
          <w:rFonts w:ascii="KaiTi_GB2312" w:eastAsia="KaiTi_GB2312" w:hint="eastAsia"/>
          <w:color w:val="0000FF"/>
        </w:rPr>
      </w:pPr>
      <w:r>
        <w:rPr>
          <w:rFonts w:ascii="KaiTi_GB2312" w:eastAsia="KaiTi_GB2312"/>
          <w:color w:val="0000FF"/>
        </w:rPr>
        <w:tab/>
        <w:t>(</w:t>
      </w:r>
      <w:r>
        <w:rPr>
          <w:rFonts w:ascii="KaiTi_GB2312" w:eastAsia="KaiTi_GB2312" w:hint="eastAsia"/>
          <w:color w:val="0000FF"/>
        </w:rPr>
        <w:t>b)</w:t>
      </w:r>
      <w:r>
        <w:rPr>
          <w:rFonts w:ascii="KaiTi_GB2312" w:eastAsia="KaiTi_GB2312" w:hint="eastAsia"/>
          <w:color w:val="0000FF"/>
        </w:rPr>
        <w:tab/>
        <w:t>保证家庭教育应包括正确了解母性的社会功能和确认教养子女是父母的共同责任，但了解到在任何情况下应首先考虑子女的利益。</w:t>
      </w:r>
    </w:p>
    <w:p w:rsidR="00320E49" w:rsidRDefault="00320E49">
      <w:pPr>
        <w:pStyle w:val="SingleTxt"/>
        <w:spacing w:after="128"/>
        <w:rPr>
          <w:rFonts w:hint="eastAsia"/>
        </w:rPr>
      </w:pPr>
      <w:r>
        <w:tab/>
      </w:r>
      <w:r>
        <w:rPr>
          <w:rFonts w:hint="eastAsia"/>
        </w:rPr>
        <w:t>授权社会服务和儿童保护司向贫困儿童和家庭提供实物或现金支助、托儿所、孤儿院、领养家庭和收养服务、流落街头儿童的儿童和少年中心以及残疾儿童的护理和康复中心。在这方面，共有84个日托中心和104个孤儿院为约18 000名儿童服务。此外，22个儿童和少年中心向童工和/或流落街头的儿童及其家庭提供指导、教育和康复服务。在这一范围内，正在开展工作以建立卖淫女童的特别中心。</w:t>
      </w:r>
    </w:p>
    <w:p w:rsidR="00320E49" w:rsidRDefault="00320E49">
      <w:pPr>
        <w:pStyle w:val="SingleTxt"/>
        <w:rPr>
          <w:rFonts w:hint="eastAsia"/>
        </w:rPr>
      </w:pPr>
      <w:r>
        <w:tab/>
      </w:r>
      <w:r>
        <w:rPr>
          <w:rFonts w:hint="eastAsia"/>
        </w:rPr>
        <w:t>1998年，家庭问题研究所，另一个公共部门机构，发起了家长学校项目，该项目向家长提供关于儿童养育和教育、父母的角色和态度及提高对不同问题的意识的研讨会，涉及早婚、近亲结婚、对女童的消极态度、毒品和药物的使用、怀孕、不育症、产前护理、婴幼儿护理、青少年、成人、老年人、个性培养、性行为以及离婚和家庭冲突对子女的影响等。这些研讨会在公共电视台播放了一个月，从而使大部分人口了解了研讨会的内容。</w:t>
      </w:r>
    </w:p>
    <w:p w:rsidR="00320E49" w:rsidRDefault="00320E49">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40"/>
        <w:ind w:left="1264" w:right="1264" w:hanging="1264"/>
        <w:jc w:val="both"/>
        <w:rPr>
          <w:rFonts w:ascii="KaiTi_GB2312" w:eastAsia="KaiTi_GB2312" w:hint="eastAsia"/>
          <w:color w:val="0000FF"/>
          <w:sz w:val="28"/>
        </w:rPr>
      </w:pPr>
      <w:r>
        <w:tab/>
      </w:r>
      <w:r>
        <w:tab/>
      </w:r>
      <w:r>
        <w:rPr>
          <w:rFonts w:ascii="KaiTi_GB2312" w:eastAsia="KaiTi_GB2312" w:hint="eastAsia"/>
          <w:color w:val="0000FF"/>
          <w:sz w:val="28"/>
        </w:rPr>
        <w:t>对妇女的剥削</w:t>
      </w:r>
    </w:p>
    <w:p w:rsidR="00320E49" w:rsidRDefault="00320E49">
      <w:pPr>
        <w:pStyle w:val="SingleTxt"/>
        <w:rPr>
          <w:rFonts w:hint="eastAsia"/>
        </w:rPr>
      </w:pPr>
      <w:r>
        <w:rPr>
          <w:rFonts w:ascii="KaiTi_GB2312" w:eastAsia="KaiTi_GB2312"/>
          <w:color w:val="0000FF"/>
        </w:rPr>
        <w:tab/>
      </w:r>
      <w:r>
        <w:rPr>
          <w:rFonts w:ascii="KaiTi_GB2312" w:eastAsia="KaiTi_GB2312" w:hint="eastAsia"/>
          <w:b/>
          <w:bCs/>
          <w:color w:val="0000FF"/>
        </w:rPr>
        <w:t>第六条．</w:t>
      </w:r>
      <w:r>
        <w:rPr>
          <w:rFonts w:ascii="KaiTi_GB2312" w:eastAsia="KaiTi_GB2312" w:hint="eastAsia"/>
          <w:color w:val="0000FF"/>
        </w:rPr>
        <w:t>缔约各国应采取一切适当措施，包括制定法律，以禁止一切形式贩卖妇女和强迫妇女卖淫对她们进行剥削的行为</w:t>
      </w:r>
      <w:r>
        <w:rPr>
          <w:rFonts w:hint="eastAsia"/>
        </w:rPr>
        <w:t>。</w:t>
      </w:r>
    </w:p>
    <w:p w:rsidR="00320E49" w:rsidRDefault="00320E49">
      <w:pPr>
        <w:pStyle w:val="SingleTxt"/>
        <w:rPr>
          <w:rFonts w:hint="eastAsia"/>
        </w:rPr>
      </w:pPr>
      <w:r>
        <w:tab/>
      </w:r>
      <w:r>
        <w:rPr>
          <w:rFonts w:hint="eastAsia"/>
        </w:rPr>
        <w:t>全球结构改革剥夺了全世界人民传统的生计来源。在这一进程中，许多妇女被推入卖淫绝境，作为一种谋生的手段。跨国犯罪网络将卖淫资本化，将此组织为一种有利可图的跨国业务。结果，越来越多的妇女和儿童被贩运到世界各地，以满足这些网络的色情剥削目的。在过去的二十年，土耳其已经成为卖淫活动的过境国和目的国。从公共秩序角度、被贩运妇女的人权和性传播疾病蔓延角度来讲，这尤其带来严重的问题。</w:t>
      </w:r>
    </w:p>
    <w:p w:rsidR="00320E49" w:rsidRDefault="00320E49">
      <w:pPr>
        <w:pStyle w:val="SingleTxt"/>
        <w:rPr>
          <w:rFonts w:hint="eastAsia"/>
        </w:rPr>
      </w:pPr>
      <w:r>
        <w:tab/>
      </w:r>
      <w:r>
        <w:rPr>
          <w:rFonts w:hint="eastAsia"/>
        </w:rPr>
        <w:t>这一过程最初是以“行李交易”形式开始的，即外国妇女作为游客入境买卖商品，随后迅速转入有组织的活动，包括卖淫。与土耳其男子结婚的外国妇女获得土耳其国籍很容易，从而导致了包办婚姻，这使得贩运团伙在土耳其易于运营。但是，这种局面最终引起公众的关注，要求有关当局修正国籍法（见本报告第九条）。</w:t>
      </w:r>
    </w:p>
    <w:p w:rsidR="00320E49" w:rsidRDefault="00320E49">
      <w:pPr>
        <w:pStyle w:val="SingleTxt"/>
        <w:rPr>
          <w:rFonts w:hint="eastAsia"/>
        </w:rPr>
      </w:pPr>
      <w:r>
        <w:tab/>
      </w:r>
      <w:r>
        <w:rPr>
          <w:rFonts w:hint="eastAsia"/>
        </w:rPr>
        <w:t>土耳其没有设立特别的管制机构，也没有制订打击贩运人口所需的标准，这一事实使得土耳其成为一个宽松的目的地。此外，缺乏有效的处罚条例和措施、合法经营的妓院不充足和对性行为的社会禁忌成为跨国卖淫加剧的因素。</w:t>
      </w:r>
    </w:p>
    <w:p w:rsidR="00320E49" w:rsidRDefault="00320E49">
      <w:pPr>
        <w:pStyle w:val="SingleTxt"/>
        <w:rPr>
          <w:rFonts w:hint="eastAsia"/>
        </w:rPr>
      </w:pPr>
      <w:r>
        <w:tab/>
      </w:r>
      <w:r>
        <w:rPr>
          <w:rFonts w:hint="eastAsia"/>
        </w:rPr>
        <w:t>贩运妇女以满足色情剥削和跨国卖淫目的，是参照《刑事》中有关卖淫的现行条款和关于外国国民的法律来处理的。但是，这两方面的法律框架范围有限，而且不足以全面地解决这一问题。</w:t>
      </w:r>
    </w:p>
    <w:p w:rsidR="00320E49" w:rsidRDefault="00320E49">
      <w:pPr>
        <w:pStyle w:val="SingleTxt"/>
        <w:rPr>
          <w:rFonts w:ascii="SimHei" w:eastAsia="SimHei" w:hint="eastAsia"/>
          <w:color w:val="FF0000"/>
        </w:rPr>
      </w:pPr>
      <w:r>
        <w:rPr>
          <w:rFonts w:ascii="SimHei" w:eastAsia="SimHei" w:hint="eastAsia"/>
          <w:color w:val="FF0000"/>
        </w:rPr>
        <w:t>关于卖淫问题的刑法</w:t>
      </w:r>
    </w:p>
    <w:p w:rsidR="00320E49" w:rsidRDefault="00320E49">
      <w:pPr>
        <w:pStyle w:val="SingleTxt"/>
        <w:rPr>
          <w:rFonts w:hint="eastAsia"/>
        </w:rPr>
      </w:pPr>
      <w:r>
        <w:tab/>
      </w:r>
      <w:r>
        <w:rPr>
          <w:rFonts w:hint="eastAsia"/>
        </w:rPr>
        <w:t>只有取得执照，卖淫或性工作在土耳其才合法。《刑法》中关于性工作和建立妓院的所有条款规定性工作者只能是妇女。在妓院工作的妇女也享受社会保障制度。妓院老板负责采取必要的措施来按照《公共卫生法》预防性传播疾病。尽管性工作是合法的，但强迫妇女卖淫和唆使并煽动卖淫是非法的，这由《土耳其刑法》第420、第435和第436条作出规定。</w:t>
      </w:r>
    </w:p>
    <w:p w:rsidR="00320E49" w:rsidRDefault="00320E49">
      <w:pPr>
        <w:pStyle w:val="SingleTxt"/>
        <w:spacing w:line="340" w:lineRule="exact"/>
        <w:rPr>
          <w:rFonts w:hint="eastAsia"/>
        </w:rPr>
      </w:pPr>
      <w:r>
        <w:tab/>
      </w:r>
      <w:r>
        <w:rPr>
          <w:rFonts w:hint="eastAsia"/>
        </w:rPr>
        <w:t>按照第436条，如果强奸、或为别人提供、派遣或运送一位处女或21岁以下的妇女并以开始卖淫为目的，即使有关妇女表示同意，该人也要对卖淫承担责任。如果这种罪行是通过动用武力和暴力或通过威胁或欺骗对一名处女或21岁以上的妇女犯下的，这种罪行也要受到处罚。</w:t>
      </w:r>
    </w:p>
    <w:p w:rsidR="00320E49" w:rsidRDefault="00320E49">
      <w:pPr>
        <w:pStyle w:val="SingleTxt"/>
        <w:spacing w:line="340" w:lineRule="exact"/>
        <w:rPr>
          <w:rFonts w:ascii="SimHei" w:eastAsia="SimHei" w:hint="eastAsia"/>
          <w:color w:val="FF0000"/>
        </w:rPr>
      </w:pPr>
      <w:r>
        <w:rPr>
          <w:rFonts w:ascii="SimHei" w:eastAsia="SimHei" w:hint="eastAsia"/>
          <w:color w:val="FF0000"/>
        </w:rPr>
        <w:t>关于外国国民的法律</w:t>
      </w:r>
    </w:p>
    <w:p w:rsidR="00320E49" w:rsidRDefault="00320E49">
      <w:pPr>
        <w:pStyle w:val="SingleTxt"/>
        <w:spacing w:line="340" w:lineRule="exact"/>
        <w:rPr>
          <w:rFonts w:hint="eastAsia"/>
        </w:rPr>
      </w:pPr>
      <w:r>
        <w:tab/>
      </w:r>
      <w:r>
        <w:rPr>
          <w:rFonts w:hint="eastAsia"/>
        </w:rPr>
        <w:t>按照《第5682号土耳其护照法》（第8条第6款），妓女、以推销妓女为生者、贩运妇女者和所有走私犯都不得在土耳其入境。</w:t>
      </w:r>
    </w:p>
    <w:p w:rsidR="00320E49" w:rsidRDefault="00320E49">
      <w:pPr>
        <w:pStyle w:val="SingleTxt"/>
        <w:spacing w:line="340" w:lineRule="exact"/>
        <w:rPr>
          <w:rFonts w:hint="eastAsia"/>
        </w:rPr>
      </w:pPr>
      <w:r>
        <w:tab/>
      </w:r>
      <w:r>
        <w:rPr>
          <w:rFonts w:hint="eastAsia"/>
        </w:rPr>
        <w:t>关于外国国民在土耳其旅行和居住的第5683号法律授权内务部驱逐被认为对公共安全构成危险或其行为违反了政治和行政要求的外国人。此项法律第7条指出，其行为触犯了社会传统和国家法律的外国人不得在土耳其居住。</w:t>
      </w:r>
    </w:p>
    <w:p w:rsidR="00320E49" w:rsidRDefault="00320E49">
      <w:pPr>
        <w:pStyle w:val="SingleTxt"/>
        <w:spacing w:line="340" w:lineRule="exact"/>
        <w:rPr>
          <w:rFonts w:hint="eastAsia"/>
          <w:spacing w:val="4"/>
        </w:rPr>
      </w:pPr>
      <w:r>
        <w:rPr>
          <w:spacing w:val="4"/>
        </w:rPr>
        <w:tab/>
      </w:r>
      <w:r>
        <w:rPr>
          <w:rFonts w:hint="eastAsia"/>
          <w:spacing w:val="4"/>
        </w:rPr>
        <w:t>因此，从事卖淫活动的外国国民被拘捕后不会受到处罚，但须接受体检以确定是否患有性传播疾病，然后按照法律规定驱逐出境。对于通过婚姻获得了土耳其国籍的外国妇女来说，驱逐是不可能的。议会收到了一份议案草案，规定与土耳其公民结婚的外国国民的国籍要等待三年才能合格。（请参考本报告第九条）。</w:t>
      </w:r>
    </w:p>
    <w:p w:rsidR="00320E49" w:rsidRDefault="00320E49">
      <w:pPr>
        <w:pStyle w:val="SingleTxt"/>
        <w:spacing w:line="340" w:lineRule="exact"/>
        <w:rPr>
          <w:rFonts w:ascii="SimHei" w:eastAsia="SimHei" w:hint="eastAsia"/>
          <w:color w:val="FF0000"/>
        </w:rPr>
      </w:pPr>
      <w:r>
        <w:rPr>
          <w:rFonts w:ascii="SimHei" w:eastAsia="SimHei" w:hint="eastAsia"/>
          <w:color w:val="FF0000"/>
        </w:rPr>
        <w:t>其他措施</w:t>
      </w:r>
    </w:p>
    <w:p w:rsidR="00320E49" w:rsidRDefault="00320E49">
      <w:pPr>
        <w:pStyle w:val="SingleTxt"/>
        <w:spacing w:line="340" w:lineRule="exact"/>
        <w:rPr>
          <w:rFonts w:hint="eastAsia"/>
        </w:rPr>
      </w:pPr>
      <w:r>
        <w:tab/>
      </w:r>
      <w:r>
        <w:rPr>
          <w:rFonts w:hint="eastAsia"/>
        </w:rPr>
        <w:t>2001年，安全总局发布了一项通知，指出有组织的犯罪团伙而不是贩运受害人将由国家安全法院追究和审讯。</w:t>
      </w:r>
    </w:p>
    <w:p w:rsidR="00320E49" w:rsidRDefault="00320E49">
      <w:pPr>
        <w:pStyle w:val="SingleTxt"/>
        <w:spacing w:line="340" w:lineRule="exact"/>
        <w:rPr>
          <w:rFonts w:hint="eastAsia"/>
          <w:spacing w:val="4"/>
        </w:rPr>
      </w:pPr>
      <w:r>
        <w:rPr>
          <w:spacing w:val="4"/>
        </w:rPr>
        <w:tab/>
      </w:r>
      <w:r>
        <w:rPr>
          <w:rFonts w:hint="eastAsia"/>
          <w:spacing w:val="4"/>
        </w:rPr>
        <w:t>如本报告第一条所述，司法部于2002年颁布了有关《为土耳其刑法增加若干条款和修正打击有组织犯罪法中的一项条款》的法律，以努力增强《联合国打击跨国有组织犯罪公约》和《关于防止、禁止和惩治贩运人口特别是妇女和儿童的议定书》的执行情况。此项法律将贩运人口，包括妇女和女童界定为犯罪行为，此项法律部分弥补了打击贩运人口和跨国卖淫中的立法空白。</w:t>
      </w:r>
    </w:p>
    <w:p w:rsidR="00320E49" w:rsidRDefault="00320E49">
      <w:pPr>
        <w:pStyle w:val="SingleTxt"/>
        <w:spacing w:line="340" w:lineRule="exact"/>
        <w:rPr>
          <w:rFonts w:hint="eastAsia"/>
          <w:spacing w:val="4"/>
        </w:rPr>
      </w:pPr>
      <w:r>
        <w:rPr>
          <w:spacing w:val="4"/>
        </w:rPr>
        <w:tab/>
      </w:r>
      <w:r>
        <w:rPr>
          <w:rFonts w:hint="eastAsia"/>
          <w:spacing w:val="4"/>
        </w:rPr>
        <w:t>土耳其作为跨国贩运人口，特别是妇女的过境国和目的国，坚决认为，国际合作对于打击这种犯罪至关重要，因此积极参加并支持所有相关的国际倡议。除了上述公约及其议定书之外，土耳其还于2000年12月13日签署了《关于打击陆、海、空偷运移民的议定书》。此项公约及其议定书是保护贩运人口的受害人的人权和阐述消除这种现象所需的措施方面最全面的国际文件。</w:t>
      </w:r>
    </w:p>
    <w:p w:rsidR="00320E49" w:rsidRDefault="00320E49">
      <w:pPr>
        <w:pStyle w:val="SingleTxt"/>
        <w:spacing w:line="340" w:lineRule="exact"/>
        <w:rPr>
          <w:rFonts w:hint="eastAsia"/>
        </w:rPr>
      </w:pPr>
      <w:r>
        <w:tab/>
      </w:r>
      <w:r>
        <w:rPr>
          <w:rFonts w:hint="eastAsia"/>
        </w:rPr>
        <w:t>由于近期为遏制贩卖人口，包括妇女所做的努力，跨国卖淫数目明显减少，被拘捕的有组织贩运网络显著增多。例如，1996至2002年，总共有23 422名从事卖淫的外国国民被驱逐出土耳其，2000和2001年，被拘捕的贩运组织者分别为850人和1 155人。</w:t>
      </w:r>
    </w:p>
    <w:p w:rsidR="00320E49" w:rsidRDefault="00320E49">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40"/>
        <w:ind w:left="1264" w:right="1264" w:hanging="1264"/>
        <w:jc w:val="both"/>
        <w:rPr>
          <w:rFonts w:ascii="KaiTi_GB2312" w:eastAsia="KaiTi_GB2312" w:hint="eastAsia"/>
          <w:color w:val="0000FF"/>
          <w:sz w:val="28"/>
        </w:rPr>
      </w:pPr>
      <w:r>
        <w:tab/>
      </w:r>
      <w:r>
        <w:tab/>
      </w:r>
      <w:r>
        <w:rPr>
          <w:rFonts w:ascii="KaiTi_GB2312" w:eastAsia="KaiTi_GB2312" w:hint="eastAsia"/>
          <w:color w:val="0000FF"/>
          <w:sz w:val="28"/>
        </w:rPr>
        <w:t>政治和公共生活</w:t>
      </w:r>
    </w:p>
    <w:p w:rsidR="00320E49" w:rsidRDefault="00320E49">
      <w:pPr>
        <w:pStyle w:val="SingleTxt"/>
        <w:rPr>
          <w:rFonts w:ascii="KaiTi_GB2312" w:eastAsia="KaiTi_GB2312" w:hint="eastAsia"/>
          <w:color w:val="0000FF"/>
        </w:rPr>
      </w:pPr>
      <w:r>
        <w:rPr>
          <w:rFonts w:ascii="KaiTi_GB2312" w:eastAsia="KaiTi_GB2312"/>
          <w:color w:val="0000FF"/>
        </w:rPr>
        <w:tab/>
      </w:r>
      <w:r>
        <w:rPr>
          <w:rFonts w:ascii="KaiTi_GB2312" w:eastAsia="KaiTi_GB2312" w:hint="eastAsia"/>
          <w:b/>
          <w:bCs/>
          <w:color w:val="0000FF"/>
        </w:rPr>
        <w:t>第七条．</w:t>
      </w:r>
      <w:r>
        <w:rPr>
          <w:rFonts w:ascii="KaiTi_GB2312" w:eastAsia="KaiTi_GB2312" w:hint="eastAsia"/>
          <w:color w:val="0000FF"/>
        </w:rPr>
        <w:t>缔约各国应采取一切适当措施，消除在本国政治和公众事物中对妇女的歧视，特别应保证妇女在与男子平等的条件下：</w:t>
      </w:r>
    </w:p>
    <w:p w:rsidR="00320E49" w:rsidRDefault="00320E49">
      <w:pPr>
        <w:pStyle w:val="SingleTxt"/>
        <w:rPr>
          <w:rFonts w:ascii="KaiTi_GB2312" w:eastAsia="KaiTi_GB2312" w:hint="eastAsia"/>
          <w:color w:val="0000FF"/>
        </w:rPr>
      </w:pPr>
      <w:r>
        <w:rPr>
          <w:rFonts w:ascii="KaiTi_GB2312" w:eastAsia="KaiTi_GB2312"/>
          <w:color w:val="0000FF"/>
        </w:rPr>
        <w:tab/>
        <w:t>(</w:t>
      </w:r>
      <w:r>
        <w:rPr>
          <w:rFonts w:ascii="KaiTi_GB2312" w:eastAsia="KaiTi_GB2312" w:hint="eastAsia"/>
          <w:color w:val="0000FF"/>
        </w:rPr>
        <w:t>a)</w:t>
      </w:r>
      <w:r>
        <w:rPr>
          <w:rFonts w:ascii="KaiTi_GB2312" w:eastAsia="KaiTi_GB2312" w:hint="eastAsia"/>
          <w:color w:val="0000FF"/>
        </w:rPr>
        <w:tab/>
        <w:t>在一切选举和公民投票中有选举权，并在一切民选机构有被选举权；</w:t>
      </w:r>
    </w:p>
    <w:p w:rsidR="00320E49" w:rsidRDefault="00320E49">
      <w:pPr>
        <w:pStyle w:val="SingleTxt"/>
        <w:rPr>
          <w:rFonts w:ascii="KaiTi_GB2312" w:eastAsia="KaiTi_GB2312" w:hint="eastAsia"/>
          <w:color w:val="0000FF"/>
        </w:rPr>
      </w:pPr>
      <w:r>
        <w:rPr>
          <w:rFonts w:ascii="KaiTi_GB2312" w:eastAsia="KaiTi_GB2312"/>
          <w:color w:val="0000FF"/>
        </w:rPr>
        <w:tab/>
        <w:t>(</w:t>
      </w:r>
      <w:r>
        <w:rPr>
          <w:rFonts w:ascii="KaiTi_GB2312" w:eastAsia="KaiTi_GB2312" w:hint="eastAsia"/>
          <w:color w:val="0000FF"/>
        </w:rPr>
        <w:t>b)</w:t>
      </w:r>
      <w:r>
        <w:rPr>
          <w:rFonts w:ascii="KaiTi_GB2312" w:eastAsia="KaiTi_GB2312"/>
          <w:color w:val="0000FF"/>
        </w:rPr>
        <w:tab/>
      </w:r>
      <w:r>
        <w:rPr>
          <w:rFonts w:ascii="KaiTi_GB2312" w:eastAsia="KaiTi_GB2312" w:hint="eastAsia"/>
          <w:color w:val="0000FF"/>
        </w:rPr>
        <w:t>参加政府政策的制订及其执行，并担任各级政府公职，执行一切公务；</w:t>
      </w:r>
    </w:p>
    <w:p w:rsidR="00320E49" w:rsidRDefault="00320E49">
      <w:pPr>
        <w:pStyle w:val="SingleTxt"/>
        <w:rPr>
          <w:rFonts w:hint="eastAsia"/>
        </w:rPr>
      </w:pPr>
      <w:r>
        <w:rPr>
          <w:rFonts w:ascii="KaiTi_GB2312" w:eastAsia="KaiTi_GB2312"/>
          <w:color w:val="0000FF"/>
        </w:rPr>
        <w:tab/>
        <w:t>(</w:t>
      </w:r>
      <w:r>
        <w:rPr>
          <w:rFonts w:ascii="KaiTi_GB2312" w:eastAsia="KaiTi_GB2312" w:hint="eastAsia"/>
          <w:color w:val="0000FF"/>
        </w:rPr>
        <w:t>c)</w:t>
      </w:r>
      <w:r>
        <w:rPr>
          <w:rFonts w:ascii="KaiTi_GB2312" w:eastAsia="KaiTi_GB2312" w:hint="eastAsia"/>
          <w:color w:val="0000FF"/>
        </w:rPr>
        <w:tab/>
        <w:t>参加有关本国公众和政治事务的非政府组织和协会。</w:t>
      </w:r>
    </w:p>
    <w:p w:rsidR="00320E49" w:rsidRDefault="00320E49">
      <w:pPr>
        <w:pStyle w:val="SingleTxt"/>
        <w:spacing w:line="330" w:lineRule="exact"/>
        <w:rPr>
          <w:rFonts w:hint="eastAsia"/>
        </w:rPr>
      </w:pPr>
      <w:r>
        <w:tab/>
      </w:r>
      <w:r>
        <w:rPr>
          <w:rFonts w:hint="eastAsia"/>
        </w:rPr>
        <w:t>尽管妇女参与正规政治方面没有法律障碍，但这一领域里取得的进展既缓慢又不显著。但是，本报告将提供上一次报告中就第七条提供的资料的最新情况。</w:t>
      </w:r>
    </w:p>
    <w:p w:rsidR="00320E49" w:rsidRDefault="00320E49">
      <w:pPr>
        <w:pStyle w:val="SingleTxt"/>
        <w:spacing w:line="330" w:lineRule="exact"/>
        <w:rPr>
          <w:rFonts w:hint="eastAsia"/>
          <w:spacing w:val="-2"/>
        </w:rPr>
      </w:pPr>
      <w:r>
        <w:rPr>
          <w:spacing w:val="-2"/>
        </w:rPr>
        <w:tab/>
      </w:r>
      <w:r>
        <w:rPr>
          <w:rFonts w:hint="eastAsia"/>
          <w:spacing w:val="-2"/>
        </w:rPr>
        <w:t>过去二十年里的妇女运动赢得了更大的公众认识，并对建立两性平等议程产生了影响，各政党对在本党政策、纲领和选举运动中列入和增加两性平等问题更加感兴趣。尽管这被视为吸引公众关注和支持的一项可行的战略，但这方面的倡议无助于扩大妇女的政治空间。例如，尽管某些政党制订了本党行政机关的配额，但实际这些配额仍然微不足道，不足以提高妇女在议会中的代表比例。只有一个参加议会的政党落实了妇女占10%的定额标准。另三个拥有25%至35%配额的政党在议会中没有席位，因此它们无效。各政党在决定其候选人名单时没有采用配额制。</w:t>
      </w:r>
    </w:p>
    <w:p w:rsidR="00320E49" w:rsidRDefault="00320E49">
      <w:pPr>
        <w:pStyle w:val="SingleTxt"/>
        <w:spacing w:line="330" w:lineRule="exact"/>
        <w:rPr>
          <w:rFonts w:hint="eastAsia"/>
        </w:rPr>
      </w:pPr>
      <w:r>
        <w:tab/>
      </w:r>
      <w:r>
        <w:rPr>
          <w:rFonts w:hint="eastAsia"/>
        </w:rPr>
        <w:t>1995年之后，随着取消了对各政党妇女支部的禁令，这些实体恢复了活动。但是，各政党的妇女支部往往担当主流政党组织的支助机制，而不是促进妇女获得权力并培养她们积极参与的自治政治机关。此外，由于政党制度高度集中且实行等级结构，因此各政党根据有关妇女支部的法律往往限制了民主管理和妇女进入决策进程。目前，只有一个政党的妇女支部领导人经过选举担任领导职务。同样，妇女党支部也缺乏财政自主，因为她们既没有独立的预算，也没有批准支出的权力。</w:t>
      </w:r>
    </w:p>
    <w:p w:rsidR="00320E49" w:rsidRDefault="00320E49">
      <w:pPr>
        <w:pStyle w:val="SingleTxt"/>
        <w:spacing w:line="330" w:lineRule="exact"/>
        <w:rPr>
          <w:rFonts w:hint="eastAsia"/>
        </w:rPr>
      </w:pPr>
      <w:r>
        <w:tab/>
      </w:r>
      <w:r>
        <w:rPr>
          <w:rFonts w:hint="eastAsia"/>
        </w:rPr>
        <w:t>在1999年选举中，23名妇女被选入议会，使妇女代表的比率从2.4%提高到4%。在2002年11月3日举行的上次选举中，24名妇女进入议会，使总的比率增至4.6%。自1997年以来，各届政府中的女性内阁成员的人数不超过两人。本届政府中只有一名女部长。</w:t>
      </w:r>
    </w:p>
    <w:p w:rsidR="00320E49" w:rsidRDefault="00320E49">
      <w:pPr>
        <w:pStyle w:val="SingleTxt"/>
        <w:spacing w:line="330" w:lineRule="exact"/>
        <w:rPr>
          <w:rFonts w:hint="eastAsia"/>
          <w:spacing w:val="-2"/>
        </w:rPr>
      </w:pPr>
      <w:r>
        <w:rPr>
          <w:spacing w:val="-2"/>
        </w:rPr>
        <w:tab/>
      </w:r>
      <w:r>
        <w:rPr>
          <w:rFonts w:hint="eastAsia"/>
          <w:spacing w:val="-2"/>
        </w:rPr>
        <w:t>妇女在地方政府中的代表比率也很低，尽管在1999年选举中有所增加。例如，担任市长职务的妇女从1994年15人增至1999年的20人，同期，市议会中的妇女从338人增至540人，各省代表大会中的妇女从33人增至44人。这些数字放在国家一级的总数中考虑时显得非常小（占市长的6‰，占所有当选妇女的1.5%）。</w:t>
      </w:r>
    </w:p>
    <w:p w:rsidR="00320E49" w:rsidRDefault="00320E49">
      <w:pPr>
        <w:pStyle w:val="SingleTxt"/>
        <w:spacing w:line="330" w:lineRule="exact"/>
        <w:rPr>
          <w:rFonts w:hint="eastAsia"/>
        </w:rPr>
      </w:pPr>
      <w:r>
        <w:tab/>
      </w:r>
      <w:r>
        <w:rPr>
          <w:rFonts w:hint="eastAsia"/>
        </w:rPr>
        <w:t>女公务员的人数显示多年来略有增加，其比率达到了33.1%。按照1999年公布的数字，公共行政系统中有27.5%的中级和高级决策职务由妇女担任，这与其总比率一致。</w:t>
      </w:r>
    </w:p>
    <w:p w:rsidR="00320E49" w:rsidRDefault="00320E49">
      <w:pPr>
        <w:pStyle w:val="SingleTxt"/>
        <w:spacing w:line="338" w:lineRule="exact"/>
        <w:rPr>
          <w:rFonts w:hint="eastAsia"/>
        </w:rPr>
      </w:pPr>
      <w:r>
        <w:tab/>
      </w:r>
      <w:r>
        <w:rPr>
          <w:rFonts w:hint="eastAsia"/>
        </w:rPr>
        <w:t>土耳其缺乏关于妇女参与私营部门和其他民间组织的全面而可靠的数据。但是，基于观察和有限研究获得的零碎的资料显示，情况与其他部门没什么大的差别。妇女非政府组织传统上集中在慈善和服务性活动。但是，自1990年代中期以来，妇女自愿组织的类型发生了变化。尽管数量仍然较少，但妇女非政府组织在妇女人权领域里引人注目，它们对制订公共政策起到了宣传和压力集团的作用、游说进行立法变革以及为遵守国际两性平等标准而努力工作。因此，有明确的迹象表明，非政府组织活动正在发生范例转变。这方面的一种良好做法是妇女非政府组织与安喀拉大学妇女问题研究和培训中心协作发起的、名为性别、妇女与政治的运动。在这场运动的范围内，宣布2000年为妇女政治家团结年，编写了关于参政的培训材料，向来自各政党和非政府组织的80名培训员和3 050名妇女提供了性别培训。</w:t>
      </w:r>
    </w:p>
    <w:p w:rsidR="00320E49" w:rsidRDefault="00320E49">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40" w:line="338" w:lineRule="exact"/>
        <w:ind w:left="1264" w:right="1264" w:hanging="1264"/>
        <w:jc w:val="both"/>
        <w:rPr>
          <w:rFonts w:ascii="KaiTi_GB2312" w:eastAsia="KaiTi_GB2312" w:hint="eastAsia"/>
          <w:color w:val="0000FF"/>
          <w:sz w:val="28"/>
        </w:rPr>
      </w:pPr>
      <w:r>
        <w:tab/>
      </w:r>
      <w:r>
        <w:tab/>
      </w:r>
      <w:r>
        <w:rPr>
          <w:rFonts w:ascii="KaiTi_GB2312" w:eastAsia="KaiTi_GB2312" w:hint="eastAsia"/>
          <w:color w:val="0000FF"/>
          <w:sz w:val="28"/>
        </w:rPr>
        <w:t>国际代表和参与</w:t>
      </w:r>
    </w:p>
    <w:p w:rsidR="00320E49" w:rsidRDefault="00320E49">
      <w:pPr>
        <w:pStyle w:val="SingleTxt"/>
        <w:spacing w:line="338" w:lineRule="exact"/>
        <w:rPr>
          <w:rFonts w:hint="eastAsia"/>
        </w:rPr>
      </w:pPr>
      <w:r>
        <w:rPr>
          <w:rFonts w:ascii="KaiTi_GB2312" w:eastAsia="KaiTi_GB2312"/>
          <w:b/>
          <w:bCs/>
          <w:color w:val="0000FF"/>
        </w:rPr>
        <w:tab/>
      </w:r>
      <w:r>
        <w:rPr>
          <w:rFonts w:ascii="KaiTi_GB2312" w:eastAsia="KaiTi_GB2312" w:hint="eastAsia"/>
          <w:b/>
          <w:bCs/>
          <w:color w:val="0000FF"/>
        </w:rPr>
        <w:t>第八条</w:t>
      </w:r>
      <w:r>
        <w:rPr>
          <w:rFonts w:ascii="KaiTi_GB2312" w:eastAsia="KaiTi_GB2312" w:hint="eastAsia"/>
          <w:color w:val="0000FF"/>
        </w:rPr>
        <w:t>．缔约各国应采取一切适当措施，保证妇女在与男子平等不受任何歧视的条件下，有机会在国际上代表本国政府参加各国际组织的工作</w:t>
      </w:r>
      <w:r>
        <w:rPr>
          <w:rFonts w:hint="eastAsia"/>
        </w:rPr>
        <w:t>。</w:t>
      </w:r>
    </w:p>
    <w:p w:rsidR="00320E49" w:rsidRDefault="00320E49">
      <w:pPr>
        <w:pStyle w:val="SingleTxt"/>
        <w:spacing w:line="338" w:lineRule="exact"/>
        <w:rPr>
          <w:rFonts w:hint="eastAsia"/>
        </w:rPr>
      </w:pPr>
      <w:r>
        <w:tab/>
      </w:r>
      <w:r>
        <w:rPr>
          <w:rFonts w:hint="eastAsia"/>
        </w:rPr>
        <w:t>男女拥有平等的权利在国外代表土耳其，但是，这方面的进展缓慢。在土耳其外交部担任高级代表职务的妇女仍然相当少。2002年，共有10名女大使、22名次长、4名总领事、1名副总领事和9名副领事。</w:t>
      </w:r>
    </w:p>
    <w:p w:rsidR="00320E49" w:rsidRDefault="00320E49">
      <w:pPr>
        <w:pStyle w:val="SingleTxt"/>
        <w:spacing w:line="338" w:lineRule="exact"/>
        <w:rPr>
          <w:rFonts w:hint="eastAsia"/>
        </w:rPr>
      </w:pPr>
      <w:r>
        <w:tab/>
      </w:r>
      <w:r>
        <w:rPr>
          <w:rFonts w:hint="eastAsia"/>
        </w:rPr>
        <w:t>另一方面，土耳其妇女在国际组织的代表情况给人留下深刻印象，尤其是在较高的职务上；其情况如下：世卫组织总部家庭和生殖保健执行干事（1995—1998年）；世卫组织总部高级政治顾问（1998—2000年）；世卫组织总部家庭和社区保健执行干事（2000年10月—）；提高妇女地位研训所D-2级干事（1971—1999年）；提高妇女地位司D-2级干事（1999—2001年）；目前在联合国秘书处由土耳其国民担任的6个D-1级职务中，两人为妇女，在由土耳其国民担任的其余9个专业员额中有5个是妇女：一名土耳其妇女还担任提高妇女地位研训所理事会成员（1995—2001年）及1996-1997年间的主席一职；目前，另一名土耳其妇女在提高妇女地位研训所理事会中工作（2001年—）；自1997年以来，土耳其妇女担任消除对妇女歧视委员会的独立专家，并自2001年起担任委员会副主席一职（她是第二个在委员会中任职的土耳其妇女）。有一些土耳其妇女在联合国和欧洲委员会的各个委员会及各实体的咨询委员会中任职。</w:t>
      </w:r>
    </w:p>
    <w:p w:rsidR="00320E49" w:rsidRDefault="00320E49">
      <w:pPr>
        <w:pStyle w:val="SingleTxt"/>
        <w:spacing w:line="338" w:lineRule="exact"/>
        <w:rPr>
          <w:rFonts w:hint="eastAsia"/>
        </w:rPr>
      </w:pPr>
      <w:r>
        <w:tab/>
      </w:r>
      <w:r>
        <w:rPr>
          <w:rFonts w:hint="eastAsia"/>
        </w:rPr>
        <w:t>妇女代表也参加出席国际和区域会议的土耳其代表团。土耳其参加了大会北京会议五周年特别会议及其区域会议，一个高级别妇女代表团既代表国家又代表民间社会。同样，人们总是看到，包括来自民间社会的妇女在内的、一个组织完善的国家代表团参加了联合国妇女地位委员会和欧洲委员会、男女平等指导委员会的定期会议。</w:t>
      </w:r>
    </w:p>
    <w:p w:rsidR="00320E49" w:rsidRDefault="00320E49">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40"/>
        <w:ind w:left="1264" w:right="1264" w:hanging="1264"/>
        <w:jc w:val="both"/>
        <w:rPr>
          <w:rFonts w:ascii="KaiTi_GB2312" w:eastAsia="KaiTi_GB2312" w:hint="eastAsia"/>
          <w:color w:val="0000FF"/>
          <w:sz w:val="28"/>
        </w:rPr>
      </w:pPr>
      <w:r>
        <w:tab/>
      </w:r>
      <w:r>
        <w:tab/>
      </w:r>
      <w:r>
        <w:rPr>
          <w:rFonts w:ascii="KaiTi_GB2312" w:eastAsia="KaiTi_GB2312" w:hint="eastAsia"/>
          <w:color w:val="0000FF"/>
          <w:sz w:val="28"/>
        </w:rPr>
        <w:t>国籍</w:t>
      </w:r>
    </w:p>
    <w:p w:rsidR="00320E49" w:rsidRDefault="00320E49">
      <w:pPr>
        <w:pStyle w:val="SingleTxt"/>
        <w:rPr>
          <w:rFonts w:hint="eastAsia"/>
        </w:rPr>
      </w:pPr>
      <w:r>
        <w:rPr>
          <w:rFonts w:ascii="KaiTi_GB2312" w:eastAsia="KaiTi_GB2312"/>
          <w:b/>
          <w:bCs/>
          <w:color w:val="0000FF"/>
        </w:rPr>
        <w:tab/>
      </w:r>
      <w:r>
        <w:rPr>
          <w:rFonts w:ascii="KaiTi_GB2312" w:eastAsia="KaiTi_GB2312" w:hint="eastAsia"/>
          <w:b/>
          <w:bCs/>
          <w:color w:val="0000FF"/>
        </w:rPr>
        <w:t>第九条.1．</w:t>
      </w:r>
      <w:r>
        <w:rPr>
          <w:rFonts w:ascii="KaiTi_GB2312" w:eastAsia="KaiTi_GB2312" w:hint="eastAsia"/>
          <w:color w:val="0000FF"/>
        </w:rPr>
        <w:t>缔约各国应给予妇女与男子有取得、改变或保留国籍的同等权利。它们应特别保证，与外国人结婚或于婚姻存续期间丈夫改变国籍均不当然改变妻子的国籍，使她成为无国籍人，或把丈夫的国籍强加于她</w:t>
      </w:r>
      <w:r>
        <w:rPr>
          <w:rFonts w:hint="eastAsia"/>
        </w:rPr>
        <w:t>。</w:t>
      </w:r>
    </w:p>
    <w:p w:rsidR="00320E49" w:rsidRDefault="00320E49">
      <w:pPr>
        <w:pStyle w:val="SingleTxt"/>
        <w:spacing w:line="330" w:lineRule="exact"/>
        <w:rPr>
          <w:rFonts w:hint="eastAsia"/>
        </w:rPr>
      </w:pPr>
      <w:r>
        <w:tab/>
      </w:r>
      <w:r>
        <w:rPr>
          <w:rFonts w:hint="eastAsia"/>
        </w:rPr>
        <w:t>《土耳其国籍法》规定了男女获得、改变或丧失国籍的程序。如土耳其第二和三次合并报告所述，《国籍法》中的某些规定将与外国国民结婚的妇女与男子以及这样的外国国民获得土耳其国籍的权利区别开来（第5、第19和第42条）。在撤销对《消除对妇女一切形式歧视公约》第十五和十六条提出的保留意见并从《民法》中删除“户主”一词之后，《国籍法》的修正也成为了紧迫问题。消除了现有的不平等之处的一份新的法律草案目前正由议会审议。</w:t>
      </w:r>
    </w:p>
    <w:p w:rsidR="00320E49" w:rsidRDefault="00320E49">
      <w:pPr>
        <w:pStyle w:val="SingleTxt"/>
        <w:spacing w:line="326" w:lineRule="exact"/>
        <w:rPr>
          <w:rFonts w:hint="eastAsia"/>
        </w:rPr>
      </w:pPr>
      <w:r>
        <w:tab/>
      </w:r>
      <w:r>
        <w:rPr>
          <w:rFonts w:hint="eastAsia"/>
        </w:rPr>
        <w:t>根据该法律草案，与土耳其公民结婚的外国人至少需要三年的时间才有资格申请国籍并由内务部批准。该法律草案也规定，将给予无国籍或由于结婚而丧失其本国国籍的外国配偶以国籍。</w:t>
      </w:r>
    </w:p>
    <w:p w:rsidR="00320E49" w:rsidRDefault="00320E49">
      <w:pPr>
        <w:pStyle w:val="SingleTxt"/>
        <w:rPr>
          <w:rFonts w:ascii="KaiTi_GB2312" w:eastAsia="KaiTi_GB2312" w:hint="eastAsia"/>
          <w:color w:val="0000FF"/>
        </w:rPr>
      </w:pPr>
      <w:r>
        <w:tab/>
      </w:r>
      <w:r>
        <w:rPr>
          <w:rFonts w:ascii="KaiTi_GB2312" w:eastAsia="KaiTi_GB2312" w:hint="eastAsia"/>
          <w:b/>
          <w:bCs/>
          <w:color w:val="0000FF"/>
        </w:rPr>
        <w:t>第九条.2．</w:t>
      </w:r>
      <w:r>
        <w:rPr>
          <w:rFonts w:ascii="KaiTi_GB2312" w:eastAsia="KaiTi_GB2312" w:hint="eastAsia"/>
          <w:color w:val="0000FF"/>
        </w:rPr>
        <w:t>缔约各国在关于子女的国籍方面，应给予妇女与男子平等的权利。</w:t>
      </w:r>
    </w:p>
    <w:p w:rsidR="00320E49" w:rsidRDefault="00320E49">
      <w:pPr>
        <w:pStyle w:val="SingleTxt"/>
        <w:rPr>
          <w:rFonts w:hint="eastAsia"/>
        </w:rPr>
      </w:pPr>
      <w:r>
        <w:tab/>
      </w:r>
      <w:r>
        <w:rPr>
          <w:rFonts w:hint="eastAsia"/>
        </w:rPr>
        <w:t>参考土耳其第二和三次合并报告。</w:t>
      </w:r>
    </w:p>
    <w:p w:rsidR="00320E49" w:rsidRDefault="00320E49">
      <w:pPr>
        <w:pStyle w:val="SingleTxt"/>
        <w:spacing w:line="326" w:lineRule="exact"/>
        <w:rPr>
          <w:rFonts w:hint="eastAsia"/>
        </w:rPr>
      </w:pPr>
      <w:r>
        <w:tab/>
      </w:r>
      <w:r>
        <w:rPr>
          <w:rFonts w:hint="eastAsia"/>
        </w:rPr>
        <w:t>上次会议以后，2001年修正了《宪法》第66条，该条指出：“土耳其父亲或土耳其母亲所生子女是土耳其人。外国父亲与土耳其母亲所生子女的国籍应按照法律界定”。删除此项法律条款的第二句后，原有的不平等已经消除。此项修改于2001年10月17日生效。</w:t>
      </w:r>
    </w:p>
    <w:p w:rsidR="00320E49" w:rsidRDefault="00320E49">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40"/>
        <w:ind w:left="1264" w:right="1264" w:hanging="1264"/>
        <w:jc w:val="both"/>
        <w:rPr>
          <w:rFonts w:ascii="KaiTi_GB2312" w:eastAsia="KaiTi_GB2312" w:hint="eastAsia"/>
          <w:color w:val="0000FF"/>
          <w:sz w:val="28"/>
        </w:rPr>
      </w:pPr>
      <w:r>
        <w:tab/>
      </w:r>
      <w:r>
        <w:tab/>
      </w:r>
      <w:r>
        <w:rPr>
          <w:rFonts w:ascii="KaiTi_GB2312" w:eastAsia="KaiTi_GB2312" w:hint="eastAsia"/>
          <w:color w:val="0000FF"/>
          <w:sz w:val="28"/>
        </w:rPr>
        <w:t>教育</w:t>
      </w:r>
    </w:p>
    <w:p w:rsidR="00320E49" w:rsidRDefault="00320E49">
      <w:pPr>
        <w:pStyle w:val="SingleTxt"/>
        <w:rPr>
          <w:rFonts w:ascii="KaiTi_GB2312" w:eastAsia="KaiTi_GB2312" w:hint="eastAsia"/>
          <w:color w:val="0000FF"/>
        </w:rPr>
      </w:pPr>
      <w:r>
        <w:rPr>
          <w:rFonts w:ascii="KaiTi_GB2312" w:eastAsia="KaiTi_GB2312"/>
          <w:color w:val="0000FF"/>
        </w:rPr>
        <w:tab/>
      </w:r>
      <w:r>
        <w:rPr>
          <w:rFonts w:ascii="KaiTi_GB2312" w:eastAsia="KaiTi_GB2312" w:hint="eastAsia"/>
          <w:b/>
          <w:bCs/>
          <w:color w:val="0000FF"/>
        </w:rPr>
        <w:t>第十条.</w:t>
      </w:r>
      <w:r>
        <w:rPr>
          <w:rFonts w:ascii="KaiTi_GB2312" w:eastAsia="KaiTi_GB2312"/>
          <w:color w:val="0000FF"/>
        </w:rPr>
        <w:t xml:space="preserve"> </w:t>
      </w:r>
      <w:r>
        <w:rPr>
          <w:rFonts w:ascii="KaiTi_GB2312" w:eastAsia="KaiTi_GB2312" w:hint="eastAsia"/>
          <w:color w:val="0000FF"/>
        </w:rPr>
        <w:t>缔约各国应采取一切适当措施以消除对妇女的歧视，以保证妇女在教育方面享有与男子平等的权利，特别是在男女平等的基础上保证：</w:t>
      </w:r>
    </w:p>
    <w:p w:rsidR="00320E49" w:rsidRDefault="00320E49">
      <w:pPr>
        <w:pStyle w:val="SingleTxt"/>
        <w:rPr>
          <w:rFonts w:hint="eastAsia"/>
        </w:rPr>
      </w:pPr>
      <w:r>
        <w:rPr>
          <w:rFonts w:ascii="KaiTi_GB2312" w:eastAsia="KaiTi_GB2312"/>
          <w:color w:val="0000FF"/>
        </w:rPr>
        <w:tab/>
      </w:r>
      <w:r>
        <w:rPr>
          <w:rFonts w:ascii="KaiTi_GB2312" w:eastAsia="KaiTi_GB2312" w:hint="eastAsia"/>
          <w:color w:val="0000FF"/>
        </w:rPr>
        <w:t>(a)</w:t>
      </w:r>
      <w:r>
        <w:rPr>
          <w:rFonts w:ascii="KaiTi_GB2312" w:eastAsia="KaiTi_GB2312"/>
          <w:color w:val="0000FF"/>
        </w:rPr>
        <w:tab/>
      </w:r>
      <w:r>
        <w:rPr>
          <w:rFonts w:ascii="KaiTi_GB2312" w:eastAsia="KaiTi_GB2312" w:hint="eastAsia"/>
          <w:color w:val="0000FF"/>
        </w:rPr>
        <w:t>在各类教育机构，不论其在农村或城市，在专业和职业辅导、取得学习机会和文凭等方面都有相同的条件。在学前教育、普通教育、技术、专业和高等技术教育以及各种职业培训方面，都应保证这种平等</w:t>
      </w:r>
      <w:r>
        <w:rPr>
          <w:rFonts w:hint="eastAsia"/>
        </w:rPr>
        <w:t>；</w:t>
      </w:r>
    </w:p>
    <w:p w:rsidR="00320E49" w:rsidRDefault="00320E49">
      <w:pPr>
        <w:pStyle w:val="SingleTxt"/>
        <w:spacing w:line="330" w:lineRule="exact"/>
        <w:rPr>
          <w:rFonts w:hint="eastAsia"/>
        </w:rPr>
      </w:pPr>
      <w:r>
        <w:tab/>
      </w:r>
      <w:r>
        <w:rPr>
          <w:rFonts w:hint="eastAsia"/>
        </w:rPr>
        <w:t>世俗教育是土耳其建国进程的一种基本和核心的制度。因此，普通教育，特别是妇女教育中的平等机会，作为法律中的法定权利得到保证。这体现在《基础国民教育法》的“机会均等”一节中，该节指出，所有男女教育机会均等，而且教育机构向所有人开放，不论语言、宗教、种族和性别。这样，没有任何法律障碍排除妇女和女孩受教育的权利。不过，尽管多年来妇女教育领域取得了长足的进步，在所有各级教育中，妇女和女孩仍然落后于男子和男孩。特别是，在考虑到城乡、区域和年龄差别时，男女识字的程度依然存在显著的差异。根据2001年的数据，在15岁以上人口中，妇女的文盲率为21.6%，而男子的为5.6%(表1)。</w:t>
      </w:r>
    </w:p>
    <w:p w:rsidR="00320E49" w:rsidRDefault="00320E49">
      <w:pPr>
        <w:pStyle w:val="SingleTxt"/>
        <w:rPr>
          <w:rFonts w:hint="eastAsia"/>
        </w:rPr>
      </w:pPr>
      <w:r>
        <w:rPr>
          <w:rFonts w:hint="eastAsia"/>
        </w:rPr>
        <w:t xml:space="preserve">表1.  </w:t>
      </w:r>
      <w:r>
        <w:rPr>
          <w:rFonts w:ascii="SimHei" w:eastAsia="SimHei" w:hint="eastAsia"/>
          <w:color w:val="FF0000"/>
        </w:rPr>
        <w:t>2001年按受教育状况列示向非机构平民人口</w:t>
      </w:r>
      <w:r>
        <w:rPr>
          <w:rFonts w:ascii="SimHei" w:eastAsia="SimHei"/>
          <w:color w:val="FF0000"/>
        </w:rPr>
        <w:br/>
      </w:r>
      <w:r>
        <w:rPr>
          <w:rFonts w:ascii="SimHei" w:eastAsia="SimHei" w:hint="eastAsia"/>
          <w:color w:val="FF0000"/>
        </w:rPr>
        <w:t xml:space="preserve">       15岁及15岁以上，千人</w:t>
      </w:r>
    </w:p>
    <w:tbl>
      <w:tblPr>
        <w:tblW w:w="3642" w:type="pct"/>
        <w:tblInd w:w="1354" w:type="dxa"/>
        <w:tblLook w:val="0000" w:firstRow="0" w:lastRow="0" w:firstColumn="0" w:lastColumn="0" w:noHBand="0" w:noVBand="0"/>
      </w:tblPr>
      <w:tblGrid>
        <w:gridCol w:w="2170"/>
        <w:gridCol w:w="1291"/>
        <w:gridCol w:w="1291"/>
        <w:gridCol w:w="1291"/>
        <w:gridCol w:w="1291"/>
      </w:tblGrid>
      <w:tr w:rsidR="00320E49">
        <w:tblPrEx>
          <w:tblCellMar>
            <w:top w:w="0" w:type="dxa"/>
            <w:bottom w:w="0" w:type="dxa"/>
          </w:tblCellMar>
        </w:tblPrEx>
        <w:trPr>
          <w:tblHeader/>
        </w:trPr>
        <w:tc>
          <w:tcPr>
            <w:tcW w:w="1479" w:type="pct"/>
            <w:tcBorders>
              <w:top w:val="single" w:sz="2" w:space="0" w:color="auto"/>
              <w:bottom w:val="single" w:sz="12" w:space="0" w:color="auto"/>
            </w:tcBorders>
            <w:vAlign w:val="bottom"/>
          </w:tcPr>
          <w:p w:rsidR="00320E49" w:rsidRDefault="00320E49">
            <w:pPr>
              <w:pStyle w:val="PlainText"/>
              <w:spacing w:before="60" w:after="60" w:line="240" w:lineRule="exact"/>
              <w:ind w:right="40"/>
              <w:rPr>
                <w:rFonts w:ascii="Times New Roman" w:eastAsia="KaiTi_GB2312"/>
                <w:color w:val="0000FF"/>
                <w:sz w:val="14"/>
              </w:rPr>
            </w:pPr>
          </w:p>
        </w:tc>
        <w:tc>
          <w:tcPr>
            <w:tcW w:w="880" w:type="pct"/>
            <w:tcBorders>
              <w:top w:val="single" w:sz="2" w:space="0" w:color="auto"/>
              <w:bottom w:val="single" w:sz="12" w:space="0" w:color="auto"/>
            </w:tcBorders>
            <w:vAlign w:val="bottom"/>
          </w:tcPr>
          <w:p w:rsidR="00320E49" w:rsidRDefault="00320E49">
            <w:pPr>
              <w:pStyle w:val="PlainText"/>
              <w:spacing w:before="60" w:after="60" w:line="240" w:lineRule="exact"/>
              <w:ind w:right="40"/>
              <w:jc w:val="right"/>
              <w:rPr>
                <w:rFonts w:ascii="Times New Roman" w:eastAsia="KaiTi_GB2312" w:hint="eastAsia"/>
                <w:color w:val="0000FF"/>
                <w:sz w:val="14"/>
              </w:rPr>
            </w:pPr>
            <w:r>
              <w:rPr>
                <w:rFonts w:ascii="Times New Roman" w:eastAsia="KaiTi_GB2312" w:hint="eastAsia"/>
                <w:color w:val="0000FF"/>
                <w:sz w:val="14"/>
              </w:rPr>
              <w:t>女</w:t>
            </w:r>
          </w:p>
        </w:tc>
        <w:tc>
          <w:tcPr>
            <w:tcW w:w="880" w:type="pct"/>
            <w:tcBorders>
              <w:top w:val="single" w:sz="2" w:space="0" w:color="auto"/>
              <w:bottom w:val="single" w:sz="12" w:space="0" w:color="auto"/>
            </w:tcBorders>
            <w:vAlign w:val="bottom"/>
          </w:tcPr>
          <w:p w:rsidR="00320E49" w:rsidRDefault="00320E49">
            <w:pPr>
              <w:pStyle w:val="PlainText"/>
              <w:spacing w:before="60" w:after="60" w:line="240" w:lineRule="exact"/>
              <w:ind w:right="40"/>
              <w:jc w:val="right"/>
              <w:rPr>
                <w:rFonts w:ascii="Times New Roman" w:eastAsia="KaiTi_GB2312"/>
                <w:color w:val="0000FF"/>
                <w:sz w:val="14"/>
              </w:rPr>
            </w:pPr>
            <w:r>
              <w:rPr>
                <w:rFonts w:ascii="Times New Roman" w:eastAsia="KaiTi_GB2312"/>
                <w:color w:val="0000FF"/>
                <w:sz w:val="14"/>
              </w:rPr>
              <w:t>%</w:t>
            </w:r>
          </w:p>
        </w:tc>
        <w:tc>
          <w:tcPr>
            <w:tcW w:w="880" w:type="pct"/>
            <w:tcBorders>
              <w:top w:val="single" w:sz="2" w:space="0" w:color="auto"/>
              <w:bottom w:val="single" w:sz="12" w:space="0" w:color="auto"/>
            </w:tcBorders>
            <w:vAlign w:val="bottom"/>
          </w:tcPr>
          <w:p w:rsidR="00320E49" w:rsidRDefault="00320E49">
            <w:pPr>
              <w:pStyle w:val="PlainText"/>
              <w:spacing w:before="60" w:after="60" w:line="240" w:lineRule="exact"/>
              <w:ind w:right="40"/>
              <w:jc w:val="right"/>
              <w:rPr>
                <w:rFonts w:ascii="Times New Roman" w:eastAsia="KaiTi_GB2312" w:hint="eastAsia"/>
                <w:color w:val="0000FF"/>
                <w:sz w:val="14"/>
              </w:rPr>
            </w:pPr>
            <w:r>
              <w:rPr>
                <w:rFonts w:ascii="Times New Roman" w:eastAsia="KaiTi_GB2312" w:hint="eastAsia"/>
                <w:color w:val="0000FF"/>
                <w:sz w:val="14"/>
              </w:rPr>
              <w:t>男</w:t>
            </w:r>
          </w:p>
        </w:tc>
        <w:tc>
          <w:tcPr>
            <w:tcW w:w="880" w:type="pct"/>
            <w:tcBorders>
              <w:top w:val="single" w:sz="2" w:space="0" w:color="auto"/>
              <w:bottom w:val="single" w:sz="12" w:space="0" w:color="auto"/>
            </w:tcBorders>
            <w:vAlign w:val="bottom"/>
          </w:tcPr>
          <w:p w:rsidR="00320E49" w:rsidRDefault="00320E49">
            <w:pPr>
              <w:pStyle w:val="PlainText"/>
              <w:spacing w:before="60" w:after="60" w:line="240" w:lineRule="exact"/>
              <w:ind w:right="40"/>
              <w:jc w:val="right"/>
              <w:rPr>
                <w:rFonts w:ascii="Times New Roman" w:eastAsia="KaiTi_GB2312"/>
                <w:color w:val="0000FF"/>
                <w:sz w:val="14"/>
              </w:rPr>
            </w:pPr>
            <w:r>
              <w:rPr>
                <w:rFonts w:ascii="Times New Roman" w:eastAsia="KaiTi_GB2312"/>
                <w:color w:val="0000FF"/>
                <w:sz w:val="14"/>
              </w:rPr>
              <w:t>%</w:t>
            </w:r>
          </w:p>
        </w:tc>
      </w:tr>
      <w:tr w:rsidR="00320E49">
        <w:tblPrEx>
          <w:tblCellMar>
            <w:top w:w="0" w:type="dxa"/>
            <w:bottom w:w="0" w:type="dxa"/>
          </w:tblCellMar>
        </w:tblPrEx>
        <w:trPr>
          <w:trHeight w:hRule="exact" w:val="115"/>
          <w:tblHeader/>
        </w:trPr>
        <w:tc>
          <w:tcPr>
            <w:tcW w:w="1479" w:type="pct"/>
            <w:tcBorders>
              <w:top w:val="single" w:sz="12" w:space="0" w:color="auto"/>
            </w:tcBorders>
            <w:vAlign w:val="bottom"/>
          </w:tcPr>
          <w:p w:rsidR="00320E49" w:rsidRDefault="00320E49">
            <w:pPr>
              <w:pStyle w:val="PlainText"/>
              <w:spacing w:after="60" w:line="280" w:lineRule="exact"/>
              <w:ind w:right="40"/>
              <w:rPr>
                <w:rFonts w:ascii="Times New Roman" w:hint="eastAsia"/>
                <w:sz w:val="17"/>
              </w:rPr>
            </w:pPr>
          </w:p>
        </w:tc>
        <w:tc>
          <w:tcPr>
            <w:tcW w:w="880" w:type="pct"/>
            <w:tcBorders>
              <w:top w:val="single" w:sz="12" w:space="0" w:color="auto"/>
            </w:tcBorders>
            <w:vAlign w:val="bottom"/>
          </w:tcPr>
          <w:p w:rsidR="00320E49" w:rsidRDefault="00320E49" w:rsidP="00CE6DA5">
            <w:pPr>
              <w:pStyle w:val="PlainText"/>
              <w:spacing w:after="60" w:line="280" w:lineRule="exact"/>
              <w:ind w:rightChars="258" w:right="31680"/>
              <w:jc w:val="right"/>
              <w:rPr>
                <w:rFonts w:ascii="Times New Roman"/>
                <w:sz w:val="17"/>
              </w:rPr>
            </w:pPr>
          </w:p>
        </w:tc>
        <w:tc>
          <w:tcPr>
            <w:tcW w:w="880" w:type="pct"/>
            <w:tcBorders>
              <w:top w:val="single" w:sz="12" w:space="0" w:color="auto"/>
            </w:tcBorders>
            <w:vAlign w:val="bottom"/>
          </w:tcPr>
          <w:p w:rsidR="00320E49" w:rsidRDefault="00320E49" w:rsidP="00CE6DA5">
            <w:pPr>
              <w:pStyle w:val="PlainText"/>
              <w:spacing w:after="60" w:line="280" w:lineRule="exact"/>
              <w:ind w:rightChars="258" w:right="31680"/>
              <w:jc w:val="right"/>
              <w:rPr>
                <w:rFonts w:ascii="Times New Roman"/>
                <w:sz w:val="17"/>
              </w:rPr>
            </w:pPr>
          </w:p>
        </w:tc>
        <w:tc>
          <w:tcPr>
            <w:tcW w:w="880" w:type="pct"/>
            <w:tcBorders>
              <w:top w:val="single" w:sz="12" w:space="0" w:color="auto"/>
            </w:tcBorders>
            <w:vAlign w:val="bottom"/>
          </w:tcPr>
          <w:p w:rsidR="00320E49" w:rsidRDefault="00320E49" w:rsidP="00CE6DA5">
            <w:pPr>
              <w:pStyle w:val="PlainText"/>
              <w:spacing w:after="60" w:line="280" w:lineRule="exact"/>
              <w:ind w:rightChars="258" w:right="31680"/>
              <w:jc w:val="right"/>
              <w:rPr>
                <w:rFonts w:ascii="Times New Roman"/>
                <w:sz w:val="17"/>
              </w:rPr>
            </w:pPr>
          </w:p>
        </w:tc>
        <w:tc>
          <w:tcPr>
            <w:tcW w:w="880" w:type="pct"/>
            <w:tcBorders>
              <w:top w:val="single" w:sz="12" w:space="0" w:color="auto"/>
            </w:tcBorders>
            <w:vAlign w:val="bottom"/>
          </w:tcPr>
          <w:p w:rsidR="00320E49" w:rsidRDefault="00320E49" w:rsidP="00CE6DA5">
            <w:pPr>
              <w:pStyle w:val="PlainText"/>
              <w:spacing w:after="60" w:line="280" w:lineRule="exact"/>
              <w:ind w:rightChars="258" w:right="31680"/>
              <w:jc w:val="right"/>
              <w:rPr>
                <w:rFonts w:ascii="Times New Roman"/>
                <w:sz w:val="17"/>
              </w:rPr>
            </w:pPr>
          </w:p>
        </w:tc>
      </w:tr>
      <w:tr w:rsidR="00320E49">
        <w:tblPrEx>
          <w:tblCellMar>
            <w:top w:w="0" w:type="dxa"/>
            <w:bottom w:w="0" w:type="dxa"/>
          </w:tblCellMar>
        </w:tblPrEx>
        <w:tc>
          <w:tcPr>
            <w:tcW w:w="1479" w:type="pct"/>
            <w:vAlign w:val="bottom"/>
          </w:tcPr>
          <w:p w:rsidR="00320E49" w:rsidRDefault="00320E49">
            <w:pPr>
              <w:pStyle w:val="PlainText"/>
              <w:tabs>
                <w:tab w:val="left" w:pos="357"/>
                <w:tab w:val="left" w:pos="714"/>
                <w:tab w:val="left" w:pos="1071"/>
                <w:tab w:val="left" w:pos="1429"/>
              </w:tabs>
              <w:spacing w:after="60" w:line="280" w:lineRule="exact"/>
              <w:ind w:right="40"/>
              <w:rPr>
                <w:rFonts w:ascii="Times New Roman"/>
                <w:sz w:val="17"/>
              </w:rPr>
            </w:pPr>
            <w:r>
              <w:rPr>
                <w:rFonts w:ascii="Times New Roman" w:hint="eastAsia"/>
                <w:sz w:val="17"/>
              </w:rPr>
              <w:t>文盲</w:t>
            </w:r>
          </w:p>
        </w:tc>
        <w:tc>
          <w:tcPr>
            <w:tcW w:w="880" w:type="pct"/>
            <w:vAlign w:val="bottom"/>
          </w:tcPr>
          <w:p w:rsidR="00320E49" w:rsidRDefault="00320E49">
            <w:pPr>
              <w:pStyle w:val="PlainText"/>
              <w:tabs>
                <w:tab w:val="left" w:pos="357"/>
                <w:tab w:val="left" w:pos="714"/>
                <w:tab w:val="left" w:pos="1071"/>
                <w:tab w:val="left" w:pos="1429"/>
              </w:tabs>
              <w:spacing w:after="60" w:line="280" w:lineRule="exact"/>
              <w:ind w:right="40"/>
              <w:jc w:val="right"/>
              <w:rPr>
                <w:rFonts w:ascii="Times New Roman"/>
                <w:sz w:val="17"/>
              </w:rPr>
            </w:pPr>
            <w:r>
              <w:rPr>
                <w:rFonts w:ascii="Times New Roman"/>
                <w:sz w:val="17"/>
              </w:rPr>
              <w:t>4 983</w:t>
            </w:r>
          </w:p>
        </w:tc>
        <w:tc>
          <w:tcPr>
            <w:tcW w:w="880" w:type="pct"/>
            <w:vAlign w:val="bottom"/>
          </w:tcPr>
          <w:p w:rsidR="00320E49" w:rsidRDefault="00320E49">
            <w:pPr>
              <w:pStyle w:val="PlainText"/>
              <w:tabs>
                <w:tab w:val="left" w:pos="357"/>
                <w:tab w:val="left" w:pos="714"/>
                <w:tab w:val="left" w:pos="1071"/>
                <w:tab w:val="left" w:pos="1429"/>
              </w:tabs>
              <w:spacing w:after="60" w:line="280" w:lineRule="exact"/>
              <w:ind w:right="40"/>
              <w:jc w:val="right"/>
              <w:rPr>
                <w:rFonts w:ascii="Times New Roman"/>
                <w:sz w:val="17"/>
              </w:rPr>
            </w:pPr>
            <w:r>
              <w:rPr>
                <w:rFonts w:ascii="Times New Roman"/>
                <w:sz w:val="17"/>
              </w:rPr>
              <w:t>21.6</w:t>
            </w:r>
          </w:p>
        </w:tc>
        <w:tc>
          <w:tcPr>
            <w:tcW w:w="880" w:type="pct"/>
            <w:vAlign w:val="bottom"/>
          </w:tcPr>
          <w:p w:rsidR="00320E49" w:rsidRDefault="00320E49">
            <w:pPr>
              <w:pStyle w:val="PlainText"/>
              <w:tabs>
                <w:tab w:val="left" w:pos="357"/>
                <w:tab w:val="left" w:pos="714"/>
                <w:tab w:val="left" w:pos="1071"/>
                <w:tab w:val="left" w:pos="1429"/>
              </w:tabs>
              <w:spacing w:after="60" w:line="280" w:lineRule="exact"/>
              <w:ind w:right="40"/>
              <w:jc w:val="right"/>
              <w:rPr>
                <w:rFonts w:ascii="Times New Roman"/>
                <w:sz w:val="17"/>
              </w:rPr>
            </w:pPr>
            <w:r>
              <w:rPr>
                <w:rFonts w:ascii="Times New Roman"/>
                <w:sz w:val="17"/>
              </w:rPr>
              <w:t>1 275</w:t>
            </w:r>
          </w:p>
        </w:tc>
        <w:tc>
          <w:tcPr>
            <w:tcW w:w="880" w:type="pct"/>
            <w:vAlign w:val="bottom"/>
          </w:tcPr>
          <w:p w:rsidR="00320E49" w:rsidRDefault="00320E49">
            <w:pPr>
              <w:pStyle w:val="PlainText"/>
              <w:tabs>
                <w:tab w:val="left" w:pos="357"/>
                <w:tab w:val="left" w:pos="714"/>
                <w:tab w:val="left" w:pos="1071"/>
                <w:tab w:val="left" w:pos="1429"/>
              </w:tabs>
              <w:spacing w:after="60" w:line="280" w:lineRule="exact"/>
              <w:ind w:right="40"/>
              <w:jc w:val="right"/>
              <w:rPr>
                <w:rFonts w:ascii="Times New Roman"/>
                <w:sz w:val="17"/>
              </w:rPr>
            </w:pPr>
            <w:r>
              <w:rPr>
                <w:rFonts w:ascii="Times New Roman"/>
                <w:sz w:val="17"/>
              </w:rPr>
              <w:t>5.6</w:t>
            </w:r>
          </w:p>
        </w:tc>
      </w:tr>
      <w:tr w:rsidR="00320E49">
        <w:tblPrEx>
          <w:tblCellMar>
            <w:top w:w="0" w:type="dxa"/>
            <w:bottom w:w="0" w:type="dxa"/>
          </w:tblCellMar>
        </w:tblPrEx>
        <w:tc>
          <w:tcPr>
            <w:tcW w:w="1479" w:type="pct"/>
            <w:vAlign w:val="bottom"/>
          </w:tcPr>
          <w:p w:rsidR="00320E49" w:rsidRDefault="00320E49">
            <w:pPr>
              <w:pStyle w:val="PlainText"/>
              <w:tabs>
                <w:tab w:val="left" w:pos="357"/>
                <w:tab w:val="left" w:pos="714"/>
                <w:tab w:val="left" w:pos="1071"/>
                <w:tab w:val="left" w:pos="1429"/>
              </w:tabs>
              <w:spacing w:after="60" w:line="280" w:lineRule="exact"/>
              <w:ind w:right="40"/>
              <w:rPr>
                <w:rFonts w:ascii="Times New Roman" w:hint="eastAsia"/>
                <w:sz w:val="17"/>
              </w:rPr>
            </w:pPr>
            <w:r>
              <w:rPr>
                <w:rFonts w:ascii="Times New Roman" w:hint="eastAsia"/>
                <w:sz w:val="17"/>
              </w:rPr>
              <w:t>识字但无文凭</w:t>
            </w:r>
          </w:p>
        </w:tc>
        <w:tc>
          <w:tcPr>
            <w:tcW w:w="880" w:type="pct"/>
            <w:vAlign w:val="bottom"/>
          </w:tcPr>
          <w:p w:rsidR="00320E49" w:rsidRDefault="00320E49">
            <w:pPr>
              <w:pStyle w:val="PlainText"/>
              <w:tabs>
                <w:tab w:val="left" w:pos="357"/>
                <w:tab w:val="left" w:pos="714"/>
                <w:tab w:val="left" w:pos="1071"/>
                <w:tab w:val="left" w:pos="1429"/>
              </w:tabs>
              <w:spacing w:after="60" w:line="280" w:lineRule="exact"/>
              <w:ind w:right="40"/>
              <w:jc w:val="right"/>
              <w:rPr>
                <w:rFonts w:ascii="Times New Roman"/>
                <w:sz w:val="17"/>
              </w:rPr>
            </w:pPr>
            <w:r>
              <w:rPr>
                <w:rFonts w:ascii="Times New Roman"/>
                <w:sz w:val="17"/>
              </w:rPr>
              <w:t>1 102</w:t>
            </w:r>
          </w:p>
        </w:tc>
        <w:tc>
          <w:tcPr>
            <w:tcW w:w="880" w:type="pct"/>
            <w:vAlign w:val="bottom"/>
          </w:tcPr>
          <w:p w:rsidR="00320E49" w:rsidRDefault="00320E49">
            <w:pPr>
              <w:pStyle w:val="PlainText"/>
              <w:tabs>
                <w:tab w:val="left" w:pos="357"/>
                <w:tab w:val="left" w:pos="714"/>
                <w:tab w:val="left" w:pos="1071"/>
                <w:tab w:val="left" w:pos="1429"/>
              </w:tabs>
              <w:spacing w:after="60" w:line="280" w:lineRule="exact"/>
              <w:ind w:right="40"/>
              <w:jc w:val="right"/>
              <w:rPr>
                <w:rFonts w:ascii="Times New Roman"/>
                <w:sz w:val="17"/>
              </w:rPr>
            </w:pPr>
            <w:r>
              <w:rPr>
                <w:rFonts w:ascii="Times New Roman"/>
                <w:sz w:val="17"/>
              </w:rPr>
              <w:t>4.8</w:t>
            </w:r>
          </w:p>
        </w:tc>
        <w:tc>
          <w:tcPr>
            <w:tcW w:w="880" w:type="pct"/>
            <w:vAlign w:val="bottom"/>
          </w:tcPr>
          <w:p w:rsidR="00320E49" w:rsidRDefault="00320E49">
            <w:pPr>
              <w:pStyle w:val="PlainText"/>
              <w:tabs>
                <w:tab w:val="left" w:pos="357"/>
                <w:tab w:val="left" w:pos="714"/>
                <w:tab w:val="left" w:pos="1071"/>
                <w:tab w:val="left" w:pos="1429"/>
              </w:tabs>
              <w:spacing w:after="60" w:line="280" w:lineRule="exact"/>
              <w:ind w:right="40"/>
              <w:jc w:val="right"/>
              <w:rPr>
                <w:rFonts w:ascii="Times New Roman"/>
                <w:sz w:val="17"/>
              </w:rPr>
            </w:pPr>
            <w:r>
              <w:rPr>
                <w:rFonts w:ascii="Times New Roman"/>
                <w:sz w:val="17"/>
              </w:rPr>
              <w:t>948</w:t>
            </w:r>
          </w:p>
        </w:tc>
        <w:tc>
          <w:tcPr>
            <w:tcW w:w="880" w:type="pct"/>
            <w:vAlign w:val="bottom"/>
          </w:tcPr>
          <w:p w:rsidR="00320E49" w:rsidRDefault="00320E49">
            <w:pPr>
              <w:pStyle w:val="PlainText"/>
              <w:tabs>
                <w:tab w:val="left" w:pos="357"/>
                <w:tab w:val="left" w:pos="714"/>
                <w:tab w:val="left" w:pos="1071"/>
                <w:tab w:val="left" w:pos="1429"/>
              </w:tabs>
              <w:spacing w:after="60" w:line="280" w:lineRule="exact"/>
              <w:ind w:right="40"/>
              <w:jc w:val="right"/>
              <w:rPr>
                <w:rFonts w:ascii="Times New Roman"/>
                <w:sz w:val="17"/>
              </w:rPr>
            </w:pPr>
            <w:r>
              <w:rPr>
                <w:rFonts w:ascii="Times New Roman"/>
                <w:sz w:val="17"/>
              </w:rPr>
              <w:t>4.1</w:t>
            </w:r>
          </w:p>
        </w:tc>
      </w:tr>
      <w:tr w:rsidR="00320E49">
        <w:tblPrEx>
          <w:tblCellMar>
            <w:top w:w="0" w:type="dxa"/>
            <w:bottom w:w="0" w:type="dxa"/>
          </w:tblCellMar>
        </w:tblPrEx>
        <w:tc>
          <w:tcPr>
            <w:tcW w:w="1479" w:type="pct"/>
            <w:vAlign w:val="bottom"/>
          </w:tcPr>
          <w:p w:rsidR="00320E49" w:rsidRDefault="00320E49">
            <w:pPr>
              <w:pStyle w:val="PlainText"/>
              <w:tabs>
                <w:tab w:val="left" w:pos="357"/>
                <w:tab w:val="left" w:pos="714"/>
                <w:tab w:val="left" w:pos="1071"/>
                <w:tab w:val="left" w:pos="1429"/>
              </w:tabs>
              <w:spacing w:after="60" w:line="280" w:lineRule="exact"/>
              <w:ind w:right="40"/>
              <w:rPr>
                <w:rFonts w:ascii="Times New Roman" w:hint="eastAsia"/>
                <w:sz w:val="17"/>
              </w:rPr>
            </w:pPr>
            <w:r>
              <w:rPr>
                <w:rFonts w:ascii="Times New Roman" w:hint="eastAsia"/>
                <w:sz w:val="17"/>
              </w:rPr>
              <w:t>小学（</w:t>
            </w:r>
            <w:r>
              <w:rPr>
                <w:rFonts w:ascii="Times New Roman" w:hint="eastAsia"/>
                <w:sz w:val="17"/>
              </w:rPr>
              <w:t>5</w:t>
            </w:r>
            <w:r>
              <w:rPr>
                <w:rFonts w:ascii="Times New Roman" w:hint="eastAsia"/>
                <w:sz w:val="17"/>
              </w:rPr>
              <w:t>年教育）</w:t>
            </w:r>
          </w:p>
        </w:tc>
        <w:tc>
          <w:tcPr>
            <w:tcW w:w="880" w:type="pct"/>
            <w:vAlign w:val="bottom"/>
          </w:tcPr>
          <w:p w:rsidR="00320E49" w:rsidRDefault="00320E49">
            <w:pPr>
              <w:pStyle w:val="PlainText"/>
              <w:tabs>
                <w:tab w:val="left" w:pos="357"/>
                <w:tab w:val="left" w:pos="714"/>
                <w:tab w:val="left" w:pos="1071"/>
                <w:tab w:val="left" w:pos="1429"/>
              </w:tabs>
              <w:spacing w:after="60" w:line="280" w:lineRule="exact"/>
              <w:ind w:right="40"/>
              <w:jc w:val="right"/>
              <w:rPr>
                <w:rFonts w:ascii="Times New Roman"/>
                <w:sz w:val="17"/>
              </w:rPr>
            </w:pPr>
            <w:r>
              <w:rPr>
                <w:rFonts w:ascii="Times New Roman"/>
                <w:sz w:val="17"/>
              </w:rPr>
              <w:t>11 093</w:t>
            </w:r>
          </w:p>
        </w:tc>
        <w:tc>
          <w:tcPr>
            <w:tcW w:w="880" w:type="pct"/>
            <w:vAlign w:val="bottom"/>
          </w:tcPr>
          <w:p w:rsidR="00320E49" w:rsidRDefault="00320E49">
            <w:pPr>
              <w:pStyle w:val="PlainText"/>
              <w:tabs>
                <w:tab w:val="left" w:pos="357"/>
                <w:tab w:val="left" w:pos="714"/>
                <w:tab w:val="left" w:pos="1071"/>
                <w:tab w:val="left" w:pos="1429"/>
              </w:tabs>
              <w:spacing w:after="60" w:line="280" w:lineRule="exact"/>
              <w:ind w:right="40"/>
              <w:jc w:val="right"/>
              <w:rPr>
                <w:rFonts w:ascii="Times New Roman"/>
                <w:sz w:val="17"/>
              </w:rPr>
            </w:pPr>
            <w:r>
              <w:rPr>
                <w:rFonts w:ascii="Times New Roman"/>
                <w:sz w:val="17"/>
              </w:rPr>
              <w:t>48.0</w:t>
            </w:r>
          </w:p>
        </w:tc>
        <w:tc>
          <w:tcPr>
            <w:tcW w:w="880" w:type="pct"/>
            <w:vAlign w:val="bottom"/>
          </w:tcPr>
          <w:p w:rsidR="00320E49" w:rsidRDefault="00320E49">
            <w:pPr>
              <w:pStyle w:val="PlainText"/>
              <w:tabs>
                <w:tab w:val="left" w:pos="357"/>
                <w:tab w:val="left" w:pos="714"/>
                <w:tab w:val="left" w:pos="1071"/>
                <w:tab w:val="left" w:pos="1429"/>
              </w:tabs>
              <w:spacing w:after="60" w:line="280" w:lineRule="exact"/>
              <w:ind w:right="40"/>
              <w:jc w:val="right"/>
              <w:rPr>
                <w:rFonts w:ascii="Times New Roman"/>
                <w:sz w:val="17"/>
              </w:rPr>
            </w:pPr>
            <w:r>
              <w:rPr>
                <w:rFonts w:ascii="Times New Roman"/>
                <w:sz w:val="17"/>
              </w:rPr>
              <w:t>10 808</w:t>
            </w:r>
          </w:p>
        </w:tc>
        <w:tc>
          <w:tcPr>
            <w:tcW w:w="880" w:type="pct"/>
            <w:vAlign w:val="bottom"/>
          </w:tcPr>
          <w:p w:rsidR="00320E49" w:rsidRDefault="00320E49">
            <w:pPr>
              <w:pStyle w:val="PlainText"/>
              <w:tabs>
                <w:tab w:val="left" w:pos="357"/>
                <w:tab w:val="left" w:pos="714"/>
                <w:tab w:val="left" w:pos="1071"/>
                <w:tab w:val="left" w:pos="1429"/>
              </w:tabs>
              <w:spacing w:after="60" w:line="280" w:lineRule="exact"/>
              <w:ind w:right="40"/>
              <w:jc w:val="right"/>
              <w:rPr>
                <w:rFonts w:ascii="Times New Roman"/>
                <w:sz w:val="17"/>
              </w:rPr>
            </w:pPr>
            <w:r>
              <w:rPr>
                <w:rFonts w:ascii="Times New Roman"/>
                <w:sz w:val="17"/>
              </w:rPr>
              <w:t>47.1</w:t>
            </w:r>
          </w:p>
        </w:tc>
      </w:tr>
      <w:tr w:rsidR="00320E49">
        <w:tblPrEx>
          <w:tblCellMar>
            <w:top w:w="0" w:type="dxa"/>
            <w:bottom w:w="0" w:type="dxa"/>
          </w:tblCellMar>
        </w:tblPrEx>
        <w:tc>
          <w:tcPr>
            <w:tcW w:w="1479" w:type="pct"/>
            <w:vAlign w:val="bottom"/>
          </w:tcPr>
          <w:p w:rsidR="00320E49" w:rsidRDefault="00320E49">
            <w:pPr>
              <w:pStyle w:val="PlainText"/>
              <w:tabs>
                <w:tab w:val="left" w:pos="357"/>
                <w:tab w:val="left" w:pos="714"/>
                <w:tab w:val="left" w:pos="1071"/>
                <w:tab w:val="left" w:pos="1429"/>
              </w:tabs>
              <w:spacing w:after="60" w:line="280" w:lineRule="exact"/>
              <w:ind w:right="40"/>
              <w:rPr>
                <w:rFonts w:ascii="Times New Roman" w:hint="eastAsia"/>
                <w:sz w:val="17"/>
              </w:rPr>
            </w:pPr>
            <w:r>
              <w:rPr>
                <w:rFonts w:ascii="Times New Roman" w:hint="eastAsia"/>
                <w:sz w:val="17"/>
              </w:rPr>
              <w:t>初等教育（</w:t>
            </w:r>
            <w:r>
              <w:rPr>
                <w:rFonts w:ascii="Times New Roman" w:hint="eastAsia"/>
                <w:sz w:val="17"/>
              </w:rPr>
              <w:t>8</w:t>
            </w:r>
            <w:r>
              <w:rPr>
                <w:rFonts w:ascii="Times New Roman" w:hint="eastAsia"/>
                <w:sz w:val="17"/>
              </w:rPr>
              <w:t>年制教育）</w:t>
            </w:r>
          </w:p>
        </w:tc>
        <w:tc>
          <w:tcPr>
            <w:tcW w:w="880" w:type="pct"/>
            <w:vAlign w:val="bottom"/>
          </w:tcPr>
          <w:p w:rsidR="00320E49" w:rsidRDefault="00320E49">
            <w:pPr>
              <w:pStyle w:val="PlainText"/>
              <w:tabs>
                <w:tab w:val="left" w:pos="357"/>
                <w:tab w:val="left" w:pos="714"/>
                <w:tab w:val="left" w:pos="1071"/>
                <w:tab w:val="left" w:pos="1429"/>
              </w:tabs>
              <w:spacing w:after="60" w:line="280" w:lineRule="exact"/>
              <w:ind w:right="40"/>
              <w:jc w:val="right"/>
              <w:rPr>
                <w:rFonts w:ascii="Times New Roman"/>
                <w:sz w:val="17"/>
              </w:rPr>
            </w:pPr>
            <w:r>
              <w:rPr>
                <w:rFonts w:ascii="Times New Roman"/>
                <w:sz w:val="17"/>
              </w:rPr>
              <w:t>471</w:t>
            </w:r>
          </w:p>
        </w:tc>
        <w:tc>
          <w:tcPr>
            <w:tcW w:w="880" w:type="pct"/>
            <w:vAlign w:val="bottom"/>
          </w:tcPr>
          <w:p w:rsidR="00320E49" w:rsidRDefault="00320E49">
            <w:pPr>
              <w:pStyle w:val="PlainText"/>
              <w:tabs>
                <w:tab w:val="left" w:pos="357"/>
                <w:tab w:val="left" w:pos="714"/>
                <w:tab w:val="left" w:pos="1071"/>
                <w:tab w:val="left" w:pos="1429"/>
              </w:tabs>
              <w:spacing w:after="60" w:line="280" w:lineRule="exact"/>
              <w:ind w:right="40"/>
              <w:jc w:val="right"/>
              <w:rPr>
                <w:rFonts w:ascii="Times New Roman"/>
                <w:sz w:val="17"/>
              </w:rPr>
            </w:pPr>
            <w:r>
              <w:rPr>
                <w:rFonts w:ascii="Times New Roman"/>
                <w:sz w:val="17"/>
              </w:rPr>
              <w:t>2.0</w:t>
            </w:r>
          </w:p>
        </w:tc>
        <w:tc>
          <w:tcPr>
            <w:tcW w:w="880" w:type="pct"/>
            <w:vAlign w:val="bottom"/>
          </w:tcPr>
          <w:p w:rsidR="00320E49" w:rsidRDefault="00320E49">
            <w:pPr>
              <w:pStyle w:val="PlainText"/>
              <w:tabs>
                <w:tab w:val="left" w:pos="357"/>
                <w:tab w:val="left" w:pos="714"/>
                <w:tab w:val="left" w:pos="1071"/>
                <w:tab w:val="left" w:pos="1429"/>
              </w:tabs>
              <w:spacing w:after="60" w:line="280" w:lineRule="exact"/>
              <w:ind w:right="40"/>
              <w:jc w:val="right"/>
              <w:rPr>
                <w:rFonts w:ascii="Times New Roman"/>
                <w:sz w:val="17"/>
              </w:rPr>
            </w:pPr>
            <w:r>
              <w:rPr>
                <w:rFonts w:ascii="Times New Roman"/>
                <w:sz w:val="17"/>
              </w:rPr>
              <w:t>608</w:t>
            </w:r>
          </w:p>
        </w:tc>
        <w:tc>
          <w:tcPr>
            <w:tcW w:w="880" w:type="pct"/>
            <w:vAlign w:val="bottom"/>
          </w:tcPr>
          <w:p w:rsidR="00320E49" w:rsidRDefault="00320E49">
            <w:pPr>
              <w:pStyle w:val="PlainText"/>
              <w:tabs>
                <w:tab w:val="left" w:pos="357"/>
                <w:tab w:val="left" w:pos="714"/>
                <w:tab w:val="left" w:pos="1071"/>
                <w:tab w:val="left" w:pos="1429"/>
              </w:tabs>
              <w:spacing w:after="60" w:line="280" w:lineRule="exact"/>
              <w:ind w:right="40"/>
              <w:jc w:val="right"/>
              <w:rPr>
                <w:rFonts w:ascii="Times New Roman"/>
                <w:sz w:val="17"/>
              </w:rPr>
            </w:pPr>
            <w:r>
              <w:rPr>
                <w:rFonts w:ascii="Times New Roman"/>
                <w:sz w:val="17"/>
              </w:rPr>
              <w:t>2.6</w:t>
            </w:r>
          </w:p>
        </w:tc>
      </w:tr>
      <w:tr w:rsidR="00320E49">
        <w:tblPrEx>
          <w:tblCellMar>
            <w:top w:w="0" w:type="dxa"/>
            <w:bottom w:w="0" w:type="dxa"/>
          </w:tblCellMar>
        </w:tblPrEx>
        <w:tc>
          <w:tcPr>
            <w:tcW w:w="1479" w:type="pct"/>
            <w:vAlign w:val="bottom"/>
          </w:tcPr>
          <w:p w:rsidR="00320E49" w:rsidRDefault="00320E49">
            <w:pPr>
              <w:pStyle w:val="PlainText"/>
              <w:tabs>
                <w:tab w:val="left" w:pos="357"/>
                <w:tab w:val="left" w:pos="714"/>
                <w:tab w:val="left" w:pos="1071"/>
                <w:tab w:val="left" w:pos="1429"/>
              </w:tabs>
              <w:spacing w:after="60" w:line="280" w:lineRule="exact"/>
              <w:ind w:right="40"/>
              <w:rPr>
                <w:rFonts w:ascii="Times New Roman" w:hint="eastAsia"/>
                <w:sz w:val="17"/>
              </w:rPr>
            </w:pPr>
            <w:r>
              <w:rPr>
                <w:rFonts w:ascii="Times New Roman" w:hint="eastAsia"/>
                <w:sz w:val="17"/>
              </w:rPr>
              <w:t>初中和同等学历</w:t>
            </w:r>
          </w:p>
        </w:tc>
        <w:tc>
          <w:tcPr>
            <w:tcW w:w="880" w:type="pct"/>
            <w:vAlign w:val="bottom"/>
          </w:tcPr>
          <w:p w:rsidR="00320E49" w:rsidRDefault="00320E49">
            <w:pPr>
              <w:pStyle w:val="PlainText"/>
              <w:tabs>
                <w:tab w:val="left" w:pos="357"/>
                <w:tab w:val="left" w:pos="714"/>
                <w:tab w:val="left" w:pos="1071"/>
                <w:tab w:val="left" w:pos="1429"/>
              </w:tabs>
              <w:spacing w:after="60" w:line="280" w:lineRule="exact"/>
              <w:ind w:right="40"/>
              <w:jc w:val="right"/>
              <w:rPr>
                <w:rFonts w:ascii="Times New Roman"/>
                <w:sz w:val="17"/>
              </w:rPr>
            </w:pPr>
            <w:r>
              <w:rPr>
                <w:rFonts w:ascii="Times New Roman"/>
                <w:sz w:val="17"/>
              </w:rPr>
              <w:t>1 610</w:t>
            </w:r>
          </w:p>
        </w:tc>
        <w:tc>
          <w:tcPr>
            <w:tcW w:w="880" w:type="pct"/>
            <w:vAlign w:val="bottom"/>
          </w:tcPr>
          <w:p w:rsidR="00320E49" w:rsidRDefault="00320E49">
            <w:pPr>
              <w:pStyle w:val="PlainText"/>
              <w:tabs>
                <w:tab w:val="left" w:pos="357"/>
                <w:tab w:val="left" w:pos="714"/>
                <w:tab w:val="left" w:pos="1071"/>
                <w:tab w:val="left" w:pos="1429"/>
              </w:tabs>
              <w:spacing w:after="60" w:line="280" w:lineRule="exact"/>
              <w:ind w:right="40"/>
              <w:jc w:val="right"/>
              <w:rPr>
                <w:rFonts w:ascii="Times New Roman"/>
                <w:sz w:val="17"/>
              </w:rPr>
            </w:pPr>
            <w:r>
              <w:rPr>
                <w:rFonts w:ascii="Times New Roman"/>
                <w:sz w:val="17"/>
              </w:rPr>
              <w:t>7.0</w:t>
            </w:r>
          </w:p>
        </w:tc>
        <w:tc>
          <w:tcPr>
            <w:tcW w:w="880" w:type="pct"/>
            <w:vAlign w:val="bottom"/>
          </w:tcPr>
          <w:p w:rsidR="00320E49" w:rsidRDefault="00320E49">
            <w:pPr>
              <w:pStyle w:val="PlainText"/>
              <w:tabs>
                <w:tab w:val="left" w:pos="357"/>
                <w:tab w:val="left" w:pos="714"/>
                <w:tab w:val="left" w:pos="1071"/>
                <w:tab w:val="left" w:pos="1429"/>
              </w:tabs>
              <w:spacing w:after="60" w:line="280" w:lineRule="exact"/>
              <w:ind w:right="40"/>
              <w:jc w:val="right"/>
              <w:rPr>
                <w:rFonts w:ascii="Times New Roman"/>
                <w:sz w:val="17"/>
              </w:rPr>
            </w:pPr>
            <w:r>
              <w:rPr>
                <w:rFonts w:ascii="Times New Roman"/>
                <w:sz w:val="17"/>
              </w:rPr>
              <w:t>3 045</w:t>
            </w:r>
          </w:p>
        </w:tc>
        <w:tc>
          <w:tcPr>
            <w:tcW w:w="880" w:type="pct"/>
            <w:vAlign w:val="bottom"/>
          </w:tcPr>
          <w:p w:rsidR="00320E49" w:rsidRDefault="00320E49">
            <w:pPr>
              <w:pStyle w:val="PlainText"/>
              <w:tabs>
                <w:tab w:val="left" w:pos="357"/>
                <w:tab w:val="left" w:pos="714"/>
                <w:tab w:val="left" w:pos="1071"/>
                <w:tab w:val="left" w:pos="1429"/>
              </w:tabs>
              <w:spacing w:after="60" w:line="280" w:lineRule="exact"/>
              <w:ind w:right="40"/>
              <w:jc w:val="right"/>
              <w:rPr>
                <w:rFonts w:ascii="Times New Roman"/>
                <w:sz w:val="17"/>
              </w:rPr>
            </w:pPr>
            <w:r>
              <w:rPr>
                <w:rFonts w:ascii="Times New Roman"/>
                <w:sz w:val="17"/>
              </w:rPr>
              <w:t>13.3</w:t>
            </w:r>
          </w:p>
        </w:tc>
      </w:tr>
      <w:tr w:rsidR="00320E49">
        <w:tblPrEx>
          <w:tblCellMar>
            <w:top w:w="0" w:type="dxa"/>
            <w:bottom w:w="0" w:type="dxa"/>
          </w:tblCellMar>
        </w:tblPrEx>
        <w:tc>
          <w:tcPr>
            <w:tcW w:w="1479" w:type="pct"/>
            <w:vAlign w:val="bottom"/>
          </w:tcPr>
          <w:p w:rsidR="00320E49" w:rsidRDefault="00320E49">
            <w:pPr>
              <w:pStyle w:val="PlainText"/>
              <w:tabs>
                <w:tab w:val="left" w:pos="357"/>
                <w:tab w:val="left" w:pos="714"/>
                <w:tab w:val="left" w:pos="1071"/>
                <w:tab w:val="left" w:pos="1429"/>
              </w:tabs>
              <w:spacing w:after="60" w:line="280" w:lineRule="exact"/>
              <w:ind w:right="40"/>
              <w:rPr>
                <w:rFonts w:ascii="Times New Roman" w:hint="eastAsia"/>
                <w:sz w:val="17"/>
              </w:rPr>
            </w:pPr>
            <w:r>
              <w:rPr>
                <w:rFonts w:ascii="Times New Roman" w:hint="eastAsia"/>
                <w:sz w:val="17"/>
              </w:rPr>
              <w:t>高中和同等学历</w:t>
            </w:r>
          </w:p>
        </w:tc>
        <w:tc>
          <w:tcPr>
            <w:tcW w:w="880" w:type="pct"/>
            <w:vAlign w:val="bottom"/>
          </w:tcPr>
          <w:p w:rsidR="00320E49" w:rsidRDefault="00320E49">
            <w:pPr>
              <w:pStyle w:val="PlainText"/>
              <w:tabs>
                <w:tab w:val="left" w:pos="357"/>
                <w:tab w:val="left" w:pos="714"/>
                <w:tab w:val="left" w:pos="1071"/>
                <w:tab w:val="left" w:pos="1429"/>
              </w:tabs>
              <w:spacing w:after="60" w:line="280" w:lineRule="exact"/>
              <w:ind w:right="40"/>
              <w:jc w:val="right"/>
              <w:rPr>
                <w:rFonts w:ascii="Times New Roman"/>
                <w:sz w:val="17"/>
              </w:rPr>
            </w:pPr>
            <w:r>
              <w:rPr>
                <w:rFonts w:ascii="Times New Roman"/>
                <w:sz w:val="17"/>
              </w:rPr>
              <w:t>2 805</w:t>
            </w:r>
          </w:p>
        </w:tc>
        <w:tc>
          <w:tcPr>
            <w:tcW w:w="880" w:type="pct"/>
            <w:vAlign w:val="bottom"/>
          </w:tcPr>
          <w:p w:rsidR="00320E49" w:rsidRDefault="00320E49">
            <w:pPr>
              <w:pStyle w:val="PlainText"/>
              <w:tabs>
                <w:tab w:val="left" w:pos="357"/>
                <w:tab w:val="left" w:pos="714"/>
                <w:tab w:val="left" w:pos="1071"/>
                <w:tab w:val="left" w:pos="1429"/>
              </w:tabs>
              <w:spacing w:after="60" w:line="280" w:lineRule="exact"/>
              <w:ind w:right="40"/>
              <w:jc w:val="right"/>
              <w:rPr>
                <w:rFonts w:ascii="Times New Roman"/>
                <w:sz w:val="17"/>
              </w:rPr>
            </w:pPr>
            <w:r>
              <w:rPr>
                <w:rFonts w:ascii="Times New Roman"/>
                <w:sz w:val="17"/>
              </w:rPr>
              <w:t>12.1</w:t>
            </w:r>
          </w:p>
        </w:tc>
        <w:tc>
          <w:tcPr>
            <w:tcW w:w="880" w:type="pct"/>
            <w:vAlign w:val="bottom"/>
          </w:tcPr>
          <w:p w:rsidR="00320E49" w:rsidRDefault="00320E49">
            <w:pPr>
              <w:pStyle w:val="PlainText"/>
              <w:tabs>
                <w:tab w:val="left" w:pos="357"/>
                <w:tab w:val="left" w:pos="714"/>
                <w:tab w:val="left" w:pos="1071"/>
                <w:tab w:val="left" w:pos="1429"/>
              </w:tabs>
              <w:spacing w:after="60" w:line="280" w:lineRule="exact"/>
              <w:ind w:right="40"/>
              <w:jc w:val="right"/>
              <w:rPr>
                <w:rFonts w:ascii="Times New Roman"/>
                <w:sz w:val="17"/>
              </w:rPr>
            </w:pPr>
            <w:r>
              <w:rPr>
                <w:rFonts w:ascii="Times New Roman"/>
                <w:sz w:val="17"/>
              </w:rPr>
              <w:t>4 605</w:t>
            </w:r>
          </w:p>
        </w:tc>
        <w:tc>
          <w:tcPr>
            <w:tcW w:w="880" w:type="pct"/>
            <w:vAlign w:val="bottom"/>
          </w:tcPr>
          <w:p w:rsidR="00320E49" w:rsidRDefault="00320E49">
            <w:pPr>
              <w:pStyle w:val="PlainText"/>
              <w:tabs>
                <w:tab w:val="left" w:pos="357"/>
                <w:tab w:val="left" w:pos="714"/>
                <w:tab w:val="left" w:pos="1071"/>
                <w:tab w:val="left" w:pos="1429"/>
              </w:tabs>
              <w:spacing w:after="60" w:line="280" w:lineRule="exact"/>
              <w:ind w:right="40"/>
              <w:jc w:val="right"/>
              <w:rPr>
                <w:rFonts w:ascii="Times New Roman"/>
                <w:sz w:val="17"/>
              </w:rPr>
            </w:pPr>
            <w:r>
              <w:rPr>
                <w:rFonts w:ascii="Times New Roman"/>
                <w:sz w:val="17"/>
              </w:rPr>
              <w:t>20.1</w:t>
            </w:r>
          </w:p>
        </w:tc>
      </w:tr>
      <w:tr w:rsidR="00320E49">
        <w:tblPrEx>
          <w:tblCellMar>
            <w:top w:w="0" w:type="dxa"/>
            <w:bottom w:w="0" w:type="dxa"/>
          </w:tblCellMar>
        </w:tblPrEx>
        <w:tc>
          <w:tcPr>
            <w:tcW w:w="1479" w:type="pct"/>
            <w:tcBorders>
              <w:bottom w:val="single" w:sz="2" w:space="0" w:color="auto"/>
            </w:tcBorders>
            <w:vAlign w:val="bottom"/>
          </w:tcPr>
          <w:p w:rsidR="00320E49" w:rsidRDefault="00320E49">
            <w:pPr>
              <w:pStyle w:val="PlainText"/>
              <w:tabs>
                <w:tab w:val="left" w:pos="357"/>
                <w:tab w:val="left" w:pos="714"/>
                <w:tab w:val="left" w:pos="1071"/>
                <w:tab w:val="left" w:pos="1429"/>
              </w:tabs>
              <w:spacing w:after="60" w:line="280" w:lineRule="exact"/>
              <w:ind w:right="40"/>
              <w:rPr>
                <w:rFonts w:ascii="Times New Roman" w:hint="eastAsia"/>
                <w:sz w:val="17"/>
              </w:rPr>
            </w:pPr>
            <w:r>
              <w:rPr>
                <w:rFonts w:ascii="Times New Roman" w:hint="eastAsia"/>
                <w:sz w:val="17"/>
              </w:rPr>
              <w:t>高等教育和大学</w:t>
            </w:r>
          </w:p>
        </w:tc>
        <w:tc>
          <w:tcPr>
            <w:tcW w:w="880" w:type="pct"/>
            <w:tcBorders>
              <w:bottom w:val="single" w:sz="2" w:space="0" w:color="auto"/>
            </w:tcBorders>
            <w:vAlign w:val="bottom"/>
          </w:tcPr>
          <w:p w:rsidR="00320E49" w:rsidRDefault="00320E49">
            <w:pPr>
              <w:pStyle w:val="PlainText"/>
              <w:tabs>
                <w:tab w:val="left" w:pos="357"/>
                <w:tab w:val="left" w:pos="714"/>
                <w:tab w:val="left" w:pos="1071"/>
                <w:tab w:val="left" w:pos="1429"/>
              </w:tabs>
              <w:spacing w:after="60" w:line="280" w:lineRule="exact"/>
              <w:ind w:right="40"/>
              <w:jc w:val="right"/>
              <w:rPr>
                <w:rFonts w:ascii="Times New Roman"/>
                <w:sz w:val="17"/>
              </w:rPr>
            </w:pPr>
            <w:r>
              <w:rPr>
                <w:rFonts w:ascii="Times New Roman"/>
                <w:sz w:val="17"/>
              </w:rPr>
              <w:t>1 036</w:t>
            </w:r>
          </w:p>
        </w:tc>
        <w:tc>
          <w:tcPr>
            <w:tcW w:w="880" w:type="pct"/>
            <w:tcBorders>
              <w:bottom w:val="single" w:sz="2" w:space="0" w:color="auto"/>
            </w:tcBorders>
            <w:vAlign w:val="bottom"/>
          </w:tcPr>
          <w:p w:rsidR="00320E49" w:rsidRDefault="00320E49">
            <w:pPr>
              <w:pStyle w:val="PlainText"/>
              <w:tabs>
                <w:tab w:val="left" w:pos="357"/>
                <w:tab w:val="left" w:pos="714"/>
                <w:tab w:val="left" w:pos="1071"/>
                <w:tab w:val="left" w:pos="1429"/>
              </w:tabs>
              <w:spacing w:after="60" w:line="280" w:lineRule="exact"/>
              <w:ind w:right="40"/>
              <w:jc w:val="right"/>
              <w:rPr>
                <w:rFonts w:ascii="Times New Roman"/>
                <w:sz w:val="17"/>
              </w:rPr>
            </w:pPr>
            <w:r>
              <w:rPr>
                <w:rFonts w:ascii="Times New Roman"/>
                <w:sz w:val="17"/>
              </w:rPr>
              <w:t>4.5</w:t>
            </w:r>
          </w:p>
        </w:tc>
        <w:tc>
          <w:tcPr>
            <w:tcW w:w="880" w:type="pct"/>
            <w:tcBorders>
              <w:bottom w:val="single" w:sz="2" w:space="0" w:color="auto"/>
            </w:tcBorders>
            <w:vAlign w:val="bottom"/>
          </w:tcPr>
          <w:p w:rsidR="00320E49" w:rsidRDefault="00320E49">
            <w:pPr>
              <w:pStyle w:val="PlainText"/>
              <w:tabs>
                <w:tab w:val="left" w:pos="357"/>
                <w:tab w:val="left" w:pos="714"/>
                <w:tab w:val="left" w:pos="1071"/>
                <w:tab w:val="left" w:pos="1429"/>
              </w:tabs>
              <w:spacing w:after="60" w:line="280" w:lineRule="exact"/>
              <w:ind w:right="40"/>
              <w:jc w:val="right"/>
              <w:rPr>
                <w:rFonts w:ascii="Times New Roman"/>
                <w:sz w:val="17"/>
              </w:rPr>
            </w:pPr>
            <w:r>
              <w:rPr>
                <w:rFonts w:ascii="Times New Roman"/>
                <w:sz w:val="17"/>
              </w:rPr>
              <w:t>1 667</w:t>
            </w:r>
          </w:p>
        </w:tc>
        <w:tc>
          <w:tcPr>
            <w:tcW w:w="880" w:type="pct"/>
            <w:tcBorders>
              <w:bottom w:val="single" w:sz="2" w:space="0" w:color="auto"/>
            </w:tcBorders>
            <w:vAlign w:val="bottom"/>
          </w:tcPr>
          <w:p w:rsidR="00320E49" w:rsidRDefault="00320E49">
            <w:pPr>
              <w:pStyle w:val="PlainText"/>
              <w:tabs>
                <w:tab w:val="left" w:pos="357"/>
                <w:tab w:val="left" w:pos="714"/>
                <w:tab w:val="left" w:pos="1071"/>
                <w:tab w:val="left" w:pos="1429"/>
              </w:tabs>
              <w:spacing w:after="60" w:line="280" w:lineRule="exact"/>
              <w:ind w:right="40"/>
              <w:jc w:val="right"/>
              <w:rPr>
                <w:rFonts w:ascii="Times New Roman"/>
                <w:sz w:val="17"/>
              </w:rPr>
            </w:pPr>
            <w:r>
              <w:rPr>
                <w:rFonts w:ascii="Times New Roman"/>
                <w:sz w:val="17"/>
              </w:rPr>
              <w:t>7.3</w:t>
            </w:r>
          </w:p>
        </w:tc>
      </w:tr>
      <w:tr w:rsidR="00320E49">
        <w:tblPrEx>
          <w:tblCellMar>
            <w:top w:w="0" w:type="dxa"/>
            <w:bottom w:w="0" w:type="dxa"/>
          </w:tblCellMar>
        </w:tblPrEx>
        <w:tc>
          <w:tcPr>
            <w:tcW w:w="1479" w:type="pct"/>
            <w:tcBorders>
              <w:top w:val="single" w:sz="2" w:space="0" w:color="auto"/>
              <w:bottom w:val="single" w:sz="12" w:space="0" w:color="auto"/>
            </w:tcBorders>
            <w:vAlign w:val="bottom"/>
          </w:tcPr>
          <w:p w:rsidR="00320E49" w:rsidRDefault="00320E49">
            <w:pPr>
              <w:pStyle w:val="PlainText"/>
              <w:tabs>
                <w:tab w:val="left" w:pos="357"/>
                <w:tab w:val="left" w:pos="714"/>
                <w:tab w:val="left" w:pos="1071"/>
                <w:tab w:val="left" w:pos="1429"/>
              </w:tabs>
              <w:spacing w:after="60" w:line="280" w:lineRule="exact"/>
              <w:ind w:right="40"/>
              <w:rPr>
                <w:rFonts w:ascii="Times New Roman" w:eastAsia="SimHei" w:hint="eastAsia"/>
                <w:b/>
                <w:color w:val="FF0000"/>
                <w:sz w:val="17"/>
              </w:rPr>
            </w:pPr>
            <w:r>
              <w:rPr>
                <w:rFonts w:ascii="Times New Roman" w:eastAsia="SimHei" w:hint="eastAsia"/>
                <w:b/>
                <w:color w:val="FF0000"/>
                <w:sz w:val="17"/>
              </w:rPr>
              <w:t>合计</w:t>
            </w:r>
          </w:p>
        </w:tc>
        <w:tc>
          <w:tcPr>
            <w:tcW w:w="880" w:type="pct"/>
            <w:tcBorders>
              <w:top w:val="single" w:sz="2" w:space="0" w:color="auto"/>
              <w:bottom w:val="single" w:sz="12" w:space="0" w:color="auto"/>
            </w:tcBorders>
            <w:vAlign w:val="bottom"/>
          </w:tcPr>
          <w:p w:rsidR="00320E49" w:rsidRDefault="00320E49">
            <w:pPr>
              <w:pStyle w:val="PlainText"/>
              <w:tabs>
                <w:tab w:val="left" w:pos="357"/>
                <w:tab w:val="left" w:pos="714"/>
                <w:tab w:val="left" w:pos="1071"/>
                <w:tab w:val="left" w:pos="1429"/>
              </w:tabs>
              <w:spacing w:after="60" w:line="280" w:lineRule="exact"/>
              <w:ind w:right="40"/>
              <w:jc w:val="right"/>
              <w:rPr>
                <w:rFonts w:ascii="Times New Roman" w:eastAsia="SimHei"/>
                <w:b/>
                <w:color w:val="FF0000"/>
                <w:sz w:val="17"/>
              </w:rPr>
            </w:pPr>
            <w:r>
              <w:rPr>
                <w:rFonts w:ascii="Times New Roman" w:eastAsia="SimHei"/>
                <w:b/>
                <w:color w:val="FF0000"/>
                <w:sz w:val="17"/>
              </w:rPr>
              <w:t>23 100</w:t>
            </w:r>
          </w:p>
        </w:tc>
        <w:tc>
          <w:tcPr>
            <w:tcW w:w="880" w:type="pct"/>
            <w:tcBorders>
              <w:top w:val="single" w:sz="2" w:space="0" w:color="auto"/>
              <w:bottom w:val="single" w:sz="12" w:space="0" w:color="auto"/>
            </w:tcBorders>
            <w:vAlign w:val="bottom"/>
          </w:tcPr>
          <w:p w:rsidR="00320E49" w:rsidRDefault="00320E49">
            <w:pPr>
              <w:pStyle w:val="PlainText"/>
              <w:tabs>
                <w:tab w:val="left" w:pos="357"/>
                <w:tab w:val="left" w:pos="714"/>
                <w:tab w:val="left" w:pos="1071"/>
                <w:tab w:val="left" w:pos="1429"/>
              </w:tabs>
              <w:spacing w:after="60" w:line="280" w:lineRule="exact"/>
              <w:ind w:right="40"/>
              <w:jc w:val="right"/>
              <w:rPr>
                <w:rFonts w:ascii="Times New Roman" w:eastAsia="SimHei"/>
                <w:b/>
                <w:color w:val="FF0000"/>
                <w:sz w:val="17"/>
              </w:rPr>
            </w:pPr>
            <w:r>
              <w:rPr>
                <w:rFonts w:ascii="Times New Roman" w:eastAsia="SimHei"/>
                <w:b/>
                <w:color w:val="FF0000"/>
                <w:sz w:val="17"/>
              </w:rPr>
              <w:t>100.0</w:t>
            </w:r>
          </w:p>
        </w:tc>
        <w:tc>
          <w:tcPr>
            <w:tcW w:w="880" w:type="pct"/>
            <w:tcBorders>
              <w:top w:val="single" w:sz="2" w:space="0" w:color="auto"/>
              <w:bottom w:val="single" w:sz="12" w:space="0" w:color="auto"/>
            </w:tcBorders>
            <w:vAlign w:val="bottom"/>
          </w:tcPr>
          <w:p w:rsidR="00320E49" w:rsidRDefault="00320E49">
            <w:pPr>
              <w:pStyle w:val="PlainText"/>
              <w:tabs>
                <w:tab w:val="left" w:pos="357"/>
                <w:tab w:val="left" w:pos="714"/>
                <w:tab w:val="left" w:pos="1071"/>
                <w:tab w:val="left" w:pos="1429"/>
              </w:tabs>
              <w:spacing w:after="60" w:line="280" w:lineRule="exact"/>
              <w:ind w:right="40"/>
              <w:jc w:val="right"/>
              <w:rPr>
                <w:rFonts w:ascii="Times New Roman" w:eastAsia="SimHei"/>
                <w:b/>
                <w:color w:val="FF0000"/>
                <w:sz w:val="17"/>
              </w:rPr>
            </w:pPr>
            <w:r>
              <w:rPr>
                <w:rFonts w:ascii="Times New Roman" w:eastAsia="SimHei"/>
                <w:b/>
                <w:color w:val="FF0000"/>
                <w:sz w:val="17"/>
              </w:rPr>
              <w:t>22 956</w:t>
            </w:r>
          </w:p>
        </w:tc>
        <w:tc>
          <w:tcPr>
            <w:tcW w:w="880" w:type="pct"/>
            <w:tcBorders>
              <w:top w:val="single" w:sz="2" w:space="0" w:color="auto"/>
              <w:bottom w:val="single" w:sz="12" w:space="0" w:color="auto"/>
            </w:tcBorders>
            <w:vAlign w:val="bottom"/>
          </w:tcPr>
          <w:p w:rsidR="00320E49" w:rsidRDefault="00320E49">
            <w:pPr>
              <w:pStyle w:val="PlainText"/>
              <w:tabs>
                <w:tab w:val="left" w:pos="357"/>
                <w:tab w:val="left" w:pos="714"/>
                <w:tab w:val="left" w:pos="1071"/>
                <w:tab w:val="left" w:pos="1429"/>
              </w:tabs>
              <w:spacing w:after="60" w:line="280" w:lineRule="exact"/>
              <w:ind w:right="40"/>
              <w:jc w:val="right"/>
              <w:rPr>
                <w:rFonts w:ascii="Times New Roman" w:eastAsia="SimHei"/>
                <w:b/>
                <w:color w:val="FF0000"/>
                <w:sz w:val="17"/>
              </w:rPr>
            </w:pPr>
            <w:r>
              <w:rPr>
                <w:rFonts w:ascii="Times New Roman" w:eastAsia="SimHei"/>
                <w:b/>
                <w:color w:val="FF0000"/>
                <w:sz w:val="17"/>
              </w:rPr>
              <w:t>100.0</w:t>
            </w:r>
          </w:p>
        </w:tc>
      </w:tr>
    </w:tbl>
    <w:p w:rsidR="00320E49" w:rsidRDefault="00320E49">
      <w:pPr>
        <w:pStyle w:val="SingleTxt"/>
        <w:spacing w:before="120" w:after="240"/>
        <w:rPr>
          <w:rFonts w:hint="eastAsia"/>
        </w:rPr>
      </w:pPr>
      <w:r>
        <w:rPr>
          <w:rFonts w:ascii="KaiTi_GB2312" w:eastAsia="KaiTi_GB2312" w:hint="eastAsia"/>
          <w:color w:val="0000FF"/>
          <w:sz w:val="18"/>
        </w:rPr>
        <w:t>资料来源</w:t>
      </w:r>
      <w:r>
        <w:rPr>
          <w:rFonts w:hint="eastAsia"/>
          <w:sz w:val="18"/>
        </w:rPr>
        <w:t>：《住户劳动力统计》，国家统计所，2001年</w:t>
      </w:r>
      <w:r>
        <w:rPr>
          <w:rFonts w:hint="eastAsia"/>
        </w:rPr>
        <w:t>。</w:t>
      </w:r>
    </w:p>
    <w:p w:rsidR="00320E49" w:rsidRDefault="00320E49">
      <w:pPr>
        <w:pStyle w:val="SingleTxt"/>
        <w:rPr>
          <w:rFonts w:hint="eastAsia"/>
        </w:rPr>
      </w:pPr>
      <w:r>
        <w:rPr>
          <w:rFonts w:hint="eastAsia"/>
        </w:rPr>
        <w:tab/>
        <w:t>持续存在的父权价值观和不利的经济条件对女孩的教育状况产生不利影响。最近的经济危机和结构调整政策妨碍教育系统容量的扩充。因此，国家预算分配给教育的资金从1990年的13.2%下降到2000年的7.2%。预算削减对受教育机会的影响巨大，严重影响低收入家庭的妇女和女孩。</w:t>
      </w:r>
    </w:p>
    <w:p w:rsidR="00320E49" w:rsidRDefault="00320E49">
      <w:pPr>
        <w:pStyle w:val="SingleTxt"/>
        <w:rPr>
          <w:rFonts w:ascii="SimHei" w:eastAsia="SimHei" w:hint="eastAsia"/>
          <w:color w:val="FF0000"/>
        </w:rPr>
      </w:pPr>
      <w:r>
        <w:rPr>
          <w:rFonts w:ascii="SimHei" w:eastAsia="SimHei" w:hint="eastAsia"/>
          <w:color w:val="FF0000"/>
        </w:rPr>
        <w:t>义务基础教育</w:t>
      </w:r>
    </w:p>
    <w:p w:rsidR="00320E49" w:rsidRDefault="00320E49">
      <w:pPr>
        <w:pStyle w:val="SingleTxt"/>
        <w:rPr>
          <w:rFonts w:hint="eastAsia"/>
        </w:rPr>
      </w:pPr>
      <w:r>
        <w:rPr>
          <w:rFonts w:hint="eastAsia"/>
        </w:rPr>
        <w:tab/>
        <w:t>1997年土耳其的义务基础教育从5年学校教育增至8年(《4306号法》)，将小学和中学合并为一级学校教育。教育改革法想必将对女孩接受教育和生活前景产生积极的影响，从而有助于女孩全面获得能力和延迟早婚时间。此外，向职业技术教育的分流将可能在较大的年龄实现，因而男女孩双方的选择和机会将大大增加。</w:t>
      </w:r>
    </w:p>
    <w:p w:rsidR="00320E49" w:rsidRDefault="00320E49">
      <w:pPr>
        <w:pStyle w:val="SingleTxt"/>
        <w:rPr>
          <w:rFonts w:hint="eastAsia"/>
        </w:rPr>
      </w:pPr>
      <w:r>
        <w:rPr>
          <w:rFonts w:hint="eastAsia"/>
        </w:rPr>
        <w:tab/>
        <w:t>无疑，评估8年制义务教育对女孩教育的影响为时太早，不过据现有的数据，女孩的入学率大幅度提高了。在过去5年中，女孩的小学入学率提高了18%，中学的入学率提高了21%，而男孩的数字分别为10%和15%。不过，尽管有这些提高，性别差异并未消除。男孩义务基础教育的就学率接近99.9%，但女孩的就学率为88.5%，落后于男孩。</w:t>
      </w:r>
    </w:p>
    <w:p w:rsidR="00320E49" w:rsidRDefault="00320E49">
      <w:pPr>
        <w:pStyle w:val="SingleTxt"/>
        <w:rPr>
          <w:rFonts w:hint="eastAsia"/>
        </w:rPr>
      </w:pPr>
      <w:r>
        <w:rPr>
          <w:rFonts w:hint="eastAsia"/>
        </w:rPr>
        <w:tab/>
        <w:t>国家统计局1999年对土耳其童工进行的研究，揭示了6岁至17岁年龄组男女孩的就学率差异明显，在较大的年龄组和农村地区差异相应地加大(表2)。这项研究还表明，男女孩上学与教育费用之间存在着牢固的联系。处于较高社会经济阶层的家庭往往同等重视女儿和儿子的教育，但在较低阶层，上学率在男孩(85.6%)和女孩(76.5%)之间出现明显的差别。虽然经济因素制约男女孩双方的上学率，但女孩的情况更为突出，特别是在农村地区(表3)。研究还披露，对女孩受教育抱有消极的文化价值观，女孩自身缺乏学习动力，特别是在农村地区，不能提供适当的学校，需要帮助操持家务等，这些都是造成女孩就学率较低的因素。</w:t>
      </w:r>
    </w:p>
    <w:p w:rsidR="00320E49" w:rsidRDefault="00320E49">
      <w:pPr>
        <w:pStyle w:val="SingleTxt"/>
        <w:rPr>
          <w:rFonts w:ascii="SimHei" w:eastAsia="SimHei" w:hint="eastAsia"/>
          <w:color w:val="FF0000"/>
        </w:rPr>
      </w:pPr>
      <w:r>
        <w:rPr>
          <w:rFonts w:ascii="SimHei" w:eastAsia="SimHei" w:hint="eastAsia"/>
          <w:color w:val="FF0000"/>
        </w:rPr>
        <w:t>表2.  按年龄列示的就学率(%)</w:t>
      </w:r>
    </w:p>
    <w:tbl>
      <w:tblPr>
        <w:tblW w:w="3694" w:type="pct"/>
        <w:tblInd w:w="1268" w:type="dxa"/>
        <w:tblCellMar>
          <w:left w:w="0" w:type="dxa"/>
          <w:right w:w="0" w:type="dxa"/>
        </w:tblCellMar>
        <w:tblLook w:val="0000" w:firstRow="0" w:lastRow="0" w:firstColumn="0" w:lastColumn="0" w:noHBand="0" w:noVBand="0"/>
      </w:tblPr>
      <w:tblGrid>
        <w:gridCol w:w="729"/>
        <w:gridCol w:w="1245"/>
        <w:gridCol w:w="1769"/>
        <w:gridCol w:w="1769"/>
        <w:gridCol w:w="1767"/>
      </w:tblGrid>
      <w:tr w:rsidR="00320E49">
        <w:tblPrEx>
          <w:tblCellMar>
            <w:top w:w="0" w:type="dxa"/>
            <w:bottom w:w="0" w:type="dxa"/>
          </w:tblCellMar>
        </w:tblPrEx>
        <w:trPr>
          <w:tblHeader/>
        </w:trPr>
        <w:tc>
          <w:tcPr>
            <w:tcW w:w="501" w:type="pct"/>
            <w:tcBorders>
              <w:top w:val="single" w:sz="2" w:space="0" w:color="auto"/>
              <w:bottom w:val="single" w:sz="12" w:space="0" w:color="auto"/>
            </w:tcBorders>
            <w:vAlign w:val="bottom"/>
          </w:tcPr>
          <w:p w:rsidR="00320E49" w:rsidRDefault="00320E49">
            <w:pPr>
              <w:pStyle w:val="PlainText"/>
              <w:spacing w:before="60" w:after="60" w:line="240" w:lineRule="exact"/>
              <w:ind w:right="40"/>
              <w:rPr>
                <w:rFonts w:ascii="Times New Roman" w:eastAsia="KaiTi_GB2312"/>
                <w:color w:val="0000FF"/>
                <w:sz w:val="14"/>
              </w:rPr>
            </w:pPr>
          </w:p>
        </w:tc>
        <w:tc>
          <w:tcPr>
            <w:tcW w:w="855" w:type="pct"/>
            <w:tcBorders>
              <w:top w:val="single" w:sz="2" w:space="0" w:color="auto"/>
              <w:bottom w:val="single" w:sz="12" w:space="0" w:color="auto"/>
            </w:tcBorders>
            <w:vAlign w:val="bottom"/>
          </w:tcPr>
          <w:p w:rsidR="00320E49" w:rsidRDefault="00320E49">
            <w:pPr>
              <w:pStyle w:val="PlainText"/>
              <w:spacing w:before="60" w:after="60" w:line="240" w:lineRule="exact"/>
              <w:ind w:right="40"/>
              <w:jc w:val="right"/>
              <w:rPr>
                <w:rFonts w:ascii="SimHei" w:eastAsia="SimHei"/>
                <w:b/>
                <w:bCs/>
                <w:color w:val="FF0000"/>
                <w:sz w:val="14"/>
              </w:rPr>
            </w:pPr>
          </w:p>
        </w:tc>
        <w:tc>
          <w:tcPr>
            <w:tcW w:w="1215" w:type="pct"/>
            <w:tcBorders>
              <w:top w:val="single" w:sz="2" w:space="0" w:color="auto"/>
              <w:bottom w:val="single" w:sz="12" w:space="0" w:color="auto"/>
            </w:tcBorders>
            <w:vAlign w:val="bottom"/>
          </w:tcPr>
          <w:p w:rsidR="00320E49" w:rsidRDefault="00320E49">
            <w:pPr>
              <w:pStyle w:val="PlainText"/>
              <w:spacing w:before="60" w:after="60" w:line="240" w:lineRule="exact"/>
              <w:ind w:right="40"/>
              <w:jc w:val="right"/>
              <w:rPr>
                <w:rFonts w:ascii="Times New Roman" w:eastAsia="KaiTi_GB2312" w:hint="eastAsia"/>
                <w:color w:val="0000FF"/>
                <w:sz w:val="14"/>
              </w:rPr>
            </w:pPr>
            <w:r>
              <w:rPr>
                <w:rFonts w:ascii="Times New Roman" w:eastAsia="KaiTi_GB2312" w:hint="eastAsia"/>
                <w:color w:val="0000FF"/>
                <w:sz w:val="14"/>
              </w:rPr>
              <w:t>土耳其</w:t>
            </w:r>
          </w:p>
        </w:tc>
        <w:tc>
          <w:tcPr>
            <w:tcW w:w="1215" w:type="pct"/>
            <w:tcBorders>
              <w:top w:val="single" w:sz="2" w:space="0" w:color="auto"/>
              <w:bottom w:val="single" w:sz="12" w:space="0" w:color="auto"/>
            </w:tcBorders>
            <w:vAlign w:val="bottom"/>
          </w:tcPr>
          <w:p w:rsidR="00320E49" w:rsidRDefault="00320E49">
            <w:pPr>
              <w:pStyle w:val="PlainText"/>
              <w:spacing w:before="60" w:after="60" w:line="240" w:lineRule="exact"/>
              <w:ind w:right="40"/>
              <w:jc w:val="right"/>
              <w:rPr>
                <w:rFonts w:ascii="Times New Roman" w:eastAsia="KaiTi_GB2312" w:hint="eastAsia"/>
                <w:color w:val="0000FF"/>
                <w:sz w:val="14"/>
              </w:rPr>
            </w:pPr>
            <w:r>
              <w:rPr>
                <w:rFonts w:ascii="Times New Roman" w:eastAsia="KaiTi_GB2312" w:hint="eastAsia"/>
                <w:color w:val="0000FF"/>
                <w:sz w:val="14"/>
              </w:rPr>
              <w:t>城市</w:t>
            </w:r>
          </w:p>
        </w:tc>
        <w:tc>
          <w:tcPr>
            <w:tcW w:w="1215" w:type="pct"/>
            <w:tcBorders>
              <w:top w:val="single" w:sz="2" w:space="0" w:color="auto"/>
              <w:bottom w:val="single" w:sz="12" w:space="0" w:color="auto"/>
            </w:tcBorders>
            <w:vAlign w:val="bottom"/>
          </w:tcPr>
          <w:p w:rsidR="00320E49" w:rsidRDefault="00320E49">
            <w:pPr>
              <w:pStyle w:val="PlainText"/>
              <w:spacing w:before="60" w:after="60" w:line="240" w:lineRule="exact"/>
              <w:ind w:right="40"/>
              <w:jc w:val="right"/>
              <w:rPr>
                <w:rFonts w:ascii="Times New Roman" w:eastAsia="KaiTi_GB2312" w:hint="eastAsia"/>
                <w:color w:val="0000FF"/>
                <w:sz w:val="14"/>
              </w:rPr>
            </w:pPr>
            <w:r>
              <w:rPr>
                <w:rFonts w:ascii="Times New Roman" w:eastAsia="KaiTi_GB2312" w:hint="eastAsia"/>
                <w:color w:val="0000FF"/>
                <w:sz w:val="14"/>
              </w:rPr>
              <w:t>农村</w:t>
            </w:r>
          </w:p>
        </w:tc>
      </w:tr>
      <w:tr w:rsidR="00320E49">
        <w:tblPrEx>
          <w:tblCellMar>
            <w:top w:w="0" w:type="dxa"/>
            <w:bottom w:w="0" w:type="dxa"/>
          </w:tblCellMar>
        </w:tblPrEx>
        <w:trPr>
          <w:trHeight w:hRule="exact" w:val="115"/>
          <w:tblHeader/>
        </w:trPr>
        <w:tc>
          <w:tcPr>
            <w:tcW w:w="501" w:type="pct"/>
            <w:tcBorders>
              <w:top w:val="single" w:sz="12" w:space="0" w:color="auto"/>
            </w:tcBorders>
            <w:vAlign w:val="bottom"/>
          </w:tcPr>
          <w:p w:rsidR="00320E49" w:rsidRDefault="00320E49">
            <w:pPr>
              <w:pStyle w:val="PlainText"/>
              <w:spacing w:after="60" w:line="280" w:lineRule="exact"/>
              <w:ind w:right="40"/>
              <w:rPr>
                <w:rFonts w:ascii="Times New Roman" w:hint="eastAsia"/>
                <w:sz w:val="17"/>
              </w:rPr>
            </w:pPr>
          </w:p>
        </w:tc>
        <w:tc>
          <w:tcPr>
            <w:tcW w:w="855" w:type="pct"/>
            <w:tcBorders>
              <w:top w:val="single" w:sz="12" w:space="0" w:color="auto"/>
            </w:tcBorders>
            <w:vAlign w:val="bottom"/>
          </w:tcPr>
          <w:p w:rsidR="00320E49" w:rsidRDefault="00320E49">
            <w:pPr>
              <w:pStyle w:val="PlainText"/>
              <w:spacing w:after="60" w:line="280" w:lineRule="exact"/>
              <w:ind w:right="40"/>
              <w:jc w:val="right"/>
              <w:rPr>
                <w:rFonts w:ascii="SimHei" w:eastAsia="SimHei" w:hint="eastAsia"/>
                <w:b/>
                <w:bCs/>
                <w:color w:val="FF0000"/>
                <w:sz w:val="17"/>
              </w:rPr>
            </w:pPr>
          </w:p>
        </w:tc>
        <w:tc>
          <w:tcPr>
            <w:tcW w:w="1215" w:type="pct"/>
            <w:tcBorders>
              <w:top w:val="single" w:sz="12" w:space="0" w:color="auto"/>
            </w:tcBorders>
            <w:vAlign w:val="bottom"/>
          </w:tcPr>
          <w:p w:rsidR="00320E49" w:rsidRDefault="00320E49">
            <w:pPr>
              <w:pStyle w:val="PlainText"/>
              <w:spacing w:after="60" w:line="280" w:lineRule="exact"/>
              <w:ind w:right="40"/>
              <w:jc w:val="right"/>
              <w:rPr>
                <w:rFonts w:ascii="Times New Roman"/>
                <w:sz w:val="17"/>
              </w:rPr>
            </w:pPr>
          </w:p>
        </w:tc>
        <w:tc>
          <w:tcPr>
            <w:tcW w:w="1215" w:type="pct"/>
            <w:tcBorders>
              <w:top w:val="single" w:sz="12" w:space="0" w:color="auto"/>
            </w:tcBorders>
            <w:vAlign w:val="bottom"/>
          </w:tcPr>
          <w:p w:rsidR="00320E49" w:rsidRDefault="00320E49">
            <w:pPr>
              <w:pStyle w:val="PlainText"/>
              <w:spacing w:after="60" w:line="280" w:lineRule="exact"/>
              <w:ind w:right="40"/>
              <w:jc w:val="right"/>
              <w:rPr>
                <w:rFonts w:ascii="Times New Roman"/>
                <w:sz w:val="17"/>
              </w:rPr>
            </w:pPr>
          </w:p>
        </w:tc>
        <w:tc>
          <w:tcPr>
            <w:tcW w:w="1215" w:type="pct"/>
            <w:tcBorders>
              <w:top w:val="single" w:sz="12" w:space="0" w:color="auto"/>
            </w:tcBorders>
            <w:vAlign w:val="bottom"/>
          </w:tcPr>
          <w:p w:rsidR="00320E49" w:rsidRDefault="00320E49">
            <w:pPr>
              <w:pStyle w:val="PlainText"/>
              <w:spacing w:after="60" w:line="280" w:lineRule="exact"/>
              <w:ind w:right="40"/>
              <w:jc w:val="right"/>
              <w:rPr>
                <w:rFonts w:ascii="Times New Roman"/>
                <w:sz w:val="17"/>
              </w:rPr>
            </w:pPr>
          </w:p>
        </w:tc>
      </w:tr>
      <w:tr w:rsidR="00320E49">
        <w:tblPrEx>
          <w:tblCellMar>
            <w:top w:w="0" w:type="dxa"/>
            <w:bottom w:w="0" w:type="dxa"/>
          </w:tblCellMar>
        </w:tblPrEx>
        <w:tc>
          <w:tcPr>
            <w:tcW w:w="501" w:type="pct"/>
            <w:vAlign w:val="bottom"/>
          </w:tcPr>
          <w:p w:rsidR="00320E49" w:rsidRDefault="00320E49">
            <w:pPr>
              <w:pStyle w:val="PlainText"/>
              <w:tabs>
                <w:tab w:val="left" w:pos="357"/>
                <w:tab w:val="left" w:pos="714"/>
                <w:tab w:val="left" w:pos="1071"/>
                <w:tab w:val="left" w:pos="1429"/>
              </w:tabs>
              <w:spacing w:after="60" w:line="280" w:lineRule="exact"/>
              <w:ind w:right="40"/>
              <w:rPr>
                <w:rFonts w:ascii="Times New Roman" w:hint="eastAsia"/>
                <w:sz w:val="17"/>
              </w:rPr>
            </w:pPr>
            <w:r>
              <w:rPr>
                <w:rFonts w:ascii="Times New Roman" w:hint="eastAsia"/>
                <w:sz w:val="17"/>
              </w:rPr>
              <w:t>女</w:t>
            </w:r>
          </w:p>
        </w:tc>
        <w:tc>
          <w:tcPr>
            <w:tcW w:w="855" w:type="pct"/>
            <w:vAlign w:val="bottom"/>
          </w:tcPr>
          <w:p w:rsidR="00320E49" w:rsidRDefault="00320E49">
            <w:pPr>
              <w:pStyle w:val="PlainText"/>
              <w:tabs>
                <w:tab w:val="left" w:pos="357"/>
                <w:tab w:val="left" w:pos="714"/>
                <w:tab w:val="left" w:pos="1071"/>
                <w:tab w:val="left" w:pos="1429"/>
              </w:tabs>
              <w:spacing w:after="60" w:line="280" w:lineRule="exact"/>
              <w:ind w:right="40"/>
              <w:jc w:val="right"/>
              <w:rPr>
                <w:rFonts w:hAnsi="SimSun" w:hint="eastAsia"/>
                <w:b/>
                <w:bCs/>
                <w:color w:val="FF0000"/>
                <w:sz w:val="17"/>
              </w:rPr>
            </w:pPr>
            <w:r>
              <w:rPr>
                <w:rFonts w:hAnsi="SimSun" w:hint="eastAsia"/>
                <w:b/>
                <w:bCs/>
                <w:color w:val="FF0000"/>
                <w:sz w:val="17"/>
              </w:rPr>
              <w:t>合计</w:t>
            </w:r>
          </w:p>
        </w:tc>
        <w:tc>
          <w:tcPr>
            <w:tcW w:w="1215" w:type="pct"/>
            <w:vAlign w:val="bottom"/>
          </w:tcPr>
          <w:p w:rsidR="00320E49" w:rsidRDefault="00320E49">
            <w:pPr>
              <w:pStyle w:val="PlainText"/>
              <w:tabs>
                <w:tab w:val="left" w:pos="357"/>
                <w:tab w:val="left" w:pos="714"/>
                <w:tab w:val="left" w:pos="1071"/>
                <w:tab w:val="left" w:pos="1429"/>
              </w:tabs>
              <w:spacing w:after="60" w:line="280" w:lineRule="exact"/>
              <w:ind w:right="40"/>
              <w:jc w:val="right"/>
              <w:rPr>
                <w:rFonts w:hAnsi="SimSun"/>
                <w:sz w:val="17"/>
              </w:rPr>
            </w:pPr>
            <w:r>
              <w:rPr>
                <w:rFonts w:hAnsi="SimSun"/>
                <w:sz w:val="17"/>
              </w:rPr>
              <w:t>74.8</w:t>
            </w:r>
          </w:p>
        </w:tc>
        <w:tc>
          <w:tcPr>
            <w:tcW w:w="1215" w:type="pct"/>
            <w:vAlign w:val="bottom"/>
          </w:tcPr>
          <w:p w:rsidR="00320E49" w:rsidRDefault="00320E49">
            <w:pPr>
              <w:pStyle w:val="PlainText"/>
              <w:tabs>
                <w:tab w:val="left" w:pos="357"/>
                <w:tab w:val="left" w:pos="714"/>
                <w:tab w:val="left" w:pos="1071"/>
                <w:tab w:val="left" w:pos="1429"/>
              </w:tabs>
              <w:spacing w:after="60" w:line="280" w:lineRule="exact"/>
              <w:ind w:right="40"/>
              <w:jc w:val="right"/>
              <w:rPr>
                <w:rFonts w:hAnsi="SimSun"/>
                <w:sz w:val="17"/>
              </w:rPr>
            </w:pPr>
            <w:r>
              <w:rPr>
                <w:rFonts w:hAnsi="SimSun"/>
                <w:sz w:val="17"/>
              </w:rPr>
              <w:t>79.0</w:t>
            </w:r>
          </w:p>
        </w:tc>
        <w:tc>
          <w:tcPr>
            <w:tcW w:w="1215" w:type="pct"/>
            <w:vAlign w:val="bottom"/>
          </w:tcPr>
          <w:p w:rsidR="00320E49" w:rsidRDefault="00320E49">
            <w:pPr>
              <w:pStyle w:val="PlainText"/>
              <w:tabs>
                <w:tab w:val="left" w:pos="357"/>
                <w:tab w:val="left" w:pos="714"/>
                <w:tab w:val="left" w:pos="1071"/>
                <w:tab w:val="left" w:pos="1429"/>
              </w:tabs>
              <w:spacing w:after="60" w:line="280" w:lineRule="exact"/>
              <w:ind w:right="40"/>
              <w:jc w:val="right"/>
              <w:rPr>
                <w:rFonts w:hAnsi="SimSun"/>
                <w:sz w:val="17"/>
              </w:rPr>
            </w:pPr>
            <w:r>
              <w:rPr>
                <w:rFonts w:hAnsi="SimSun"/>
                <w:sz w:val="17"/>
              </w:rPr>
              <w:t>68.8</w:t>
            </w:r>
          </w:p>
        </w:tc>
      </w:tr>
      <w:tr w:rsidR="00320E49">
        <w:tblPrEx>
          <w:tblCellMar>
            <w:top w:w="0" w:type="dxa"/>
            <w:bottom w:w="0" w:type="dxa"/>
          </w:tblCellMar>
        </w:tblPrEx>
        <w:tc>
          <w:tcPr>
            <w:tcW w:w="501" w:type="pct"/>
            <w:vAlign w:val="bottom"/>
          </w:tcPr>
          <w:p w:rsidR="00320E49" w:rsidRDefault="00320E49">
            <w:pPr>
              <w:pStyle w:val="PlainText"/>
              <w:tabs>
                <w:tab w:val="left" w:pos="357"/>
                <w:tab w:val="left" w:pos="714"/>
                <w:tab w:val="left" w:pos="1071"/>
                <w:tab w:val="left" w:pos="1429"/>
              </w:tabs>
              <w:spacing w:after="60" w:line="280" w:lineRule="exact"/>
              <w:ind w:right="40"/>
              <w:rPr>
                <w:rFonts w:ascii="Times New Roman"/>
                <w:sz w:val="17"/>
              </w:rPr>
            </w:pPr>
          </w:p>
        </w:tc>
        <w:tc>
          <w:tcPr>
            <w:tcW w:w="855" w:type="pct"/>
            <w:vAlign w:val="bottom"/>
          </w:tcPr>
          <w:p w:rsidR="00320E49" w:rsidRDefault="00320E49">
            <w:pPr>
              <w:pStyle w:val="PlainText"/>
              <w:tabs>
                <w:tab w:val="left" w:pos="357"/>
                <w:tab w:val="left" w:pos="714"/>
                <w:tab w:val="left" w:pos="1071"/>
                <w:tab w:val="left" w:pos="1429"/>
              </w:tabs>
              <w:spacing w:after="60" w:line="280" w:lineRule="exact"/>
              <w:ind w:right="40"/>
              <w:jc w:val="right"/>
              <w:rPr>
                <w:rFonts w:hAnsi="SimSun"/>
                <w:b/>
                <w:bCs/>
                <w:color w:val="FF0000"/>
                <w:sz w:val="17"/>
              </w:rPr>
            </w:pPr>
            <w:r>
              <w:rPr>
                <w:rFonts w:hAnsi="SimSun"/>
                <w:b/>
                <w:bCs/>
                <w:color w:val="FF0000"/>
                <w:sz w:val="17"/>
              </w:rPr>
              <w:t>6-11</w:t>
            </w:r>
          </w:p>
        </w:tc>
        <w:tc>
          <w:tcPr>
            <w:tcW w:w="1215" w:type="pct"/>
            <w:vAlign w:val="bottom"/>
          </w:tcPr>
          <w:p w:rsidR="00320E49" w:rsidRDefault="00320E49">
            <w:pPr>
              <w:pStyle w:val="PlainText"/>
              <w:tabs>
                <w:tab w:val="left" w:pos="357"/>
                <w:tab w:val="left" w:pos="714"/>
                <w:tab w:val="left" w:pos="1071"/>
                <w:tab w:val="left" w:pos="1429"/>
              </w:tabs>
              <w:spacing w:after="60" w:line="280" w:lineRule="exact"/>
              <w:ind w:right="40"/>
              <w:jc w:val="right"/>
              <w:rPr>
                <w:rFonts w:hAnsi="SimSun"/>
                <w:sz w:val="17"/>
              </w:rPr>
            </w:pPr>
            <w:r>
              <w:rPr>
                <w:rFonts w:hAnsi="SimSun"/>
                <w:sz w:val="17"/>
              </w:rPr>
              <w:t>90.5</w:t>
            </w:r>
          </w:p>
        </w:tc>
        <w:tc>
          <w:tcPr>
            <w:tcW w:w="1215" w:type="pct"/>
            <w:vAlign w:val="bottom"/>
          </w:tcPr>
          <w:p w:rsidR="00320E49" w:rsidRDefault="00320E49">
            <w:pPr>
              <w:pStyle w:val="PlainText"/>
              <w:tabs>
                <w:tab w:val="left" w:pos="357"/>
                <w:tab w:val="left" w:pos="714"/>
                <w:tab w:val="left" w:pos="1071"/>
                <w:tab w:val="left" w:pos="1429"/>
              </w:tabs>
              <w:spacing w:after="60" w:line="280" w:lineRule="exact"/>
              <w:ind w:right="40"/>
              <w:jc w:val="right"/>
              <w:rPr>
                <w:rFonts w:hAnsi="SimSun"/>
                <w:sz w:val="17"/>
              </w:rPr>
            </w:pPr>
            <w:r>
              <w:rPr>
                <w:rFonts w:hAnsi="SimSun"/>
                <w:sz w:val="17"/>
              </w:rPr>
              <w:t>90.4</w:t>
            </w:r>
          </w:p>
        </w:tc>
        <w:tc>
          <w:tcPr>
            <w:tcW w:w="1215" w:type="pct"/>
            <w:vAlign w:val="bottom"/>
          </w:tcPr>
          <w:p w:rsidR="00320E49" w:rsidRDefault="00320E49">
            <w:pPr>
              <w:pStyle w:val="PlainText"/>
              <w:tabs>
                <w:tab w:val="left" w:pos="357"/>
                <w:tab w:val="left" w:pos="714"/>
                <w:tab w:val="left" w:pos="1071"/>
                <w:tab w:val="left" w:pos="1429"/>
              </w:tabs>
              <w:spacing w:after="60" w:line="280" w:lineRule="exact"/>
              <w:ind w:right="40"/>
              <w:jc w:val="right"/>
              <w:rPr>
                <w:rFonts w:hAnsi="SimSun"/>
                <w:sz w:val="17"/>
              </w:rPr>
            </w:pPr>
            <w:r>
              <w:rPr>
                <w:rFonts w:hAnsi="SimSun"/>
                <w:sz w:val="17"/>
              </w:rPr>
              <w:t>90.7</w:t>
            </w:r>
          </w:p>
        </w:tc>
      </w:tr>
      <w:tr w:rsidR="00320E49">
        <w:tblPrEx>
          <w:tblCellMar>
            <w:top w:w="0" w:type="dxa"/>
            <w:bottom w:w="0" w:type="dxa"/>
          </w:tblCellMar>
        </w:tblPrEx>
        <w:tc>
          <w:tcPr>
            <w:tcW w:w="501" w:type="pct"/>
            <w:vAlign w:val="bottom"/>
          </w:tcPr>
          <w:p w:rsidR="00320E49" w:rsidRDefault="00320E49">
            <w:pPr>
              <w:pStyle w:val="PlainText"/>
              <w:tabs>
                <w:tab w:val="left" w:pos="357"/>
                <w:tab w:val="left" w:pos="714"/>
                <w:tab w:val="left" w:pos="1071"/>
                <w:tab w:val="left" w:pos="1429"/>
              </w:tabs>
              <w:spacing w:after="60" w:line="280" w:lineRule="exact"/>
              <w:ind w:right="40"/>
              <w:rPr>
                <w:rFonts w:ascii="Times New Roman"/>
                <w:sz w:val="17"/>
              </w:rPr>
            </w:pPr>
          </w:p>
        </w:tc>
        <w:tc>
          <w:tcPr>
            <w:tcW w:w="855" w:type="pct"/>
            <w:vAlign w:val="bottom"/>
          </w:tcPr>
          <w:p w:rsidR="00320E49" w:rsidRDefault="00320E49">
            <w:pPr>
              <w:pStyle w:val="PlainText"/>
              <w:tabs>
                <w:tab w:val="left" w:pos="357"/>
                <w:tab w:val="left" w:pos="714"/>
                <w:tab w:val="left" w:pos="1071"/>
                <w:tab w:val="left" w:pos="1429"/>
              </w:tabs>
              <w:spacing w:after="60" w:line="280" w:lineRule="exact"/>
              <w:ind w:right="40"/>
              <w:jc w:val="right"/>
              <w:rPr>
                <w:rFonts w:hAnsi="SimSun"/>
                <w:b/>
                <w:bCs/>
                <w:color w:val="FF0000"/>
                <w:sz w:val="17"/>
              </w:rPr>
            </w:pPr>
            <w:r>
              <w:rPr>
                <w:rFonts w:hAnsi="SimSun"/>
                <w:b/>
                <w:bCs/>
                <w:color w:val="FF0000"/>
                <w:sz w:val="17"/>
              </w:rPr>
              <w:t>12-14</w:t>
            </w:r>
          </w:p>
        </w:tc>
        <w:tc>
          <w:tcPr>
            <w:tcW w:w="1215" w:type="pct"/>
            <w:vAlign w:val="bottom"/>
          </w:tcPr>
          <w:p w:rsidR="00320E49" w:rsidRDefault="00320E49">
            <w:pPr>
              <w:pStyle w:val="PlainText"/>
              <w:tabs>
                <w:tab w:val="left" w:pos="357"/>
                <w:tab w:val="left" w:pos="714"/>
                <w:tab w:val="left" w:pos="1071"/>
                <w:tab w:val="left" w:pos="1429"/>
              </w:tabs>
              <w:spacing w:after="60" w:line="280" w:lineRule="exact"/>
              <w:ind w:right="40"/>
              <w:jc w:val="right"/>
              <w:rPr>
                <w:rFonts w:hAnsi="SimSun"/>
                <w:sz w:val="17"/>
              </w:rPr>
            </w:pPr>
            <w:r>
              <w:rPr>
                <w:rFonts w:hAnsi="SimSun"/>
                <w:sz w:val="17"/>
              </w:rPr>
              <w:t>74.4</w:t>
            </w:r>
          </w:p>
        </w:tc>
        <w:tc>
          <w:tcPr>
            <w:tcW w:w="1215" w:type="pct"/>
            <w:vAlign w:val="bottom"/>
          </w:tcPr>
          <w:p w:rsidR="00320E49" w:rsidRDefault="00320E49">
            <w:pPr>
              <w:pStyle w:val="PlainText"/>
              <w:tabs>
                <w:tab w:val="left" w:pos="357"/>
                <w:tab w:val="left" w:pos="714"/>
                <w:tab w:val="left" w:pos="1071"/>
                <w:tab w:val="left" w:pos="1429"/>
              </w:tabs>
              <w:spacing w:after="60" w:line="280" w:lineRule="exact"/>
              <w:ind w:right="40"/>
              <w:jc w:val="right"/>
              <w:rPr>
                <w:rFonts w:hAnsi="SimSun"/>
                <w:sz w:val="17"/>
              </w:rPr>
            </w:pPr>
            <w:r>
              <w:rPr>
                <w:rFonts w:hAnsi="SimSun"/>
                <w:sz w:val="17"/>
              </w:rPr>
              <w:t>79.8</w:t>
            </w:r>
          </w:p>
        </w:tc>
        <w:tc>
          <w:tcPr>
            <w:tcW w:w="1215" w:type="pct"/>
            <w:vAlign w:val="bottom"/>
          </w:tcPr>
          <w:p w:rsidR="00320E49" w:rsidRDefault="00320E49">
            <w:pPr>
              <w:pStyle w:val="PlainText"/>
              <w:tabs>
                <w:tab w:val="left" w:pos="357"/>
                <w:tab w:val="left" w:pos="714"/>
                <w:tab w:val="left" w:pos="1071"/>
                <w:tab w:val="left" w:pos="1429"/>
              </w:tabs>
              <w:spacing w:after="60" w:line="280" w:lineRule="exact"/>
              <w:ind w:right="40"/>
              <w:jc w:val="right"/>
              <w:rPr>
                <w:rFonts w:hAnsi="SimSun"/>
                <w:sz w:val="17"/>
              </w:rPr>
            </w:pPr>
            <w:r>
              <w:rPr>
                <w:rFonts w:hAnsi="SimSun"/>
                <w:sz w:val="17"/>
              </w:rPr>
              <w:t>67.3</w:t>
            </w:r>
          </w:p>
        </w:tc>
      </w:tr>
      <w:tr w:rsidR="00320E49">
        <w:tblPrEx>
          <w:tblCellMar>
            <w:top w:w="0" w:type="dxa"/>
            <w:bottom w:w="0" w:type="dxa"/>
          </w:tblCellMar>
        </w:tblPrEx>
        <w:tc>
          <w:tcPr>
            <w:tcW w:w="501" w:type="pct"/>
            <w:tcBorders>
              <w:bottom w:val="single" w:sz="4" w:space="0" w:color="auto"/>
            </w:tcBorders>
            <w:vAlign w:val="bottom"/>
          </w:tcPr>
          <w:p w:rsidR="00320E49" w:rsidRDefault="00320E49">
            <w:pPr>
              <w:pStyle w:val="PlainText"/>
              <w:tabs>
                <w:tab w:val="left" w:pos="357"/>
                <w:tab w:val="left" w:pos="714"/>
                <w:tab w:val="left" w:pos="1071"/>
                <w:tab w:val="left" w:pos="1429"/>
              </w:tabs>
              <w:spacing w:after="60" w:line="280" w:lineRule="exact"/>
              <w:ind w:right="40"/>
              <w:rPr>
                <w:rFonts w:ascii="Times New Roman"/>
                <w:sz w:val="17"/>
              </w:rPr>
            </w:pPr>
          </w:p>
        </w:tc>
        <w:tc>
          <w:tcPr>
            <w:tcW w:w="855" w:type="pct"/>
            <w:tcBorders>
              <w:bottom w:val="single" w:sz="4" w:space="0" w:color="auto"/>
            </w:tcBorders>
            <w:vAlign w:val="bottom"/>
          </w:tcPr>
          <w:p w:rsidR="00320E49" w:rsidRDefault="00320E49">
            <w:pPr>
              <w:pStyle w:val="PlainText"/>
              <w:tabs>
                <w:tab w:val="left" w:pos="357"/>
                <w:tab w:val="left" w:pos="714"/>
                <w:tab w:val="left" w:pos="1071"/>
                <w:tab w:val="left" w:pos="1429"/>
              </w:tabs>
              <w:spacing w:after="60" w:line="280" w:lineRule="exact"/>
              <w:ind w:right="40"/>
              <w:jc w:val="right"/>
              <w:rPr>
                <w:rFonts w:hAnsi="SimSun"/>
                <w:b/>
                <w:bCs/>
                <w:color w:val="FF0000"/>
                <w:sz w:val="17"/>
              </w:rPr>
            </w:pPr>
            <w:r>
              <w:rPr>
                <w:rFonts w:hAnsi="SimSun"/>
                <w:b/>
                <w:bCs/>
                <w:color w:val="FF0000"/>
                <w:sz w:val="17"/>
              </w:rPr>
              <w:t>15-17</w:t>
            </w:r>
          </w:p>
        </w:tc>
        <w:tc>
          <w:tcPr>
            <w:tcW w:w="1215" w:type="pct"/>
            <w:tcBorders>
              <w:bottom w:val="single" w:sz="4" w:space="0" w:color="auto"/>
            </w:tcBorders>
            <w:vAlign w:val="bottom"/>
          </w:tcPr>
          <w:p w:rsidR="00320E49" w:rsidRDefault="00320E49">
            <w:pPr>
              <w:pStyle w:val="PlainText"/>
              <w:tabs>
                <w:tab w:val="left" w:pos="357"/>
                <w:tab w:val="left" w:pos="714"/>
                <w:tab w:val="left" w:pos="1071"/>
                <w:tab w:val="left" w:pos="1429"/>
              </w:tabs>
              <w:spacing w:after="60" w:line="280" w:lineRule="exact"/>
              <w:ind w:right="40"/>
              <w:jc w:val="right"/>
              <w:rPr>
                <w:rFonts w:hAnsi="SimSun"/>
                <w:sz w:val="17"/>
              </w:rPr>
            </w:pPr>
            <w:r>
              <w:rPr>
                <w:rFonts w:hAnsi="SimSun"/>
                <w:sz w:val="17"/>
              </w:rPr>
              <w:t>43.6</w:t>
            </w:r>
          </w:p>
        </w:tc>
        <w:tc>
          <w:tcPr>
            <w:tcW w:w="1215" w:type="pct"/>
            <w:tcBorders>
              <w:bottom w:val="single" w:sz="4" w:space="0" w:color="auto"/>
            </w:tcBorders>
            <w:vAlign w:val="bottom"/>
          </w:tcPr>
          <w:p w:rsidR="00320E49" w:rsidRDefault="00320E49">
            <w:pPr>
              <w:pStyle w:val="PlainText"/>
              <w:tabs>
                <w:tab w:val="left" w:pos="357"/>
                <w:tab w:val="left" w:pos="714"/>
                <w:tab w:val="left" w:pos="1071"/>
                <w:tab w:val="left" w:pos="1429"/>
              </w:tabs>
              <w:spacing w:after="60" w:line="280" w:lineRule="exact"/>
              <w:ind w:right="40"/>
              <w:jc w:val="right"/>
              <w:rPr>
                <w:rFonts w:hAnsi="SimSun"/>
                <w:sz w:val="17"/>
              </w:rPr>
            </w:pPr>
            <w:r>
              <w:rPr>
                <w:rFonts w:hAnsi="SimSun"/>
                <w:sz w:val="17"/>
              </w:rPr>
              <w:t>55.2</w:t>
            </w:r>
          </w:p>
        </w:tc>
        <w:tc>
          <w:tcPr>
            <w:tcW w:w="1215" w:type="pct"/>
            <w:tcBorders>
              <w:bottom w:val="single" w:sz="4" w:space="0" w:color="auto"/>
            </w:tcBorders>
            <w:vAlign w:val="bottom"/>
          </w:tcPr>
          <w:p w:rsidR="00320E49" w:rsidRDefault="00320E49">
            <w:pPr>
              <w:pStyle w:val="PlainText"/>
              <w:tabs>
                <w:tab w:val="left" w:pos="357"/>
                <w:tab w:val="left" w:pos="714"/>
                <w:tab w:val="left" w:pos="1071"/>
                <w:tab w:val="left" w:pos="1429"/>
              </w:tabs>
              <w:spacing w:after="60" w:line="280" w:lineRule="exact"/>
              <w:ind w:right="40"/>
              <w:jc w:val="right"/>
              <w:rPr>
                <w:rFonts w:hAnsi="SimSun"/>
                <w:sz w:val="17"/>
              </w:rPr>
            </w:pPr>
            <w:r>
              <w:rPr>
                <w:rFonts w:hAnsi="SimSun"/>
                <w:sz w:val="17"/>
              </w:rPr>
              <w:t>26.4</w:t>
            </w:r>
          </w:p>
        </w:tc>
      </w:tr>
      <w:tr w:rsidR="00320E49">
        <w:tblPrEx>
          <w:tblCellMar>
            <w:top w:w="0" w:type="dxa"/>
            <w:bottom w:w="0" w:type="dxa"/>
          </w:tblCellMar>
        </w:tblPrEx>
        <w:tc>
          <w:tcPr>
            <w:tcW w:w="501" w:type="pct"/>
            <w:tcBorders>
              <w:top w:val="single" w:sz="4" w:space="0" w:color="auto"/>
            </w:tcBorders>
            <w:vAlign w:val="bottom"/>
          </w:tcPr>
          <w:p w:rsidR="00320E49" w:rsidRDefault="00320E49">
            <w:pPr>
              <w:pStyle w:val="PlainText"/>
              <w:tabs>
                <w:tab w:val="left" w:pos="357"/>
                <w:tab w:val="left" w:pos="714"/>
                <w:tab w:val="left" w:pos="1071"/>
                <w:tab w:val="left" w:pos="1429"/>
              </w:tabs>
              <w:spacing w:after="60" w:line="280" w:lineRule="exact"/>
              <w:ind w:right="40"/>
              <w:rPr>
                <w:rFonts w:ascii="Times New Roman" w:hint="eastAsia"/>
                <w:sz w:val="17"/>
              </w:rPr>
            </w:pPr>
            <w:r>
              <w:rPr>
                <w:rFonts w:ascii="Times New Roman" w:hint="eastAsia"/>
                <w:sz w:val="17"/>
              </w:rPr>
              <w:t>男</w:t>
            </w:r>
          </w:p>
        </w:tc>
        <w:tc>
          <w:tcPr>
            <w:tcW w:w="855" w:type="pct"/>
            <w:tcBorders>
              <w:top w:val="single" w:sz="4" w:space="0" w:color="auto"/>
            </w:tcBorders>
            <w:vAlign w:val="bottom"/>
          </w:tcPr>
          <w:p w:rsidR="00320E49" w:rsidRDefault="00320E49">
            <w:pPr>
              <w:pStyle w:val="PlainText"/>
              <w:tabs>
                <w:tab w:val="left" w:pos="357"/>
                <w:tab w:val="left" w:pos="714"/>
                <w:tab w:val="left" w:pos="1071"/>
                <w:tab w:val="left" w:pos="1429"/>
              </w:tabs>
              <w:spacing w:after="60" w:line="280" w:lineRule="exact"/>
              <w:ind w:right="40"/>
              <w:jc w:val="right"/>
              <w:rPr>
                <w:rFonts w:hAnsi="SimSun" w:hint="eastAsia"/>
                <w:b/>
                <w:bCs/>
                <w:color w:val="FF0000"/>
                <w:sz w:val="17"/>
              </w:rPr>
            </w:pPr>
            <w:r>
              <w:rPr>
                <w:rFonts w:hAnsi="SimSun" w:hint="eastAsia"/>
                <w:b/>
                <w:bCs/>
                <w:color w:val="FF0000"/>
                <w:sz w:val="17"/>
              </w:rPr>
              <w:t>合计</w:t>
            </w:r>
          </w:p>
        </w:tc>
        <w:tc>
          <w:tcPr>
            <w:tcW w:w="1215" w:type="pct"/>
            <w:tcBorders>
              <w:top w:val="single" w:sz="4" w:space="0" w:color="auto"/>
            </w:tcBorders>
            <w:vAlign w:val="bottom"/>
          </w:tcPr>
          <w:p w:rsidR="00320E49" w:rsidRDefault="00320E49">
            <w:pPr>
              <w:pStyle w:val="PlainText"/>
              <w:tabs>
                <w:tab w:val="left" w:pos="357"/>
                <w:tab w:val="left" w:pos="714"/>
                <w:tab w:val="left" w:pos="1071"/>
                <w:tab w:val="left" w:pos="1429"/>
              </w:tabs>
              <w:spacing w:after="60" w:line="280" w:lineRule="exact"/>
              <w:ind w:right="40"/>
              <w:jc w:val="right"/>
              <w:rPr>
                <w:rFonts w:hAnsi="SimSun"/>
                <w:sz w:val="17"/>
              </w:rPr>
            </w:pPr>
            <w:r>
              <w:rPr>
                <w:rFonts w:hAnsi="SimSun"/>
                <w:sz w:val="17"/>
              </w:rPr>
              <w:t>82.7</w:t>
            </w:r>
          </w:p>
        </w:tc>
        <w:tc>
          <w:tcPr>
            <w:tcW w:w="1215" w:type="pct"/>
            <w:tcBorders>
              <w:top w:val="single" w:sz="4" w:space="0" w:color="auto"/>
            </w:tcBorders>
            <w:vAlign w:val="bottom"/>
          </w:tcPr>
          <w:p w:rsidR="00320E49" w:rsidRDefault="00320E49">
            <w:pPr>
              <w:pStyle w:val="PlainText"/>
              <w:tabs>
                <w:tab w:val="left" w:pos="357"/>
                <w:tab w:val="left" w:pos="714"/>
                <w:tab w:val="left" w:pos="1071"/>
                <w:tab w:val="left" w:pos="1429"/>
              </w:tabs>
              <w:spacing w:after="60" w:line="280" w:lineRule="exact"/>
              <w:ind w:right="40"/>
              <w:jc w:val="right"/>
              <w:rPr>
                <w:rFonts w:hAnsi="SimSun"/>
                <w:sz w:val="17"/>
              </w:rPr>
            </w:pPr>
            <w:r>
              <w:rPr>
                <w:rFonts w:hAnsi="SimSun"/>
                <w:sz w:val="17"/>
              </w:rPr>
              <w:t>84.9</w:t>
            </w:r>
          </w:p>
        </w:tc>
        <w:tc>
          <w:tcPr>
            <w:tcW w:w="1215" w:type="pct"/>
            <w:tcBorders>
              <w:top w:val="single" w:sz="4" w:space="0" w:color="auto"/>
            </w:tcBorders>
            <w:vAlign w:val="bottom"/>
          </w:tcPr>
          <w:p w:rsidR="00320E49" w:rsidRDefault="00320E49">
            <w:pPr>
              <w:pStyle w:val="PlainText"/>
              <w:tabs>
                <w:tab w:val="left" w:pos="357"/>
                <w:tab w:val="left" w:pos="714"/>
                <w:tab w:val="left" w:pos="1071"/>
                <w:tab w:val="left" w:pos="1429"/>
              </w:tabs>
              <w:spacing w:after="60" w:line="280" w:lineRule="exact"/>
              <w:ind w:right="40"/>
              <w:jc w:val="right"/>
              <w:rPr>
                <w:rFonts w:hAnsi="SimSun"/>
                <w:sz w:val="17"/>
              </w:rPr>
            </w:pPr>
            <w:r>
              <w:rPr>
                <w:rFonts w:hAnsi="SimSun"/>
                <w:sz w:val="17"/>
              </w:rPr>
              <w:t>79.5</w:t>
            </w:r>
          </w:p>
        </w:tc>
      </w:tr>
      <w:tr w:rsidR="00320E49">
        <w:tblPrEx>
          <w:tblCellMar>
            <w:top w:w="0" w:type="dxa"/>
            <w:bottom w:w="0" w:type="dxa"/>
          </w:tblCellMar>
        </w:tblPrEx>
        <w:tc>
          <w:tcPr>
            <w:tcW w:w="501" w:type="pct"/>
            <w:vAlign w:val="bottom"/>
          </w:tcPr>
          <w:p w:rsidR="00320E49" w:rsidRDefault="00320E49">
            <w:pPr>
              <w:pStyle w:val="PlainText"/>
              <w:tabs>
                <w:tab w:val="left" w:pos="357"/>
                <w:tab w:val="left" w:pos="714"/>
                <w:tab w:val="left" w:pos="1071"/>
                <w:tab w:val="left" w:pos="1429"/>
              </w:tabs>
              <w:spacing w:after="60" w:line="280" w:lineRule="exact"/>
              <w:ind w:right="40"/>
              <w:rPr>
                <w:rFonts w:ascii="Times New Roman"/>
                <w:sz w:val="17"/>
              </w:rPr>
            </w:pPr>
          </w:p>
        </w:tc>
        <w:tc>
          <w:tcPr>
            <w:tcW w:w="855" w:type="pct"/>
            <w:vAlign w:val="bottom"/>
          </w:tcPr>
          <w:p w:rsidR="00320E49" w:rsidRDefault="00320E49">
            <w:pPr>
              <w:pStyle w:val="PlainText"/>
              <w:tabs>
                <w:tab w:val="left" w:pos="357"/>
                <w:tab w:val="left" w:pos="714"/>
                <w:tab w:val="left" w:pos="1071"/>
                <w:tab w:val="left" w:pos="1429"/>
              </w:tabs>
              <w:spacing w:after="60" w:line="280" w:lineRule="exact"/>
              <w:ind w:right="40"/>
              <w:jc w:val="right"/>
              <w:rPr>
                <w:rFonts w:hAnsi="SimSun"/>
                <w:b/>
                <w:bCs/>
                <w:color w:val="FF0000"/>
                <w:sz w:val="17"/>
              </w:rPr>
            </w:pPr>
            <w:r>
              <w:rPr>
                <w:rFonts w:hAnsi="SimSun"/>
                <w:b/>
                <w:bCs/>
                <w:color w:val="FF0000"/>
                <w:sz w:val="17"/>
              </w:rPr>
              <w:t>6-11</w:t>
            </w:r>
          </w:p>
        </w:tc>
        <w:tc>
          <w:tcPr>
            <w:tcW w:w="1215" w:type="pct"/>
            <w:vAlign w:val="bottom"/>
          </w:tcPr>
          <w:p w:rsidR="00320E49" w:rsidRDefault="00320E49">
            <w:pPr>
              <w:pStyle w:val="PlainText"/>
              <w:tabs>
                <w:tab w:val="left" w:pos="357"/>
                <w:tab w:val="left" w:pos="714"/>
                <w:tab w:val="left" w:pos="1071"/>
                <w:tab w:val="left" w:pos="1429"/>
              </w:tabs>
              <w:spacing w:after="60" w:line="280" w:lineRule="exact"/>
              <w:ind w:right="40"/>
              <w:jc w:val="right"/>
              <w:rPr>
                <w:rFonts w:hAnsi="SimSun"/>
                <w:sz w:val="17"/>
              </w:rPr>
            </w:pPr>
            <w:r>
              <w:rPr>
                <w:rFonts w:hAnsi="SimSun"/>
                <w:sz w:val="17"/>
              </w:rPr>
              <w:t>92.9</w:t>
            </w:r>
          </w:p>
        </w:tc>
        <w:tc>
          <w:tcPr>
            <w:tcW w:w="1215" w:type="pct"/>
            <w:vAlign w:val="bottom"/>
          </w:tcPr>
          <w:p w:rsidR="00320E49" w:rsidRDefault="00320E49">
            <w:pPr>
              <w:pStyle w:val="PlainText"/>
              <w:tabs>
                <w:tab w:val="left" w:pos="357"/>
                <w:tab w:val="left" w:pos="714"/>
                <w:tab w:val="left" w:pos="1071"/>
                <w:tab w:val="left" w:pos="1429"/>
              </w:tabs>
              <w:spacing w:after="60" w:line="280" w:lineRule="exact"/>
              <w:ind w:right="40"/>
              <w:jc w:val="right"/>
              <w:rPr>
                <w:rFonts w:hAnsi="SimSun"/>
                <w:sz w:val="17"/>
              </w:rPr>
            </w:pPr>
            <w:r>
              <w:rPr>
                <w:rFonts w:hAnsi="SimSun"/>
                <w:sz w:val="17"/>
              </w:rPr>
              <w:t>93.0</w:t>
            </w:r>
          </w:p>
        </w:tc>
        <w:tc>
          <w:tcPr>
            <w:tcW w:w="1215" w:type="pct"/>
            <w:vAlign w:val="bottom"/>
          </w:tcPr>
          <w:p w:rsidR="00320E49" w:rsidRDefault="00320E49">
            <w:pPr>
              <w:pStyle w:val="PlainText"/>
              <w:tabs>
                <w:tab w:val="left" w:pos="357"/>
                <w:tab w:val="left" w:pos="714"/>
                <w:tab w:val="left" w:pos="1071"/>
                <w:tab w:val="left" w:pos="1429"/>
              </w:tabs>
              <w:spacing w:after="60" w:line="280" w:lineRule="exact"/>
              <w:ind w:right="40"/>
              <w:jc w:val="right"/>
              <w:rPr>
                <w:rFonts w:hAnsi="SimSun"/>
                <w:sz w:val="17"/>
              </w:rPr>
            </w:pPr>
            <w:r>
              <w:rPr>
                <w:rFonts w:hAnsi="SimSun"/>
                <w:sz w:val="17"/>
              </w:rPr>
              <w:t>92.8</w:t>
            </w:r>
          </w:p>
        </w:tc>
      </w:tr>
      <w:tr w:rsidR="00320E49">
        <w:tblPrEx>
          <w:tblCellMar>
            <w:top w:w="0" w:type="dxa"/>
            <w:bottom w:w="0" w:type="dxa"/>
          </w:tblCellMar>
        </w:tblPrEx>
        <w:tc>
          <w:tcPr>
            <w:tcW w:w="501" w:type="pct"/>
            <w:vAlign w:val="bottom"/>
          </w:tcPr>
          <w:p w:rsidR="00320E49" w:rsidRDefault="00320E49">
            <w:pPr>
              <w:pStyle w:val="PlainText"/>
              <w:tabs>
                <w:tab w:val="left" w:pos="357"/>
                <w:tab w:val="left" w:pos="714"/>
                <w:tab w:val="left" w:pos="1071"/>
                <w:tab w:val="left" w:pos="1429"/>
              </w:tabs>
              <w:spacing w:after="60" w:line="280" w:lineRule="exact"/>
              <w:ind w:right="40"/>
              <w:rPr>
                <w:rFonts w:ascii="Times New Roman"/>
                <w:sz w:val="17"/>
              </w:rPr>
            </w:pPr>
          </w:p>
        </w:tc>
        <w:tc>
          <w:tcPr>
            <w:tcW w:w="855" w:type="pct"/>
            <w:vAlign w:val="bottom"/>
          </w:tcPr>
          <w:p w:rsidR="00320E49" w:rsidRDefault="00320E49">
            <w:pPr>
              <w:pStyle w:val="PlainText"/>
              <w:tabs>
                <w:tab w:val="left" w:pos="357"/>
                <w:tab w:val="left" w:pos="714"/>
                <w:tab w:val="left" w:pos="1071"/>
                <w:tab w:val="left" w:pos="1429"/>
              </w:tabs>
              <w:spacing w:after="60" w:line="280" w:lineRule="exact"/>
              <w:ind w:right="40"/>
              <w:jc w:val="right"/>
              <w:rPr>
                <w:rFonts w:hAnsi="SimSun"/>
                <w:b/>
                <w:bCs/>
                <w:color w:val="FF0000"/>
                <w:sz w:val="17"/>
              </w:rPr>
            </w:pPr>
            <w:r>
              <w:rPr>
                <w:rFonts w:hAnsi="SimSun"/>
                <w:b/>
                <w:bCs/>
                <w:color w:val="FF0000"/>
                <w:sz w:val="17"/>
              </w:rPr>
              <w:t>12-14</w:t>
            </w:r>
          </w:p>
        </w:tc>
        <w:tc>
          <w:tcPr>
            <w:tcW w:w="1215" w:type="pct"/>
            <w:vAlign w:val="bottom"/>
          </w:tcPr>
          <w:p w:rsidR="00320E49" w:rsidRDefault="00320E49">
            <w:pPr>
              <w:pStyle w:val="PlainText"/>
              <w:tabs>
                <w:tab w:val="left" w:pos="357"/>
                <w:tab w:val="left" w:pos="714"/>
                <w:tab w:val="left" w:pos="1071"/>
                <w:tab w:val="left" w:pos="1429"/>
              </w:tabs>
              <w:spacing w:after="60" w:line="280" w:lineRule="exact"/>
              <w:ind w:right="40"/>
              <w:jc w:val="right"/>
              <w:rPr>
                <w:rFonts w:hAnsi="SimSun"/>
                <w:sz w:val="17"/>
              </w:rPr>
            </w:pPr>
            <w:r>
              <w:rPr>
                <w:rFonts w:hAnsi="SimSun"/>
                <w:sz w:val="17"/>
              </w:rPr>
              <w:t>86.6</w:t>
            </w:r>
          </w:p>
        </w:tc>
        <w:tc>
          <w:tcPr>
            <w:tcW w:w="1215" w:type="pct"/>
            <w:vAlign w:val="bottom"/>
          </w:tcPr>
          <w:p w:rsidR="00320E49" w:rsidRDefault="00320E49">
            <w:pPr>
              <w:pStyle w:val="PlainText"/>
              <w:tabs>
                <w:tab w:val="left" w:pos="357"/>
                <w:tab w:val="left" w:pos="714"/>
                <w:tab w:val="left" w:pos="1071"/>
                <w:tab w:val="left" w:pos="1429"/>
              </w:tabs>
              <w:spacing w:after="60" w:line="280" w:lineRule="exact"/>
              <w:ind w:right="40"/>
              <w:jc w:val="right"/>
              <w:rPr>
                <w:rFonts w:hAnsi="SimSun"/>
                <w:sz w:val="17"/>
              </w:rPr>
            </w:pPr>
            <w:r>
              <w:rPr>
                <w:rFonts w:hAnsi="SimSun"/>
                <w:sz w:val="17"/>
              </w:rPr>
              <w:t>89.8</w:t>
            </w:r>
          </w:p>
        </w:tc>
        <w:tc>
          <w:tcPr>
            <w:tcW w:w="1215" w:type="pct"/>
            <w:vAlign w:val="bottom"/>
          </w:tcPr>
          <w:p w:rsidR="00320E49" w:rsidRDefault="00320E49">
            <w:pPr>
              <w:pStyle w:val="PlainText"/>
              <w:tabs>
                <w:tab w:val="left" w:pos="357"/>
                <w:tab w:val="left" w:pos="714"/>
                <w:tab w:val="left" w:pos="1071"/>
                <w:tab w:val="left" w:pos="1429"/>
              </w:tabs>
              <w:spacing w:after="60" w:line="280" w:lineRule="exact"/>
              <w:ind w:right="40"/>
              <w:jc w:val="right"/>
              <w:rPr>
                <w:rFonts w:hAnsi="SimSun"/>
                <w:sz w:val="17"/>
              </w:rPr>
            </w:pPr>
            <w:r>
              <w:rPr>
                <w:rFonts w:hAnsi="SimSun"/>
                <w:sz w:val="17"/>
              </w:rPr>
              <w:t>82.2</w:t>
            </w:r>
          </w:p>
        </w:tc>
      </w:tr>
      <w:tr w:rsidR="00320E49">
        <w:tblPrEx>
          <w:tblCellMar>
            <w:top w:w="0" w:type="dxa"/>
            <w:bottom w:w="0" w:type="dxa"/>
          </w:tblCellMar>
        </w:tblPrEx>
        <w:tc>
          <w:tcPr>
            <w:tcW w:w="501" w:type="pct"/>
            <w:tcBorders>
              <w:bottom w:val="single" w:sz="12" w:space="0" w:color="auto"/>
            </w:tcBorders>
            <w:vAlign w:val="bottom"/>
          </w:tcPr>
          <w:p w:rsidR="00320E49" w:rsidRDefault="00320E49">
            <w:pPr>
              <w:pStyle w:val="PlainText"/>
              <w:tabs>
                <w:tab w:val="left" w:pos="357"/>
                <w:tab w:val="left" w:pos="714"/>
                <w:tab w:val="left" w:pos="1071"/>
                <w:tab w:val="left" w:pos="1429"/>
              </w:tabs>
              <w:spacing w:after="60" w:line="280" w:lineRule="exact"/>
              <w:ind w:right="40"/>
              <w:rPr>
                <w:rFonts w:ascii="Times New Roman"/>
                <w:sz w:val="17"/>
              </w:rPr>
            </w:pPr>
          </w:p>
        </w:tc>
        <w:tc>
          <w:tcPr>
            <w:tcW w:w="855" w:type="pct"/>
            <w:tcBorders>
              <w:bottom w:val="single" w:sz="12" w:space="0" w:color="auto"/>
            </w:tcBorders>
            <w:vAlign w:val="bottom"/>
          </w:tcPr>
          <w:p w:rsidR="00320E49" w:rsidRDefault="00320E49">
            <w:pPr>
              <w:pStyle w:val="PlainText"/>
              <w:tabs>
                <w:tab w:val="left" w:pos="357"/>
                <w:tab w:val="left" w:pos="714"/>
                <w:tab w:val="left" w:pos="1071"/>
                <w:tab w:val="left" w:pos="1429"/>
              </w:tabs>
              <w:spacing w:after="60" w:line="280" w:lineRule="exact"/>
              <w:ind w:right="40"/>
              <w:jc w:val="right"/>
              <w:rPr>
                <w:rFonts w:hAnsi="SimSun"/>
                <w:b/>
                <w:bCs/>
                <w:color w:val="FF0000"/>
                <w:sz w:val="17"/>
              </w:rPr>
            </w:pPr>
            <w:r>
              <w:rPr>
                <w:rFonts w:hAnsi="SimSun"/>
                <w:b/>
                <w:bCs/>
                <w:color w:val="FF0000"/>
                <w:sz w:val="17"/>
              </w:rPr>
              <w:t>15-17</w:t>
            </w:r>
          </w:p>
        </w:tc>
        <w:tc>
          <w:tcPr>
            <w:tcW w:w="1215" w:type="pct"/>
            <w:tcBorders>
              <w:bottom w:val="single" w:sz="12" w:space="0" w:color="auto"/>
            </w:tcBorders>
            <w:vAlign w:val="bottom"/>
          </w:tcPr>
          <w:p w:rsidR="00320E49" w:rsidRDefault="00320E49">
            <w:pPr>
              <w:pStyle w:val="PlainText"/>
              <w:tabs>
                <w:tab w:val="left" w:pos="357"/>
                <w:tab w:val="left" w:pos="714"/>
                <w:tab w:val="left" w:pos="1071"/>
                <w:tab w:val="left" w:pos="1429"/>
              </w:tabs>
              <w:spacing w:after="60" w:line="280" w:lineRule="exact"/>
              <w:ind w:right="40"/>
              <w:jc w:val="right"/>
              <w:rPr>
                <w:rFonts w:hAnsi="SimSun"/>
                <w:sz w:val="17"/>
              </w:rPr>
            </w:pPr>
            <w:r>
              <w:rPr>
                <w:rFonts w:hAnsi="SimSun"/>
                <w:sz w:val="17"/>
              </w:rPr>
              <w:t>58.2</w:t>
            </w:r>
          </w:p>
        </w:tc>
        <w:tc>
          <w:tcPr>
            <w:tcW w:w="1215" w:type="pct"/>
            <w:tcBorders>
              <w:bottom w:val="single" w:sz="12" w:space="0" w:color="auto"/>
            </w:tcBorders>
            <w:vAlign w:val="bottom"/>
          </w:tcPr>
          <w:p w:rsidR="00320E49" w:rsidRDefault="00320E49">
            <w:pPr>
              <w:pStyle w:val="PlainText"/>
              <w:tabs>
                <w:tab w:val="left" w:pos="357"/>
                <w:tab w:val="left" w:pos="714"/>
                <w:tab w:val="left" w:pos="1071"/>
                <w:tab w:val="left" w:pos="1429"/>
              </w:tabs>
              <w:spacing w:after="60" w:line="280" w:lineRule="exact"/>
              <w:ind w:right="40"/>
              <w:jc w:val="right"/>
              <w:rPr>
                <w:rFonts w:hAnsi="SimSun"/>
                <w:sz w:val="17"/>
              </w:rPr>
            </w:pPr>
            <w:r>
              <w:rPr>
                <w:rFonts w:hAnsi="SimSun"/>
                <w:sz w:val="17"/>
              </w:rPr>
              <w:t>64.5</w:t>
            </w:r>
          </w:p>
        </w:tc>
        <w:tc>
          <w:tcPr>
            <w:tcW w:w="1215" w:type="pct"/>
            <w:tcBorders>
              <w:bottom w:val="single" w:sz="12" w:space="0" w:color="auto"/>
            </w:tcBorders>
            <w:vAlign w:val="bottom"/>
          </w:tcPr>
          <w:p w:rsidR="00320E49" w:rsidRDefault="00320E49">
            <w:pPr>
              <w:pStyle w:val="PlainText"/>
              <w:tabs>
                <w:tab w:val="left" w:pos="357"/>
                <w:tab w:val="left" w:pos="714"/>
                <w:tab w:val="left" w:pos="1071"/>
                <w:tab w:val="left" w:pos="1429"/>
              </w:tabs>
              <w:spacing w:after="60" w:line="280" w:lineRule="exact"/>
              <w:ind w:right="40"/>
              <w:jc w:val="right"/>
              <w:rPr>
                <w:rFonts w:hAnsi="SimSun"/>
                <w:sz w:val="17"/>
              </w:rPr>
            </w:pPr>
            <w:r>
              <w:rPr>
                <w:rFonts w:hAnsi="SimSun"/>
                <w:sz w:val="17"/>
              </w:rPr>
              <w:t>47.8</w:t>
            </w:r>
          </w:p>
        </w:tc>
      </w:tr>
    </w:tbl>
    <w:p w:rsidR="00320E49" w:rsidRDefault="00320E49">
      <w:pPr>
        <w:pStyle w:val="SingleTxt"/>
        <w:spacing w:before="120" w:after="240"/>
        <w:rPr>
          <w:rFonts w:hint="eastAsia"/>
          <w:sz w:val="18"/>
        </w:rPr>
      </w:pPr>
      <w:r>
        <w:rPr>
          <w:rFonts w:ascii="KaiTi_GB2312" w:eastAsia="KaiTi_GB2312" w:hint="eastAsia"/>
          <w:sz w:val="18"/>
        </w:rPr>
        <w:t>资料来源：</w:t>
      </w:r>
      <w:r>
        <w:rPr>
          <w:rFonts w:hint="eastAsia"/>
          <w:sz w:val="18"/>
        </w:rPr>
        <w:t>《童工调查，1999年》，国家统计所。</w:t>
      </w:r>
    </w:p>
    <w:p w:rsidR="00320E49" w:rsidRDefault="00320E49">
      <w:pPr>
        <w:pStyle w:val="SingleTxt"/>
        <w:rPr>
          <w:rFonts w:ascii="SimHei" w:eastAsia="SimHei" w:hint="eastAsia"/>
          <w:color w:val="FF0000"/>
        </w:rPr>
      </w:pPr>
      <w:r>
        <w:rPr>
          <w:rFonts w:ascii="SimHei" w:eastAsia="SimHei" w:hint="eastAsia"/>
          <w:color w:val="FF0000"/>
        </w:rPr>
        <w:t>表3.  1999年儿童不上学的原因(%)</w:t>
      </w:r>
    </w:p>
    <w:tbl>
      <w:tblPr>
        <w:tblW w:w="3687" w:type="pct"/>
        <w:tblInd w:w="1251" w:type="dxa"/>
        <w:tblCellMar>
          <w:left w:w="0" w:type="dxa"/>
          <w:right w:w="0" w:type="dxa"/>
        </w:tblCellMar>
        <w:tblLook w:val="0000" w:firstRow="0" w:lastRow="0" w:firstColumn="0" w:lastColumn="0" w:noHBand="0" w:noVBand="0"/>
      </w:tblPr>
      <w:tblGrid>
        <w:gridCol w:w="1710"/>
        <w:gridCol w:w="927"/>
        <w:gridCol w:w="931"/>
        <w:gridCol w:w="84"/>
        <w:gridCol w:w="837"/>
        <w:gridCol w:w="927"/>
        <w:gridCol w:w="94"/>
        <w:gridCol w:w="831"/>
        <w:gridCol w:w="924"/>
      </w:tblGrid>
      <w:tr w:rsidR="00320E49">
        <w:tblPrEx>
          <w:tblCellMar>
            <w:top w:w="0" w:type="dxa"/>
            <w:bottom w:w="0" w:type="dxa"/>
          </w:tblCellMar>
        </w:tblPrEx>
        <w:trPr>
          <w:cantSplit/>
          <w:tblHeader/>
        </w:trPr>
        <w:tc>
          <w:tcPr>
            <w:tcW w:w="1176" w:type="pct"/>
            <w:tcBorders>
              <w:top w:val="single" w:sz="2" w:space="0" w:color="auto"/>
            </w:tcBorders>
            <w:vAlign w:val="bottom"/>
          </w:tcPr>
          <w:p w:rsidR="00320E49" w:rsidRDefault="00320E49">
            <w:pPr>
              <w:pStyle w:val="PlainText"/>
              <w:spacing w:before="60" w:after="60" w:line="240" w:lineRule="exact"/>
              <w:ind w:right="40"/>
              <w:rPr>
                <w:rFonts w:ascii="Times New Roman" w:eastAsia="KaiTi_GB2312"/>
                <w:color w:val="0000FF"/>
                <w:sz w:val="14"/>
              </w:rPr>
            </w:pPr>
          </w:p>
        </w:tc>
        <w:tc>
          <w:tcPr>
            <w:tcW w:w="1279" w:type="pct"/>
            <w:gridSpan w:val="2"/>
            <w:tcBorders>
              <w:top w:val="single" w:sz="2" w:space="0" w:color="auto"/>
              <w:bottom w:val="single" w:sz="4" w:space="0" w:color="auto"/>
            </w:tcBorders>
            <w:vAlign w:val="bottom"/>
          </w:tcPr>
          <w:p w:rsidR="00320E49" w:rsidRDefault="00320E49">
            <w:pPr>
              <w:pStyle w:val="PlainText"/>
              <w:spacing w:before="60" w:after="60" w:line="240" w:lineRule="exact"/>
              <w:ind w:right="40"/>
              <w:jc w:val="center"/>
              <w:rPr>
                <w:rFonts w:ascii="Times New Roman" w:eastAsia="KaiTi_GB2312" w:hint="eastAsia"/>
                <w:color w:val="0000FF"/>
                <w:sz w:val="14"/>
              </w:rPr>
            </w:pPr>
            <w:r>
              <w:rPr>
                <w:rFonts w:ascii="Times New Roman" w:eastAsia="KaiTi_GB2312" w:hint="eastAsia"/>
                <w:color w:val="0000FF"/>
                <w:sz w:val="14"/>
              </w:rPr>
              <w:t>土耳其</w:t>
            </w:r>
          </w:p>
        </w:tc>
        <w:tc>
          <w:tcPr>
            <w:tcW w:w="58" w:type="pct"/>
            <w:tcBorders>
              <w:top w:val="single" w:sz="2" w:space="0" w:color="auto"/>
            </w:tcBorders>
            <w:vAlign w:val="bottom"/>
          </w:tcPr>
          <w:p w:rsidR="00320E49" w:rsidRDefault="00320E49">
            <w:pPr>
              <w:pStyle w:val="PlainText"/>
              <w:spacing w:before="60" w:after="60" w:line="240" w:lineRule="exact"/>
              <w:ind w:right="40"/>
              <w:jc w:val="center"/>
              <w:rPr>
                <w:rFonts w:ascii="Times New Roman" w:eastAsia="KaiTi_GB2312" w:hint="eastAsia"/>
                <w:color w:val="0000FF"/>
                <w:sz w:val="14"/>
              </w:rPr>
            </w:pPr>
          </w:p>
        </w:tc>
        <w:tc>
          <w:tcPr>
            <w:tcW w:w="1214" w:type="pct"/>
            <w:gridSpan w:val="2"/>
            <w:tcBorders>
              <w:top w:val="single" w:sz="2" w:space="0" w:color="auto"/>
              <w:bottom w:val="single" w:sz="4" w:space="0" w:color="auto"/>
            </w:tcBorders>
            <w:vAlign w:val="bottom"/>
          </w:tcPr>
          <w:p w:rsidR="00320E49" w:rsidRDefault="00320E49">
            <w:pPr>
              <w:pStyle w:val="PlainText"/>
              <w:spacing w:before="60" w:after="60" w:line="240" w:lineRule="exact"/>
              <w:ind w:right="40"/>
              <w:jc w:val="center"/>
              <w:rPr>
                <w:rFonts w:ascii="Times New Roman" w:eastAsia="KaiTi_GB2312" w:hint="eastAsia"/>
                <w:color w:val="0000FF"/>
                <w:sz w:val="14"/>
              </w:rPr>
            </w:pPr>
            <w:r>
              <w:rPr>
                <w:rFonts w:ascii="Times New Roman" w:eastAsia="KaiTi_GB2312" w:hint="eastAsia"/>
                <w:color w:val="0000FF"/>
                <w:sz w:val="14"/>
              </w:rPr>
              <w:t>城市</w:t>
            </w:r>
          </w:p>
        </w:tc>
        <w:tc>
          <w:tcPr>
            <w:tcW w:w="65" w:type="pct"/>
            <w:tcBorders>
              <w:top w:val="single" w:sz="2" w:space="0" w:color="auto"/>
            </w:tcBorders>
            <w:vAlign w:val="bottom"/>
          </w:tcPr>
          <w:p w:rsidR="00320E49" w:rsidRDefault="00320E49">
            <w:pPr>
              <w:pStyle w:val="PlainText"/>
              <w:spacing w:before="60" w:after="60" w:line="240" w:lineRule="exact"/>
              <w:ind w:right="40"/>
              <w:jc w:val="center"/>
              <w:rPr>
                <w:rFonts w:ascii="Times New Roman" w:eastAsia="KaiTi_GB2312" w:hint="eastAsia"/>
                <w:color w:val="0000FF"/>
                <w:sz w:val="14"/>
              </w:rPr>
            </w:pPr>
          </w:p>
        </w:tc>
        <w:tc>
          <w:tcPr>
            <w:tcW w:w="1209" w:type="pct"/>
            <w:gridSpan w:val="2"/>
            <w:tcBorders>
              <w:top w:val="single" w:sz="2" w:space="0" w:color="auto"/>
              <w:bottom w:val="single" w:sz="4" w:space="0" w:color="auto"/>
            </w:tcBorders>
            <w:vAlign w:val="bottom"/>
          </w:tcPr>
          <w:p w:rsidR="00320E49" w:rsidRDefault="00320E49">
            <w:pPr>
              <w:pStyle w:val="PlainText"/>
              <w:spacing w:before="60" w:after="60" w:line="240" w:lineRule="exact"/>
              <w:ind w:right="40"/>
              <w:jc w:val="center"/>
              <w:rPr>
                <w:rFonts w:ascii="Times New Roman" w:eastAsia="KaiTi_GB2312" w:hint="eastAsia"/>
                <w:color w:val="0000FF"/>
                <w:sz w:val="14"/>
              </w:rPr>
            </w:pPr>
            <w:r>
              <w:rPr>
                <w:rFonts w:ascii="Times New Roman" w:eastAsia="KaiTi_GB2312" w:hint="eastAsia"/>
                <w:color w:val="0000FF"/>
                <w:sz w:val="14"/>
              </w:rPr>
              <w:t>农村</w:t>
            </w:r>
          </w:p>
        </w:tc>
      </w:tr>
      <w:tr w:rsidR="00320E49">
        <w:tblPrEx>
          <w:tblCellMar>
            <w:top w:w="0" w:type="dxa"/>
            <w:bottom w:w="0" w:type="dxa"/>
          </w:tblCellMar>
        </w:tblPrEx>
        <w:trPr>
          <w:tblHeader/>
        </w:trPr>
        <w:tc>
          <w:tcPr>
            <w:tcW w:w="1176" w:type="pct"/>
            <w:tcBorders>
              <w:bottom w:val="single" w:sz="12" w:space="0" w:color="auto"/>
            </w:tcBorders>
            <w:vAlign w:val="bottom"/>
          </w:tcPr>
          <w:p w:rsidR="00320E49" w:rsidRDefault="00320E49">
            <w:pPr>
              <w:pStyle w:val="PlainText"/>
              <w:spacing w:after="60" w:line="240" w:lineRule="exact"/>
              <w:ind w:right="40"/>
              <w:rPr>
                <w:rFonts w:ascii="Times New Roman" w:eastAsia="KaiTi_GB2312"/>
                <w:color w:val="0000FF"/>
                <w:sz w:val="14"/>
              </w:rPr>
            </w:pPr>
          </w:p>
        </w:tc>
        <w:tc>
          <w:tcPr>
            <w:tcW w:w="638" w:type="pct"/>
            <w:tcBorders>
              <w:bottom w:val="single" w:sz="12" w:space="0" w:color="auto"/>
            </w:tcBorders>
            <w:vAlign w:val="bottom"/>
          </w:tcPr>
          <w:p w:rsidR="00320E49" w:rsidRDefault="00320E49">
            <w:pPr>
              <w:pStyle w:val="PlainText"/>
              <w:spacing w:after="60" w:line="240" w:lineRule="exact"/>
              <w:ind w:right="40"/>
              <w:jc w:val="right"/>
              <w:rPr>
                <w:rFonts w:ascii="Times New Roman" w:eastAsia="KaiTi_GB2312" w:hint="eastAsia"/>
                <w:color w:val="0000FF"/>
                <w:sz w:val="14"/>
              </w:rPr>
            </w:pPr>
            <w:r>
              <w:rPr>
                <w:rFonts w:ascii="Times New Roman" w:eastAsia="KaiTi_GB2312" w:hint="eastAsia"/>
                <w:color w:val="0000FF"/>
                <w:sz w:val="14"/>
              </w:rPr>
              <w:t>女</w:t>
            </w:r>
          </w:p>
        </w:tc>
        <w:tc>
          <w:tcPr>
            <w:tcW w:w="699" w:type="pct"/>
            <w:gridSpan w:val="2"/>
            <w:tcBorders>
              <w:bottom w:val="single" w:sz="12" w:space="0" w:color="auto"/>
            </w:tcBorders>
            <w:vAlign w:val="bottom"/>
          </w:tcPr>
          <w:p w:rsidR="00320E49" w:rsidRDefault="00320E49">
            <w:pPr>
              <w:pStyle w:val="PlainText"/>
              <w:spacing w:after="60" w:line="240" w:lineRule="exact"/>
              <w:ind w:right="57"/>
              <w:jc w:val="right"/>
              <w:rPr>
                <w:rFonts w:ascii="Times New Roman" w:eastAsia="KaiTi_GB2312" w:hint="eastAsia"/>
                <w:color w:val="0000FF"/>
                <w:sz w:val="14"/>
              </w:rPr>
            </w:pPr>
            <w:r>
              <w:rPr>
                <w:rFonts w:ascii="Times New Roman" w:eastAsia="KaiTi_GB2312" w:hint="eastAsia"/>
                <w:color w:val="0000FF"/>
                <w:sz w:val="14"/>
              </w:rPr>
              <w:t>男</w:t>
            </w:r>
          </w:p>
        </w:tc>
        <w:tc>
          <w:tcPr>
            <w:tcW w:w="576" w:type="pct"/>
            <w:tcBorders>
              <w:top w:val="single" w:sz="4" w:space="0" w:color="auto"/>
              <w:bottom w:val="single" w:sz="12" w:space="0" w:color="auto"/>
            </w:tcBorders>
            <w:vAlign w:val="bottom"/>
          </w:tcPr>
          <w:p w:rsidR="00320E49" w:rsidRDefault="00320E49">
            <w:pPr>
              <w:pStyle w:val="PlainText"/>
              <w:spacing w:after="60" w:line="240" w:lineRule="exact"/>
              <w:ind w:right="40"/>
              <w:jc w:val="right"/>
              <w:rPr>
                <w:rFonts w:ascii="Times New Roman" w:eastAsia="KaiTi_GB2312" w:hint="eastAsia"/>
                <w:color w:val="0000FF"/>
                <w:sz w:val="14"/>
              </w:rPr>
            </w:pPr>
            <w:r>
              <w:rPr>
                <w:rFonts w:ascii="Times New Roman" w:eastAsia="KaiTi_GB2312" w:hint="eastAsia"/>
                <w:color w:val="0000FF"/>
                <w:sz w:val="14"/>
              </w:rPr>
              <w:t>女</w:t>
            </w:r>
          </w:p>
        </w:tc>
        <w:tc>
          <w:tcPr>
            <w:tcW w:w="638" w:type="pct"/>
            <w:tcBorders>
              <w:top w:val="single" w:sz="4" w:space="0" w:color="auto"/>
              <w:bottom w:val="single" w:sz="12" w:space="0" w:color="auto"/>
            </w:tcBorders>
            <w:vAlign w:val="bottom"/>
          </w:tcPr>
          <w:p w:rsidR="00320E49" w:rsidRDefault="00320E49">
            <w:pPr>
              <w:pStyle w:val="PlainText"/>
              <w:spacing w:after="60" w:line="240" w:lineRule="exact"/>
              <w:ind w:right="40"/>
              <w:jc w:val="right"/>
              <w:rPr>
                <w:rFonts w:ascii="Times New Roman" w:eastAsia="KaiTi_GB2312" w:hint="eastAsia"/>
                <w:color w:val="0000FF"/>
                <w:sz w:val="14"/>
              </w:rPr>
            </w:pPr>
            <w:r>
              <w:rPr>
                <w:rFonts w:ascii="Times New Roman" w:eastAsia="KaiTi_GB2312" w:hint="eastAsia"/>
                <w:color w:val="0000FF"/>
                <w:sz w:val="14"/>
              </w:rPr>
              <w:t>男</w:t>
            </w:r>
          </w:p>
        </w:tc>
        <w:tc>
          <w:tcPr>
            <w:tcW w:w="637" w:type="pct"/>
            <w:gridSpan w:val="2"/>
            <w:tcBorders>
              <w:bottom w:val="single" w:sz="12" w:space="0" w:color="auto"/>
            </w:tcBorders>
            <w:vAlign w:val="bottom"/>
          </w:tcPr>
          <w:p w:rsidR="00320E49" w:rsidRDefault="00320E49">
            <w:pPr>
              <w:pStyle w:val="PlainText"/>
              <w:spacing w:after="60" w:line="240" w:lineRule="exact"/>
              <w:ind w:right="40"/>
              <w:jc w:val="right"/>
              <w:rPr>
                <w:rFonts w:ascii="Times New Roman" w:eastAsia="KaiTi_GB2312" w:hint="eastAsia"/>
                <w:color w:val="0000FF"/>
                <w:sz w:val="14"/>
              </w:rPr>
            </w:pPr>
            <w:r>
              <w:rPr>
                <w:rFonts w:ascii="Times New Roman" w:eastAsia="KaiTi_GB2312" w:hint="eastAsia"/>
                <w:color w:val="0000FF"/>
                <w:sz w:val="14"/>
              </w:rPr>
              <w:t>女</w:t>
            </w:r>
          </w:p>
        </w:tc>
        <w:tc>
          <w:tcPr>
            <w:tcW w:w="636" w:type="pct"/>
            <w:tcBorders>
              <w:bottom w:val="single" w:sz="12" w:space="0" w:color="auto"/>
            </w:tcBorders>
            <w:vAlign w:val="bottom"/>
          </w:tcPr>
          <w:p w:rsidR="00320E49" w:rsidRDefault="00320E49">
            <w:pPr>
              <w:pStyle w:val="PlainText"/>
              <w:spacing w:after="60" w:line="240" w:lineRule="exact"/>
              <w:ind w:right="40"/>
              <w:jc w:val="right"/>
              <w:rPr>
                <w:rFonts w:ascii="Times New Roman" w:eastAsia="KaiTi_GB2312" w:hint="eastAsia"/>
                <w:color w:val="0000FF"/>
                <w:sz w:val="14"/>
              </w:rPr>
            </w:pPr>
            <w:r>
              <w:rPr>
                <w:rFonts w:ascii="Times New Roman" w:eastAsia="KaiTi_GB2312" w:hint="eastAsia"/>
                <w:color w:val="0000FF"/>
                <w:sz w:val="14"/>
              </w:rPr>
              <w:t>男</w:t>
            </w:r>
          </w:p>
        </w:tc>
      </w:tr>
      <w:tr w:rsidR="00320E49">
        <w:tblPrEx>
          <w:tblCellMar>
            <w:top w:w="0" w:type="dxa"/>
            <w:bottom w:w="0" w:type="dxa"/>
          </w:tblCellMar>
        </w:tblPrEx>
        <w:trPr>
          <w:trHeight w:hRule="exact" w:val="115"/>
          <w:tblHeader/>
        </w:trPr>
        <w:tc>
          <w:tcPr>
            <w:tcW w:w="1176" w:type="pct"/>
            <w:tcBorders>
              <w:top w:val="single" w:sz="12" w:space="0" w:color="auto"/>
            </w:tcBorders>
            <w:vAlign w:val="bottom"/>
          </w:tcPr>
          <w:p w:rsidR="00320E49" w:rsidRDefault="00320E49">
            <w:pPr>
              <w:pStyle w:val="PlainText"/>
              <w:spacing w:after="60" w:line="280" w:lineRule="exact"/>
              <w:ind w:right="40"/>
              <w:rPr>
                <w:rFonts w:ascii="Times New Roman" w:hint="eastAsia"/>
                <w:sz w:val="17"/>
              </w:rPr>
            </w:pPr>
          </w:p>
        </w:tc>
        <w:tc>
          <w:tcPr>
            <w:tcW w:w="638" w:type="pct"/>
            <w:tcBorders>
              <w:top w:val="single" w:sz="12" w:space="0" w:color="auto"/>
            </w:tcBorders>
            <w:vAlign w:val="bottom"/>
          </w:tcPr>
          <w:p w:rsidR="00320E49" w:rsidRDefault="00320E49">
            <w:pPr>
              <w:pStyle w:val="PlainText"/>
              <w:spacing w:after="60" w:line="280" w:lineRule="exact"/>
              <w:ind w:right="40"/>
              <w:jc w:val="center"/>
              <w:rPr>
                <w:rFonts w:ascii="Times New Roman"/>
                <w:sz w:val="17"/>
              </w:rPr>
            </w:pPr>
          </w:p>
        </w:tc>
        <w:tc>
          <w:tcPr>
            <w:tcW w:w="699" w:type="pct"/>
            <w:gridSpan w:val="2"/>
            <w:tcBorders>
              <w:top w:val="single" w:sz="12" w:space="0" w:color="auto"/>
            </w:tcBorders>
            <w:vAlign w:val="bottom"/>
          </w:tcPr>
          <w:p w:rsidR="00320E49" w:rsidRDefault="00320E49">
            <w:pPr>
              <w:pStyle w:val="PlainText"/>
              <w:spacing w:after="60" w:line="280" w:lineRule="exact"/>
              <w:ind w:right="57"/>
              <w:jc w:val="center"/>
              <w:rPr>
                <w:rFonts w:ascii="Times New Roman"/>
                <w:sz w:val="17"/>
              </w:rPr>
            </w:pPr>
          </w:p>
        </w:tc>
        <w:tc>
          <w:tcPr>
            <w:tcW w:w="576" w:type="pct"/>
            <w:tcBorders>
              <w:top w:val="single" w:sz="12" w:space="0" w:color="auto"/>
            </w:tcBorders>
            <w:vAlign w:val="bottom"/>
          </w:tcPr>
          <w:p w:rsidR="00320E49" w:rsidRDefault="00320E49">
            <w:pPr>
              <w:pStyle w:val="PlainText"/>
              <w:spacing w:after="60" w:line="280" w:lineRule="exact"/>
              <w:ind w:right="40"/>
              <w:jc w:val="center"/>
              <w:rPr>
                <w:rFonts w:ascii="Times New Roman"/>
                <w:sz w:val="17"/>
              </w:rPr>
            </w:pPr>
          </w:p>
        </w:tc>
        <w:tc>
          <w:tcPr>
            <w:tcW w:w="638" w:type="pct"/>
            <w:tcBorders>
              <w:top w:val="single" w:sz="12" w:space="0" w:color="auto"/>
            </w:tcBorders>
            <w:vAlign w:val="bottom"/>
          </w:tcPr>
          <w:p w:rsidR="00320E49" w:rsidRDefault="00320E49">
            <w:pPr>
              <w:pStyle w:val="PlainText"/>
              <w:spacing w:after="60" w:line="280" w:lineRule="exact"/>
              <w:ind w:right="40"/>
              <w:jc w:val="center"/>
              <w:rPr>
                <w:rFonts w:ascii="Times New Roman"/>
                <w:sz w:val="17"/>
              </w:rPr>
            </w:pPr>
          </w:p>
        </w:tc>
        <w:tc>
          <w:tcPr>
            <w:tcW w:w="637" w:type="pct"/>
            <w:gridSpan w:val="2"/>
            <w:tcBorders>
              <w:top w:val="single" w:sz="12" w:space="0" w:color="auto"/>
            </w:tcBorders>
            <w:vAlign w:val="bottom"/>
          </w:tcPr>
          <w:p w:rsidR="00320E49" w:rsidRDefault="00320E49">
            <w:pPr>
              <w:pStyle w:val="PlainText"/>
              <w:spacing w:after="60" w:line="280" w:lineRule="exact"/>
              <w:ind w:right="40"/>
              <w:jc w:val="center"/>
              <w:rPr>
                <w:rFonts w:ascii="Times New Roman"/>
                <w:sz w:val="17"/>
              </w:rPr>
            </w:pPr>
          </w:p>
        </w:tc>
        <w:tc>
          <w:tcPr>
            <w:tcW w:w="636" w:type="pct"/>
            <w:tcBorders>
              <w:top w:val="single" w:sz="12" w:space="0" w:color="auto"/>
            </w:tcBorders>
            <w:vAlign w:val="bottom"/>
          </w:tcPr>
          <w:p w:rsidR="00320E49" w:rsidRDefault="00320E49">
            <w:pPr>
              <w:pStyle w:val="PlainText"/>
              <w:spacing w:after="60" w:line="280" w:lineRule="exact"/>
              <w:ind w:right="40"/>
              <w:jc w:val="center"/>
              <w:rPr>
                <w:rFonts w:ascii="Times New Roman"/>
                <w:sz w:val="17"/>
              </w:rPr>
            </w:pPr>
          </w:p>
        </w:tc>
      </w:tr>
      <w:tr w:rsidR="00320E49">
        <w:tblPrEx>
          <w:tblCellMar>
            <w:top w:w="0" w:type="dxa"/>
            <w:bottom w:w="0" w:type="dxa"/>
          </w:tblCellMar>
        </w:tblPrEx>
        <w:tc>
          <w:tcPr>
            <w:tcW w:w="1176" w:type="pct"/>
            <w:vAlign w:val="bottom"/>
          </w:tcPr>
          <w:p w:rsidR="00320E49" w:rsidRDefault="00320E49">
            <w:pPr>
              <w:pStyle w:val="PlainText"/>
              <w:tabs>
                <w:tab w:val="left" w:pos="357"/>
                <w:tab w:val="left" w:pos="714"/>
                <w:tab w:val="left" w:pos="1071"/>
                <w:tab w:val="left" w:pos="1429"/>
              </w:tabs>
              <w:spacing w:after="60" w:line="280" w:lineRule="exact"/>
              <w:ind w:right="40"/>
              <w:rPr>
                <w:rFonts w:ascii="Times New Roman" w:hint="eastAsia"/>
                <w:sz w:val="17"/>
              </w:rPr>
            </w:pPr>
            <w:r>
              <w:rPr>
                <w:rFonts w:ascii="Times New Roman" w:hint="eastAsia"/>
                <w:sz w:val="17"/>
              </w:rPr>
              <w:t>没有合适的教育机构</w:t>
            </w:r>
          </w:p>
        </w:tc>
        <w:tc>
          <w:tcPr>
            <w:tcW w:w="638" w:type="pct"/>
            <w:vAlign w:val="bottom"/>
          </w:tcPr>
          <w:p w:rsidR="00320E49" w:rsidRDefault="00320E49">
            <w:pPr>
              <w:pStyle w:val="PlainText"/>
              <w:tabs>
                <w:tab w:val="left" w:pos="357"/>
                <w:tab w:val="left" w:pos="714"/>
                <w:tab w:val="left" w:pos="1071"/>
                <w:tab w:val="left" w:pos="1429"/>
              </w:tabs>
              <w:spacing w:after="60" w:line="280" w:lineRule="exact"/>
              <w:ind w:right="40"/>
              <w:jc w:val="right"/>
              <w:rPr>
                <w:rFonts w:hAnsi="SimSun"/>
                <w:sz w:val="17"/>
              </w:rPr>
            </w:pPr>
            <w:r>
              <w:rPr>
                <w:rFonts w:hAnsi="SimSun"/>
                <w:sz w:val="17"/>
              </w:rPr>
              <w:t>9.1</w:t>
            </w:r>
          </w:p>
        </w:tc>
        <w:tc>
          <w:tcPr>
            <w:tcW w:w="699" w:type="pct"/>
            <w:gridSpan w:val="2"/>
            <w:vAlign w:val="bottom"/>
          </w:tcPr>
          <w:p w:rsidR="00320E49" w:rsidRDefault="00320E49">
            <w:pPr>
              <w:pStyle w:val="PlainText"/>
              <w:tabs>
                <w:tab w:val="left" w:pos="357"/>
                <w:tab w:val="left" w:pos="714"/>
                <w:tab w:val="left" w:pos="1071"/>
                <w:tab w:val="left" w:pos="1429"/>
              </w:tabs>
              <w:spacing w:after="60" w:line="280" w:lineRule="exact"/>
              <w:ind w:right="57"/>
              <w:jc w:val="right"/>
              <w:rPr>
                <w:rFonts w:hAnsi="SimSun"/>
                <w:sz w:val="17"/>
              </w:rPr>
            </w:pPr>
            <w:r>
              <w:rPr>
                <w:rFonts w:hAnsi="SimSun"/>
                <w:sz w:val="17"/>
              </w:rPr>
              <w:t>10.7</w:t>
            </w:r>
          </w:p>
        </w:tc>
        <w:tc>
          <w:tcPr>
            <w:tcW w:w="576" w:type="pct"/>
            <w:vAlign w:val="bottom"/>
          </w:tcPr>
          <w:p w:rsidR="00320E49" w:rsidRDefault="00320E49">
            <w:pPr>
              <w:pStyle w:val="PlainText"/>
              <w:tabs>
                <w:tab w:val="left" w:pos="357"/>
                <w:tab w:val="left" w:pos="714"/>
                <w:tab w:val="left" w:pos="1071"/>
                <w:tab w:val="left" w:pos="1429"/>
              </w:tabs>
              <w:spacing w:after="60" w:line="280" w:lineRule="exact"/>
              <w:ind w:right="40"/>
              <w:jc w:val="right"/>
              <w:rPr>
                <w:rFonts w:hAnsi="SimSun"/>
                <w:sz w:val="17"/>
              </w:rPr>
            </w:pPr>
            <w:r>
              <w:rPr>
                <w:rFonts w:hAnsi="SimSun"/>
                <w:sz w:val="17"/>
              </w:rPr>
              <w:t>7.0</w:t>
            </w:r>
          </w:p>
        </w:tc>
        <w:tc>
          <w:tcPr>
            <w:tcW w:w="638" w:type="pct"/>
            <w:vAlign w:val="bottom"/>
          </w:tcPr>
          <w:p w:rsidR="00320E49" w:rsidRDefault="00320E49">
            <w:pPr>
              <w:pStyle w:val="PlainText"/>
              <w:tabs>
                <w:tab w:val="left" w:pos="357"/>
                <w:tab w:val="left" w:pos="714"/>
                <w:tab w:val="left" w:pos="1071"/>
                <w:tab w:val="left" w:pos="1429"/>
              </w:tabs>
              <w:spacing w:after="60" w:line="280" w:lineRule="exact"/>
              <w:ind w:right="40"/>
              <w:jc w:val="right"/>
              <w:rPr>
                <w:rFonts w:hAnsi="SimSun"/>
                <w:sz w:val="17"/>
              </w:rPr>
            </w:pPr>
            <w:r>
              <w:rPr>
                <w:rFonts w:hAnsi="SimSun"/>
                <w:sz w:val="17"/>
              </w:rPr>
              <w:t>9.4</w:t>
            </w:r>
          </w:p>
        </w:tc>
        <w:tc>
          <w:tcPr>
            <w:tcW w:w="637" w:type="pct"/>
            <w:gridSpan w:val="2"/>
            <w:vAlign w:val="bottom"/>
          </w:tcPr>
          <w:p w:rsidR="00320E49" w:rsidRDefault="00320E49">
            <w:pPr>
              <w:pStyle w:val="PlainText"/>
              <w:tabs>
                <w:tab w:val="left" w:pos="357"/>
                <w:tab w:val="left" w:pos="714"/>
                <w:tab w:val="left" w:pos="1071"/>
                <w:tab w:val="left" w:pos="1429"/>
              </w:tabs>
              <w:spacing w:after="60" w:line="280" w:lineRule="exact"/>
              <w:ind w:right="40"/>
              <w:jc w:val="right"/>
              <w:rPr>
                <w:rFonts w:hAnsi="SimSun"/>
                <w:sz w:val="17"/>
              </w:rPr>
            </w:pPr>
            <w:r>
              <w:rPr>
                <w:rFonts w:hAnsi="SimSun"/>
                <w:sz w:val="17"/>
              </w:rPr>
              <w:t>10.9</w:t>
            </w:r>
          </w:p>
        </w:tc>
        <w:tc>
          <w:tcPr>
            <w:tcW w:w="636" w:type="pct"/>
            <w:vAlign w:val="bottom"/>
          </w:tcPr>
          <w:p w:rsidR="00320E49" w:rsidRDefault="00320E49">
            <w:pPr>
              <w:pStyle w:val="PlainText"/>
              <w:tabs>
                <w:tab w:val="left" w:pos="357"/>
                <w:tab w:val="left" w:pos="714"/>
                <w:tab w:val="left" w:pos="1071"/>
                <w:tab w:val="left" w:pos="1429"/>
              </w:tabs>
              <w:spacing w:after="60" w:line="280" w:lineRule="exact"/>
              <w:ind w:right="40"/>
              <w:jc w:val="right"/>
              <w:rPr>
                <w:rFonts w:hAnsi="SimSun"/>
                <w:sz w:val="17"/>
              </w:rPr>
            </w:pPr>
            <w:r>
              <w:rPr>
                <w:rFonts w:hAnsi="SimSun"/>
                <w:sz w:val="17"/>
              </w:rPr>
              <w:t>11.9</w:t>
            </w:r>
          </w:p>
        </w:tc>
      </w:tr>
      <w:tr w:rsidR="00320E49">
        <w:tblPrEx>
          <w:tblCellMar>
            <w:top w:w="0" w:type="dxa"/>
            <w:bottom w:w="0" w:type="dxa"/>
          </w:tblCellMar>
        </w:tblPrEx>
        <w:tc>
          <w:tcPr>
            <w:tcW w:w="1176" w:type="pct"/>
            <w:vAlign w:val="bottom"/>
          </w:tcPr>
          <w:p w:rsidR="00320E49" w:rsidRDefault="00320E49">
            <w:pPr>
              <w:pStyle w:val="PlainText"/>
              <w:tabs>
                <w:tab w:val="left" w:pos="357"/>
                <w:tab w:val="left" w:pos="714"/>
                <w:tab w:val="left" w:pos="1071"/>
                <w:tab w:val="left" w:pos="1429"/>
              </w:tabs>
              <w:spacing w:after="60" w:line="280" w:lineRule="exact"/>
              <w:ind w:right="40"/>
              <w:rPr>
                <w:rFonts w:ascii="Times New Roman" w:hint="eastAsia"/>
                <w:sz w:val="17"/>
              </w:rPr>
            </w:pPr>
            <w:r>
              <w:rPr>
                <w:rFonts w:ascii="Times New Roman" w:hint="eastAsia"/>
                <w:sz w:val="17"/>
              </w:rPr>
              <w:t>对学校不感兴趣</w:t>
            </w:r>
          </w:p>
        </w:tc>
        <w:tc>
          <w:tcPr>
            <w:tcW w:w="638" w:type="pct"/>
            <w:vAlign w:val="bottom"/>
          </w:tcPr>
          <w:p w:rsidR="00320E49" w:rsidRDefault="00320E49">
            <w:pPr>
              <w:pStyle w:val="PlainText"/>
              <w:tabs>
                <w:tab w:val="left" w:pos="357"/>
                <w:tab w:val="left" w:pos="714"/>
                <w:tab w:val="left" w:pos="1071"/>
                <w:tab w:val="left" w:pos="1429"/>
              </w:tabs>
              <w:spacing w:after="60" w:line="280" w:lineRule="exact"/>
              <w:ind w:right="40"/>
              <w:jc w:val="right"/>
              <w:rPr>
                <w:rFonts w:hAnsi="SimSun"/>
                <w:sz w:val="17"/>
              </w:rPr>
            </w:pPr>
            <w:r>
              <w:rPr>
                <w:rFonts w:hAnsi="SimSun"/>
                <w:sz w:val="17"/>
              </w:rPr>
              <w:t>27.0</w:t>
            </w:r>
          </w:p>
        </w:tc>
        <w:tc>
          <w:tcPr>
            <w:tcW w:w="699" w:type="pct"/>
            <w:gridSpan w:val="2"/>
            <w:vAlign w:val="bottom"/>
          </w:tcPr>
          <w:p w:rsidR="00320E49" w:rsidRDefault="00320E49">
            <w:pPr>
              <w:pStyle w:val="PlainText"/>
              <w:tabs>
                <w:tab w:val="left" w:pos="357"/>
                <w:tab w:val="left" w:pos="714"/>
                <w:tab w:val="left" w:pos="1071"/>
                <w:tab w:val="left" w:pos="1429"/>
              </w:tabs>
              <w:spacing w:after="60" w:line="280" w:lineRule="exact"/>
              <w:ind w:right="57"/>
              <w:jc w:val="right"/>
              <w:rPr>
                <w:rFonts w:hAnsi="SimSun"/>
                <w:sz w:val="17"/>
              </w:rPr>
            </w:pPr>
            <w:r>
              <w:rPr>
                <w:rFonts w:hAnsi="SimSun"/>
                <w:sz w:val="17"/>
              </w:rPr>
              <w:t>36.5</w:t>
            </w:r>
          </w:p>
        </w:tc>
        <w:tc>
          <w:tcPr>
            <w:tcW w:w="576" w:type="pct"/>
            <w:vAlign w:val="bottom"/>
          </w:tcPr>
          <w:p w:rsidR="00320E49" w:rsidRDefault="00320E49">
            <w:pPr>
              <w:pStyle w:val="PlainText"/>
              <w:tabs>
                <w:tab w:val="left" w:pos="357"/>
                <w:tab w:val="left" w:pos="714"/>
                <w:tab w:val="left" w:pos="1071"/>
                <w:tab w:val="left" w:pos="1429"/>
              </w:tabs>
              <w:spacing w:after="60" w:line="280" w:lineRule="exact"/>
              <w:ind w:right="40"/>
              <w:jc w:val="right"/>
              <w:rPr>
                <w:rFonts w:hAnsi="SimSun"/>
                <w:sz w:val="17"/>
              </w:rPr>
            </w:pPr>
            <w:r>
              <w:rPr>
                <w:rFonts w:hAnsi="SimSun"/>
                <w:sz w:val="17"/>
              </w:rPr>
              <w:t>25.5</w:t>
            </w:r>
          </w:p>
        </w:tc>
        <w:tc>
          <w:tcPr>
            <w:tcW w:w="638" w:type="pct"/>
            <w:vAlign w:val="bottom"/>
          </w:tcPr>
          <w:p w:rsidR="00320E49" w:rsidRDefault="00320E49">
            <w:pPr>
              <w:pStyle w:val="PlainText"/>
              <w:tabs>
                <w:tab w:val="left" w:pos="357"/>
                <w:tab w:val="left" w:pos="714"/>
                <w:tab w:val="left" w:pos="1071"/>
                <w:tab w:val="left" w:pos="1429"/>
              </w:tabs>
              <w:spacing w:after="60" w:line="280" w:lineRule="exact"/>
              <w:ind w:right="40"/>
              <w:jc w:val="right"/>
              <w:rPr>
                <w:rFonts w:hAnsi="SimSun"/>
                <w:sz w:val="17"/>
              </w:rPr>
            </w:pPr>
            <w:r>
              <w:rPr>
                <w:rFonts w:hAnsi="SimSun"/>
                <w:sz w:val="17"/>
              </w:rPr>
              <w:t>35.1</w:t>
            </w:r>
          </w:p>
        </w:tc>
        <w:tc>
          <w:tcPr>
            <w:tcW w:w="637" w:type="pct"/>
            <w:gridSpan w:val="2"/>
            <w:vAlign w:val="bottom"/>
          </w:tcPr>
          <w:p w:rsidR="00320E49" w:rsidRDefault="00320E49">
            <w:pPr>
              <w:pStyle w:val="PlainText"/>
              <w:tabs>
                <w:tab w:val="left" w:pos="357"/>
                <w:tab w:val="left" w:pos="714"/>
                <w:tab w:val="left" w:pos="1071"/>
                <w:tab w:val="left" w:pos="1429"/>
              </w:tabs>
              <w:spacing w:after="60" w:line="280" w:lineRule="exact"/>
              <w:ind w:right="40"/>
              <w:jc w:val="right"/>
              <w:rPr>
                <w:rFonts w:hAnsi="SimSun"/>
                <w:sz w:val="17"/>
              </w:rPr>
            </w:pPr>
            <w:r>
              <w:rPr>
                <w:rFonts w:hAnsi="SimSun"/>
                <w:sz w:val="17"/>
              </w:rPr>
              <w:t>28.4</w:t>
            </w:r>
          </w:p>
        </w:tc>
        <w:tc>
          <w:tcPr>
            <w:tcW w:w="636" w:type="pct"/>
            <w:vAlign w:val="bottom"/>
          </w:tcPr>
          <w:p w:rsidR="00320E49" w:rsidRDefault="00320E49">
            <w:pPr>
              <w:pStyle w:val="PlainText"/>
              <w:tabs>
                <w:tab w:val="left" w:pos="357"/>
                <w:tab w:val="left" w:pos="714"/>
                <w:tab w:val="left" w:pos="1071"/>
                <w:tab w:val="left" w:pos="1429"/>
              </w:tabs>
              <w:spacing w:after="60" w:line="280" w:lineRule="exact"/>
              <w:ind w:right="40"/>
              <w:jc w:val="right"/>
              <w:rPr>
                <w:rFonts w:hAnsi="SimSun"/>
                <w:sz w:val="17"/>
              </w:rPr>
            </w:pPr>
            <w:r>
              <w:rPr>
                <w:rFonts w:hAnsi="SimSun"/>
                <w:sz w:val="17"/>
              </w:rPr>
              <w:t>37.8</w:t>
            </w:r>
          </w:p>
        </w:tc>
      </w:tr>
      <w:tr w:rsidR="00320E49">
        <w:tblPrEx>
          <w:tblCellMar>
            <w:top w:w="0" w:type="dxa"/>
            <w:bottom w:w="0" w:type="dxa"/>
          </w:tblCellMar>
        </w:tblPrEx>
        <w:tc>
          <w:tcPr>
            <w:tcW w:w="1176" w:type="pct"/>
            <w:vAlign w:val="bottom"/>
          </w:tcPr>
          <w:p w:rsidR="00320E49" w:rsidRDefault="00320E49">
            <w:pPr>
              <w:pStyle w:val="PlainText"/>
              <w:tabs>
                <w:tab w:val="left" w:pos="357"/>
                <w:tab w:val="left" w:pos="714"/>
                <w:tab w:val="left" w:pos="1071"/>
                <w:tab w:val="left" w:pos="1429"/>
              </w:tabs>
              <w:spacing w:after="60" w:line="280" w:lineRule="exact"/>
              <w:ind w:right="40"/>
              <w:rPr>
                <w:rFonts w:ascii="Times New Roman" w:hint="eastAsia"/>
                <w:sz w:val="17"/>
              </w:rPr>
            </w:pPr>
            <w:r>
              <w:rPr>
                <w:rFonts w:ascii="Times New Roman" w:hint="eastAsia"/>
                <w:sz w:val="17"/>
              </w:rPr>
              <w:t>上不起学</w:t>
            </w:r>
          </w:p>
        </w:tc>
        <w:tc>
          <w:tcPr>
            <w:tcW w:w="638" w:type="pct"/>
            <w:vAlign w:val="bottom"/>
          </w:tcPr>
          <w:p w:rsidR="00320E49" w:rsidRDefault="00320E49">
            <w:pPr>
              <w:pStyle w:val="PlainText"/>
              <w:tabs>
                <w:tab w:val="left" w:pos="357"/>
                <w:tab w:val="left" w:pos="714"/>
                <w:tab w:val="left" w:pos="1071"/>
                <w:tab w:val="left" w:pos="1429"/>
              </w:tabs>
              <w:spacing w:after="60" w:line="280" w:lineRule="exact"/>
              <w:ind w:right="40"/>
              <w:jc w:val="right"/>
              <w:rPr>
                <w:rFonts w:hAnsi="SimSun"/>
                <w:sz w:val="17"/>
              </w:rPr>
            </w:pPr>
            <w:r>
              <w:rPr>
                <w:rFonts w:hAnsi="SimSun"/>
                <w:sz w:val="17"/>
              </w:rPr>
              <w:t>25.5</w:t>
            </w:r>
          </w:p>
        </w:tc>
        <w:tc>
          <w:tcPr>
            <w:tcW w:w="699" w:type="pct"/>
            <w:gridSpan w:val="2"/>
            <w:vAlign w:val="bottom"/>
          </w:tcPr>
          <w:p w:rsidR="00320E49" w:rsidRDefault="00320E49">
            <w:pPr>
              <w:pStyle w:val="PlainText"/>
              <w:tabs>
                <w:tab w:val="left" w:pos="357"/>
                <w:tab w:val="left" w:pos="714"/>
                <w:tab w:val="left" w:pos="1071"/>
                <w:tab w:val="left" w:pos="1429"/>
              </w:tabs>
              <w:spacing w:after="60" w:line="280" w:lineRule="exact"/>
              <w:ind w:right="57"/>
              <w:jc w:val="right"/>
              <w:rPr>
                <w:rFonts w:hAnsi="SimSun"/>
                <w:sz w:val="17"/>
              </w:rPr>
            </w:pPr>
            <w:r>
              <w:rPr>
                <w:rFonts w:hAnsi="SimSun"/>
                <w:sz w:val="17"/>
              </w:rPr>
              <w:t>21.1</w:t>
            </w:r>
          </w:p>
        </w:tc>
        <w:tc>
          <w:tcPr>
            <w:tcW w:w="576" w:type="pct"/>
            <w:vAlign w:val="bottom"/>
          </w:tcPr>
          <w:p w:rsidR="00320E49" w:rsidRDefault="00320E49">
            <w:pPr>
              <w:pStyle w:val="PlainText"/>
              <w:tabs>
                <w:tab w:val="left" w:pos="357"/>
                <w:tab w:val="left" w:pos="714"/>
                <w:tab w:val="left" w:pos="1071"/>
                <w:tab w:val="left" w:pos="1429"/>
              </w:tabs>
              <w:spacing w:after="60" w:line="280" w:lineRule="exact"/>
              <w:ind w:right="40"/>
              <w:jc w:val="right"/>
              <w:rPr>
                <w:rFonts w:hAnsi="SimSun"/>
                <w:sz w:val="17"/>
              </w:rPr>
            </w:pPr>
            <w:r>
              <w:rPr>
                <w:rFonts w:hAnsi="SimSun"/>
                <w:sz w:val="17"/>
              </w:rPr>
              <w:t>30</w:t>
            </w:r>
            <w:r>
              <w:rPr>
                <w:rFonts w:hAnsi="SimSun" w:hint="eastAsia"/>
                <w:sz w:val="17"/>
              </w:rPr>
              <w:t>.</w:t>
            </w:r>
            <w:r>
              <w:rPr>
                <w:rFonts w:hAnsi="SimSun"/>
                <w:sz w:val="17"/>
              </w:rPr>
              <w:t>2</w:t>
            </w:r>
          </w:p>
        </w:tc>
        <w:tc>
          <w:tcPr>
            <w:tcW w:w="638" w:type="pct"/>
            <w:vAlign w:val="bottom"/>
          </w:tcPr>
          <w:p w:rsidR="00320E49" w:rsidRDefault="00320E49">
            <w:pPr>
              <w:pStyle w:val="PlainText"/>
              <w:tabs>
                <w:tab w:val="left" w:pos="357"/>
                <w:tab w:val="left" w:pos="714"/>
                <w:tab w:val="left" w:pos="1071"/>
                <w:tab w:val="left" w:pos="1429"/>
              </w:tabs>
              <w:spacing w:after="60" w:line="280" w:lineRule="exact"/>
              <w:ind w:right="40"/>
              <w:jc w:val="right"/>
              <w:rPr>
                <w:rFonts w:hAnsi="SimSun"/>
                <w:sz w:val="17"/>
              </w:rPr>
            </w:pPr>
            <w:r>
              <w:rPr>
                <w:rFonts w:hAnsi="SimSun"/>
                <w:sz w:val="17"/>
              </w:rPr>
              <w:t>27.8</w:t>
            </w:r>
          </w:p>
        </w:tc>
        <w:tc>
          <w:tcPr>
            <w:tcW w:w="637" w:type="pct"/>
            <w:gridSpan w:val="2"/>
            <w:vAlign w:val="bottom"/>
          </w:tcPr>
          <w:p w:rsidR="00320E49" w:rsidRDefault="00320E49">
            <w:pPr>
              <w:pStyle w:val="PlainText"/>
              <w:tabs>
                <w:tab w:val="left" w:pos="357"/>
                <w:tab w:val="left" w:pos="714"/>
                <w:tab w:val="left" w:pos="1071"/>
                <w:tab w:val="left" w:pos="1429"/>
              </w:tabs>
              <w:spacing w:after="60" w:line="280" w:lineRule="exact"/>
              <w:ind w:right="40"/>
              <w:jc w:val="right"/>
              <w:rPr>
                <w:rFonts w:hAnsi="SimSun"/>
                <w:sz w:val="17"/>
              </w:rPr>
            </w:pPr>
            <w:r>
              <w:rPr>
                <w:rFonts w:hAnsi="SimSun"/>
                <w:sz w:val="17"/>
              </w:rPr>
              <w:t>21.5</w:t>
            </w:r>
          </w:p>
        </w:tc>
        <w:tc>
          <w:tcPr>
            <w:tcW w:w="636" w:type="pct"/>
            <w:vAlign w:val="bottom"/>
          </w:tcPr>
          <w:p w:rsidR="00320E49" w:rsidRDefault="00320E49">
            <w:pPr>
              <w:pStyle w:val="PlainText"/>
              <w:tabs>
                <w:tab w:val="left" w:pos="357"/>
                <w:tab w:val="left" w:pos="714"/>
                <w:tab w:val="left" w:pos="1071"/>
                <w:tab w:val="left" w:pos="1429"/>
              </w:tabs>
              <w:spacing w:after="60" w:line="280" w:lineRule="exact"/>
              <w:ind w:right="40"/>
              <w:jc w:val="right"/>
              <w:rPr>
                <w:rFonts w:hAnsi="SimSun"/>
                <w:sz w:val="17"/>
              </w:rPr>
            </w:pPr>
            <w:r>
              <w:rPr>
                <w:rFonts w:hAnsi="SimSun"/>
                <w:sz w:val="17"/>
              </w:rPr>
              <w:t>14.4</w:t>
            </w:r>
          </w:p>
        </w:tc>
      </w:tr>
      <w:tr w:rsidR="00320E49">
        <w:tblPrEx>
          <w:tblCellMar>
            <w:top w:w="0" w:type="dxa"/>
            <w:bottom w:w="0" w:type="dxa"/>
          </w:tblCellMar>
        </w:tblPrEx>
        <w:tc>
          <w:tcPr>
            <w:tcW w:w="1176" w:type="pct"/>
            <w:vAlign w:val="bottom"/>
          </w:tcPr>
          <w:p w:rsidR="00320E49" w:rsidRDefault="00320E49">
            <w:pPr>
              <w:pStyle w:val="PlainText"/>
              <w:tabs>
                <w:tab w:val="left" w:pos="357"/>
                <w:tab w:val="left" w:pos="714"/>
                <w:tab w:val="left" w:pos="1071"/>
                <w:tab w:val="left" w:pos="1429"/>
              </w:tabs>
              <w:spacing w:after="60" w:line="280" w:lineRule="exact"/>
              <w:ind w:right="40"/>
              <w:rPr>
                <w:rFonts w:ascii="Times New Roman" w:hint="eastAsia"/>
                <w:sz w:val="17"/>
              </w:rPr>
            </w:pPr>
            <w:r>
              <w:rPr>
                <w:rFonts w:ascii="Times New Roman" w:hint="eastAsia"/>
                <w:sz w:val="17"/>
              </w:rPr>
              <w:t>帮做家务</w:t>
            </w:r>
          </w:p>
        </w:tc>
        <w:tc>
          <w:tcPr>
            <w:tcW w:w="638" w:type="pct"/>
            <w:vAlign w:val="bottom"/>
          </w:tcPr>
          <w:p w:rsidR="00320E49" w:rsidRDefault="00320E49">
            <w:pPr>
              <w:pStyle w:val="PlainText"/>
              <w:tabs>
                <w:tab w:val="left" w:pos="357"/>
                <w:tab w:val="left" w:pos="714"/>
                <w:tab w:val="left" w:pos="1071"/>
                <w:tab w:val="left" w:pos="1429"/>
              </w:tabs>
              <w:spacing w:after="60" w:line="280" w:lineRule="exact"/>
              <w:ind w:right="40"/>
              <w:jc w:val="right"/>
              <w:rPr>
                <w:rFonts w:hAnsi="SimSun"/>
                <w:sz w:val="17"/>
              </w:rPr>
            </w:pPr>
            <w:r>
              <w:rPr>
                <w:rFonts w:hAnsi="SimSun"/>
                <w:sz w:val="17"/>
              </w:rPr>
              <w:t>11.0</w:t>
            </w:r>
          </w:p>
        </w:tc>
        <w:tc>
          <w:tcPr>
            <w:tcW w:w="699" w:type="pct"/>
            <w:gridSpan w:val="2"/>
            <w:vAlign w:val="bottom"/>
          </w:tcPr>
          <w:p w:rsidR="00320E49" w:rsidRDefault="00320E49">
            <w:pPr>
              <w:pStyle w:val="PlainText"/>
              <w:tabs>
                <w:tab w:val="left" w:pos="357"/>
                <w:tab w:val="left" w:pos="714"/>
                <w:tab w:val="left" w:pos="1071"/>
                <w:tab w:val="left" w:pos="1429"/>
              </w:tabs>
              <w:spacing w:after="60" w:line="280" w:lineRule="exact"/>
              <w:ind w:right="57"/>
              <w:jc w:val="right"/>
              <w:rPr>
                <w:rFonts w:hAnsi="SimSun"/>
                <w:sz w:val="17"/>
              </w:rPr>
            </w:pPr>
            <w:r>
              <w:rPr>
                <w:rFonts w:hAnsi="SimSun"/>
                <w:sz w:val="17"/>
              </w:rPr>
              <w:t>2.7</w:t>
            </w:r>
          </w:p>
        </w:tc>
        <w:tc>
          <w:tcPr>
            <w:tcW w:w="576" w:type="pct"/>
            <w:vAlign w:val="bottom"/>
          </w:tcPr>
          <w:p w:rsidR="00320E49" w:rsidRDefault="00320E49">
            <w:pPr>
              <w:pStyle w:val="PlainText"/>
              <w:tabs>
                <w:tab w:val="left" w:pos="357"/>
                <w:tab w:val="left" w:pos="714"/>
                <w:tab w:val="left" w:pos="1071"/>
                <w:tab w:val="left" w:pos="1429"/>
              </w:tabs>
              <w:spacing w:after="60" w:line="280" w:lineRule="exact"/>
              <w:ind w:right="40"/>
              <w:jc w:val="right"/>
              <w:rPr>
                <w:rFonts w:hAnsi="SimSun"/>
                <w:sz w:val="17"/>
              </w:rPr>
            </w:pPr>
            <w:r>
              <w:rPr>
                <w:rFonts w:hAnsi="SimSun"/>
                <w:sz w:val="17"/>
              </w:rPr>
              <w:t>7</w:t>
            </w:r>
            <w:r>
              <w:rPr>
                <w:rFonts w:hAnsi="SimSun" w:hint="eastAsia"/>
                <w:sz w:val="17"/>
              </w:rPr>
              <w:t>.</w:t>
            </w:r>
            <w:r>
              <w:rPr>
                <w:rFonts w:hAnsi="SimSun"/>
                <w:sz w:val="17"/>
              </w:rPr>
              <w:t>9</w:t>
            </w:r>
          </w:p>
        </w:tc>
        <w:tc>
          <w:tcPr>
            <w:tcW w:w="638" w:type="pct"/>
            <w:vAlign w:val="bottom"/>
          </w:tcPr>
          <w:p w:rsidR="00320E49" w:rsidRDefault="00320E49">
            <w:pPr>
              <w:pStyle w:val="PlainText"/>
              <w:tabs>
                <w:tab w:val="left" w:pos="357"/>
                <w:tab w:val="left" w:pos="714"/>
                <w:tab w:val="left" w:pos="1071"/>
                <w:tab w:val="left" w:pos="1429"/>
              </w:tabs>
              <w:spacing w:after="60" w:line="280" w:lineRule="exact"/>
              <w:ind w:right="40"/>
              <w:jc w:val="right"/>
              <w:rPr>
                <w:rFonts w:hAnsi="SimSun"/>
                <w:sz w:val="17"/>
              </w:rPr>
            </w:pPr>
            <w:r>
              <w:rPr>
                <w:rFonts w:hAnsi="SimSun"/>
                <w:sz w:val="17"/>
              </w:rPr>
              <w:t>0.7</w:t>
            </w:r>
          </w:p>
        </w:tc>
        <w:tc>
          <w:tcPr>
            <w:tcW w:w="637" w:type="pct"/>
            <w:gridSpan w:val="2"/>
            <w:vAlign w:val="bottom"/>
          </w:tcPr>
          <w:p w:rsidR="00320E49" w:rsidRDefault="00320E49">
            <w:pPr>
              <w:pStyle w:val="PlainText"/>
              <w:tabs>
                <w:tab w:val="left" w:pos="357"/>
                <w:tab w:val="left" w:pos="714"/>
                <w:tab w:val="left" w:pos="1071"/>
                <w:tab w:val="left" w:pos="1429"/>
              </w:tabs>
              <w:spacing w:after="60" w:line="280" w:lineRule="exact"/>
              <w:ind w:right="40"/>
              <w:jc w:val="right"/>
              <w:rPr>
                <w:rFonts w:hAnsi="SimSun"/>
                <w:sz w:val="17"/>
              </w:rPr>
            </w:pPr>
            <w:r>
              <w:rPr>
                <w:rFonts w:hAnsi="SimSun"/>
                <w:sz w:val="17"/>
              </w:rPr>
              <w:t>13.5</w:t>
            </w:r>
          </w:p>
        </w:tc>
        <w:tc>
          <w:tcPr>
            <w:tcW w:w="636" w:type="pct"/>
            <w:vAlign w:val="bottom"/>
          </w:tcPr>
          <w:p w:rsidR="00320E49" w:rsidRDefault="00320E49">
            <w:pPr>
              <w:pStyle w:val="PlainText"/>
              <w:tabs>
                <w:tab w:val="left" w:pos="357"/>
                <w:tab w:val="left" w:pos="714"/>
                <w:tab w:val="left" w:pos="1071"/>
                <w:tab w:val="left" w:pos="1429"/>
              </w:tabs>
              <w:spacing w:after="60" w:line="280" w:lineRule="exact"/>
              <w:ind w:right="40"/>
              <w:jc w:val="right"/>
              <w:rPr>
                <w:rFonts w:hAnsi="SimSun"/>
                <w:sz w:val="17"/>
              </w:rPr>
            </w:pPr>
            <w:r>
              <w:rPr>
                <w:rFonts w:hAnsi="SimSun"/>
                <w:sz w:val="17"/>
              </w:rPr>
              <w:t>4.9</w:t>
            </w:r>
          </w:p>
        </w:tc>
      </w:tr>
      <w:tr w:rsidR="00320E49">
        <w:tblPrEx>
          <w:tblCellMar>
            <w:top w:w="0" w:type="dxa"/>
            <w:bottom w:w="0" w:type="dxa"/>
          </w:tblCellMar>
        </w:tblPrEx>
        <w:tc>
          <w:tcPr>
            <w:tcW w:w="1176" w:type="pct"/>
            <w:vAlign w:val="bottom"/>
          </w:tcPr>
          <w:p w:rsidR="00320E49" w:rsidRDefault="00320E49">
            <w:pPr>
              <w:pStyle w:val="PlainText"/>
              <w:tabs>
                <w:tab w:val="left" w:pos="357"/>
                <w:tab w:val="left" w:pos="714"/>
                <w:tab w:val="left" w:pos="1071"/>
                <w:tab w:val="left" w:pos="1429"/>
              </w:tabs>
              <w:spacing w:after="60" w:line="280" w:lineRule="exact"/>
              <w:ind w:right="40"/>
              <w:rPr>
                <w:rFonts w:ascii="Times New Roman" w:hint="eastAsia"/>
                <w:sz w:val="17"/>
              </w:rPr>
            </w:pPr>
            <w:r>
              <w:rPr>
                <w:rFonts w:ascii="Times New Roman" w:hint="eastAsia"/>
                <w:sz w:val="17"/>
              </w:rPr>
              <w:t>家庭不允许</w:t>
            </w:r>
          </w:p>
        </w:tc>
        <w:tc>
          <w:tcPr>
            <w:tcW w:w="638" w:type="pct"/>
            <w:vAlign w:val="bottom"/>
          </w:tcPr>
          <w:p w:rsidR="00320E49" w:rsidRDefault="00320E49">
            <w:pPr>
              <w:pStyle w:val="PlainText"/>
              <w:tabs>
                <w:tab w:val="left" w:pos="357"/>
                <w:tab w:val="left" w:pos="714"/>
                <w:tab w:val="left" w:pos="1071"/>
                <w:tab w:val="left" w:pos="1429"/>
              </w:tabs>
              <w:spacing w:after="60" w:line="280" w:lineRule="exact"/>
              <w:ind w:right="40"/>
              <w:jc w:val="right"/>
              <w:rPr>
                <w:rFonts w:hAnsi="SimSun"/>
                <w:sz w:val="17"/>
              </w:rPr>
            </w:pPr>
            <w:r>
              <w:rPr>
                <w:rFonts w:hAnsi="SimSun"/>
                <w:sz w:val="17"/>
              </w:rPr>
              <w:t>10.1</w:t>
            </w:r>
          </w:p>
        </w:tc>
        <w:tc>
          <w:tcPr>
            <w:tcW w:w="699" w:type="pct"/>
            <w:gridSpan w:val="2"/>
            <w:vAlign w:val="bottom"/>
          </w:tcPr>
          <w:p w:rsidR="00320E49" w:rsidRDefault="00320E49">
            <w:pPr>
              <w:pStyle w:val="PlainText"/>
              <w:tabs>
                <w:tab w:val="left" w:pos="357"/>
                <w:tab w:val="left" w:pos="714"/>
                <w:tab w:val="left" w:pos="1071"/>
                <w:tab w:val="left" w:pos="1429"/>
              </w:tabs>
              <w:spacing w:after="60" w:line="280" w:lineRule="exact"/>
              <w:ind w:right="57"/>
              <w:jc w:val="right"/>
              <w:rPr>
                <w:rFonts w:hAnsi="SimSun"/>
                <w:sz w:val="17"/>
              </w:rPr>
            </w:pPr>
            <w:r>
              <w:rPr>
                <w:rFonts w:hAnsi="SimSun"/>
                <w:sz w:val="17"/>
              </w:rPr>
              <w:t>2.4</w:t>
            </w:r>
          </w:p>
        </w:tc>
        <w:tc>
          <w:tcPr>
            <w:tcW w:w="576" w:type="pct"/>
            <w:vAlign w:val="bottom"/>
          </w:tcPr>
          <w:p w:rsidR="00320E49" w:rsidRDefault="00320E49">
            <w:pPr>
              <w:pStyle w:val="PlainText"/>
              <w:tabs>
                <w:tab w:val="left" w:pos="357"/>
                <w:tab w:val="left" w:pos="714"/>
                <w:tab w:val="left" w:pos="1071"/>
                <w:tab w:val="left" w:pos="1429"/>
              </w:tabs>
              <w:spacing w:after="60" w:line="280" w:lineRule="exact"/>
              <w:ind w:right="40"/>
              <w:jc w:val="right"/>
              <w:rPr>
                <w:rFonts w:hAnsi="SimSun"/>
                <w:sz w:val="17"/>
              </w:rPr>
            </w:pPr>
            <w:r>
              <w:rPr>
                <w:rFonts w:hAnsi="SimSun"/>
                <w:sz w:val="17"/>
              </w:rPr>
              <w:t>9.0</w:t>
            </w:r>
          </w:p>
        </w:tc>
        <w:tc>
          <w:tcPr>
            <w:tcW w:w="638" w:type="pct"/>
            <w:vAlign w:val="bottom"/>
          </w:tcPr>
          <w:p w:rsidR="00320E49" w:rsidRDefault="00320E49">
            <w:pPr>
              <w:pStyle w:val="PlainText"/>
              <w:tabs>
                <w:tab w:val="left" w:pos="357"/>
                <w:tab w:val="left" w:pos="714"/>
                <w:tab w:val="left" w:pos="1071"/>
                <w:tab w:val="left" w:pos="1429"/>
              </w:tabs>
              <w:spacing w:after="60" w:line="280" w:lineRule="exact"/>
              <w:ind w:right="40"/>
              <w:jc w:val="right"/>
              <w:rPr>
                <w:rFonts w:hAnsi="SimSun"/>
                <w:sz w:val="17"/>
              </w:rPr>
            </w:pPr>
            <w:r>
              <w:rPr>
                <w:rFonts w:hAnsi="SimSun"/>
                <w:sz w:val="17"/>
              </w:rPr>
              <w:t>1.6</w:t>
            </w:r>
          </w:p>
        </w:tc>
        <w:tc>
          <w:tcPr>
            <w:tcW w:w="637" w:type="pct"/>
            <w:gridSpan w:val="2"/>
            <w:vAlign w:val="bottom"/>
          </w:tcPr>
          <w:p w:rsidR="00320E49" w:rsidRDefault="00320E49">
            <w:pPr>
              <w:pStyle w:val="PlainText"/>
              <w:tabs>
                <w:tab w:val="left" w:pos="357"/>
                <w:tab w:val="left" w:pos="714"/>
                <w:tab w:val="left" w:pos="1071"/>
                <w:tab w:val="left" w:pos="1429"/>
              </w:tabs>
              <w:spacing w:after="60" w:line="280" w:lineRule="exact"/>
              <w:ind w:right="40"/>
              <w:jc w:val="right"/>
              <w:rPr>
                <w:rFonts w:hAnsi="SimSun"/>
                <w:sz w:val="17"/>
              </w:rPr>
            </w:pPr>
            <w:r>
              <w:rPr>
                <w:rFonts w:hAnsi="SimSun"/>
                <w:sz w:val="17"/>
              </w:rPr>
              <w:t>11.1</w:t>
            </w:r>
          </w:p>
        </w:tc>
        <w:tc>
          <w:tcPr>
            <w:tcW w:w="636" w:type="pct"/>
            <w:vAlign w:val="bottom"/>
          </w:tcPr>
          <w:p w:rsidR="00320E49" w:rsidRDefault="00320E49">
            <w:pPr>
              <w:pStyle w:val="PlainText"/>
              <w:tabs>
                <w:tab w:val="left" w:pos="357"/>
                <w:tab w:val="left" w:pos="714"/>
                <w:tab w:val="left" w:pos="1071"/>
                <w:tab w:val="left" w:pos="1429"/>
              </w:tabs>
              <w:spacing w:after="60" w:line="280" w:lineRule="exact"/>
              <w:ind w:right="40"/>
              <w:jc w:val="right"/>
              <w:rPr>
                <w:rFonts w:hAnsi="SimSun"/>
                <w:sz w:val="17"/>
              </w:rPr>
            </w:pPr>
            <w:r>
              <w:rPr>
                <w:rFonts w:hAnsi="SimSun"/>
                <w:sz w:val="17"/>
              </w:rPr>
              <w:t>3.2</w:t>
            </w:r>
          </w:p>
        </w:tc>
      </w:tr>
      <w:tr w:rsidR="00320E49">
        <w:tblPrEx>
          <w:tblCellMar>
            <w:top w:w="0" w:type="dxa"/>
            <w:bottom w:w="0" w:type="dxa"/>
          </w:tblCellMar>
        </w:tblPrEx>
        <w:tc>
          <w:tcPr>
            <w:tcW w:w="1176" w:type="pct"/>
            <w:tcBorders>
              <w:bottom w:val="single" w:sz="12" w:space="0" w:color="auto"/>
            </w:tcBorders>
            <w:vAlign w:val="bottom"/>
          </w:tcPr>
          <w:p w:rsidR="00320E49" w:rsidRDefault="00320E49">
            <w:pPr>
              <w:pStyle w:val="PlainText"/>
              <w:tabs>
                <w:tab w:val="left" w:pos="357"/>
                <w:tab w:val="left" w:pos="714"/>
                <w:tab w:val="left" w:pos="1071"/>
                <w:tab w:val="left" w:pos="1429"/>
              </w:tabs>
              <w:spacing w:after="60" w:line="280" w:lineRule="exact"/>
              <w:ind w:right="40"/>
              <w:rPr>
                <w:rFonts w:ascii="Times New Roman" w:hint="eastAsia"/>
                <w:sz w:val="17"/>
              </w:rPr>
            </w:pPr>
            <w:r>
              <w:rPr>
                <w:rFonts w:ascii="Times New Roman" w:hint="eastAsia"/>
                <w:sz w:val="17"/>
              </w:rPr>
              <w:t>其他</w:t>
            </w:r>
          </w:p>
        </w:tc>
        <w:tc>
          <w:tcPr>
            <w:tcW w:w="638" w:type="pct"/>
            <w:tcBorders>
              <w:bottom w:val="single" w:sz="12" w:space="0" w:color="auto"/>
            </w:tcBorders>
            <w:vAlign w:val="bottom"/>
          </w:tcPr>
          <w:p w:rsidR="00320E49" w:rsidRDefault="00320E49">
            <w:pPr>
              <w:pStyle w:val="PlainText"/>
              <w:tabs>
                <w:tab w:val="left" w:pos="357"/>
                <w:tab w:val="left" w:pos="714"/>
                <w:tab w:val="left" w:pos="1071"/>
                <w:tab w:val="left" w:pos="1429"/>
              </w:tabs>
              <w:spacing w:after="60" w:line="280" w:lineRule="exact"/>
              <w:ind w:right="40"/>
              <w:jc w:val="right"/>
              <w:rPr>
                <w:rFonts w:hAnsi="SimSun"/>
                <w:sz w:val="17"/>
              </w:rPr>
            </w:pPr>
            <w:r>
              <w:rPr>
                <w:rFonts w:hAnsi="SimSun"/>
                <w:sz w:val="17"/>
              </w:rPr>
              <w:t>17.3</w:t>
            </w:r>
          </w:p>
        </w:tc>
        <w:tc>
          <w:tcPr>
            <w:tcW w:w="699" w:type="pct"/>
            <w:gridSpan w:val="2"/>
            <w:tcBorders>
              <w:bottom w:val="single" w:sz="12" w:space="0" w:color="auto"/>
            </w:tcBorders>
            <w:vAlign w:val="bottom"/>
          </w:tcPr>
          <w:p w:rsidR="00320E49" w:rsidRDefault="00320E49">
            <w:pPr>
              <w:pStyle w:val="PlainText"/>
              <w:tabs>
                <w:tab w:val="left" w:pos="357"/>
                <w:tab w:val="left" w:pos="714"/>
                <w:tab w:val="left" w:pos="1071"/>
                <w:tab w:val="left" w:pos="1429"/>
              </w:tabs>
              <w:spacing w:after="60" w:line="280" w:lineRule="exact"/>
              <w:ind w:right="57"/>
              <w:jc w:val="right"/>
              <w:rPr>
                <w:rFonts w:hAnsi="SimSun"/>
                <w:sz w:val="17"/>
              </w:rPr>
            </w:pPr>
            <w:r>
              <w:rPr>
                <w:rFonts w:hAnsi="SimSun"/>
                <w:sz w:val="17"/>
              </w:rPr>
              <w:t>26.6</w:t>
            </w:r>
          </w:p>
        </w:tc>
        <w:tc>
          <w:tcPr>
            <w:tcW w:w="576" w:type="pct"/>
            <w:tcBorders>
              <w:bottom w:val="single" w:sz="12" w:space="0" w:color="auto"/>
            </w:tcBorders>
            <w:vAlign w:val="bottom"/>
          </w:tcPr>
          <w:p w:rsidR="00320E49" w:rsidRDefault="00320E49">
            <w:pPr>
              <w:pStyle w:val="PlainText"/>
              <w:tabs>
                <w:tab w:val="left" w:pos="357"/>
                <w:tab w:val="left" w:pos="714"/>
                <w:tab w:val="left" w:pos="1071"/>
                <w:tab w:val="left" w:pos="1429"/>
              </w:tabs>
              <w:spacing w:after="60" w:line="280" w:lineRule="exact"/>
              <w:ind w:right="40"/>
              <w:jc w:val="right"/>
              <w:rPr>
                <w:rFonts w:hAnsi="SimSun"/>
                <w:sz w:val="17"/>
              </w:rPr>
            </w:pPr>
            <w:r>
              <w:rPr>
                <w:rFonts w:hAnsi="SimSun"/>
                <w:sz w:val="17"/>
              </w:rPr>
              <w:t>20.3</w:t>
            </w:r>
          </w:p>
        </w:tc>
        <w:tc>
          <w:tcPr>
            <w:tcW w:w="638" w:type="pct"/>
            <w:tcBorders>
              <w:bottom w:val="single" w:sz="12" w:space="0" w:color="auto"/>
            </w:tcBorders>
            <w:vAlign w:val="bottom"/>
          </w:tcPr>
          <w:p w:rsidR="00320E49" w:rsidRDefault="00320E49">
            <w:pPr>
              <w:pStyle w:val="PlainText"/>
              <w:tabs>
                <w:tab w:val="left" w:pos="357"/>
                <w:tab w:val="left" w:pos="714"/>
                <w:tab w:val="left" w:pos="1071"/>
                <w:tab w:val="left" w:pos="1429"/>
              </w:tabs>
              <w:spacing w:after="60" w:line="280" w:lineRule="exact"/>
              <w:ind w:right="40"/>
              <w:jc w:val="right"/>
              <w:rPr>
                <w:rFonts w:hAnsi="SimSun"/>
                <w:sz w:val="17"/>
              </w:rPr>
            </w:pPr>
            <w:r>
              <w:rPr>
                <w:rFonts w:hAnsi="SimSun"/>
                <w:sz w:val="17"/>
              </w:rPr>
              <w:t>25.6</w:t>
            </w:r>
          </w:p>
        </w:tc>
        <w:tc>
          <w:tcPr>
            <w:tcW w:w="637" w:type="pct"/>
            <w:gridSpan w:val="2"/>
            <w:tcBorders>
              <w:bottom w:val="single" w:sz="12" w:space="0" w:color="auto"/>
            </w:tcBorders>
            <w:vAlign w:val="bottom"/>
          </w:tcPr>
          <w:p w:rsidR="00320E49" w:rsidRDefault="00320E49">
            <w:pPr>
              <w:pStyle w:val="PlainText"/>
              <w:tabs>
                <w:tab w:val="left" w:pos="357"/>
                <w:tab w:val="left" w:pos="714"/>
                <w:tab w:val="left" w:pos="1071"/>
                <w:tab w:val="left" w:pos="1429"/>
              </w:tabs>
              <w:spacing w:after="60" w:line="280" w:lineRule="exact"/>
              <w:ind w:right="40"/>
              <w:jc w:val="right"/>
              <w:rPr>
                <w:rFonts w:hAnsi="SimSun"/>
                <w:sz w:val="17"/>
              </w:rPr>
            </w:pPr>
            <w:r>
              <w:rPr>
                <w:rFonts w:hAnsi="SimSun"/>
                <w:sz w:val="17"/>
              </w:rPr>
              <w:t>14.7</w:t>
            </w:r>
          </w:p>
        </w:tc>
        <w:tc>
          <w:tcPr>
            <w:tcW w:w="636" w:type="pct"/>
            <w:tcBorders>
              <w:bottom w:val="single" w:sz="12" w:space="0" w:color="auto"/>
            </w:tcBorders>
            <w:vAlign w:val="bottom"/>
          </w:tcPr>
          <w:p w:rsidR="00320E49" w:rsidRDefault="00320E49">
            <w:pPr>
              <w:pStyle w:val="PlainText"/>
              <w:tabs>
                <w:tab w:val="left" w:pos="357"/>
                <w:tab w:val="left" w:pos="714"/>
                <w:tab w:val="left" w:pos="1071"/>
                <w:tab w:val="left" w:pos="1429"/>
              </w:tabs>
              <w:spacing w:after="60" w:line="280" w:lineRule="exact"/>
              <w:ind w:right="40"/>
              <w:jc w:val="right"/>
              <w:rPr>
                <w:rFonts w:hAnsi="SimSun"/>
                <w:sz w:val="17"/>
              </w:rPr>
            </w:pPr>
            <w:r>
              <w:rPr>
                <w:rFonts w:hAnsi="SimSun"/>
                <w:sz w:val="17"/>
              </w:rPr>
              <w:t>27.6</w:t>
            </w:r>
          </w:p>
        </w:tc>
      </w:tr>
    </w:tbl>
    <w:p w:rsidR="00320E49" w:rsidRDefault="00320E49">
      <w:pPr>
        <w:pStyle w:val="SingleTxt"/>
        <w:spacing w:before="120"/>
        <w:rPr>
          <w:rFonts w:hint="eastAsia"/>
          <w:sz w:val="18"/>
        </w:rPr>
      </w:pPr>
      <w:r>
        <w:rPr>
          <w:rFonts w:ascii="KaiTi_GB2312" w:eastAsia="KaiTi_GB2312" w:hint="eastAsia"/>
          <w:color w:val="0000FF"/>
          <w:sz w:val="18"/>
        </w:rPr>
        <w:t>资料来源</w:t>
      </w:r>
      <w:r>
        <w:rPr>
          <w:rFonts w:hint="eastAsia"/>
          <w:sz w:val="18"/>
        </w:rPr>
        <w:t>：《童工调查，1999年》，国家统计所。</w:t>
      </w:r>
    </w:p>
    <w:p w:rsidR="00320E49" w:rsidRDefault="00320E49">
      <w:pPr>
        <w:pStyle w:val="SingleTxt"/>
        <w:spacing w:line="340" w:lineRule="exact"/>
        <w:rPr>
          <w:rFonts w:hint="eastAsia"/>
        </w:rPr>
      </w:pPr>
      <w:r>
        <w:rPr>
          <w:rFonts w:hint="eastAsia"/>
        </w:rPr>
        <w:tab/>
        <w:t>教育部与非政府组织和国际组织协作，实施了若干项目，旨在促进全面执行8年制义务基础教育法，其中特别强调提高对女孩教育重要性的认识，缩小受教育机会方面的性别和区域差距。在有些农村地区，偏辟小乡村的学校的容量无法从5年制提升到8年制，或由于移民学校关闭，教育部提供校车将学生接送到最近的中心(这种做法自1999年以来一直坚持)。或者，偏辟地区的学生可以上区域寄宿学校。为了鼓励家庭送其女儿上这些寄宿学校，还设立了男女隔离的学校。此外，鉴于农村地区女孩实际流动性所受的文化上的制约，还建设了“开放式小学中心”。许多非政府组织，包括妇女组织，提供各种奖学金和援助以鼓励家庭送其女儿上学。</w:t>
      </w:r>
    </w:p>
    <w:p w:rsidR="00320E49" w:rsidRDefault="00320E49">
      <w:pPr>
        <w:pStyle w:val="SingleTxt"/>
        <w:rPr>
          <w:rFonts w:ascii="SimHei" w:eastAsia="SimHei" w:hint="eastAsia"/>
          <w:color w:val="FF0000"/>
        </w:rPr>
      </w:pPr>
      <w:r>
        <w:rPr>
          <w:rFonts w:ascii="SimHei" w:eastAsia="SimHei" w:hint="eastAsia"/>
          <w:color w:val="FF0000"/>
        </w:rPr>
        <w:t>中学教育</w:t>
      </w:r>
    </w:p>
    <w:p w:rsidR="00320E49" w:rsidRDefault="00320E49">
      <w:pPr>
        <w:pStyle w:val="SingleTxt"/>
        <w:rPr>
          <w:rFonts w:hint="eastAsia"/>
        </w:rPr>
      </w:pPr>
      <w:r>
        <w:rPr>
          <w:rFonts w:hint="eastAsia"/>
        </w:rPr>
        <w:tab/>
        <w:t>在小学教育得到发展的同时，女孩的中学就学率也呈上升态势。普通中学的女生比例从1996至1997学生的42.9%提高到1999—2000学年的45.2%。虽然高中教育不属于义务教育，但按照第8个五年发展计划(2001—2005年)和全国教育大会通过的决定，已提交了将义务基础教育增加到12年的提案。</w:t>
      </w:r>
    </w:p>
    <w:p w:rsidR="00320E49" w:rsidRDefault="00320E49">
      <w:pPr>
        <w:pStyle w:val="SingleTxt"/>
        <w:rPr>
          <w:rFonts w:hint="eastAsia"/>
        </w:rPr>
      </w:pPr>
      <w:r>
        <w:rPr>
          <w:rFonts w:hint="eastAsia"/>
        </w:rPr>
        <w:tab/>
        <w:t>另一方面，职业和技术高中极其明显地出现了性别歧视，它表现为教育隔离。这种情况起因于这类学校结构的性质，其中学生被引导进入提供传统的男性和女性职业培训的学校。现有1 196所男子技术高中和636所女子技术高中。为这种隔离结构辩护的理由是，它可以为保守家庭的女孩提供受教育的机会，并为女孩提供一种特殊的场所，从而成为某种形式的配额制。下列事实可以部分地支持这种观点：1993至1996年期间，正规高中女生的比例提高了3.97%，而同期职业技术学校的女生比例提高了29.9%。</w:t>
      </w:r>
    </w:p>
    <w:p w:rsidR="00320E49" w:rsidRDefault="00320E49">
      <w:pPr>
        <w:pStyle w:val="SingleTxt"/>
        <w:rPr>
          <w:rFonts w:hint="eastAsia"/>
        </w:rPr>
      </w:pPr>
      <w:r>
        <w:rPr>
          <w:rFonts w:hint="eastAsia"/>
        </w:rPr>
        <w:tab/>
        <w:t>自1975年以来，另一性别的学生已能够进入这些性别类型的技术学校学习。虽然性别隔离仍有表现，但部分越界做法确实发生了。例如，女子技术学校中男生的比例是18.4%，男子技校中女生的这一数字是10.3%。如换算为绝对数，则有39 542名女生和28 100名男生进入原为另一性别开办的学校学习。这清楚地揭示，传统的性别规范和价值观实际上能被违反。</w:t>
      </w:r>
    </w:p>
    <w:p w:rsidR="00320E49" w:rsidRDefault="00320E49">
      <w:pPr>
        <w:pStyle w:val="SingleTxt"/>
        <w:rPr>
          <w:rFonts w:hint="eastAsia"/>
        </w:rPr>
      </w:pPr>
      <w:r>
        <w:rPr>
          <w:rFonts w:hint="eastAsia"/>
        </w:rPr>
        <w:tab/>
        <w:t>值得提及的一个引人注目的事态发展是，女生上Imam Hatip学校的比例高(45.8%)，这种学校主要提供宗教专业培训，只向男子开放。这些学校女生的就学率呈稳步提高的趋势，而男生的情况正好相反。1993至1994学年期间，女生上Imam Hatip学校的增长率是18.8%，1996至1997学年，就学率提高21.8%，1999年至2000学年提高21.3%。而男生的数字分别为20.4%、18.3%和12.6% 。从教育程度的角度看，可以将这些学校女生入学率的提高视为一个积极的指标，但有关此种教育将为女孩提供非传统性别角色和增加她们就业选择机会的程度的问题需要加以认真的考虑。</w:t>
      </w:r>
    </w:p>
    <w:p w:rsidR="00320E49" w:rsidRDefault="00320E49">
      <w:pPr>
        <w:pStyle w:val="SingleTxt"/>
        <w:rPr>
          <w:rFonts w:ascii="SimHei" w:eastAsia="SimHei" w:hint="eastAsia"/>
          <w:color w:val="FF0000"/>
        </w:rPr>
      </w:pPr>
      <w:r>
        <w:rPr>
          <w:rFonts w:ascii="SimHei" w:eastAsia="SimHei" w:hint="eastAsia"/>
          <w:color w:val="FF0000"/>
        </w:rPr>
        <w:t>高等教育</w:t>
      </w:r>
    </w:p>
    <w:p w:rsidR="00320E49" w:rsidRDefault="00320E49">
      <w:pPr>
        <w:pStyle w:val="SingleTxt"/>
        <w:rPr>
          <w:rFonts w:hint="eastAsia"/>
        </w:rPr>
      </w:pPr>
      <w:r>
        <w:rPr>
          <w:rFonts w:hint="eastAsia"/>
        </w:rPr>
        <w:tab/>
        <w:t>在土耳其，获得大学教育的机会是通过竞争性的全国学生选拔和安置考试获得的。近年来女生在这些考试中的成绩给人以深刻的印象。1999年，女生的安置率是55.2%，而男生的安置率是56.9%，2000年，女生稍稍超过了男生。不过，进入高等教育的女生总数仍然少于男生。2001至2002学年，大学生中41.8%是女生。然而，同期省立大学女生的入学率只有37.7%。高等教育机构中的妇女比率在开放性大学两年制学位课程中最高(49.3%)。研究生学校级女生的比率大大低于男生。</w:t>
      </w:r>
    </w:p>
    <w:p w:rsidR="00320E49" w:rsidRDefault="00320E49">
      <w:pPr>
        <w:pStyle w:val="SingleTxt"/>
        <w:rPr>
          <w:rFonts w:hint="eastAsia"/>
        </w:rPr>
      </w:pPr>
      <w:r>
        <w:rPr>
          <w:rFonts w:hint="eastAsia"/>
        </w:rPr>
        <w:tab/>
        <w:t>技术学科和农学除外，几年来高等教育中的女性比率是稳步或稳定增长的趋势。在诸如自然科学、应用科学和数学等领域，女性的比率与男性大体持平，但在语言、教育学和艺术方面，她们超过了男性(表4)。尽管高等教育一级存在着相对的性别平等，但总体上看，土耳其的高等教育仍只是少数人口能够享受的特权，其中男子人数超过妇女。</w:t>
      </w:r>
    </w:p>
    <w:p w:rsidR="00320E49" w:rsidRDefault="00320E49">
      <w:pPr>
        <w:pStyle w:val="SingleTxt"/>
        <w:rPr>
          <w:rFonts w:ascii="SimHei" w:eastAsia="SimHei" w:hint="eastAsia"/>
          <w:color w:val="FF0000"/>
        </w:rPr>
      </w:pPr>
      <w:r>
        <w:rPr>
          <w:rFonts w:ascii="SimHei" w:eastAsia="SimHei" w:hint="eastAsia"/>
          <w:color w:val="FF0000"/>
        </w:rPr>
        <w:t>表4.  按学习领域列示的女大学生(%)，(2001至2002年)</w:t>
      </w:r>
    </w:p>
    <w:tbl>
      <w:tblPr>
        <w:tblW w:w="3851" w:type="pct"/>
        <w:tblInd w:w="1251" w:type="dxa"/>
        <w:tblCellMar>
          <w:left w:w="0" w:type="dxa"/>
          <w:right w:w="0" w:type="dxa"/>
        </w:tblCellMar>
        <w:tblLook w:val="0000" w:firstRow="0" w:lastRow="0" w:firstColumn="0" w:lastColumn="0" w:noHBand="0" w:noVBand="0"/>
      </w:tblPr>
      <w:tblGrid>
        <w:gridCol w:w="1473"/>
        <w:gridCol w:w="2039"/>
        <w:gridCol w:w="2038"/>
        <w:gridCol w:w="2038"/>
      </w:tblGrid>
      <w:tr w:rsidR="00320E49">
        <w:tblPrEx>
          <w:tblCellMar>
            <w:top w:w="0" w:type="dxa"/>
            <w:bottom w:w="0" w:type="dxa"/>
          </w:tblCellMar>
        </w:tblPrEx>
        <w:trPr>
          <w:tblHeader/>
        </w:trPr>
        <w:tc>
          <w:tcPr>
            <w:tcW w:w="970" w:type="pct"/>
            <w:tcBorders>
              <w:top w:val="single" w:sz="2" w:space="0" w:color="auto"/>
              <w:bottom w:val="single" w:sz="12" w:space="0" w:color="auto"/>
            </w:tcBorders>
            <w:vAlign w:val="bottom"/>
          </w:tcPr>
          <w:p w:rsidR="00320E49" w:rsidRDefault="00320E49">
            <w:pPr>
              <w:pStyle w:val="PlainText"/>
              <w:spacing w:before="60" w:after="60" w:line="240" w:lineRule="exact"/>
              <w:ind w:right="40"/>
              <w:rPr>
                <w:rFonts w:ascii="Times New Roman" w:eastAsia="KaiTi_GB2312" w:hint="eastAsia"/>
                <w:color w:val="0000FF"/>
                <w:sz w:val="14"/>
              </w:rPr>
            </w:pPr>
            <w:r>
              <w:rPr>
                <w:rFonts w:ascii="Times New Roman" w:eastAsia="KaiTi_GB2312" w:hint="eastAsia"/>
                <w:color w:val="0000FF"/>
                <w:sz w:val="14"/>
              </w:rPr>
              <w:t>学习领域</w:t>
            </w:r>
          </w:p>
        </w:tc>
        <w:tc>
          <w:tcPr>
            <w:tcW w:w="1343" w:type="pct"/>
            <w:tcBorders>
              <w:top w:val="single" w:sz="2" w:space="0" w:color="auto"/>
              <w:bottom w:val="single" w:sz="12" w:space="0" w:color="auto"/>
            </w:tcBorders>
            <w:vAlign w:val="bottom"/>
          </w:tcPr>
          <w:p w:rsidR="00320E49" w:rsidRDefault="00320E49">
            <w:pPr>
              <w:pStyle w:val="PlainText"/>
              <w:spacing w:before="60" w:after="60" w:line="240" w:lineRule="exact"/>
              <w:ind w:right="40"/>
              <w:jc w:val="right"/>
              <w:rPr>
                <w:rFonts w:ascii="Times New Roman" w:eastAsia="KaiTi_GB2312" w:hint="eastAsia"/>
                <w:color w:val="0000FF"/>
                <w:sz w:val="14"/>
              </w:rPr>
            </w:pPr>
            <w:r>
              <w:rPr>
                <w:rFonts w:ascii="Times New Roman" w:eastAsia="KaiTi_GB2312" w:hint="eastAsia"/>
                <w:color w:val="0000FF"/>
                <w:sz w:val="14"/>
              </w:rPr>
              <w:t>新生入学率</w:t>
            </w:r>
          </w:p>
        </w:tc>
        <w:tc>
          <w:tcPr>
            <w:tcW w:w="1343" w:type="pct"/>
            <w:tcBorders>
              <w:top w:val="single" w:sz="2" w:space="0" w:color="auto"/>
              <w:bottom w:val="single" w:sz="12" w:space="0" w:color="auto"/>
            </w:tcBorders>
            <w:vAlign w:val="bottom"/>
          </w:tcPr>
          <w:p w:rsidR="00320E49" w:rsidRDefault="00320E49">
            <w:pPr>
              <w:pStyle w:val="PlainText"/>
              <w:spacing w:before="60" w:after="60" w:line="240" w:lineRule="exact"/>
              <w:ind w:right="40"/>
              <w:jc w:val="right"/>
              <w:rPr>
                <w:rFonts w:ascii="Times New Roman" w:eastAsia="KaiTi_GB2312" w:hint="eastAsia"/>
                <w:color w:val="0000FF"/>
                <w:sz w:val="14"/>
              </w:rPr>
            </w:pPr>
            <w:r>
              <w:rPr>
                <w:rFonts w:ascii="Times New Roman" w:eastAsia="KaiTi_GB2312" w:hint="eastAsia"/>
                <w:color w:val="0000FF"/>
                <w:sz w:val="14"/>
              </w:rPr>
              <w:t>入学率</w:t>
            </w:r>
          </w:p>
        </w:tc>
        <w:tc>
          <w:tcPr>
            <w:tcW w:w="1343" w:type="pct"/>
            <w:tcBorders>
              <w:top w:val="single" w:sz="2" w:space="0" w:color="auto"/>
              <w:bottom w:val="single" w:sz="12" w:space="0" w:color="auto"/>
            </w:tcBorders>
            <w:vAlign w:val="bottom"/>
          </w:tcPr>
          <w:p w:rsidR="00320E49" w:rsidRDefault="00320E49">
            <w:pPr>
              <w:pStyle w:val="PlainText"/>
              <w:spacing w:before="60" w:after="60" w:line="240" w:lineRule="exact"/>
              <w:ind w:right="40"/>
              <w:jc w:val="right"/>
              <w:rPr>
                <w:rFonts w:ascii="Times New Roman" w:eastAsia="KaiTi_GB2312" w:hint="eastAsia"/>
                <w:color w:val="0000FF"/>
                <w:sz w:val="14"/>
              </w:rPr>
            </w:pPr>
            <w:r>
              <w:rPr>
                <w:rFonts w:ascii="Times New Roman" w:eastAsia="KaiTi_GB2312"/>
                <w:color w:val="0000FF"/>
                <w:sz w:val="14"/>
              </w:rPr>
              <w:t>2000</w:t>
            </w:r>
            <w:r>
              <w:rPr>
                <w:rFonts w:ascii="Times New Roman" w:eastAsia="KaiTi_GB2312" w:hint="eastAsia"/>
                <w:color w:val="0000FF"/>
                <w:sz w:val="14"/>
              </w:rPr>
              <w:t>至</w:t>
            </w:r>
            <w:r>
              <w:rPr>
                <w:rFonts w:ascii="Times New Roman" w:eastAsia="KaiTi_GB2312" w:hint="eastAsia"/>
                <w:color w:val="0000FF"/>
                <w:sz w:val="14"/>
              </w:rPr>
              <w:t>2002</w:t>
            </w:r>
            <w:r>
              <w:rPr>
                <w:rFonts w:ascii="Times New Roman" w:eastAsia="KaiTi_GB2312" w:hint="eastAsia"/>
                <w:color w:val="0000FF"/>
                <w:sz w:val="14"/>
              </w:rPr>
              <w:t>学年毕业</w:t>
            </w:r>
          </w:p>
        </w:tc>
      </w:tr>
      <w:tr w:rsidR="00320E49">
        <w:tblPrEx>
          <w:tblCellMar>
            <w:top w:w="0" w:type="dxa"/>
            <w:bottom w:w="0" w:type="dxa"/>
          </w:tblCellMar>
        </w:tblPrEx>
        <w:trPr>
          <w:trHeight w:hRule="exact" w:val="115"/>
          <w:tblHeader/>
        </w:trPr>
        <w:tc>
          <w:tcPr>
            <w:tcW w:w="970" w:type="pct"/>
            <w:tcBorders>
              <w:top w:val="single" w:sz="12" w:space="0" w:color="auto"/>
            </w:tcBorders>
            <w:vAlign w:val="bottom"/>
          </w:tcPr>
          <w:p w:rsidR="00320E49" w:rsidRDefault="00320E49">
            <w:pPr>
              <w:pStyle w:val="PlainText"/>
              <w:spacing w:after="60" w:line="280" w:lineRule="exact"/>
              <w:ind w:right="40"/>
              <w:rPr>
                <w:rFonts w:ascii="Times New Roman" w:hint="eastAsia"/>
                <w:sz w:val="17"/>
              </w:rPr>
            </w:pPr>
          </w:p>
        </w:tc>
        <w:tc>
          <w:tcPr>
            <w:tcW w:w="1343" w:type="pct"/>
            <w:tcBorders>
              <w:top w:val="single" w:sz="12" w:space="0" w:color="auto"/>
            </w:tcBorders>
            <w:vAlign w:val="bottom"/>
          </w:tcPr>
          <w:p w:rsidR="00320E49" w:rsidRDefault="00320E49">
            <w:pPr>
              <w:pStyle w:val="PlainText"/>
              <w:spacing w:after="60" w:line="280" w:lineRule="exact"/>
              <w:ind w:right="40"/>
              <w:jc w:val="right"/>
              <w:rPr>
                <w:rFonts w:ascii="Times New Roman"/>
                <w:sz w:val="17"/>
              </w:rPr>
            </w:pPr>
          </w:p>
        </w:tc>
        <w:tc>
          <w:tcPr>
            <w:tcW w:w="1343" w:type="pct"/>
            <w:tcBorders>
              <w:top w:val="single" w:sz="12" w:space="0" w:color="auto"/>
            </w:tcBorders>
            <w:vAlign w:val="bottom"/>
          </w:tcPr>
          <w:p w:rsidR="00320E49" w:rsidRDefault="00320E49">
            <w:pPr>
              <w:pStyle w:val="PlainText"/>
              <w:spacing w:after="60" w:line="280" w:lineRule="exact"/>
              <w:ind w:right="40"/>
              <w:jc w:val="right"/>
              <w:rPr>
                <w:rFonts w:ascii="Times New Roman"/>
                <w:sz w:val="17"/>
              </w:rPr>
            </w:pPr>
          </w:p>
        </w:tc>
        <w:tc>
          <w:tcPr>
            <w:tcW w:w="1343" w:type="pct"/>
            <w:tcBorders>
              <w:top w:val="single" w:sz="12" w:space="0" w:color="auto"/>
            </w:tcBorders>
            <w:vAlign w:val="bottom"/>
          </w:tcPr>
          <w:p w:rsidR="00320E49" w:rsidRDefault="00320E49">
            <w:pPr>
              <w:pStyle w:val="PlainText"/>
              <w:spacing w:after="60" w:line="280" w:lineRule="exact"/>
              <w:ind w:right="40"/>
              <w:jc w:val="right"/>
              <w:rPr>
                <w:rFonts w:ascii="Times New Roman"/>
                <w:sz w:val="17"/>
              </w:rPr>
            </w:pPr>
          </w:p>
        </w:tc>
      </w:tr>
      <w:tr w:rsidR="00320E49">
        <w:tblPrEx>
          <w:tblCellMar>
            <w:top w:w="0" w:type="dxa"/>
            <w:bottom w:w="0" w:type="dxa"/>
          </w:tblCellMar>
        </w:tblPrEx>
        <w:tc>
          <w:tcPr>
            <w:tcW w:w="970" w:type="pct"/>
            <w:vAlign w:val="bottom"/>
          </w:tcPr>
          <w:p w:rsidR="00320E49" w:rsidRDefault="00320E49">
            <w:pPr>
              <w:pStyle w:val="PlainText"/>
              <w:tabs>
                <w:tab w:val="left" w:pos="357"/>
                <w:tab w:val="left" w:pos="714"/>
                <w:tab w:val="left" w:pos="1071"/>
                <w:tab w:val="left" w:pos="1429"/>
              </w:tabs>
              <w:spacing w:after="60" w:line="280" w:lineRule="exact"/>
              <w:ind w:right="40"/>
              <w:rPr>
                <w:rFonts w:ascii="Times New Roman" w:hint="eastAsia"/>
                <w:sz w:val="17"/>
              </w:rPr>
            </w:pPr>
            <w:r>
              <w:rPr>
                <w:rFonts w:ascii="Times New Roman" w:hint="eastAsia"/>
                <w:sz w:val="17"/>
              </w:rPr>
              <w:t>卫生学</w:t>
            </w:r>
          </w:p>
        </w:tc>
        <w:tc>
          <w:tcPr>
            <w:tcW w:w="1343" w:type="pct"/>
            <w:vAlign w:val="bottom"/>
          </w:tcPr>
          <w:p w:rsidR="00320E49" w:rsidRDefault="00320E49">
            <w:pPr>
              <w:pStyle w:val="PlainText"/>
              <w:tabs>
                <w:tab w:val="left" w:pos="357"/>
                <w:tab w:val="left" w:pos="714"/>
                <w:tab w:val="left" w:pos="1071"/>
                <w:tab w:val="left" w:pos="1429"/>
              </w:tabs>
              <w:spacing w:after="60" w:line="280" w:lineRule="exact"/>
              <w:ind w:right="40"/>
              <w:jc w:val="right"/>
              <w:rPr>
                <w:rFonts w:ascii="Times New Roman"/>
                <w:sz w:val="17"/>
              </w:rPr>
            </w:pPr>
            <w:r>
              <w:rPr>
                <w:rFonts w:ascii="Times New Roman"/>
                <w:sz w:val="17"/>
              </w:rPr>
              <w:t>46.1</w:t>
            </w:r>
          </w:p>
        </w:tc>
        <w:tc>
          <w:tcPr>
            <w:tcW w:w="1343" w:type="pct"/>
            <w:vAlign w:val="bottom"/>
          </w:tcPr>
          <w:p w:rsidR="00320E49" w:rsidRDefault="00320E49">
            <w:pPr>
              <w:pStyle w:val="PlainText"/>
              <w:tabs>
                <w:tab w:val="left" w:pos="357"/>
                <w:tab w:val="left" w:pos="714"/>
                <w:tab w:val="left" w:pos="1071"/>
                <w:tab w:val="left" w:pos="1429"/>
              </w:tabs>
              <w:spacing w:after="60" w:line="280" w:lineRule="exact"/>
              <w:ind w:right="40"/>
              <w:jc w:val="right"/>
              <w:rPr>
                <w:rFonts w:ascii="Times New Roman"/>
                <w:sz w:val="17"/>
              </w:rPr>
            </w:pPr>
            <w:r>
              <w:rPr>
                <w:rFonts w:ascii="Times New Roman"/>
                <w:sz w:val="17"/>
              </w:rPr>
              <w:t>42.6</w:t>
            </w:r>
          </w:p>
        </w:tc>
        <w:tc>
          <w:tcPr>
            <w:tcW w:w="1343" w:type="pct"/>
            <w:vAlign w:val="bottom"/>
          </w:tcPr>
          <w:p w:rsidR="00320E49" w:rsidRDefault="00320E49">
            <w:pPr>
              <w:pStyle w:val="PlainText"/>
              <w:tabs>
                <w:tab w:val="left" w:pos="357"/>
                <w:tab w:val="left" w:pos="714"/>
                <w:tab w:val="left" w:pos="1071"/>
                <w:tab w:val="left" w:pos="1429"/>
              </w:tabs>
              <w:spacing w:after="60" w:line="280" w:lineRule="exact"/>
              <w:ind w:right="40"/>
              <w:jc w:val="right"/>
              <w:rPr>
                <w:rFonts w:ascii="Times New Roman"/>
                <w:sz w:val="17"/>
              </w:rPr>
            </w:pPr>
            <w:r>
              <w:rPr>
                <w:rFonts w:ascii="Times New Roman"/>
                <w:sz w:val="17"/>
              </w:rPr>
              <w:t>44.5</w:t>
            </w:r>
          </w:p>
        </w:tc>
      </w:tr>
      <w:tr w:rsidR="00320E49">
        <w:tblPrEx>
          <w:tblCellMar>
            <w:top w:w="0" w:type="dxa"/>
            <w:bottom w:w="0" w:type="dxa"/>
          </w:tblCellMar>
        </w:tblPrEx>
        <w:tc>
          <w:tcPr>
            <w:tcW w:w="970" w:type="pct"/>
            <w:vAlign w:val="bottom"/>
          </w:tcPr>
          <w:p w:rsidR="00320E49" w:rsidRDefault="00320E49">
            <w:pPr>
              <w:pStyle w:val="PlainText"/>
              <w:tabs>
                <w:tab w:val="left" w:pos="357"/>
                <w:tab w:val="left" w:pos="714"/>
                <w:tab w:val="left" w:pos="1071"/>
                <w:tab w:val="left" w:pos="1429"/>
              </w:tabs>
              <w:spacing w:after="60" w:line="280" w:lineRule="exact"/>
              <w:ind w:right="40"/>
              <w:rPr>
                <w:rFonts w:ascii="Times New Roman" w:hint="eastAsia"/>
                <w:sz w:val="17"/>
              </w:rPr>
            </w:pPr>
            <w:r>
              <w:rPr>
                <w:rFonts w:ascii="Times New Roman" w:hint="eastAsia"/>
                <w:sz w:val="17"/>
              </w:rPr>
              <w:t>语言和文学</w:t>
            </w:r>
          </w:p>
        </w:tc>
        <w:tc>
          <w:tcPr>
            <w:tcW w:w="1343" w:type="pct"/>
            <w:vAlign w:val="bottom"/>
          </w:tcPr>
          <w:p w:rsidR="00320E49" w:rsidRDefault="00320E49">
            <w:pPr>
              <w:pStyle w:val="PlainText"/>
              <w:tabs>
                <w:tab w:val="left" w:pos="357"/>
                <w:tab w:val="left" w:pos="714"/>
                <w:tab w:val="left" w:pos="1071"/>
                <w:tab w:val="left" w:pos="1429"/>
              </w:tabs>
              <w:spacing w:after="60" w:line="280" w:lineRule="exact"/>
              <w:ind w:right="40"/>
              <w:jc w:val="right"/>
              <w:rPr>
                <w:rFonts w:ascii="Times New Roman"/>
                <w:sz w:val="17"/>
              </w:rPr>
            </w:pPr>
            <w:r>
              <w:rPr>
                <w:rFonts w:ascii="Times New Roman"/>
                <w:sz w:val="17"/>
              </w:rPr>
              <w:t>63.4</w:t>
            </w:r>
          </w:p>
        </w:tc>
        <w:tc>
          <w:tcPr>
            <w:tcW w:w="1343" w:type="pct"/>
            <w:vAlign w:val="bottom"/>
          </w:tcPr>
          <w:p w:rsidR="00320E49" w:rsidRDefault="00320E49">
            <w:pPr>
              <w:pStyle w:val="PlainText"/>
              <w:tabs>
                <w:tab w:val="left" w:pos="357"/>
                <w:tab w:val="left" w:pos="714"/>
                <w:tab w:val="left" w:pos="1071"/>
                <w:tab w:val="left" w:pos="1429"/>
              </w:tabs>
              <w:spacing w:after="60" w:line="280" w:lineRule="exact"/>
              <w:ind w:right="40"/>
              <w:jc w:val="right"/>
              <w:rPr>
                <w:rFonts w:ascii="Times New Roman"/>
                <w:sz w:val="17"/>
              </w:rPr>
            </w:pPr>
            <w:r>
              <w:rPr>
                <w:rFonts w:ascii="Times New Roman"/>
                <w:sz w:val="17"/>
              </w:rPr>
              <w:t>60.0</w:t>
            </w:r>
          </w:p>
        </w:tc>
        <w:tc>
          <w:tcPr>
            <w:tcW w:w="1343" w:type="pct"/>
            <w:vAlign w:val="bottom"/>
          </w:tcPr>
          <w:p w:rsidR="00320E49" w:rsidRDefault="00320E49">
            <w:pPr>
              <w:pStyle w:val="PlainText"/>
              <w:tabs>
                <w:tab w:val="left" w:pos="357"/>
                <w:tab w:val="left" w:pos="714"/>
                <w:tab w:val="left" w:pos="1071"/>
                <w:tab w:val="left" w:pos="1429"/>
              </w:tabs>
              <w:spacing w:after="60" w:line="280" w:lineRule="exact"/>
              <w:ind w:right="40"/>
              <w:jc w:val="right"/>
              <w:rPr>
                <w:rFonts w:ascii="Times New Roman"/>
                <w:sz w:val="17"/>
              </w:rPr>
            </w:pPr>
            <w:r>
              <w:rPr>
                <w:rFonts w:ascii="Times New Roman"/>
                <w:sz w:val="17"/>
              </w:rPr>
              <w:t>60.6</w:t>
            </w:r>
          </w:p>
        </w:tc>
      </w:tr>
      <w:tr w:rsidR="00320E49">
        <w:tblPrEx>
          <w:tblCellMar>
            <w:top w:w="0" w:type="dxa"/>
            <w:bottom w:w="0" w:type="dxa"/>
          </w:tblCellMar>
        </w:tblPrEx>
        <w:tc>
          <w:tcPr>
            <w:tcW w:w="970" w:type="pct"/>
            <w:vAlign w:val="bottom"/>
          </w:tcPr>
          <w:p w:rsidR="00320E49" w:rsidRDefault="00320E49">
            <w:pPr>
              <w:pStyle w:val="PlainText"/>
              <w:tabs>
                <w:tab w:val="left" w:pos="357"/>
                <w:tab w:val="left" w:pos="714"/>
                <w:tab w:val="left" w:pos="1071"/>
                <w:tab w:val="left" w:pos="1429"/>
              </w:tabs>
              <w:spacing w:after="60" w:line="280" w:lineRule="exact"/>
              <w:ind w:right="40"/>
              <w:rPr>
                <w:rFonts w:ascii="Times New Roman" w:hint="eastAsia"/>
                <w:sz w:val="17"/>
              </w:rPr>
            </w:pPr>
            <w:r>
              <w:rPr>
                <w:rFonts w:ascii="Times New Roman" w:hint="eastAsia"/>
                <w:sz w:val="17"/>
              </w:rPr>
              <w:t>科学和艺术系</w:t>
            </w:r>
          </w:p>
        </w:tc>
        <w:tc>
          <w:tcPr>
            <w:tcW w:w="1343" w:type="pct"/>
            <w:vAlign w:val="bottom"/>
          </w:tcPr>
          <w:p w:rsidR="00320E49" w:rsidRDefault="00320E49">
            <w:pPr>
              <w:pStyle w:val="PlainText"/>
              <w:tabs>
                <w:tab w:val="left" w:pos="357"/>
                <w:tab w:val="left" w:pos="714"/>
                <w:tab w:val="left" w:pos="1071"/>
                <w:tab w:val="left" w:pos="1429"/>
              </w:tabs>
              <w:spacing w:after="60" w:line="280" w:lineRule="exact"/>
              <w:ind w:right="40"/>
              <w:jc w:val="right"/>
              <w:rPr>
                <w:rFonts w:ascii="Times New Roman"/>
                <w:sz w:val="17"/>
              </w:rPr>
            </w:pPr>
            <w:r>
              <w:rPr>
                <w:rFonts w:ascii="Times New Roman"/>
                <w:sz w:val="17"/>
              </w:rPr>
              <w:t>46.7</w:t>
            </w:r>
          </w:p>
        </w:tc>
        <w:tc>
          <w:tcPr>
            <w:tcW w:w="1343" w:type="pct"/>
            <w:vAlign w:val="bottom"/>
          </w:tcPr>
          <w:p w:rsidR="00320E49" w:rsidRDefault="00320E49">
            <w:pPr>
              <w:pStyle w:val="PlainText"/>
              <w:tabs>
                <w:tab w:val="left" w:pos="357"/>
                <w:tab w:val="left" w:pos="714"/>
                <w:tab w:val="left" w:pos="1071"/>
                <w:tab w:val="left" w:pos="1429"/>
              </w:tabs>
              <w:spacing w:after="60" w:line="280" w:lineRule="exact"/>
              <w:ind w:right="40"/>
              <w:jc w:val="right"/>
              <w:rPr>
                <w:rFonts w:ascii="Times New Roman"/>
                <w:sz w:val="17"/>
              </w:rPr>
            </w:pPr>
            <w:r>
              <w:rPr>
                <w:rFonts w:ascii="Times New Roman"/>
                <w:sz w:val="17"/>
              </w:rPr>
              <w:t>47.1</w:t>
            </w:r>
          </w:p>
        </w:tc>
        <w:tc>
          <w:tcPr>
            <w:tcW w:w="1343" w:type="pct"/>
            <w:vAlign w:val="bottom"/>
          </w:tcPr>
          <w:p w:rsidR="00320E49" w:rsidRDefault="00320E49">
            <w:pPr>
              <w:pStyle w:val="PlainText"/>
              <w:tabs>
                <w:tab w:val="left" w:pos="357"/>
                <w:tab w:val="left" w:pos="714"/>
                <w:tab w:val="left" w:pos="1071"/>
                <w:tab w:val="left" w:pos="1429"/>
              </w:tabs>
              <w:spacing w:after="60" w:line="280" w:lineRule="exact"/>
              <w:ind w:right="40"/>
              <w:jc w:val="right"/>
              <w:rPr>
                <w:rFonts w:ascii="Times New Roman"/>
                <w:sz w:val="17"/>
              </w:rPr>
            </w:pPr>
            <w:r>
              <w:rPr>
                <w:rFonts w:ascii="Times New Roman"/>
                <w:sz w:val="17"/>
              </w:rPr>
              <w:t>48.5</w:t>
            </w:r>
          </w:p>
        </w:tc>
      </w:tr>
      <w:tr w:rsidR="00320E49">
        <w:tblPrEx>
          <w:tblCellMar>
            <w:top w:w="0" w:type="dxa"/>
            <w:bottom w:w="0" w:type="dxa"/>
          </w:tblCellMar>
        </w:tblPrEx>
        <w:tc>
          <w:tcPr>
            <w:tcW w:w="970" w:type="pct"/>
            <w:vAlign w:val="bottom"/>
          </w:tcPr>
          <w:p w:rsidR="00320E49" w:rsidRDefault="00320E49">
            <w:pPr>
              <w:pStyle w:val="PlainText"/>
              <w:tabs>
                <w:tab w:val="left" w:pos="357"/>
                <w:tab w:val="left" w:pos="714"/>
                <w:tab w:val="left" w:pos="1071"/>
                <w:tab w:val="left" w:pos="1429"/>
              </w:tabs>
              <w:spacing w:after="60" w:line="280" w:lineRule="exact"/>
              <w:ind w:right="40"/>
              <w:rPr>
                <w:rFonts w:ascii="Times New Roman" w:hint="eastAsia"/>
                <w:sz w:val="17"/>
              </w:rPr>
            </w:pPr>
            <w:r>
              <w:rPr>
                <w:rFonts w:ascii="Times New Roman" w:hint="eastAsia"/>
                <w:sz w:val="17"/>
              </w:rPr>
              <w:t>教育学</w:t>
            </w:r>
          </w:p>
        </w:tc>
        <w:tc>
          <w:tcPr>
            <w:tcW w:w="1343" w:type="pct"/>
            <w:vAlign w:val="bottom"/>
          </w:tcPr>
          <w:p w:rsidR="00320E49" w:rsidRDefault="00320E49">
            <w:pPr>
              <w:pStyle w:val="PlainText"/>
              <w:tabs>
                <w:tab w:val="left" w:pos="357"/>
                <w:tab w:val="left" w:pos="714"/>
                <w:tab w:val="left" w:pos="1071"/>
                <w:tab w:val="left" w:pos="1429"/>
              </w:tabs>
              <w:spacing w:after="60" w:line="280" w:lineRule="exact"/>
              <w:ind w:right="40"/>
              <w:jc w:val="right"/>
              <w:rPr>
                <w:rFonts w:ascii="Times New Roman"/>
                <w:sz w:val="17"/>
              </w:rPr>
            </w:pPr>
            <w:r>
              <w:rPr>
                <w:rFonts w:ascii="Times New Roman"/>
                <w:sz w:val="17"/>
              </w:rPr>
              <w:t>57.1</w:t>
            </w:r>
          </w:p>
        </w:tc>
        <w:tc>
          <w:tcPr>
            <w:tcW w:w="1343" w:type="pct"/>
            <w:vAlign w:val="bottom"/>
          </w:tcPr>
          <w:p w:rsidR="00320E49" w:rsidRDefault="00320E49">
            <w:pPr>
              <w:pStyle w:val="PlainText"/>
              <w:tabs>
                <w:tab w:val="left" w:pos="357"/>
                <w:tab w:val="left" w:pos="714"/>
                <w:tab w:val="left" w:pos="1071"/>
                <w:tab w:val="left" w:pos="1429"/>
              </w:tabs>
              <w:spacing w:after="60" w:line="280" w:lineRule="exact"/>
              <w:ind w:right="40"/>
              <w:jc w:val="right"/>
              <w:rPr>
                <w:rFonts w:ascii="Times New Roman"/>
                <w:sz w:val="17"/>
              </w:rPr>
            </w:pPr>
            <w:r>
              <w:rPr>
                <w:rFonts w:ascii="Times New Roman"/>
                <w:sz w:val="17"/>
              </w:rPr>
              <w:t>55.5</w:t>
            </w:r>
          </w:p>
        </w:tc>
        <w:tc>
          <w:tcPr>
            <w:tcW w:w="1343" w:type="pct"/>
            <w:vAlign w:val="bottom"/>
          </w:tcPr>
          <w:p w:rsidR="00320E49" w:rsidRDefault="00320E49">
            <w:pPr>
              <w:pStyle w:val="PlainText"/>
              <w:tabs>
                <w:tab w:val="left" w:pos="357"/>
                <w:tab w:val="left" w:pos="714"/>
                <w:tab w:val="left" w:pos="1071"/>
                <w:tab w:val="left" w:pos="1429"/>
              </w:tabs>
              <w:spacing w:after="60" w:line="280" w:lineRule="exact"/>
              <w:ind w:right="40"/>
              <w:jc w:val="right"/>
              <w:rPr>
                <w:rFonts w:ascii="Times New Roman"/>
                <w:sz w:val="17"/>
              </w:rPr>
            </w:pPr>
            <w:r>
              <w:rPr>
                <w:rFonts w:ascii="Times New Roman"/>
                <w:sz w:val="17"/>
              </w:rPr>
              <w:t>50.3</w:t>
            </w:r>
          </w:p>
        </w:tc>
      </w:tr>
      <w:tr w:rsidR="00320E49">
        <w:tblPrEx>
          <w:tblCellMar>
            <w:top w:w="0" w:type="dxa"/>
            <w:bottom w:w="0" w:type="dxa"/>
          </w:tblCellMar>
        </w:tblPrEx>
        <w:tc>
          <w:tcPr>
            <w:tcW w:w="970" w:type="pct"/>
            <w:vAlign w:val="bottom"/>
          </w:tcPr>
          <w:p w:rsidR="00320E49" w:rsidRDefault="00320E49">
            <w:pPr>
              <w:pStyle w:val="PlainText"/>
              <w:tabs>
                <w:tab w:val="left" w:pos="357"/>
                <w:tab w:val="left" w:pos="714"/>
                <w:tab w:val="left" w:pos="1071"/>
                <w:tab w:val="left" w:pos="1429"/>
              </w:tabs>
              <w:spacing w:after="60" w:line="280" w:lineRule="exact"/>
              <w:ind w:right="40"/>
              <w:rPr>
                <w:rFonts w:ascii="Times New Roman" w:hint="eastAsia"/>
                <w:sz w:val="17"/>
              </w:rPr>
            </w:pPr>
            <w:r>
              <w:rPr>
                <w:rFonts w:ascii="Times New Roman" w:hint="eastAsia"/>
                <w:sz w:val="17"/>
              </w:rPr>
              <w:t>工程和建筑</w:t>
            </w:r>
          </w:p>
        </w:tc>
        <w:tc>
          <w:tcPr>
            <w:tcW w:w="1343" w:type="pct"/>
            <w:vAlign w:val="bottom"/>
          </w:tcPr>
          <w:p w:rsidR="00320E49" w:rsidRDefault="00320E49">
            <w:pPr>
              <w:pStyle w:val="PlainText"/>
              <w:tabs>
                <w:tab w:val="left" w:pos="357"/>
                <w:tab w:val="left" w:pos="714"/>
                <w:tab w:val="left" w:pos="1071"/>
                <w:tab w:val="left" w:pos="1429"/>
              </w:tabs>
              <w:spacing w:after="60" w:line="280" w:lineRule="exact"/>
              <w:ind w:right="40"/>
              <w:jc w:val="right"/>
              <w:rPr>
                <w:rFonts w:ascii="Times New Roman"/>
                <w:sz w:val="17"/>
              </w:rPr>
            </w:pPr>
            <w:r>
              <w:rPr>
                <w:rFonts w:ascii="Times New Roman"/>
                <w:sz w:val="17"/>
              </w:rPr>
              <w:t>23.4</w:t>
            </w:r>
          </w:p>
        </w:tc>
        <w:tc>
          <w:tcPr>
            <w:tcW w:w="1343" w:type="pct"/>
            <w:vAlign w:val="bottom"/>
          </w:tcPr>
          <w:p w:rsidR="00320E49" w:rsidRDefault="00320E49">
            <w:pPr>
              <w:pStyle w:val="PlainText"/>
              <w:tabs>
                <w:tab w:val="left" w:pos="357"/>
                <w:tab w:val="left" w:pos="714"/>
                <w:tab w:val="left" w:pos="1071"/>
                <w:tab w:val="left" w:pos="1429"/>
              </w:tabs>
              <w:spacing w:after="60" w:line="280" w:lineRule="exact"/>
              <w:ind w:right="40"/>
              <w:jc w:val="right"/>
              <w:rPr>
                <w:rFonts w:ascii="Times New Roman"/>
                <w:sz w:val="17"/>
              </w:rPr>
            </w:pPr>
            <w:r>
              <w:rPr>
                <w:rFonts w:ascii="Times New Roman"/>
                <w:sz w:val="17"/>
              </w:rPr>
              <w:t>23.2</w:t>
            </w:r>
          </w:p>
        </w:tc>
        <w:tc>
          <w:tcPr>
            <w:tcW w:w="1343" w:type="pct"/>
            <w:vAlign w:val="bottom"/>
          </w:tcPr>
          <w:p w:rsidR="00320E49" w:rsidRDefault="00320E49">
            <w:pPr>
              <w:pStyle w:val="PlainText"/>
              <w:tabs>
                <w:tab w:val="left" w:pos="357"/>
                <w:tab w:val="left" w:pos="714"/>
                <w:tab w:val="left" w:pos="1071"/>
                <w:tab w:val="left" w:pos="1429"/>
              </w:tabs>
              <w:spacing w:after="60" w:line="280" w:lineRule="exact"/>
              <w:ind w:right="40"/>
              <w:jc w:val="right"/>
              <w:rPr>
                <w:rFonts w:ascii="Times New Roman"/>
                <w:sz w:val="17"/>
              </w:rPr>
            </w:pPr>
            <w:r>
              <w:rPr>
                <w:rFonts w:ascii="Times New Roman"/>
                <w:sz w:val="17"/>
              </w:rPr>
              <w:t>25.7</w:t>
            </w:r>
          </w:p>
        </w:tc>
      </w:tr>
      <w:tr w:rsidR="00320E49">
        <w:tblPrEx>
          <w:tblCellMar>
            <w:top w:w="0" w:type="dxa"/>
            <w:bottom w:w="0" w:type="dxa"/>
          </w:tblCellMar>
        </w:tblPrEx>
        <w:tc>
          <w:tcPr>
            <w:tcW w:w="970" w:type="pct"/>
            <w:tcBorders>
              <w:bottom w:val="single" w:sz="12" w:space="0" w:color="auto"/>
            </w:tcBorders>
            <w:vAlign w:val="bottom"/>
          </w:tcPr>
          <w:p w:rsidR="00320E49" w:rsidRDefault="00320E49">
            <w:pPr>
              <w:pStyle w:val="PlainText"/>
              <w:tabs>
                <w:tab w:val="left" w:pos="357"/>
                <w:tab w:val="left" w:pos="714"/>
                <w:tab w:val="left" w:pos="1071"/>
                <w:tab w:val="left" w:pos="1429"/>
              </w:tabs>
              <w:spacing w:after="60" w:line="280" w:lineRule="exact"/>
              <w:ind w:right="40"/>
              <w:rPr>
                <w:rFonts w:ascii="Times New Roman" w:hint="eastAsia"/>
                <w:sz w:val="17"/>
              </w:rPr>
            </w:pPr>
            <w:r>
              <w:rPr>
                <w:rFonts w:ascii="Times New Roman" w:hint="eastAsia"/>
                <w:sz w:val="17"/>
              </w:rPr>
              <w:t>艺术</w:t>
            </w:r>
          </w:p>
        </w:tc>
        <w:tc>
          <w:tcPr>
            <w:tcW w:w="1343" w:type="pct"/>
            <w:tcBorders>
              <w:bottom w:val="single" w:sz="12" w:space="0" w:color="auto"/>
            </w:tcBorders>
            <w:vAlign w:val="bottom"/>
          </w:tcPr>
          <w:p w:rsidR="00320E49" w:rsidRDefault="00320E49">
            <w:pPr>
              <w:pStyle w:val="PlainText"/>
              <w:tabs>
                <w:tab w:val="left" w:pos="357"/>
                <w:tab w:val="left" w:pos="714"/>
                <w:tab w:val="left" w:pos="1071"/>
                <w:tab w:val="left" w:pos="1429"/>
              </w:tabs>
              <w:spacing w:after="60" w:line="280" w:lineRule="exact"/>
              <w:ind w:right="40"/>
              <w:jc w:val="right"/>
              <w:rPr>
                <w:rFonts w:ascii="Times New Roman"/>
                <w:sz w:val="17"/>
              </w:rPr>
            </w:pPr>
            <w:r>
              <w:rPr>
                <w:rFonts w:ascii="Times New Roman"/>
                <w:sz w:val="17"/>
              </w:rPr>
              <w:t>54.0</w:t>
            </w:r>
          </w:p>
        </w:tc>
        <w:tc>
          <w:tcPr>
            <w:tcW w:w="1343" w:type="pct"/>
            <w:tcBorders>
              <w:bottom w:val="single" w:sz="12" w:space="0" w:color="auto"/>
            </w:tcBorders>
            <w:vAlign w:val="bottom"/>
          </w:tcPr>
          <w:p w:rsidR="00320E49" w:rsidRDefault="00320E49">
            <w:pPr>
              <w:pStyle w:val="PlainText"/>
              <w:tabs>
                <w:tab w:val="left" w:pos="357"/>
                <w:tab w:val="left" w:pos="714"/>
                <w:tab w:val="left" w:pos="1071"/>
                <w:tab w:val="left" w:pos="1429"/>
              </w:tabs>
              <w:spacing w:after="60" w:line="280" w:lineRule="exact"/>
              <w:ind w:right="40"/>
              <w:jc w:val="right"/>
              <w:rPr>
                <w:rFonts w:ascii="Times New Roman"/>
                <w:sz w:val="17"/>
              </w:rPr>
            </w:pPr>
            <w:r>
              <w:rPr>
                <w:rFonts w:ascii="Times New Roman"/>
                <w:sz w:val="17"/>
              </w:rPr>
              <w:t>54.1</w:t>
            </w:r>
          </w:p>
        </w:tc>
        <w:tc>
          <w:tcPr>
            <w:tcW w:w="1343" w:type="pct"/>
            <w:tcBorders>
              <w:bottom w:val="single" w:sz="12" w:space="0" w:color="auto"/>
            </w:tcBorders>
            <w:vAlign w:val="bottom"/>
          </w:tcPr>
          <w:p w:rsidR="00320E49" w:rsidRDefault="00320E49">
            <w:pPr>
              <w:pStyle w:val="PlainText"/>
              <w:tabs>
                <w:tab w:val="left" w:pos="357"/>
                <w:tab w:val="left" w:pos="714"/>
                <w:tab w:val="left" w:pos="1071"/>
                <w:tab w:val="left" w:pos="1429"/>
              </w:tabs>
              <w:spacing w:after="60" w:line="280" w:lineRule="exact"/>
              <w:ind w:right="40"/>
              <w:jc w:val="right"/>
              <w:rPr>
                <w:rFonts w:ascii="Times New Roman"/>
                <w:sz w:val="17"/>
              </w:rPr>
            </w:pPr>
            <w:r>
              <w:rPr>
                <w:rFonts w:ascii="Times New Roman"/>
                <w:sz w:val="17"/>
              </w:rPr>
              <w:t>61.1</w:t>
            </w:r>
          </w:p>
        </w:tc>
      </w:tr>
    </w:tbl>
    <w:p w:rsidR="00320E49" w:rsidRDefault="00320E49">
      <w:pPr>
        <w:pStyle w:val="SingleTxt"/>
        <w:spacing w:before="120" w:after="240"/>
        <w:rPr>
          <w:rFonts w:hint="eastAsia"/>
          <w:sz w:val="18"/>
        </w:rPr>
      </w:pPr>
      <w:r>
        <w:rPr>
          <w:rFonts w:ascii="KaiTi_GB2312" w:eastAsia="KaiTi_GB2312" w:hint="eastAsia"/>
          <w:color w:val="0000FF"/>
          <w:sz w:val="18"/>
        </w:rPr>
        <w:t>资料来源</w:t>
      </w:r>
      <w:r>
        <w:rPr>
          <w:rFonts w:hint="eastAsia"/>
          <w:sz w:val="18"/>
        </w:rPr>
        <w:t>：《2001至2002学年高等教育统计》SSPC。</w:t>
      </w:r>
    </w:p>
    <w:p w:rsidR="00320E49" w:rsidRDefault="00320E49">
      <w:pPr>
        <w:pStyle w:val="SingleTxt"/>
        <w:rPr>
          <w:rFonts w:hint="eastAsia"/>
        </w:rPr>
      </w:pPr>
      <w:r>
        <w:rPr>
          <w:rFonts w:hint="eastAsia"/>
        </w:rPr>
        <w:tab/>
        <w:t>缔约各国应……确保：</w:t>
      </w:r>
    </w:p>
    <w:p w:rsidR="00320E49" w:rsidRDefault="00320E49">
      <w:pPr>
        <w:pStyle w:val="SingleTxt"/>
        <w:rPr>
          <w:rFonts w:hint="eastAsia"/>
        </w:rPr>
      </w:pPr>
      <w:r>
        <w:rPr>
          <w:rFonts w:hint="eastAsia"/>
        </w:rPr>
        <w:tab/>
      </w:r>
      <w:r>
        <w:rPr>
          <w:rFonts w:ascii="KaiTi_GB2312" w:eastAsia="KaiTi_GB2312" w:hint="eastAsia"/>
          <w:color w:val="0000FF"/>
        </w:rPr>
        <w:t>(b)</w:t>
      </w:r>
      <w:r>
        <w:rPr>
          <w:rFonts w:ascii="KaiTi_GB2312" w:eastAsia="KaiTi_GB2312" w:hint="eastAsia"/>
          <w:color w:val="0000FF"/>
        </w:rPr>
        <w:tab/>
        <w:t>课程、考试、师资的标准、校舍和设备的质量一律相同</w:t>
      </w:r>
      <w:r>
        <w:rPr>
          <w:rFonts w:hint="eastAsia"/>
        </w:rPr>
        <w:t>；</w:t>
      </w:r>
    </w:p>
    <w:p w:rsidR="00320E49" w:rsidRDefault="00320E49">
      <w:pPr>
        <w:pStyle w:val="SingleTxt"/>
        <w:spacing w:line="340" w:lineRule="exact"/>
        <w:rPr>
          <w:rFonts w:hint="eastAsia"/>
        </w:rPr>
      </w:pPr>
      <w:r>
        <w:rPr>
          <w:rFonts w:hint="eastAsia"/>
        </w:rPr>
        <w:tab/>
        <w:t>就小学和中学两级的所有学校而言，课程、规划和程序应当相同，它们由教育部管理。无疑不能声称各学校之间的教育质量是一样的，存在着明显的区域和城乡差异。</w:t>
      </w:r>
    </w:p>
    <w:p w:rsidR="00320E49" w:rsidRDefault="00320E49">
      <w:pPr>
        <w:pStyle w:val="SingleTxt"/>
        <w:spacing w:line="340" w:lineRule="exact"/>
        <w:rPr>
          <w:rFonts w:hint="eastAsia"/>
        </w:rPr>
      </w:pPr>
      <w:r>
        <w:rPr>
          <w:rFonts w:hint="eastAsia"/>
        </w:rPr>
        <w:tab/>
        <w:t>教育部依法管理免费的区域寄宿小学，确保低收入家庭和生活在偏僻地区家庭的子女不被剥夺受教育的权利。此类学校的数目已从1977年的153所增加到2000年的513所。寄宿学校的学生中35.5%是女生。女生如果成功地从寄缩小学毕业但无钱继续升学，将有机会免费进入职业寄宿高中上学。</w:t>
      </w:r>
    </w:p>
    <w:p w:rsidR="00320E49" w:rsidRDefault="00320E49">
      <w:pPr>
        <w:pStyle w:val="SingleTxt"/>
        <w:spacing w:line="340" w:lineRule="exact"/>
        <w:rPr>
          <w:rFonts w:hint="eastAsia"/>
        </w:rPr>
      </w:pPr>
      <w:r>
        <w:rPr>
          <w:rFonts w:hint="eastAsia"/>
        </w:rPr>
        <w:tab/>
        <w:t>师资队伍的性别结构类似于学生的结构。这就是说，在学校教育的起步阶段，女教师在师资队伍中占了很大的比例，但这个比例随教育程度提高而下降。如按城乡分布和区域分布看，也见到类似的差异。在我国比较传统的偏僻地区，这些差异对女生的入学率具有深远的影响。</w:t>
      </w:r>
    </w:p>
    <w:p w:rsidR="00320E49" w:rsidRDefault="00320E49">
      <w:pPr>
        <w:pStyle w:val="SingleTxt"/>
        <w:spacing w:line="340" w:lineRule="exact"/>
        <w:rPr>
          <w:rFonts w:hint="eastAsia"/>
        </w:rPr>
      </w:pPr>
      <w:r>
        <w:rPr>
          <w:rFonts w:hint="eastAsia"/>
        </w:rPr>
        <w:tab/>
        <w:t>不过，在高等教育一级，按世界标准衡量，女性学术人员的比例历来很高，根据2001至2002学年的数据，妇女占到学术人员的36.7%，随衡级而变化：占讲师的36.1%；占助教的29.5%；占副教授的31.5%；占正教授24.7%(表5)。学术人员的性别差异也随专业领域而变化，与上文所述的大学生的专业领域的情况相似。学术界妇女比例较高的情况未体现在大学的行政结构中。绝大多数系主任和大学校长的职位继续由男子占有。</w:t>
      </w:r>
    </w:p>
    <w:p w:rsidR="00320E49" w:rsidRDefault="00320E49">
      <w:pPr>
        <w:pStyle w:val="SingleTxt"/>
        <w:rPr>
          <w:rFonts w:ascii="SimHei" w:eastAsia="SimHei" w:hint="eastAsia"/>
          <w:color w:val="FF0000"/>
        </w:rPr>
      </w:pPr>
      <w:r>
        <w:rPr>
          <w:rFonts w:ascii="SimHei" w:eastAsia="SimHei" w:hint="eastAsia"/>
          <w:color w:val="FF0000"/>
        </w:rPr>
        <w:t>表5.  女教师在高等教育中所占百分比(%)，2001—2002年度</w:t>
      </w:r>
    </w:p>
    <w:tbl>
      <w:tblPr>
        <w:tblW w:w="3873" w:type="pct"/>
        <w:tblInd w:w="1251" w:type="dxa"/>
        <w:tblCellMar>
          <w:left w:w="0" w:type="dxa"/>
          <w:right w:w="0" w:type="dxa"/>
        </w:tblCellMar>
        <w:tblLook w:val="0000" w:firstRow="0" w:lastRow="0" w:firstColumn="0" w:lastColumn="0" w:noHBand="0" w:noVBand="0"/>
      </w:tblPr>
      <w:tblGrid>
        <w:gridCol w:w="2476"/>
        <w:gridCol w:w="1719"/>
        <w:gridCol w:w="1719"/>
        <w:gridCol w:w="1717"/>
      </w:tblGrid>
      <w:tr w:rsidR="00320E49">
        <w:tblPrEx>
          <w:tblCellMar>
            <w:top w:w="0" w:type="dxa"/>
            <w:bottom w:w="0" w:type="dxa"/>
          </w:tblCellMar>
        </w:tblPrEx>
        <w:trPr>
          <w:tblHeader/>
        </w:trPr>
        <w:tc>
          <w:tcPr>
            <w:tcW w:w="1623" w:type="pct"/>
            <w:tcBorders>
              <w:top w:val="single" w:sz="2" w:space="0" w:color="auto"/>
              <w:bottom w:val="single" w:sz="12" w:space="0" w:color="auto"/>
            </w:tcBorders>
            <w:vAlign w:val="bottom"/>
          </w:tcPr>
          <w:p w:rsidR="00320E49" w:rsidRDefault="00320E49">
            <w:pPr>
              <w:pStyle w:val="PlainText"/>
              <w:spacing w:before="60" w:after="60" w:line="240" w:lineRule="exact"/>
              <w:ind w:right="40"/>
              <w:rPr>
                <w:rFonts w:eastAsia="KaiTi_GB2312" w:hint="eastAsia"/>
                <w:color w:val="0000FF"/>
                <w:sz w:val="14"/>
              </w:rPr>
            </w:pPr>
          </w:p>
        </w:tc>
        <w:tc>
          <w:tcPr>
            <w:tcW w:w="1126" w:type="pct"/>
            <w:tcBorders>
              <w:top w:val="single" w:sz="2" w:space="0" w:color="auto"/>
              <w:bottom w:val="single" w:sz="12" w:space="0" w:color="auto"/>
            </w:tcBorders>
            <w:vAlign w:val="bottom"/>
          </w:tcPr>
          <w:p w:rsidR="00320E49" w:rsidRDefault="00320E49">
            <w:pPr>
              <w:pStyle w:val="PlainText"/>
              <w:spacing w:before="60" w:after="60" w:line="240" w:lineRule="exact"/>
              <w:ind w:right="40"/>
              <w:jc w:val="right"/>
              <w:rPr>
                <w:rFonts w:eastAsia="KaiTi_GB2312" w:hint="eastAsia"/>
                <w:color w:val="0000FF"/>
                <w:sz w:val="14"/>
              </w:rPr>
            </w:pPr>
            <w:r>
              <w:rPr>
                <w:rFonts w:eastAsia="KaiTi_GB2312" w:hint="eastAsia"/>
                <w:color w:val="0000FF"/>
                <w:sz w:val="14"/>
              </w:rPr>
              <w:t>合计</w:t>
            </w:r>
          </w:p>
        </w:tc>
        <w:tc>
          <w:tcPr>
            <w:tcW w:w="1126" w:type="pct"/>
            <w:tcBorders>
              <w:top w:val="single" w:sz="2" w:space="0" w:color="auto"/>
              <w:bottom w:val="single" w:sz="12" w:space="0" w:color="auto"/>
            </w:tcBorders>
            <w:vAlign w:val="bottom"/>
          </w:tcPr>
          <w:p w:rsidR="00320E49" w:rsidRDefault="00320E49">
            <w:pPr>
              <w:pStyle w:val="PlainText"/>
              <w:spacing w:before="60" w:after="60" w:line="240" w:lineRule="exact"/>
              <w:ind w:right="40"/>
              <w:jc w:val="right"/>
              <w:rPr>
                <w:rFonts w:eastAsia="KaiTi_GB2312" w:hint="eastAsia"/>
                <w:color w:val="0000FF"/>
                <w:sz w:val="14"/>
              </w:rPr>
            </w:pPr>
            <w:r>
              <w:rPr>
                <w:rFonts w:eastAsia="KaiTi_GB2312" w:hint="eastAsia"/>
                <w:color w:val="0000FF"/>
                <w:sz w:val="14"/>
              </w:rPr>
              <w:t>女</w:t>
            </w:r>
          </w:p>
        </w:tc>
        <w:tc>
          <w:tcPr>
            <w:tcW w:w="1126" w:type="pct"/>
            <w:tcBorders>
              <w:top w:val="single" w:sz="2" w:space="0" w:color="auto"/>
              <w:bottom w:val="single" w:sz="12" w:space="0" w:color="auto"/>
            </w:tcBorders>
            <w:vAlign w:val="bottom"/>
          </w:tcPr>
          <w:p w:rsidR="00320E49" w:rsidRDefault="00320E49">
            <w:pPr>
              <w:pStyle w:val="PlainText"/>
              <w:spacing w:before="60" w:after="60" w:line="240" w:lineRule="exact"/>
              <w:ind w:right="40"/>
              <w:jc w:val="right"/>
              <w:rPr>
                <w:rFonts w:eastAsia="KaiTi_GB2312" w:hint="eastAsia"/>
                <w:color w:val="0000FF"/>
                <w:sz w:val="14"/>
              </w:rPr>
            </w:pPr>
            <w:r>
              <w:rPr>
                <w:rFonts w:eastAsia="KaiTi_GB2312" w:hint="eastAsia"/>
                <w:color w:val="0000FF"/>
                <w:sz w:val="14"/>
              </w:rPr>
              <w:t>女</w:t>
            </w:r>
            <w:r>
              <w:rPr>
                <w:rFonts w:eastAsia="KaiTi_GB2312" w:hint="eastAsia"/>
                <w:color w:val="0000FF"/>
                <w:sz w:val="14"/>
              </w:rPr>
              <w:t>%</w:t>
            </w:r>
          </w:p>
        </w:tc>
      </w:tr>
      <w:tr w:rsidR="00320E49">
        <w:tblPrEx>
          <w:tblCellMar>
            <w:top w:w="0" w:type="dxa"/>
            <w:bottom w:w="0" w:type="dxa"/>
          </w:tblCellMar>
        </w:tblPrEx>
        <w:trPr>
          <w:trHeight w:hRule="exact" w:val="115"/>
          <w:tblHeader/>
        </w:trPr>
        <w:tc>
          <w:tcPr>
            <w:tcW w:w="1623" w:type="pct"/>
            <w:tcBorders>
              <w:top w:val="single" w:sz="12" w:space="0" w:color="auto"/>
            </w:tcBorders>
            <w:vAlign w:val="bottom"/>
          </w:tcPr>
          <w:p w:rsidR="00320E49" w:rsidRDefault="00320E49">
            <w:pPr>
              <w:pStyle w:val="PlainText"/>
              <w:spacing w:after="60" w:line="280" w:lineRule="exact"/>
              <w:ind w:right="40"/>
              <w:rPr>
                <w:rFonts w:hint="eastAsia"/>
                <w:sz w:val="17"/>
              </w:rPr>
            </w:pPr>
          </w:p>
        </w:tc>
        <w:tc>
          <w:tcPr>
            <w:tcW w:w="1126" w:type="pct"/>
            <w:tcBorders>
              <w:top w:val="single" w:sz="12" w:space="0" w:color="auto"/>
            </w:tcBorders>
            <w:vAlign w:val="bottom"/>
          </w:tcPr>
          <w:p w:rsidR="00320E49" w:rsidRDefault="00320E49" w:rsidP="00CE6DA5">
            <w:pPr>
              <w:pStyle w:val="PlainText"/>
              <w:spacing w:after="60" w:line="280" w:lineRule="exact"/>
              <w:ind w:rightChars="387" w:right="31680"/>
              <w:jc w:val="right"/>
              <w:rPr>
                <w:sz w:val="17"/>
              </w:rPr>
            </w:pPr>
          </w:p>
        </w:tc>
        <w:tc>
          <w:tcPr>
            <w:tcW w:w="1126" w:type="pct"/>
            <w:tcBorders>
              <w:top w:val="single" w:sz="12" w:space="0" w:color="auto"/>
            </w:tcBorders>
            <w:vAlign w:val="bottom"/>
          </w:tcPr>
          <w:p w:rsidR="00320E49" w:rsidRDefault="00320E49" w:rsidP="00CE6DA5">
            <w:pPr>
              <w:pStyle w:val="PlainText"/>
              <w:spacing w:after="60" w:line="280" w:lineRule="exact"/>
              <w:ind w:rightChars="387" w:right="31680"/>
              <w:jc w:val="right"/>
              <w:rPr>
                <w:sz w:val="17"/>
              </w:rPr>
            </w:pPr>
          </w:p>
        </w:tc>
        <w:tc>
          <w:tcPr>
            <w:tcW w:w="1126" w:type="pct"/>
            <w:tcBorders>
              <w:top w:val="single" w:sz="12" w:space="0" w:color="auto"/>
            </w:tcBorders>
            <w:vAlign w:val="bottom"/>
          </w:tcPr>
          <w:p w:rsidR="00320E49" w:rsidRDefault="00320E49">
            <w:pPr>
              <w:pStyle w:val="PlainText"/>
              <w:spacing w:after="60" w:line="280" w:lineRule="exact"/>
              <w:ind w:right="40"/>
              <w:jc w:val="right"/>
              <w:rPr>
                <w:sz w:val="17"/>
              </w:rPr>
            </w:pPr>
          </w:p>
        </w:tc>
      </w:tr>
      <w:tr w:rsidR="00320E49">
        <w:tblPrEx>
          <w:tblCellMar>
            <w:top w:w="0" w:type="dxa"/>
            <w:bottom w:w="0" w:type="dxa"/>
          </w:tblCellMar>
        </w:tblPrEx>
        <w:tc>
          <w:tcPr>
            <w:tcW w:w="1623" w:type="pct"/>
            <w:vAlign w:val="bottom"/>
          </w:tcPr>
          <w:p w:rsidR="00320E49" w:rsidRDefault="00320E49">
            <w:pPr>
              <w:pStyle w:val="PlainText"/>
              <w:tabs>
                <w:tab w:val="left" w:pos="357"/>
                <w:tab w:val="left" w:pos="714"/>
                <w:tab w:val="left" w:pos="1071"/>
                <w:tab w:val="left" w:pos="1429"/>
              </w:tabs>
              <w:spacing w:after="60" w:line="280" w:lineRule="exact"/>
              <w:ind w:right="40"/>
              <w:rPr>
                <w:rFonts w:hint="eastAsia"/>
                <w:sz w:val="17"/>
              </w:rPr>
            </w:pPr>
            <w:r>
              <w:rPr>
                <w:rFonts w:hint="eastAsia"/>
                <w:sz w:val="17"/>
              </w:rPr>
              <w:t>教授</w:t>
            </w:r>
          </w:p>
        </w:tc>
        <w:tc>
          <w:tcPr>
            <w:tcW w:w="1126" w:type="pct"/>
            <w:vAlign w:val="bottom"/>
          </w:tcPr>
          <w:p w:rsidR="00320E49" w:rsidRDefault="00320E49">
            <w:pPr>
              <w:pStyle w:val="PlainText"/>
              <w:tabs>
                <w:tab w:val="left" w:pos="357"/>
                <w:tab w:val="left" w:pos="714"/>
                <w:tab w:val="left" w:pos="1071"/>
                <w:tab w:val="left" w:pos="1429"/>
              </w:tabs>
              <w:spacing w:after="60" w:line="280" w:lineRule="exact"/>
              <w:ind w:right="40"/>
              <w:jc w:val="right"/>
              <w:rPr>
                <w:sz w:val="17"/>
              </w:rPr>
            </w:pPr>
            <w:r>
              <w:rPr>
                <w:sz w:val="17"/>
              </w:rPr>
              <w:t>9 529</w:t>
            </w:r>
          </w:p>
        </w:tc>
        <w:tc>
          <w:tcPr>
            <w:tcW w:w="1126" w:type="pct"/>
            <w:vAlign w:val="bottom"/>
          </w:tcPr>
          <w:p w:rsidR="00320E49" w:rsidRDefault="00320E49">
            <w:pPr>
              <w:pStyle w:val="PlainText"/>
              <w:tabs>
                <w:tab w:val="left" w:pos="357"/>
                <w:tab w:val="left" w:pos="714"/>
                <w:tab w:val="left" w:pos="1071"/>
                <w:tab w:val="left" w:pos="1429"/>
              </w:tabs>
              <w:spacing w:after="60" w:line="280" w:lineRule="exact"/>
              <w:ind w:right="40"/>
              <w:jc w:val="right"/>
              <w:rPr>
                <w:sz w:val="17"/>
              </w:rPr>
            </w:pPr>
            <w:r>
              <w:rPr>
                <w:sz w:val="17"/>
              </w:rPr>
              <w:t>2 350</w:t>
            </w:r>
          </w:p>
        </w:tc>
        <w:tc>
          <w:tcPr>
            <w:tcW w:w="1126" w:type="pct"/>
            <w:vAlign w:val="bottom"/>
          </w:tcPr>
          <w:p w:rsidR="00320E49" w:rsidRDefault="00320E49">
            <w:pPr>
              <w:pStyle w:val="PlainText"/>
              <w:tabs>
                <w:tab w:val="left" w:pos="357"/>
                <w:tab w:val="left" w:pos="714"/>
                <w:tab w:val="left" w:pos="1071"/>
                <w:tab w:val="left" w:pos="1429"/>
              </w:tabs>
              <w:spacing w:after="60" w:line="280" w:lineRule="exact"/>
              <w:ind w:right="40"/>
              <w:jc w:val="right"/>
              <w:rPr>
                <w:sz w:val="17"/>
              </w:rPr>
            </w:pPr>
            <w:r>
              <w:rPr>
                <w:sz w:val="17"/>
              </w:rPr>
              <w:t>24.7</w:t>
            </w:r>
          </w:p>
        </w:tc>
      </w:tr>
      <w:tr w:rsidR="00320E49">
        <w:tblPrEx>
          <w:tblCellMar>
            <w:top w:w="0" w:type="dxa"/>
            <w:bottom w:w="0" w:type="dxa"/>
          </w:tblCellMar>
        </w:tblPrEx>
        <w:tc>
          <w:tcPr>
            <w:tcW w:w="1623" w:type="pct"/>
            <w:vAlign w:val="bottom"/>
          </w:tcPr>
          <w:p w:rsidR="00320E49" w:rsidRDefault="00320E49">
            <w:pPr>
              <w:pStyle w:val="PlainText"/>
              <w:tabs>
                <w:tab w:val="left" w:pos="357"/>
                <w:tab w:val="left" w:pos="714"/>
                <w:tab w:val="left" w:pos="1071"/>
                <w:tab w:val="left" w:pos="1429"/>
              </w:tabs>
              <w:spacing w:after="60" w:line="280" w:lineRule="exact"/>
              <w:ind w:right="40"/>
              <w:rPr>
                <w:rFonts w:hint="eastAsia"/>
                <w:sz w:val="17"/>
              </w:rPr>
            </w:pPr>
            <w:r>
              <w:rPr>
                <w:rFonts w:hint="eastAsia"/>
                <w:sz w:val="17"/>
              </w:rPr>
              <w:t>副教授</w:t>
            </w:r>
          </w:p>
        </w:tc>
        <w:tc>
          <w:tcPr>
            <w:tcW w:w="1126" w:type="pct"/>
            <w:vAlign w:val="bottom"/>
          </w:tcPr>
          <w:p w:rsidR="00320E49" w:rsidRDefault="00320E49">
            <w:pPr>
              <w:pStyle w:val="PlainText"/>
              <w:tabs>
                <w:tab w:val="left" w:pos="357"/>
                <w:tab w:val="left" w:pos="714"/>
                <w:tab w:val="left" w:pos="1071"/>
                <w:tab w:val="left" w:pos="1429"/>
              </w:tabs>
              <w:spacing w:after="60" w:line="280" w:lineRule="exact"/>
              <w:ind w:right="40"/>
              <w:jc w:val="right"/>
              <w:rPr>
                <w:sz w:val="17"/>
              </w:rPr>
            </w:pPr>
            <w:r>
              <w:rPr>
                <w:sz w:val="17"/>
              </w:rPr>
              <w:t>5 576</w:t>
            </w:r>
          </w:p>
        </w:tc>
        <w:tc>
          <w:tcPr>
            <w:tcW w:w="1126" w:type="pct"/>
            <w:vAlign w:val="bottom"/>
          </w:tcPr>
          <w:p w:rsidR="00320E49" w:rsidRDefault="00320E49">
            <w:pPr>
              <w:pStyle w:val="PlainText"/>
              <w:tabs>
                <w:tab w:val="left" w:pos="357"/>
                <w:tab w:val="left" w:pos="714"/>
                <w:tab w:val="left" w:pos="1071"/>
                <w:tab w:val="left" w:pos="1429"/>
              </w:tabs>
              <w:spacing w:after="60" w:line="280" w:lineRule="exact"/>
              <w:ind w:right="40"/>
              <w:jc w:val="right"/>
              <w:rPr>
                <w:sz w:val="17"/>
              </w:rPr>
            </w:pPr>
            <w:r>
              <w:rPr>
                <w:sz w:val="17"/>
              </w:rPr>
              <w:t>1 754</w:t>
            </w:r>
          </w:p>
        </w:tc>
        <w:tc>
          <w:tcPr>
            <w:tcW w:w="1126" w:type="pct"/>
            <w:vAlign w:val="bottom"/>
          </w:tcPr>
          <w:p w:rsidR="00320E49" w:rsidRDefault="00320E49">
            <w:pPr>
              <w:pStyle w:val="PlainText"/>
              <w:tabs>
                <w:tab w:val="left" w:pos="357"/>
                <w:tab w:val="left" w:pos="714"/>
                <w:tab w:val="left" w:pos="1071"/>
                <w:tab w:val="left" w:pos="1429"/>
              </w:tabs>
              <w:spacing w:after="60" w:line="280" w:lineRule="exact"/>
              <w:ind w:right="40"/>
              <w:jc w:val="right"/>
              <w:rPr>
                <w:sz w:val="17"/>
              </w:rPr>
            </w:pPr>
            <w:r>
              <w:rPr>
                <w:sz w:val="17"/>
              </w:rPr>
              <w:t>31.5</w:t>
            </w:r>
          </w:p>
        </w:tc>
      </w:tr>
      <w:tr w:rsidR="00320E49">
        <w:tblPrEx>
          <w:tblCellMar>
            <w:top w:w="0" w:type="dxa"/>
            <w:bottom w:w="0" w:type="dxa"/>
          </w:tblCellMar>
        </w:tblPrEx>
        <w:tc>
          <w:tcPr>
            <w:tcW w:w="1623" w:type="pct"/>
            <w:vAlign w:val="bottom"/>
          </w:tcPr>
          <w:p w:rsidR="00320E49" w:rsidRDefault="00320E49">
            <w:pPr>
              <w:pStyle w:val="PlainText"/>
              <w:tabs>
                <w:tab w:val="left" w:pos="357"/>
                <w:tab w:val="left" w:pos="714"/>
                <w:tab w:val="left" w:pos="1071"/>
                <w:tab w:val="left" w:pos="1429"/>
              </w:tabs>
              <w:spacing w:after="60" w:line="280" w:lineRule="exact"/>
              <w:ind w:right="40"/>
              <w:rPr>
                <w:rFonts w:hint="eastAsia"/>
                <w:sz w:val="17"/>
              </w:rPr>
            </w:pPr>
            <w:r>
              <w:rPr>
                <w:rFonts w:hint="eastAsia"/>
                <w:sz w:val="17"/>
              </w:rPr>
              <w:t>助教</w:t>
            </w:r>
          </w:p>
        </w:tc>
        <w:tc>
          <w:tcPr>
            <w:tcW w:w="1126" w:type="pct"/>
            <w:vAlign w:val="bottom"/>
          </w:tcPr>
          <w:p w:rsidR="00320E49" w:rsidRDefault="00320E49">
            <w:pPr>
              <w:pStyle w:val="PlainText"/>
              <w:tabs>
                <w:tab w:val="left" w:pos="357"/>
                <w:tab w:val="left" w:pos="714"/>
                <w:tab w:val="left" w:pos="1071"/>
                <w:tab w:val="left" w:pos="1429"/>
              </w:tabs>
              <w:spacing w:after="60" w:line="280" w:lineRule="exact"/>
              <w:ind w:right="40"/>
              <w:jc w:val="right"/>
              <w:rPr>
                <w:sz w:val="17"/>
              </w:rPr>
            </w:pPr>
            <w:r>
              <w:rPr>
                <w:sz w:val="17"/>
              </w:rPr>
              <w:t>11 420</w:t>
            </w:r>
          </w:p>
        </w:tc>
        <w:tc>
          <w:tcPr>
            <w:tcW w:w="1126" w:type="pct"/>
            <w:vAlign w:val="bottom"/>
          </w:tcPr>
          <w:p w:rsidR="00320E49" w:rsidRDefault="00320E49">
            <w:pPr>
              <w:pStyle w:val="PlainText"/>
              <w:tabs>
                <w:tab w:val="left" w:pos="357"/>
                <w:tab w:val="left" w:pos="714"/>
                <w:tab w:val="left" w:pos="1071"/>
                <w:tab w:val="left" w:pos="1429"/>
              </w:tabs>
              <w:spacing w:after="60" w:line="280" w:lineRule="exact"/>
              <w:ind w:right="40"/>
              <w:jc w:val="right"/>
              <w:rPr>
                <w:sz w:val="17"/>
              </w:rPr>
            </w:pPr>
            <w:r>
              <w:rPr>
                <w:sz w:val="17"/>
              </w:rPr>
              <w:t>3 368</w:t>
            </w:r>
          </w:p>
        </w:tc>
        <w:tc>
          <w:tcPr>
            <w:tcW w:w="1126" w:type="pct"/>
            <w:vAlign w:val="bottom"/>
          </w:tcPr>
          <w:p w:rsidR="00320E49" w:rsidRDefault="00320E49">
            <w:pPr>
              <w:pStyle w:val="PlainText"/>
              <w:tabs>
                <w:tab w:val="left" w:pos="357"/>
                <w:tab w:val="left" w:pos="714"/>
                <w:tab w:val="left" w:pos="1071"/>
                <w:tab w:val="left" w:pos="1429"/>
              </w:tabs>
              <w:spacing w:after="60" w:line="280" w:lineRule="exact"/>
              <w:ind w:right="40"/>
              <w:jc w:val="right"/>
              <w:rPr>
                <w:sz w:val="17"/>
              </w:rPr>
            </w:pPr>
            <w:r>
              <w:rPr>
                <w:sz w:val="17"/>
              </w:rPr>
              <w:t>29.5</w:t>
            </w:r>
          </w:p>
        </w:tc>
      </w:tr>
      <w:tr w:rsidR="00320E49">
        <w:tblPrEx>
          <w:tblCellMar>
            <w:top w:w="0" w:type="dxa"/>
            <w:bottom w:w="0" w:type="dxa"/>
          </w:tblCellMar>
        </w:tblPrEx>
        <w:tc>
          <w:tcPr>
            <w:tcW w:w="1623" w:type="pct"/>
            <w:vAlign w:val="bottom"/>
          </w:tcPr>
          <w:p w:rsidR="00320E49" w:rsidRDefault="00320E49">
            <w:pPr>
              <w:pStyle w:val="PlainText"/>
              <w:tabs>
                <w:tab w:val="left" w:pos="357"/>
                <w:tab w:val="left" w:pos="714"/>
                <w:tab w:val="left" w:pos="1071"/>
                <w:tab w:val="left" w:pos="1429"/>
              </w:tabs>
              <w:spacing w:after="60" w:line="280" w:lineRule="exact"/>
              <w:ind w:right="40"/>
              <w:rPr>
                <w:rFonts w:hint="eastAsia"/>
                <w:sz w:val="17"/>
              </w:rPr>
            </w:pPr>
            <w:r>
              <w:rPr>
                <w:rFonts w:hint="eastAsia"/>
                <w:sz w:val="17"/>
              </w:rPr>
              <w:t>讲师</w:t>
            </w:r>
          </w:p>
        </w:tc>
        <w:tc>
          <w:tcPr>
            <w:tcW w:w="1126" w:type="pct"/>
            <w:vAlign w:val="bottom"/>
          </w:tcPr>
          <w:p w:rsidR="00320E49" w:rsidRDefault="00320E49">
            <w:pPr>
              <w:pStyle w:val="PlainText"/>
              <w:tabs>
                <w:tab w:val="left" w:pos="357"/>
                <w:tab w:val="left" w:pos="714"/>
                <w:tab w:val="left" w:pos="1071"/>
                <w:tab w:val="left" w:pos="1429"/>
              </w:tabs>
              <w:spacing w:after="60" w:line="280" w:lineRule="exact"/>
              <w:ind w:right="40"/>
              <w:jc w:val="right"/>
              <w:rPr>
                <w:sz w:val="17"/>
              </w:rPr>
            </w:pPr>
            <w:r>
              <w:rPr>
                <w:sz w:val="17"/>
              </w:rPr>
              <w:t>10 976</w:t>
            </w:r>
          </w:p>
        </w:tc>
        <w:tc>
          <w:tcPr>
            <w:tcW w:w="1126" w:type="pct"/>
            <w:vAlign w:val="bottom"/>
          </w:tcPr>
          <w:p w:rsidR="00320E49" w:rsidRDefault="00320E49">
            <w:pPr>
              <w:pStyle w:val="PlainText"/>
              <w:tabs>
                <w:tab w:val="left" w:pos="357"/>
                <w:tab w:val="left" w:pos="714"/>
                <w:tab w:val="left" w:pos="1071"/>
                <w:tab w:val="left" w:pos="1429"/>
              </w:tabs>
              <w:spacing w:after="60" w:line="280" w:lineRule="exact"/>
              <w:ind w:right="40"/>
              <w:jc w:val="right"/>
              <w:rPr>
                <w:sz w:val="17"/>
              </w:rPr>
            </w:pPr>
            <w:r>
              <w:rPr>
                <w:sz w:val="17"/>
              </w:rPr>
              <w:t>3 958</w:t>
            </w:r>
          </w:p>
        </w:tc>
        <w:tc>
          <w:tcPr>
            <w:tcW w:w="1126" w:type="pct"/>
            <w:vAlign w:val="bottom"/>
          </w:tcPr>
          <w:p w:rsidR="00320E49" w:rsidRDefault="00320E49">
            <w:pPr>
              <w:pStyle w:val="PlainText"/>
              <w:tabs>
                <w:tab w:val="left" w:pos="357"/>
                <w:tab w:val="left" w:pos="714"/>
                <w:tab w:val="left" w:pos="1071"/>
                <w:tab w:val="left" w:pos="1429"/>
              </w:tabs>
              <w:spacing w:after="60" w:line="280" w:lineRule="exact"/>
              <w:ind w:right="40"/>
              <w:jc w:val="right"/>
              <w:rPr>
                <w:sz w:val="17"/>
              </w:rPr>
            </w:pPr>
            <w:r>
              <w:rPr>
                <w:sz w:val="17"/>
              </w:rPr>
              <w:t>36.1</w:t>
            </w:r>
          </w:p>
        </w:tc>
      </w:tr>
      <w:tr w:rsidR="00320E49">
        <w:tblPrEx>
          <w:tblCellMar>
            <w:top w:w="0" w:type="dxa"/>
            <w:bottom w:w="0" w:type="dxa"/>
          </w:tblCellMar>
        </w:tblPrEx>
        <w:tc>
          <w:tcPr>
            <w:tcW w:w="1623" w:type="pct"/>
            <w:vAlign w:val="bottom"/>
          </w:tcPr>
          <w:p w:rsidR="00320E49" w:rsidRDefault="00320E49">
            <w:pPr>
              <w:pStyle w:val="PlainText"/>
              <w:tabs>
                <w:tab w:val="left" w:pos="357"/>
                <w:tab w:val="left" w:pos="714"/>
                <w:tab w:val="left" w:pos="1071"/>
                <w:tab w:val="left" w:pos="1429"/>
              </w:tabs>
              <w:spacing w:after="60" w:line="280" w:lineRule="exact"/>
              <w:ind w:right="40"/>
              <w:rPr>
                <w:rFonts w:hint="eastAsia"/>
                <w:sz w:val="17"/>
              </w:rPr>
            </w:pPr>
            <w:r>
              <w:rPr>
                <w:rFonts w:hint="eastAsia"/>
                <w:sz w:val="17"/>
              </w:rPr>
              <w:t>语言讲师</w:t>
            </w:r>
          </w:p>
        </w:tc>
        <w:tc>
          <w:tcPr>
            <w:tcW w:w="1126" w:type="pct"/>
            <w:vAlign w:val="bottom"/>
          </w:tcPr>
          <w:p w:rsidR="00320E49" w:rsidRDefault="00320E49">
            <w:pPr>
              <w:pStyle w:val="PlainText"/>
              <w:tabs>
                <w:tab w:val="left" w:pos="357"/>
                <w:tab w:val="left" w:pos="714"/>
                <w:tab w:val="left" w:pos="1071"/>
                <w:tab w:val="left" w:pos="1429"/>
              </w:tabs>
              <w:spacing w:after="60" w:line="280" w:lineRule="exact"/>
              <w:ind w:right="40"/>
              <w:jc w:val="right"/>
              <w:rPr>
                <w:sz w:val="17"/>
              </w:rPr>
            </w:pPr>
            <w:r>
              <w:rPr>
                <w:sz w:val="17"/>
              </w:rPr>
              <w:t>5 516</w:t>
            </w:r>
          </w:p>
        </w:tc>
        <w:tc>
          <w:tcPr>
            <w:tcW w:w="1126" w:type="pct"/>
            <w:vAlign w:val="bottom"/>
          </w:tcPr>
          <w:p w:rsidR="00320E49" w:rsidRDefault="00320E49">
            <w:pPr>
              <w:pStyle w:val="PlainText"/>
              <w:tabs>
                <w:tab w:val="left" w:pos="357"/>
                <w:tab w:val="left" w:pos="714"/>
                <w:tab w:val="left" w:pos="1071"/>
                <w:tab w:val="left" w:pos="1429"/>
              </w:tabs>
              <w:spacing w:after="60" w:line="280" w:lineRule="exact"/>
              <w:ind w:right="40"/>
              <w:jc w:val="right"/>
              <w:rPr>
                <w:sz w:val="17"/>
              </w:rPr>
            </w:pPr>
            <w:r>
              <w:rPr>
                <w:sz w:val="17"/>
              </w:rPr>
              <w:t>3 121</w:t>
            </w:r>
          </w:p>
        </w:tc>
        <w:tc>
          <w:tcPr>
            <w:tcW w:w="1126" w:type="pct"/>
            <w:vAlign w:val="bottom"/>
          </w:tcPr>
          <w:p w:rsidR="00320E49" w:rsidRDefault="00320E49">
            <w:pPr>
              <w:pStyle w:val="PlainText"/>
              <w:tabs>
                <w:tab w:val="left" w:pos="357"/>
                <w:tab w:val="left" w:pos="714"/>
                <w:tab w:val="left" w:pos="1071"/>
                <w:tab w:val="left" w:pos="1429"/>
              </w:tabs>
              <w:spacing w:after="60" w:line="280" w:lineRule="exact"/>
              <w:ind w:right="40"/>
              <w:jc w:val="right"/>
              <w:rPr>
                <w:sz w:val="17"/>
              </w:rPr>
            </w:pPr>
            <w:r>
              <w:rPr>
                <w:sz w:val="17"/>
              </w:rPr>
              <w:t>56.6</w:t>
            </w:r>
          </w:p>
        </w:tc>
      </w:tr>
      <w:tr w:rsidR="00320E49">
        <w:tblPrEx>
          <w:tblCellMar>
            <w:top w:w="0" w:type="dxa"/>
            <w:bottom w:w="0" w:type="dxa"/>
          </w:tblCellMar>
        </w:tblPrEx>
        <w:tc>
          <w:tcPr>
            <w:tcW w:w="1623" w:type="pct"/>
            <w:vAlign w:val="bottom"/>
          </w:tcPr>
          <w:p w:rsidR="00320E49" w:rsidRDefault="00320E49">
            <w:pPr>
              <w:pStyle w:val="PlainText"/>
              <w:tabs>
                <w:tab w:val="left" w:pos="357"/>
                <w:tab w:val="left" w:pos="714"/>
                <w:tab w:val="left" w:pos="1071"/>
                <w:tab w:val="left" w:pos="1429"/>
              </w:tabs>
              <w:spacing w:after="60" w:line="280" w:lineRule="exact"/>
              <w:ind w:right="40"/>
              <w:rPr>
                <w:rFonts w:hint="eastAsia"/>
                <w:sz w:val="17"/>
              </w:rPr>
            </w:pPr>
            <w:r>
              <w:rPr>
                <w:rFonts w:hint="eastAsia"/>
                <w:sz w:val="17"/>
              </w:rPr>
              <w:t>专家</w:t>
            </w:r>
          </w:p>
        </w:tc>
        <w:tc>
          <w:tcPr>
            <w:tcW w:w="1126" w:type="pct"/>
            <w:vAlign w:val="bottom"/>
          </w:tcPr>
          <w:p w:rsidR="00320E49" w:rsidRDefault="00320E49">
            <w:pPr>
              <w:pStyle w:val="PlainText"/>
              <w:tabs>
                <w:tab w:val="left" w:pos="357"/>
                <w:tab w:val="left" w:pos="714"/>
                <w:tab w:val="left" w:pos="1071"/>
                <w:tab w:val="left" w:pos="1429"/>
              </w:tabs>
              <w:spacing w:after="60" w:line="280" w:lineRule="exact"/>
              <w:ind w:right="40"/>
              <w:jc w:val="right"/>
              <w:rPr>
                <w:sz w:val="17"/>
              </w:rPr>
            </w:pPr>
            <w:r>
              <w:rPr>
                <w:sz w:val="17"/>
              </w:rPr>
              <w:t>2 309</w:t>
            </w:r>
          </w:p>
        </w:tc>
        <w:tc>
          <w:tcPr>
            <w:tcW w:w="1126" w:type="pct"/>
            <w:vAlign w:val="bottom"/>
          </w:tcPr>
          <w:p w:rsidR="00320E49" w:rsidRDefault="00320E49">
            <w:pPr>
              <w:pStyle w:val="PlainText"/>
              <w:tabs>
                <w:tab w:val="left" w:pos="357"/>
                <w:tab w:val="left" w:pos="714"/>
                <w:tab w:val="left" w:pos="1071"/>
                <w:tab w:val="left" w:pos="1429"/>
              </w:tabs>
              <w:spacing w:after="60" w:line="280" w:lineRule="exact"/>
              <w:ind w:right="40"/>
              <w:jc w:val="right"/>
              <w:rPr>
                <w:sz w:val="17"/>
              </w:rPr>
            </w:pPr>
            <w:r>
              <w:rPr>
                <w:sz w:val="17"/>
              </w:rPr>
              <w:t>977</w:t>
            </w:r>
          </w:p>
        </w:tc>
        <w:tc>
          <w:tcPr>
            <w:tcW w:w="1126" w:type="pct"/>
            <w:vAlign w:val="bottom"/>
          </w:tcPr>
          <w:p w:rsidR="00320E49" w:rsidRDefault="00320E49">
            <w:pPr>
              <w:pStyle w:val="PlainText"/>
              <w:tabs>
                <w:tab w:val="left" w:pos="357"/>
                <w:tab w:val="left" w:pos="714"/>
                <w:tab w:val="left" w:pos="1071"/>
                <w:tab w:val="left" w:pos="1429"/>
              </w:tabs>
              <w:spacing w:after="60" w:line="280" w:lineRule="exact"/>
              <w:ind w:right="40"/>
              <w:jc w:val="right"/>
              <w:rPr>
                <w:sz w:val="17"/>
              </w:rPr>
            </w:pPr>
            <w:r>
              <w:rPr>
                <w:sz w:val="17"/>
              </w:rPr>
              <w:t>42.3</w:t>
            </w:r>
          </w:p>
        </w:tc>
      </w:tr>
      <w:tr w:rsidR="00320E49">
        <w:tblPrEx>
          <w:tblCellMar>
            <w:top w:w="0" w:type="dxa"/>
            <w:bottom w:w="0" w:type="dxa"/>
          </w:tblCellMar>
        </w:tblPrEx>
        <w:tc>
          <w:tcPr>
            <w:tcW w:w="1623" w:type="pct"/>
            <w:vAlign w:val="bottom"/>
          </w:tcPr>
          <w:p w:rsidR="00320E49" w:rsidRDefault="00320E49">
            <w:pPr>
              <w:pStyle w:val="PlainText"/>
              <w:tabs>
                <w:tab w:val="left" w:pos="357"/>
                <w:tab w:val="left" w:pos="714"/>
                <w:tab w:val="left" w:pos="1071"/>
                <w:tab w:val="left" w:pos="1429"/>
              </w:tabs>
              <w:spacing w:after="60" w:line="280" w:lineRule="exact"/>
              <w:ind w:right="40"/>
              <w:rPr>
                <w:rFonts w:hint="eastAsia"/>
                <w:sz w:val="17"/>
              </w:rPr>
            </w:pPr>
            <w:r>
              <w:rPr>
                <w:rFonts w:hint="eastAsia"/>
                <w:sz w:val="17"/>
              </w:rPr>
              <w:t>助理研究员</w:t>
            </w:r>
          </w:p>
        </w:tc>
        <w:tc>
          <w:tcPr>
            <w:tcW w:w="1126" w:type="pct"/>
            <w:vAlign w:val="bottom"/>
          </w:tcPr>
          <w:p w:rsidR="00320E49" w:rsidRDefault="00320E49">
            <w:pPr>
              <w:pStyle w:val="PlainText"/>
              <w:tabs>
                <w:tab w:val="left" w:pos="357"/>
                <w:tab w:val="left" w:pos="714"/>
                <w:tab w:val="left" w:pos="1071"/>
                <w:tab w:val="left" w:pos="1429"/>
              </w:tabs>
              <w:spacing w:after="60" w:line="280" w:lineRule="exact"/>
              <w:ind w:right="40"/>
              <w:jc w:val="right"/>
              <w:rPr>
                <w:sz w:val="17"/>
              </w:rPr>
            </w:pPr>
            <w:r>
              <w:rPr>
                <w:sz w:val="17"/>
              </w:rPr>
              <w:t>25 933</w:t>
            </w:r>
          </w:p>
        </w:tc>
        <w:tc>
          <w:tcPr>
            <w:tcW w:w="1126" w:type="pct"/>
            <w:vAlign w:val="bottom"/>
          </w:tcPr>
          <w:p w:rsidR="00320E49" w:rsidRDefault="00320E49">
            <w:pPr>
              <w:pStyle w:val="PlainText"/>
              <w:tabs>
                <w:tab w:val="left" w:pos="357"/>
                <w:tab w:val="left" w:pos="714"/>
                <w:tab w:val="left" w:pos="1071"/>
                <w:tab w:val="left" w:pos="1429"/>
              </w:tabs>
              <w:spacing w:after="60" w:line="280" w:lineRule="exact"/>
              <w:ind w:right="40"/>
              <w:jc w:val="right"/>
              <w:rPr>
                <w:sz w:val="17"/>
              </w:rPr>
            </w:pPr>
            <w:r>
              <w:rPr>
                <w:sz w:val="17"/>
              </w:rPr>
              <w:t>10 611</w:t>
            </w:r>
          </w:p>
        </w:tc>
        <w:tc>
          <w:tcPr>
            <w:tcW w:w="1126" w:type="pct"/>
            <w:vAlign w:val="bottom"/>
          </w:tcPr>
          <w:p w:rsidR="00320E49" w:rsidRDefault="00320E49">
            <w:pPr>
              <w:pStyle w:val="PlainText"/>
              <w:tabs>
                <w:tab w:val="left" w:pos="357"/>
                <w:tab w:val="left" w:pos="714"/>
                <w:tab w:val="left" w:pos="1071"/>
                <w:tab w:val="left" w:pos="1429"/>
              </w:tabs>
              <w:spacing w:after="60" w:line="280" w:lineRule="exact"/>
              <w:ind w:right="40"/>
              <w:jc w:val="right"/>
              <w:rPr>
                <w:sz w:val="17"/>
              </w:rPr>
            </w:pPr>
            <w:r>
              <w:rPr>
                <w:sz w:val="17"/>
              </w:rPr>
              <w:t>40.9</w:t>
            </w:r>
          </w:p>
        </w:tc>
      </w:tr>
      <w:tr w:rsidR="00320E49">
        <w:tblPrEx>
          <w:tblCellMar>
            <w:top w:w="0" w:type="dxa"/>
            <w:bottom w:w="0" w:type="dxa"/>
          </w:tblCellMar>
        </w:tblPrEx>
        <w:tc>
          <w:tcPr>
            <w:tcW w:w="1623" w:type="pct"/>
            <w:vAlign w:val="bottom"/>
          </w:tcPr>
          <w:p w:rsidR="00320E49" w:rsidRDefault="00320E49">
            <w:pPr>
              <w:pStyle w:val="PlainText"/>
              <w:tabs>
                <w:tab w:val="left" w:pos="357"/>
                <w:tab w:val="left" w:pos="714"/>
                <w:tab w:val="left" w:pos="1071"/>
                <w:tab w:val="left" w:pos="1429"/>
              </w:tabs>
              <w:spacing w:after="60" w:line="280" w:lineRule="exact"/>
              <w:ind w:right="40"/>
              <w:rPr>
                <w:rFonts w:hint="eastAsia"/>
                <w:sz w:val="17"/>
              </w:rPr>
            </w:pPr>
            <w:r>
              <w:rPr>
                <w:rFonts w:hint="eastAsia"/>
                <w:sz w:val="17"/>
              </w:rPr>
              <w:t>翻译</w:t>
            </w:r>
          </w:p>
        </w:tc>
        <w:tc>
          <w:tcPr>
            <w:tcW w:w="1126" w:type="pct"/>
            <w:vAlign w:val="bottom"/>
          </w:tcPr>
          <w:p w:rsidR="00320E49" w:rsidRDefault="00320E49">
            <w:pPr>
              <w:pStyle w:val="PlainText"/>
              <w:tabs>
                <w:tab w:val="left" w:pos="357"/>
                <w:tab w:val="left" w:pos="714"/>
                <w:tab w:val="left" w:pos="1071"/>
                <w:tab w:val="left" w:pos="1429"/>
              </w:tabs>
              <w:spacing w:after="60" w:line="280" w:lineRule="exact"/>
              <w:ind w:right="40"/>
              <w:jc w:val="right"/>
              <w:rPr>
                <w:sz w:val="17"/>
              </w:rPr>
            </w:pPr>
            <w:r>
              <w:rPr>
                <w:sz w:val="17"/>
              </w:rPr>
              <w:t>17</w:t>
            </w:r>
          </w:p>
        </w:tc>
        <w:tc>
          <w:tcPr>
            <w:tcW w:w="1126" w:type="pct"/>
            <w:vAlign w:val="bottom"/>
          </w:tcPr>
          <w:p w:rsidR="00320E49" w:rsidRDefault="00320E49">
            <w:pPr>
              <w:pStyle w:val="PlainText"/>
              <w:tabs>
                <w:tab w:val="left" w:pos="357"/>
                <w:tab w:val="left" w:pos="714"/>
                <w:tab w:val="left" w:pos="1071"/>
                <w:tab w:val="left" w:pos="1429"/>
              </w:tabs>
              <w:spacing w:after="60" w:line="280" w:lineRule="exact"/>
              <w:ind w:right="40"/>
              <w:jc w:val="right"/>
              <w:rPr>
                <w:sz w:val="17"/>
              </w:rPr>
            </w:pPr>
            <w:r>
              <w:rPr>
                <w:sz w:val="17"/>
              </w:rPr>
              <w:t>9</w:t>
            </w:r>
          </w:p>
        </w:tc>
        <w:tc>
          <w:tcPr>
            <w:tcW w:w="1126" w:type="pct"/>
            <w:vAlign w:val="bottom"/>
          </w:tcPr>
          <w:p w:rsidR="00320E49" w:rsidRDefault="00320E49">
            <w:pPr>
              <w:pStyle w:val="PlainText"/>
              <w:tabs>
                <w:tab w:val="left" w:pos="357"/>
                <w:tab w:val="left" w:pos="714"/>
                <w:tab w:val="left" w:pos="1071"/>
                <w:tab w:val="left" w:pos="1429"/>
              </w:tabs>
              <w:spacing w:after="60" w:line="280" w:lineRule="exact"/>
              <w:ind w:right="40"/>
              <w:jc w:val="right"/>
              <w:rPr>
                <w:sz w:val="17"/>
              </w:rPr>
            </w:pPr>
            <w:r>
              <w:rPr>
                <w:sz w:val="17"/>
              </w:rPr>
              <w:t>52.9</w:t>
            </w:r>
          </w:p>
        </w:tc>
      </w:tr>
      <w:tr w:rsidR="00320E49">
        <w:tblPrEx>
          <w:tblCellMar>
            <w:top w:w="0" w:type="dxa"/>
            <w:bottom w:w="0" w:type="dxa"/>
          </w:tblCellMar>
        </w:tblPrEx>
        <w:tc>
          <w:tcPr>
            <w:tcW w:w="1623" w:type="pct"/>
            <w:tcBorders>
              <w:bottom w:val="single" w:sz="2" w:space="0" w:color="auto"/>
            </w:tcBorders>
            <w:vAlign w:val="bottom"/>
          </w:tcPr>
          <w:p w:rsidR="00320E49" w:rsidRDefault="00320E49">
            <w:pPr>
              <w:pStyle w:val="PlainText"/>
              <w:tabs>
                <w:tab w:val="left" w:pos="357"/>
                <w:tab w:val="left" w:pos="714"/>
                <w:tab w:val="left" w:pos="1071"/>
                <w:tab w:val="left" w:pos="1429"/>
              </w:tabs>
              <w:spacing w:after="60" w:line="280" w:lineRule="exact"/>
              <w:ind w:right="40"/>
              <w:rPr>
                <w:rFonts w:hint="eastAsia"/>
                <w:sz w:val="17"/>
              </w:rPr>
            </w:pPr>
            <w:r>
              <w:rPr>
                <w:rFonts w:hint="eastAsia"/>
                <w:sz w:val="17"/>
              </w:rPr>
              <w:t>教育和培训规划人员</w:t>
            </w:r>
          </w:p>
        </w:tc>
        <w:tc>
          <w:tcPr>
            <w:tcW w:w="1126" w:type="pct"/>
            <w:tcBorders>
              <w:bottom w:val="single" w:sz="2" w:space="0" w:color="auto"/>
            </w:tcBorders>
            <w:vAlign w:val="bottom"/>
          </w:tcPr>
          <w:p w:rsidR="00320E49" w:rsidRDefault="00320E49">
            <w:pPr>
              <w:pStyle w:val="PlainText"/>
              <w:tabs>
                <w:tab w:val="left" w:pos="357"/>
                <w:tab w:val="left" w:pos="714"/>
                <w:tab w:val="left" w:pos="1071"/>
                <w:tab w:val="left" w:pos="1429"/>
              </w:tabs>
              <w:spacing w:after="60" w:line="280" w:lineRule="exact"/>
              <w:ind w:right="40"/>
              <w:jc w:val="right"/>
              <w:rPr>
                <w:sz w:val="17"/>
              </w:rPr>
            </w:pPr>
            <w:r>
              <w:rPr>
                <w:sz w:val="17"/>
              </w:rPr>
              <w:t>14</w:t>
            </w:r>
          </w:p>
        </w:tc>
        <w:tc>
          <w:tcPr>
            <w:tcW w:w="1126" w:type="pct"/>
            <w:tcBorders>
              <w:bottom w:val="single" w:sz="2" w:space="0" w:color="auto"/>
            </w:tcBorders>
            <w:vAlign w:val="bottom"/>
          </w:tcPr>
          <w:p w:rsidR="00320E49" w:rsidRDefault="00320E49">
            <w:pPr>
              <w:pStyle w:val="PlainText"/>
              <w:tabs>
                <w:tab w:val="left" w:pos="357"/>
                <w:tab w:val="left" w:pos="714"/>
                <w:tab w:val="left" w:pos="1071"/>
                <w:tab w:val="left" w:pos="1429"/>
              </w:tabs>
              <w:spacing w:after="60" w:line="280" w:lineRule="exact"/>
              <w:ind w:right="40"/>
              <w:jc w:val="right"/>
              <w:rPr>
                <w:sz w:val="17"/>
              </w:rPr>
            </w:pPr>
            <w:r>
              <w:rPr>
                <w:sz w:val="17"/>
              </w:rPr>
              <w:t>6</w:t>
            </w:r>
          </w:p>
        </w:tc>
        <w:tc>
          <w:tcPr>
            <w:tcW w:w="1126" w:type="pct"/>
            <w:tcBorders>
              <w:bottom w:val="single" w:sz="2" w:space="0" w:color="auto"/>
            </w:tcBorders>
            <w:vAlign w:val="bottom"/>
          </w:tcPr>
          <w:p w:rsidR="00320E49" w:rsidRDefault="00320E49">
            <w:pPr>
              <w:pStyle w:val="PlainText"/>
              <w:tabs>
                <w:tab w:val="left" w:pos="357"/>
                <w:tab w:val="left" w:pos="714"/>
                <w:tab w:val="left" w:pos="1071"/>
                <w:tab w:val="left" w:pos="1429"/>
              </w:tabs>
              <w:spacing w:after="60" w:line="280" w:lineRule="exact"/>
              <w:ind w:right="40"/>
              <w:jc w:val="right"/>
              <w:rPr>
                <w:sz w:val="17"/>
              </w:rPr>
            </w:pPr>
            <w:r>
              <w:rPr>
                <w:sz w:val="17"/>
              </w:rPr>
              <w:t>42.9</w:t>
            </w:r>
          </w:p>
        </w:tc>
      </w:tr>
      <w:tr w:rsidR="00320E49">
        <w:tblPrEx>
          <w:tblCellMar>
            <w:top w:w="0" w:type="dxa"/>
            <w:bottom w:w="0" w:type="dxa"/>
          </w:tblCellMar>
        </w:tblPrEx>
        <w:tc>
          <w:tcPr>
            <w:tcW w:w="1623" w:type="pct"/>
            <w:tcBorders>
              <w:top w:val="single" w:sz="2" w:space="0" w:color="auto"/>
              <w:bottom w:val="single" w:sz="12" w:space="0" w:color="auto"/>
            </w:tcBorders>
            <w:vAlign w:val="bottom"/>
          </w:tcPr>
          <w:p w:rsidR="00320E49" w:rsidRDefault="00320E49">
            <w:pPr>
              <w:pStyle w:val="PlainText"/>
              <w:tabs>
                <w:tab w:val="left" w:pos="357"/>
                <w:tab w:val="left" w:pos="714"/>
                <w:tab w:val="left" w:pos="1071"/>
                <w:tab w:val="left" w:pos="1429"/>
              </w:tabs>
              <w:spacing w:after="60" w:line="280" w:lineRule="exact"/>
              <w:ind w:right="40"/>
              <w:rPr>
                <w:rFonts w:eastAsia="SimHei" w:hint="eastAsia"/>
                <w:b/>
                <w:color w:val="FF0000"/>
                <w:sz w:val="17"/>
              </w:rPr>
            </w:pPr>
            <w:r>
              <w:rPr>
                <w:rFonts w:eastAsia="SimHei" w:hint="eastAsia"/>
                <w:b/>
                <w:color w:val="FF0000"/>
                <w:sz w:val="17"/>
              </w:rPr>
              <w:t>合计</w:t>
            </w:r>
          </w:p>
        </w:tc>
        <w:tc>
          <w:tcPr>
            <w:tcW w:w="1126" w:type="pct"/>
            <w:tcBorders>
              <w:top w:val="single" w:sz="2" w:space="0" w:color="auto"/>
              <w:bottom w:val="single" w:sz="12" w:space="0" w:color="auto"/>
            </w:tcBorders>
            <w:vAlign w:val="bottom"/>
          </w:tcPr>
          <w:p w:rsidR="00320E49" w:rsidRDefault="00320E49">
            <w:pPr>
              <w:pStyle w:val="PlainText"/>
              <w:tabs>
                <w:tab w:val="left" w:pos="357"/>
                <w:tab w:val="left" w:pos="714"/>
                <w:tab w:val="left" w:pos="1071"/>
                <w:tab w:val="left" w:pos="1429"/>
              </w:tabs>
              <w:spacing w:after="60" w:line="280" w:lineRule="exact"/>
              <w:ind w:right="40"/>
              <w:jc w:val="right"/>
              <w:rPr>
                <w:rFonts w:eastAsia="SimHei"/>
                <w:b/>
                <w:color w:val="FF0000"/>
                <w:sz w:val="17"/>
              </w:rPr>
            </w:pPr>
            <w:r>
              <w:rPr>
                <w:rFonts w:eastAsia="SimHei"/>
                <w:b/>
                <w:color w:val="FF0000"/>
                <w:sz w:val="17"/>
              </w:rPr>
              <w:t>71 290</w:t>
            </w:r>
          </w:p>
        </w:tc>
        <w:tc>
          <w:tcPr>
            <w:tcW w:w="1126" w:type="pct"/>
            <w:tcBorders>
              <w:top w:val="single" w:sz="2" w:space="0" w:color="auto"/>
              <w:bottom w:val="single" w:sz="12" w:space="0" w:color="auto"/>
            </w:tcBorders>
            <w:vAlign w:val="bottom"/>
          </w:tcPr>
          <w:p w:rsidR="00320E49" w:rsidRDefault="00320E49">
            <w:pPr>
              <w:pStyle w:val="PlainText"/>
              <w:tabs>
                <w:tab w:val="left" w:pos="357"/>
                <w:tab w:val="left" w:pos="714"/>
                <w:tab w:val="left" w:pos="1071"/>
                <w:tab w:val="left" w:pos="1429"/>
              </w:tabs>
              <w:spacing w:after="60" w:line="280" w:lineRule="exact"/>
              <w:ind w:right="40"/>
              <w:jc w:val="right"/>
              <w:rPr>
                <w:rFonts w:eastAsia="SimHei"/>
                <w:b/>
                <w:color w:val="FF0000"/>
                <w:sz w:val="17"/>
              </w:rPr>
            </w:pPr>
            <w:r>
              <w:rPr>
                <w:rFonts w:eastAsia="SimHei"/>
                <w:b/>
                <w:color w:val="FF0000"/>
                <w:sz w:val="17"/>
              </w:rPr>
              <w:t>26 154</w:t>
            </w:r>
          </w:p>
        </w:tc>
        <w:tc>
          <w:tcPr>
            <w:tcW w:w="1126" w:type="pct"/>
            <w:tcBorders>
              <w:top w:val="single" w:sz="2" w:space="0" w:color="auto"/>
              <w:bottom w:val="single" w:sz="12" w:space="0" w:color="auto"/>
            </w:tcBorders>
            <w:vAlign w:val="bottom"/>
          </w:tcPr>
          <w:p w:rsidR="00320E49" w:rsidRDefault="00320E49">
            <w:pPr>
              <w:pStyle w:val="PlainText"/>
              <w:tabs>
                <w:tab w:val="left" w:pos="357"/>
                <w:tab w:val="left" w:pos="714"/>
                <w:tab w:val="left" w:pos="1071"/>
                <w:tab w:val="left" w:pos="1429"/>
              </w:tabs>
              <w:spacing w:after="60" w:line="280" w:lineRule="exact"/>
              <w:ind w:right="40"/>
              <w:jc w:val="right"/>
              <w:rPr>
                <w:rFonts w:eastAsia="SimHei"/>
                <w:b/>
                <w:color w:val="FF0000"/>
                <w:sz w:val="17"/>
              </w:rPr>
            </w:pPr>
            <w:r>
              <w:rPr>
                <w:rFonts w:eastAsia="SimHei"/>
                <w:b/>
                <w:color w:val="FF0000"/>
                <w:sz w:val="17"/>
              </w:rPr>
              <w:t>36.7</w:t>
            </w:r>
          </w:p>
        </w:tc>
      </w:tr>
    </w:tbl>
    <w:p w:rsidR="00320E49" w:rsidRDefault="00320E49">
      <w:pPr>
        <w:pStyle w:val="SingleTxt"/>
        <w:spacing w:before="120"/>
        <w:rPr>
          <w:rFonts w:hint="eastAsia"/>
        </w:rPr>
      </w:pPr>
      <w:r>
        <w:rPr>
          <w:rFonts w:ascii="KaiTi_GB2312" w:eastAsia="KaiTi_GB2312" w:hint="eastAsia"/>
          <w:color w:val="0000FF"/>
          <w:sz w:val="18"/>
        </w:rPr>
        <w:t>资料来源</w:t>
      </w:r>
      <w:r>
        <w:rPr>
          <w:rFonts w:hint="eastAsia"/>
          <w:sz w:val="18"/>
        </w:rPr>
        <w:t>：《2001—2002学年高等教育统计》，SSPC</w:t>
      </w:r>
      <w:r>
        <w:rPr>
          <w:rFonts w:hint="eastAsia"/>
        </w:rPr>
        <w:t>。</w:t>
      </w:r>
    </w:p>
    <w:p w:rsidR="00320E49" w:rsidRDefault="00320E49">
      <w:pPr>
        <w:pStyle w:val="SingleTxt"/>
        <w:rPr>
          <w:rFonts w:hint="eastAsia"/>
        </w:rPr>
      </w:pPr>
      <w:r>
        <w:rPr>
          <w:rFonts w:hint="eastAsia"/>
        </w:rPr>
        <w:tab/>
        <w:t>缔约各国应……确保：</w:t>
      </w:r>
    </w:p>
    <w:p w:rsidR="00320E49" w:rsidRDefault="00320E49">
      <w:pPr>
        <w:pStyle w:val="SingleTxt"/>
        <w:rPr>
          <w:rFonts w:ascii="KaiTi_GB2312" w:eastAsia="KaiTi_GB2312" w:hint="eastAsia"/>
          <w:color w:val="0000FF"/>
        </w:rPr>
      </w:pPr>
      <w:r>
        <w:rPr>
          <w:rFonts w:hint="eastAsia"/>
        </w:rPr>
        <w:tab/>
      </w:r>
      <w:r>
        <w:rPr>
          <w:rFonts w:ascii="KaiTi_GB2312" w:eastAsia="KaiTi_GB2312" w:hint="eastAsia"/>
          <w:color w:val="0000FF"/>
        </w:rPr>
        <w:t>(c)</w:t>
      </w:r>
      <w:r>
        <w:rPr>
          <w:rFonts w:ascii="KaiTi_GB2312" w:eastAsia="KaiTi_GB2312" w:hint="eastAsia"/>
          <w:color w:val="0000FF"/>
        </w:rPr>
        <w:tab/>
        <w:t>为消除在各级和各种方式的教育中对男女任务的任何定型观念，应鼓励实行男女同校和其他有助于实现这个目的的教育形式，并特别应修订教科书和课程以及相应地修改教学方法；</w:t>
      </w:r>
    </w:p>
    <w:p w:rsidR="00320E49" w:rsidRDefault="00320E49">
      <w:pPr>
        <w:pStyle w:val="SingleTxt"/>
        <w:spacing w:line="330" w:lineRule="exact"/>
        <w:rPr>
          <w:rFonts w:hint="eastAsia"/>
        </w:rPr>
      </w:pPr>
      <w:r>
        <w:rPr>
          <w:rFonts w:hint="eastAsia"/>
        </w:rPr>
        <w:tab/>
        <w:t>性别偏见和性别角色定型观念继续反映在教育课程和教学材料中。为了消除来自教育课程的带性别偏见的信息，妇女地位和妇女问题司将这个问题列入了它2000至2001年的工作计划中，并在这种背景下支持相关的研究项目及其成果的出版和传播。</w:t>
      </w:r>
    </w:p>
    <w:p w:rsidR="00320E49" w:rsidRDefault="00320E49">
      <w:pPr>
        <w:pStyle w:val="SingleTxt"/>
        <w:spacing w:line="330" w:lineRule="exact"/>
        <w:rPr>
          <w:rFonts w:hint="eastAsia"/>
        </w:rPr>
      </w:pPr>
      <w:r>
        <w:rPr>
          <w:rFonts w:hint="eastAsia"/>
        </w:rPr>
        <w:tab/>
        <w:t>教育部在其工作方法和步骤重新组织的框架内，也将性别平等的实现确定为它的优先任务之一。在这方面，已经取得了巨大的成就，将人权视角，特别是妇女和儿童的视角，纳入了课程计划和修订教科书的过程中，以期消除歧视性的言论、图像等。</w:t>
      </w:r>
    </w:p>
    <w:p w:rsidR="00320E49" w:rsidRDefault="00320E49">
      <w:pPr>
        <w:pStyle w:val="SingleTxt"/>
        <w:spacing w:line="330" w:lineRule="exact"/>
        <w:rPr>
          <w:rFonts w:hint="eastAsia"/>
        </w:rPr>
      </w:pPr>
      <w:r>
        <w:rPr>
          <w:rFonts w:hint="eastAsia"/>
        </w:rPr>
        <w:tab/>
        <w:t>此外，还推出了一系列的项目以提高对民主和善政问题的认识。这方面最为引人注目的是在欧洲理事会成员国协作范围内开展的民主公民素质教育项目。该项目强调性别平等和妇女平等参与决策过程的重要性。</w:t>
      </w:r>
    </w:p>
    <w:p w:rsidR="00320E49" w:rsidRDefault="00320E49">
      <w:pPr>
        <w:pStyle w:val="SingleTxt"/>
        <w:spacing w:line="330" w:lineRule="exact"/>
        <w:rPr>
          <w:rFonts w:hint="eastAsia"/>
        </w:rPr>
      </w:pPr>
      <w:r>
        <w:rPr>
          <w:rFonts w:hint="eastAsia"/>
        </w:rPr>
        <w:tab/>
        <w:t>按照负责人权事务的国务部与教育部签署的关于学校人权教学工作的一项议定书，1998至1999学年对小学七年级和八年级的周课程进行了修订，以便每周列入一课时的“公民和人权教育课”。还有1999年以来提供了一个选修课程“高中民主与人权”。1998年，成立了一个全国人权教育十年委员会，以便实施联合国人权教育十年(1995至2004年)。在人权倡议以外的课程中提供的各种文件有：《消除对妇女一切形式歧视公约》；从事人权领域工作的非政府组织名单和关于它们活动情况的有关文件。</w:t>
      </w:r>
    </w:p>
    <w:p w:rsidR="00320E49" w:rsidRDefault="00320E49">
      <w:pPr>
        <w:pStyle w:val="SingleTxt"/>
        <w:spacing w:line="330" w:lineRule="exact"/>
        <w:rPr>
          <w:rFonts w:hint="eastAsia"/>
        </w:rPr>
      </w:pPr>
      <w:r>
        <w:rPr>
          <w:rFonts w:hint="eastAsia"/>
        </w:rPr>
        <w:tab/>
        <w:t>负责从人权和性别平等角度审查教科书的各个委员会，在进行工作时所依据的是《消除对妇女一切形式歧视公约》的原则和全国人权教育十年委员会制订的标准。采用的标准包括：教科书中男女人物数目相等；男女人物表现出相互尊重和待遇平等；在家中和工作场所劳动分工表现出男女平等；表现妇女在公共领域扮演非常规的决策角色和担任管理职务；以及在说明父母作用和责任时达到性别平衡。</w:t>
      </w:r>
    </w:p>
    <w:p w:rsidR="00320E49" w:rsidRDefault="00320E49">
      <w:pPr>
        <w:pStyle w:val="SingleTxt"/>
        <w:rPr>
          <w:rFonts w:hint="eastAsia"/>
        </w:rPr>
      </w:pPr>
      <w:r>
        <w:rPr>
          <w:rFonts w:hint="eastAsia"/>
        </w:rPr>
        <w:tab/>
        <w:t>缔约各国应……确保：</w:t>
      </w:r>
    </w:p>
    <w:p w:rsidR="00320E49" w:rsidRDefault="00320E49">
      <w:pPr>
        <w:pStyle w:val="SingleTxt"/>
        <w:rPr>
          <w:rFonts w:hint="eastAsia"/>
        </w:rPr>
      </w:pPr>
      <w:r>
        <w:rPr>
          <w:rFonts w:hint="eastAsia"/>
        </w:rPr>
        <w:tab/>
      </w:r>
      <w:r>
        <w:rPr>
          <w:rFonts w:ascii="KaiTi_GB2312" w:eastAsia="KaiTi_GB2312" w:hint="eastAsia"/>
          <w:color w:val="0000FF"/>
        </w:rPr>
        <w:t>(d)</w:t>
      </w:r>
      <w:r>
        <w:rPr>
          <w:rFonts w:ascii="KaiTi_GB2312" w:eastAsia="KaiTi_GB2312" w:hint="eastAsia"/>
          <w:color w:val="0000FF"/>
        </w:rPr>
        <w:tab/>
        <w:t>领受奖学金和其他研究补助金的机会相同</w:t>
      </w:r>
      <w:r>
        <w:rPr>
          <w:rFonts w:hint="eastAsia"/>
        </w:rPr>
        <w:t>；</w:t>
      </w:r>
    </w:p>
    <w:p w:rsidR="00320E49" w:rsidRDefault="00320E49">
      <w:pPr>
        <w:pStyle w:val="SingleTxt"/>
        <w:spacing w:line="330" w:lineRule="exact"/>
        <w:rPr>
          <w:rFonts w:hint="eastAsia"/>
        </w:rPr>
      </w:pPr>
      <w:r>
        <w:rPr>
          <w:rFonts w:hint="eastAsia"/>
        </w:rPr>
        <w:tab/>
        <w:t>第十六届全国教育大会期间曾敦促当局鼓励女生申请参加考试以争取国家奖学金和进入免费寄宿学校学习，并敦促当局不对女孩收取考试费。</w:t>
      </w:r>
    </w:p>
    <w:p w:rsidR="00320E49" w:rsidRDefault="00320E49">
      <w:pPr>
        <w:pStyle w:val="SingleTxt"/>
        <w:spacing w:line="330" w:lineRule="exact"/>
        <w:rPr>
          <w:rFonts w:hint="eastAsia"/>
        </w:rPr>
      </w:pPr>
      <w:r>
        <w:rPr>
          <w:rFonts w:hint="eastAsia"/>
        </w:rPr>
        <w:tab/>
        <w:t>教育部给中小学生奖学金的分配情况表明，女生使用36.3%左右的奖学金。</w:t>
      </w:r>
    </w:p>
    <w:p w:rsidR="00320E49" w:rsidRDefault="00320E49">
      <w:pPr>
        <w:pStyle w:val="SingleTxt"/>
        <w:spacing w:line="330" w:lineRule="exact"/>
        <w:rPr>
          <w:rFonts w:hint="eastAsia"/>
        </w:rPr>
      </w:pPr>
      <w:r>
        <w:rPr>
          <w:rFonts w:hint="eastAsia"/>
        </w:rPr>
        <w:tab/>
        <w:t>2001年，信贷和宿舍所收到的学生信贷申请中，44.4%来自女孩。女孩在所发放的金额中占到55.1%。这表明比前几年提高了。同样，在获取信贷和宿舍所管辖的学生住房的床位的学生中，44.5%是女孩。另一方面，2000至2001学年中，提供给高中生和大学生的私营寄宿设施中，只有26%分配给了女生。</w:t>
      </w:r>
    </w:p>
    <w:p w:rsidR="00320E49" w:rsidRDefault="00320E49">
      <w:pPr>
        <w:pStyle w:val="SingleTxt"/>
        <w:rPr>
          <w:rFonts w:hint="eastAsia"/>
        </w:rPr>
      </w:pPr>
      <w:r>
        <w:rPr>
          <w:rFonts w:hint="eastAsia"/>
        </w:rPr>
        <w:tab/>
        <w:t>缔约各国应……确保：</w:t>
      </w:r>
    </w:p>
    <w:p w:rsidR="00320E49" w:rsidRDefault="00320E49">
      <w:pPr>
        <w:pStyle w:val="SingleTxt"/>
        <w:rPr>
          <w:rFonts w:ascii="KaiTi_GB2312" w:eastAsia="KaiTi_GB2312" w:hint="eastAsia"/>
          <w:color w:val="0000FF"/>
        </w:rPr>
      </w:pPr>
      <w:r>
        <w:rPr>
          <w:rFonts w:hint="eastAsia"/>
        </w:rPr>
        <w:tab/>
      </w:r>
      <w:r>
        <w:rPr>
          <w:rFonts w:ascii="KaiTi_GB2312" w:eastAsia="KaiTi_GB2312" w:hint="eastAsia"/>
          <w:color w:val="0000FF"/>
        </w:rPr>
        <w:t>(e)</w:t>
      </w:r>
      <w:r>
        <w:rPr>
          <w:rFonts w:ascii="KaiTi_GB2312" w:eastAsia="KaiTi_GB2312" w:hint="eastAsia"/>
          <w:color w:val="0000FF"/>
        </w:rPr>
        <w:tab/>
        <w:t>接受成人教育，包括成人识字和实用识字教育的机会相同，特别是为了尽早缩短男女之间存在的教育水平上的一切差距；</w:t>
      </w:r>
    </w:p>
    <w:p w:rsidR="00320E49" w:rsidRDefault="00320E49">
      <w:pPr>
        <w:pStyle w:val="SingleTxt"/>
        <w:spacing w:line="330" w:lineRule="exact"/>
        <w:rPr>
          <w:rFonts w:hint="eastAsia"/>
        </w:rPr>
      </w:pPr>
      <w:r>
        <w:rPr>
          <w:rFonts w:hint="eastAsia"/>
        </w:rPr>
        <w:tab/>
        <w:t>为了弥合男女识字率方面的差距和使成人获得继续教育的机会。教育部提供各种服务。远程教育即是这样一种服务，它使辍学生能够完成他们的学位学习并鼓励他们继续接受更高一级的学校教育。在这方面，1997年通过8年制义务基础教育法后，设立了开放式学校系统。到2001至2002学年，总共有90 906名妇女受益于开放式小学，占到学生总数的41.4%。与此相平行，毕业于开放式教育高中的学生中32.6%是女生，毕业于开放式教育职业和技术学校的学生中30%是女生。同样，在七个省中建立了几个女孩开放式教育中心，为农村地区的女孩提供教育机会。</w:t>
      </w:r>
    </w:p>
    <w:p w:rsidR="00320E49" w:rsidRDefault="00320E49">
      <w:pPr>
        <w:pStyle w:val="SingleTxt"/>
        <w:spacing w:line="330" w:lineRule="exact"/>
        <w:rPr>
          <w:rFonts w:hint="eastAsia"/>
        </w:rPr>
      </w:pPr>
      <w:r>
        <w:rPr>
          <w:rFonts w:hint="eastAsia"/>
        </w:rPr>
        <w:tab/>
        <w:t>除了正规教育机会外，还向男子和妇女提供各种非正规成人教育课程，旨在提高识字率、公民身份和公民权利与责任意识及职业技术等等。参加1996年以来提供的237 284个班的学员中，73%是妇女。然而，女性参加者大多选修家政学、手艺学和可兰经班，以及识字班，但识字班比例较小。在1995至2002年举办的34 801个识字班中，398 329名妇女(占参加总人数的52%)扫除了文盲。与上期(1990至1995年)相比，有了大幅度的提高，当时妇女(72 680人)在参加所办的7 462个班的学生中占到36%。</w:t>
      </w:r>
    </w:p>
    <w:p w:rsidR="00320E49" w:rsidRDefault="00320E49">
      <w:pPr>
        <w:pStyle w:val="SingleTxt"/>
        <w:rPr>
          <w:rFonts w:hint="eastAsia"/>
        </w:rPr>
      </w:pPr>
      <w:r>
        <w:rPr>
          <w:rFonts w:hint="eastAsia"/>
        </w:rPr>
        <w:tab/>
        <w:t>2001年发起了支持全国教育运动，作为政府和非政府组织及大学的协作举措，以在土耳其东部和东南部地区提供识字、职业和社会文化班。在这些班的参加者中，妇女分别占到62%、62.4%和52.9%。</w:t>
      </w:r>
    </w:p>
    <w:p w:rsidR="00320E49" w:rsidRDefault="00320E49">
      <w:pPr>
        <w:pStyle w:val="SingleTxt"/>
        <w:rPr>
          <w:rFonts w:hint="eastAsia"/>
        </w:rPr>
      </w:pPr>
      <w:r>
        <w:rPr>
          <w:rFonts w:hint="eastAsia"/>
        </w:rPr>
        <w:tab/>
        <w:t>针对本国东部地区妇女的另一项举措是东南安纳托利亚项目(东安项目)管理局建立的多功能社区中心(社区中心)。社区中心的目标是将妇女纳入东安项目的发展过程，其途径是通过各种培训机会赋予妇女以能力，包括识字、技能、手工艺和领导技能，突出妇女在社会中的需要和问题，以及增强她们的创收能力。受益于这些中心的是14岁至50岁的妇女。</w:t>
      </w:r>
    </w:p>
    <w:p w:rsidR="00320E49" w:rsidRDefault="00320E49">
      <w:pPr>
        <w:pStyle w:val="SingleTxt"/>
        <w:rPr>
          <w:rFonts w:hint="eastAsia"/>
        </w:rPr>
      </w:pPr>
      <w:r>
        <w:rPr>
          <w:rFonts w:hint="eastAsia"/>
        </w:rPr>
        <w:tab/>
        <w:t>另一个地区项目是支持东部和东南安纳托利亚地区社会发展和就业项目，它在该地区的26个点开展活动。项目于2000年10月启动，处理贫困成年人特别是妇女的需要问题。总共有283 906名妇女和204 201名男子参加了2001年提供的各种班。</w:t>
      </w:r>
    </w:p>
    <w:p w:rsidR="00320E49" w:rsidRDefault="00320E49">
      <w:pPr>
        <w:pStyle w:val="SingleTxt"/>
        <w:rPr>
          <w:rFonts w:hint="eastAsia"/>
        </w:rPr>
      </w:pPr>
      <w:r>
        <w:rPr>
          <w:rFonts w:hint="eastAsia"/>
        </w:rPr>
        <w:tab/>
        <w:t>第5/a条项下讨论的妇女问题研究和实施中心也提供成人教育活动。</w:t>
      </w:r>
    </w:p>
    <w:p w:rsidR="00320E49" w:rsidRDefault="00320E49">
      <w:pPr>
        <w:pStyle w:val="SingleTxt"/>
        <w:spacing w:line="328" w:lineRule="exact"/>
        <w:rPr>
          <w:rFonts w:hint="eastAsia"/>
        </w:rPr>
      </w:pPr>
      <w:r>
        <w:rPr>
          <w:rFonts w:hint="eastAsia"/>
        </w:rPr>
        <w:tab/>
        <w:t>1994年推出的职业和技术培训项目(职技培训项目)继续提供培训，以增加从未进过校门或被迫中途辍学的妇女的就业机会。一般说来，参加职技培训项目班的妇女往往集中于提供传统女性活动方面培训的领域。1996至2000年期间大约10万名妇女和女孩受益于这个方案。</w:t>
      </w:r>
    </w:p>
    <w:p w:rsidR="00320E49" w:rsidRDefault="00320E49">
      <w:pPr>
        <w:pStyle w:val="SingleTxt"/>
        <w:spacing w:line="328" w:lineRule="exact"/>
        <w:rPr>
          <w:rFonts w:hint="eastAsia"/>
          <w:spacing w:val="2"/>
        </w:rPr>
      </w:pPr>
      <w:r>
        <w:rPr>
          <w:rFonts w:hint="eastAsia"/>
          <w:spacing w:val="2"/>
        </w:rPr>
        <w:tab/>
        <w:t>部门职业培训方案也通过各种公共机构提供：最主要的是土耳其就业管理局和农业和农村事务部。这些方案经常吸收非政府组织和各种国际实体如儿童基金会、粮农组织等参加。农业和农村事务部于2001年扩充了它的家政学和推广方案的内容，以确保农村妇女能有机会参加以生产为中心的推广活动。总共有313 736名妇女参加了当年开办的26 097个班和示范活动。</w:t>
      </w:r>
    </w:p>
    <w:p w:rsidR="00320E49" w:rsidRDefault="00320E49">
      <w:pPr>
        <w:pStyle w:val="SingleTxt"/>
        <w:spacing w:line="328" w:lineRule="exact"/>
        <w:rPr>
          <w:rFonts w:hint="eastAsia"/>
        </w:rPr>
      </w:pPr>
      <w:r>
        <w:rPr>
          <w:rFonts w:hint="eastAsia"/>
        </w:rPr>
        <w:tab/>
        <w:t>由于这些培训班和项目，1997年以来妇女的识字率明显提高。尽管如此，北京会议期间作出的在2000年以前扫除文盲的承诺仍无法兑现。</w:t>
      </w:r>
    </w:p>
    <w:p w:rsidR="00320E49" w:rsidRDefault="00320E49">
      <w:pPr>
        <w:pStyle w:val="SingleTxt"/>
        <w:rPr>
          <w:rFonts w:hint="eastAsia"/>
        </w:rPr>
      </w:pPr>
      <w:r>
        <w:rPr>
          <w:rFonts w:hint="eastAsia"/>
        </w:rPr>
        <w:tab/>
        <w:t>缔约各国应……确保：</w:t>
      </w:r>
    </w:p>
    <w:p w:rsidR="00320E49" w:rsidRDefault="00320E49">
      <w:pPr>
        <w:pStyle w:val="SingleTxt"/>
        <w:rPr>
          <w:rFonts w:ascii="KaiTi_GB2312" w:eastAsia="KaiTi_GB2312" w:hint="eastAsia"/>
          <w:color w:val="0000FF"/>
        </w:rPr>
      </w:pPr>
      <w:r>
        <w:rPr>
          <w:rFonts w:hint="eastAsia"/>
        </w:rPr>
        <w:tab/>
        <w:t>(</w:t>
      </w:r>
      <w:r>
        <w:rPr>
          <w:rFonts w:ascii="KaiTi_GB2312" w:eastAsia="KaiTi_GB2312" w:hint="eastAsia"/>
          <w:color w:val="0000FF"/>
        </w:rPr>
        <w:t>f)</w:t>
      </w:r>
      <w:r>
        <w:rPr>
          <w:rFonts w:ascii="KaiTi_GB2312" w:eastAsia="KaiTi_GB2312" w:hint="eastAsia"/>
          <w:color w:val="0000FF"/>
        </w:rPr>
        <w:tab/>
        <w:t>减少女生退学率，并为离校过早的少女和妇女办理种种方案；请见本报告第10/e条。</w:t>
      </w:r>
    </w:p>
    <w:p w:rsidR="00320E49" w:rsidRDefault="00320E49">
      <w:pPr>
        <w:pStyle w:val="SingleTxt"/>
        <w:rPr>
          <w:rFonts w:hint="eastAsia"/>
        </w:rPr>
      </w:pPr>
      <w:r>
        <w:rPr>
          <w:rFonts w:ascii="KaiTi_GB2312" w:eastAsia="KaiTi_GB2312" w:hint="eastAsia"/>
          <w:color w:val="0000FF"/>
        </w:rPr>
        <w:tab/>
        <w:t>(g)</w:t>
      </w:r>
      <w:r>
        <w:rPr>
          <w:rFonts w:ascii="KaiTi_GB2312" w:eastAsia="KaiTi_GB2312" w:hint="eastAsia"/>
          <w:color w:val="0000FF"/>
        </w:rPr>
        <w:tab/>
        <w:t>积极参加运动和体育的机会相同</w:t>
      </w:r>
      <w:r>
        <w:rPr>
          <w:rFonts w:hint="eastAsia"/>
        </w:rPr>
        <w:t>；</w:t>
      </w:r>
    </w:p>
    <w:p w:rsidR="00320E49" w:rsidRDefault="00320E49">
      <w:pPr>
        <w:pStyle w:val="SingleTxt"/>
        <w:rPr>
          <w:rFonts w:hint="eastAsia"/>
        </w:rPr>
      </w:pPr>
      <w:r>
        <w:rPr>
          <w:rFonts w:hint="eastAsia"/>
        </w:rPr>
        <w:tab/>
        <w:t>要求进入小学和中学两级学校学习的全体学生积极参加体育课和体育活动，其中包括田径、艺术体操、篮球和民间体育活动的校际竞赛。在其中有些活动中，参赛女生人数超过了男生。</w:t>
      </w:r>
    </w:p>
    <w:p w:rsidR="00320E49" w:rsidRDefault="00320E49">
      <w:pPr>
        <w:pStyle w:val="SingleTxt"/>
        <w:rPr>
          <w:rFonts w:hint="eastAsia"/>
        </w:rPr>
      </w:pPr>
      <w:r>
        <w:rPr>
          <w:rFonts w:hint="eastAsia"/>
        </w:rPr>
        <w:tab/>
        <w:t>缔约各国应……确保：</w:t>
      </w:r>
    </w:p>
    <w:p w:rsidR="00320E49" w:rsidRDefault="00320E49">
      <w:pPr>
        <w:pStyle w:val="SingleTxt"/>
        <w:rPr>
          <w:rFonts w:ascii="KaiTi_GB2312" w:eastAsia="KaiTi_GB2312" w:hint="eastAsia"/>
          <w:color w:val="0000FF"/>
        </w:rPr>
      </w:pPr>
      <w:r>
        <w:rPr>
          <w:rFonts w:hint="eastAsia"/>
        </w:rPr>
        <w:tab/>
      </w:r>
      <w:r>
        <w:rPr>
          <w:rFonts w:ascii="KaiTi_GB2312" w:eastAsia="KaiTi_GB2312" w:hint="eastAsia"/>
          <w:color w:val="0000FF"/>
        </w:rPr>
        <w:t>(h)</w:t>
      </w:r>
      <w:r>
        <w:rPr>
          <w:rFonts w:ascii="KaiTi_GB2312" w:eastAsia="KaiTi_GB2312" w:hint="eastAsia"/>
          <w:color w:val="0000FF"/>
        </w:rPr>
        <w:tab/>
        <w:t>有接受特殊教育性辅导的机会，以保障家庭健康和幸福，包括关于计划生育的知识和辅导在内。</w:t>
      </w:r>
    </w:p>
    <w:p w:rsidR="00320E49" w:rsidRDefault="00320E49">
      <w:pPr>
        <w:pStyle w:val="SingleTxt"/>
        <w:rPr>
          <w:rFonts w:hint="eastAsia"/>
        </w:rPr>
      </w:pPr>
      <w:r>
        <w:rPr>
          <w:rFonts w:hint="eastAsia"/>
        </w:rPr>
        <w:tab/>
        <w:t>妇女地位和妇女问题司与非政府组织、妇女学习中心、律师协会和地方当局密切协作，发起了一个叫做2000年妇女集会的运动，以向妇女团体传播信息和提高更大范围内社会的性别认识。在这种背景下，各省中心和各县举办了300多项的会议、研讨会和家访。通过运动影响了为数众多的妇女，集中关注的问题主要有女童的教育、生殖健康、性传染病、法定权利、针对妇女的暴力、为维护名誉的犯罪和就业问题。</w:t>
      </w:r>
    </w:p>
    <w:p w:rsidR="00320E49" w:rsidRDefault="00320E49">
      <w:pPr>
        <w:pStyle w:val="SingleTxt"/>
        <w:rPr>
          <w:rFonts w:hint="eastAsia"/>
        </w:rPr>
      </w:pPr>
      <w:r>
        <w:rPr>
          <w:rFonts w:hint="eastAsia"/>
        </w:rPr>
        <w:tab/>
        <w:t>教育部与非政府组织和联合国人口基金协作，正在18个省执行一个项目，就青春期的生理变化和相关的健康问题对少女及其母亲进行教育和提高她们的认识。1993至1998年期间约有215万、2000年约有145万名少女及其母亲参加了各种活动。此外，在教育部领导下开展活动的保健教育中心还定期提供信息和咨询。为了增强这些中心的能力，教育部与土耳其家庭健康和计划生育基金会合作，对东部和东南安纳托利亚14个省的413名教师进行了培训人员的培训，课目有母子健康、计划生育、性传染病和艾滋病病毒/艾滋病。</w:t>
      </w:r>
    </w:p>
    <w:p w:rsidR="00320E49" w:rsidRDefault="00320E49">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40"/>
        <w:ind w:left="1264" w:right="1264" w:hanging="1264"/>
        <w:jc w:val="both"/>
        <w:rPr>
          <w:rFonts w:ascii="KaiTi_GB2312" w:eastAsia="KaiTi_GB2312" w:hint="eastAsia"/>
          <w:color w:val="0000FF"/>
          <w:sz w:val="28"/>
        </w:rPr>
      </w:pPr>
      <w:r>
        <w:rPr>
          <w:rFonts w:hint="eastAsia"/>
        </w:rPr>
        <w:tab/>
      </w:r>
      <w:r>
        <w:rPr>
          <w:rFonts w:hint="eastAsia"/>
        </w:rPr>
        <w:tab/>
      </w:r>
      <w:r>
        <w:rPr>
          <w:rFonts w:ascii="KaiTi_GB2312" w:eastAsia="KaiTi_GB2312" w:hint="eastAsia"/>
          <w:color w:val="0000FF"/>
          <w:sz w:val="28"/>
        </w:rPr>
        <w:t>就业</w:t>
      </w:r>
    </w:p>
    <w:p w:rsidR="00320E49" w:rsidRDefault="00320E49">
      <w:pPr>
        <w:pStyle w:val="SingleTxt"/>
        <w:rPr>
          <w:rFonts w:ascii="KaiTi_GB2312" w:eastAsia="KaiTi_GB2312" w:hint="eastAsia"/>
          <w:color w:val="0000FF"/>
        </w:rPr>
      </w:pPr>
      <w:r>
        <w:rPr>
          <w:rFonts w:ascii="KaiTi_GB2312" w:eastAsia="KaiTi_GB2312" w:hint="eastAsia"/>
          <w:color w:val="0000FF"/>
        </w:rPr>
        <w:tab/>
      </w:r>
      <w:r>
        <w:rPr>
          <w:rFonts w:ascii="KaiTi_GB2312" w:eastAsia="KaiTi_GB2312" w:hint="eastAsia"/>
          <w:b/>
          <w:bCs/>
          <w:color w:val="0000FF"/>
        </w:rPr>
        <w:t xml:space="preserve">第十一条.1. </w:t>
      </w:r>
      <w:r>
        <w:rPr>
          <w:rFonts w:ascii="KaiTi_GB2312" w:eastAsia="KaiTi_GB2312" w:hint="eastAsia"/>
          <w:color w:val="0000FF"/>
        </w:rPr>
        <w:t>缔约各国应采取一切适当措施，消除在就业方面对妇女的歧视，以保证她们在男女平等的基础上享有相同权利，特别是：</w:t>
      </w:r>
    </w:p>
    <w:p w:rsidR="00320E49" w:rsidRDefault="00320E49">
      <w:pPr>
        <w:pStyle w:val="SingleTxt"/>
        <w:spacing w:line="330" w:lineRule="exact"/>
        <w:rPr>
          <w:rFonts w:hint="eastAsia"/>
        </w:rPr>
      </w:pPr>
      <w:r>
        <w:rPr>
          <w:rFonts w:hint="eastAsia"/>
        </w:rPr>
        <w:tab/>
        <w:t>过去十年内采纳的经济政策及其社会经济作用对妇女的就业具有巨大的影响。1980年代开始的左右决策的以出口为导向的增长模式导致劳动力市场灵活化；实际工资下降以应对频发的周期性危机；以及在牺牲正规部门的情况下扩大非正规部门。因此，国民经济创造就业机会的能力退化了，而且结构性的失业始终是一个根本性的问题。换言之，与当前许多国家一样，土耳其劳动力市场的瓶颈是与需求而不是供给联系在一起的。此外，工会地位的削弱使劳动力形势进一步恶化。因此，经济的这些问题和相关的结构问题制约和影响妇女的就业前景。这样，对关于第十一条及其子项的妇女情况的评估需要放在这种总体框架内考虑。</w:t>
      </w:r>
    </w:p>
    <w:p w:rsidR="00320E49" w:rsidRDefault="00320E49">
      <w:pPr>
        <w:pStyle w:val="SingleTxt"/>
        <w:rPr>
          <w:rFonts w:hint="eastAsia"/>
        </w:rPr>
      </w:pPr>
      <w:r>
        <w:rPr>
          <w:rFonts w:hint="eastAsia"/>
        </w:rPr>
        <w:tab/>
        <w:t>缔约各国应……确保：</w:t>
      </w:r>
    </w:p>
    <w:p w:rsidR="00320E49" w:rsidRDefault="00320E49">
      <w:pPr>
        <w:pStyle w:val="SingleTxt"/>
        <w:rPr>
          <w:rFonts w:ascii="KaiTi_GB2312" w:eastAsia="KaiTi_GB2312" w:hint="eastAsia"/>
          <w:color w:val="0000FF"/>
        </w:rPr>
      </w:pPr>
      <w:r>
        <w:rPr>
          <w:rFonts w:hint="eastAsia"/>
        </w:rPr>
        <w:tab/>
      </w:r>
      <w:r>
        <w:rPr>
          <w:rFonts w:ascii="KaiTi_GB2312" w:eastAsia="KaiTi_GB2312" w:hint="eastAsia"/>
          <w:b/>
          <w:bCs/>
          <w:color w:val="0000FF"/>
        </w:rPr>
        <w:t>第十一条.1.(a).</w:t>
      </w:r>
      <w:r>
        <w:rPr>
          <w:rFonts w:ascii="KaiTi_GB2312" w:eastAsia="KaiTi_GB2312" w:hint="eastAsia"/>
          <w:color w:val="0000FF"/>
        </w:rPr>
        <w:t>人人有不可剥夺的工作权利；</w:t>
      </w:r>
    </w:p>
    <w:p w:rsidR="00320E49" w:rsidRDefault="00320E49">
      <w:pPr>
        <w:pStyle w:val="SingleTxt"/>
        <w:rPr>
          <w:rFonts w:hint="eastAsia"/>
        </w:rPr>
      </w:pPr>
      <w:r>
        <w:rPr>
          <w:rFonts w:hint="eastAsia"/>
        </w:rPr>
        <w:tab/>
        <w:t>如土耳其上次报告所表明的，《土耳其宪法》保证工作权利的原则。根据宪法第48条规定，所有个人都有工作和签定合同的权利，而且第49条将工作界定为每个人的权利和责任，并宣称国家应改善工作条件和保护工作者。2001年宪法的一项修正案也保证国家保护失业者。</w:t>
      </w:r>
    </w:p>
    <w:p w:rsidR="00320E49" w:rsidRDefault="00320E49">
      <w:pPr>
        <w:pStyle w:val="SingleTxt"/>
        <w:spacing w:line="332" w:lineRule="exact"/>
        <w:rPr>
          <w:rFonts w:hint="eastAsia"/>
        </w:rPr>
      </w:pPr>
      <w:r>
        <w:rPr>
          <w:rFonts w:hint="eastAsia"/>
        </w:rPr>
        <w:tab/>
        <w:t>截至2002年，土耳其是国际劳工组织(劳工组织)确立国际劳动权利和标准的40项协定的缔约国。其中述及男女双方在工作领域中平等的有：《同工同酬》(第100号协定)；《就业和职业方面歧视》(第111号)；《就业政策》(第122号)；《人力资源开发》(第142号)和《消除最有害的童工形式》(第182号)。</w:t>
      </w:r>
    </w:p>
    <w:p w:rsidR="00320E49" w:rsidRDefault="00320E49">
      <w:pPr>
        <w:pStyle w:val="SingleTxt"/>
        <w:spacing w:line="332" w:lineRule="exact"/>
        <w:rPr>
          <w:rFonts w:hint="eastAsia"/>
        </w:rPr>
      </w:pPr>
      <w:r>
        <w:rPr>
          <w:rFonts w:hint="eastAsia"/>
        </w:rPr>
        <w:tab/>
        <w:t>缔约各国应……确保：</w:t>
      </w:r>
    </w:p>
    <w:p w:rsidR="00320E49" w:rsidRDefault="00320E49">
      <w:pPr>
        <w:pStyle w:val="SingleTxt"/>
        <w:spacing w:line="332" w:lineRule="exact"/>
        <w:rPr>
          <w:rFonts w:ascii="KaiTi_GB2312" w:eastAsia="KaiTi_GB2312" w:hint="eastAsia"/>
          <w:color w:val="0000FF"/>
        </w:rPr>
      </w:pPr>
      <w:r>
        <w:rPr>
          <w:rFonts w:hint="eastAsia"/>
        </w:rPr>
        <w:tab/>
      </w:r>
      <w:r>
        <w:rPr>
          <w:rFonts w:ascii="KaiTi_GB2312" w:eastAsia="KaiTi_GB2312" w:hint="eastAsia"/>
          <w:color w:val="0000FF"/>
        </w:rPr>
        <w:t>(b)</w:t>
      </w:r>
      <w:r>
        <w:rPr>
          <w:rFonts w:ascii="KaiTi_GB2312" w:eastAsia="KaiTi_GB2312" w:hint="eastAsia"/>
          <w:color w:val="0000FF"/>
        </w:rPr>
        <w:tab/>
        <w:t>享有相同就业机会的权利，包括在就业方面相同的甄选标准；</w:t>
      </w:r>
    </w:p>
    <w:p w:rsidR="00320E49" w:rsidRDefault="00320E49">
      <w:pPr>
        <w:pStyle w:val="SingleTxt"/>
        <w:spacing w:line="332" w:lineRule="exact"/>
        <w:rPr>
          <w:rFonts w:hint="eastAsia"/>
        </w:rPr>
      </w:pPr>
      <w:r>
        <w:rPr>
          <w:rFonts w:hint="eastAsia"/>
        </w:rPr>
        <w:tab/>
        <w:t>直到最近，妇女参与劳动力市场的比率呈下降趋势，从1995年的30.5%降至2000年的25.9%。同期，男性参与率从77.9%跌至72.9%。造成女劳动力参与率下降的主要因素是农村向城市的迁移，其中大多数迁移的妇女原先作为不领取报酬的家庭工人从事农业，到了城市环境就变成了家庭妇女或从事非正规部门的工作。家庭妇女的数目从1998年的1000万左右增加到2002年大约1 200万。虽然随着《民法典》最近的修改，承认了家庭妇女对住户经济的贡献，但这种理解并未反映在劳动力统计中。同样，妇女可以在家里从事的创收活动或计件工作或其他形式的非正规部门就业，也未列入正规统计的范围。据估计，在非正规部门的工作近65%由妇女占有，而男子的这一比率则为37.5%。</w:t>
      </w:r>
    </w:p>
    <w:p w:rsidR="00320E49" w:rsidRDefault="00320E49">
      <w:pPr>
        <w:pStyle w:val="SingleTxt"/>
        <w:spacing w:line="332" w:lineRule="exact"/>
        <w:rPr>
          <w:rFonts w:hint="eastAsia"/>
        </w:rPr>
      </w:pPr>
      <w:r>
        <w:rPr>
          <w:rFonts w:hint="eastAsia"/>
        </w:rPr>
        <w:tab/>
        <w:t>妇女的婚姻和教育状况仍然是女劳力参与格局和程度的一个决定因素。随着教育程度的提高，妇女参加劳动力的比例也在提高。根据2001年的数据，城市地区受过高等教育的妇女大约70%加入了劳动力，而文盲妇女只有5%在正规部门就业。反之，男劳力的就业与其教育程度的联系不像这样牢固。</w:t>
      </w:r>
    </w:p>
    <w:p w:rsidR="00320E49" w:rsidRDefault="00320E49">
      <w:pPr>
        <w:pStyle w:val="SingleTxt"/>
        <w:spacing w:line="332" w:lineRule="exact"/>
        <w:rPr>
          <w:rFonts w:hint="eastAsia"/>
        </w:rPr>
      </w:pPr>
      <w:r>
        <w:rPr>
          <w:rFonts w:hint="eastAsia"/>
        </w:rPr>
        <w:tab/>
        <w:t>大体上，女劳力在农业部门的参与率仍然最高，其中压倒多数的妇女为不带薪的家庭工。妇女作为不带薪家庭工的比率从1995年的64.5%降至2001年的51.3%。另一方面，妇女带薪就业的比率和自营职业的比率分别从26.4%提高到36.1%和从9.1%提高到13.5%。</w:t>
      </w:r>
    </w:p>
    <w:p w:rsidR="00320E49" w:rsidRDefault="00320E49">
      <w:pPr>
        <w:pStyle w:val="SingleTxt"/>
        <w:spacing w:line="332" w:lineRule="exact"/>
        <w:rPr>
          <w:rFonts w:hint="eastAsia"/>
        </w:rPr>
      </w:pPr>
      <w:r>
        <w:rPr>
          <w:rFonts w:hint="eastAsia"/>
        </w:rPr>
        <w:tab/>
        <w:t>失业是男女双方的共同问题，尽管城市地区妇女的失业状况更为严重。根据2001年全国平均数，妇女的失业率占7.9%，而男子为8.8%。</w:t>
      </w:r>
    </w:p>
    <w:p w:rsidR="00320E49" w:rsidRDefault="00320E49">
      <w:pPr>
        <w:pStyle w:val="SingleTxt"/>
        <w:spacing w:line="332" w:lineRule="exact"/>
        <w:rPr>
          <w:rFonts w:ascii="SimHei" w:eastAsia="SimHei" w:hint="eastAsia"/>
          <w:color w:val="FF0000"/>
        </w:rPr>
      </w:pPr>
      <w:r>
        <w:rPr>
          <w:rFonts w:ascii="SimHei" w:eastAsia="SimHei" w:hint="eastAsia"/>
          <w:color w:val="FF0000"/>
        </w:rPr>
        <w:t>工会活动的参加情况</w:t>
      </w:r>
    </w:p>
    <w:p w:rsidR="00320E49" w:rsidRDefault="00320E49">
      <w:pPr>
        <w:pStyle w:val="SingleTxt"/>
        <w:spacing w:line="332" w:lineRule="exact"/>
        <w:rPr>
          <w:rFonts w:hint="eastAsia"/>
        </w:rPr>
      </w:pPr>
      <w:r>
        <w:rPr>
          <w:rFonts w:hint="eastAsia"/>
        </w:rPr>
        <w:tab/>
        <w:t>根据劳动和社会保障部的统计，女工参加工会的比率从1995年的39%上升至2001年的51%。不过，由于妇女在农业和非正规部门就业程度高，她们参加工会活动受到了妨碍。</w:t>
      </w:r>
    </w:p>
    <w:p w:rsidR="00320E49" w:rsidRDefault="00320E49">
      <w:pPr>
        <w:pStyle w:val="SingleTxt"/>
        <w:spacing w:after="120" w:line="332" w:lineRule="exact"/>
        <w:rPr>
          <w:rFonts w:hint="eastAsia"/>
        </w:rPr>
      </w:pPr>
      <w:r>
        <w:rPr>
          <w:rFonts w:hint="eastAsia"/>
        </w:rPr>
        <w:tab/>
        <w:t>由于偏向自由化和私有化的宏观经济政策，自1990年代初以来，有组织的工会运动普遍遭到破坏。另一方面，由于最近的经济危机造成失业率上升，因而全面削弱了工会组织的活动。具有讽刺意味的是，允许公务员组织工会的期待已久的法律于2001年最终通过，而且第一次集体谈判于2002年启动。政府女雇员积极参加了组织工会和集体谈判的过程。有关公务员工会的法律未载有任何性别歧视的规定。</w:t>
      </w:r>
    </w:p>
    <w:p w:rsidR="00320E49" w:rsidRDefault="00320E49">
      <w:pPr>
        <w:pStyle w:val="SingleTxt"/>
        <w:spacing w:after="120"/>
        <w:rPr>
          <w:rFonts w:ascii="SimHei" w:eastAsia="SimHei" w:hint="eastAsia"/>
          <w:color w:val="FF0000"/>
        </w:rPr>
      </w:pPr>
      <w:r>
        <w:rPr>
          <w:rFonts w:ascii="SimHei" w:eastAsia="SimHei" w:hint="eastAsia"/>
          <w:color w:val="FF0000"/>
        </w:rPr>
        <w:t>妇女就业促进项目</w:t>
      </w:r>
    </w:p>
    <w:p w:rsidR="00320E49" w:rsidRDefault="00320E49">
      <w:pPr>
        <w:pStyle w:val="SingleTxt"/>
        <w:spacing w:after="120"/>
        <w:rPr>
          <w:rFonts w:hint="eastAsia"/>
        </w:rPr>
      </w:pPr>
      <w:r>
        <w:rPr>
          <w:rFonts w:hint="eastAsia"/>
        </w:rPr>
        <w:tab/>
        <w:t>正如土耳其1994年第2次和第3次合并报告所述，妇女地位和妇女问题司推出了一个世界银行支持的项目，为的是产生和传播政策导向的信息，以指导增加妇女在就业市场所有部门就业机会的各种政策和方案倡议，特别是在男性为主的职业方面。该项目由四部分组成，即研究、传播、文献中心和性别培训材料的编写，它于2000年结束。</w:t>
      </w:r>
    </w:p>
    <w:p w:rsidR="00320E49" w:rsidRDefault="00320E49">
      <w:pPr>
        <w:pStyle w:val="SingleTxt"/>
        <w:spacing w:after="120"/>
        <w:rPr>
          <w:rFonts w:hint="eastAsia"/>
        </w:rPr>
      </w:pPr>
      <w:r>
        <w:rPr>
          <w:rFonts w:hint="eastAsia"/>
        </w:rPr>
        <w:tab/>
        <w:t>自上次报告以来，开展了下列活动：</w:t>
      </w:r>
    </w:p>
    <w:p w:rsidR="00320E49" w:rsidRDefault="00320E49">
      <w:pPr>
        <w:pStyle w:val="SingleTxt"/>
        <w:spacing w:after="120"/>
        <w:ind w:left="1695" w:hanging="431"/>
        <w:rPr>
          <w:rFonts w:hint="eastAsia"/>
        </w:rPr>
      </w:pPr>
      <w:r>
        <w:rPr>
          <w:rFonts w:hint="eastAsia"/>
        </w:rPr>
        <w:sym w:font="Symbol" w:char="F0B7"/>
      </w:r>
      <w:r>
        <w:tab/>
      </w:r>
      <w:r>
        <w:rPr>
          <w:rFonts w:hint="eastAsia"/>
        </w:rPr>
        <w:t>在项目范围内开展的16个研究项目中，已有13个由妇女地位和妇女问题司出版。这些出版物被决策者和方案执行者广泛用作参考材料；</w:t>
      </w:r>
    </w:p>
    <w:p w:rsidR="00320E49" w:rsidRDefault="00320E49">
      <w:pPr>
        <w:pStyle w:val="SingleTxt"/>
        <w:spacing w:after="120"/>
        <w:ind w:left="1695" w:hanging="431"/>
        <w:rPr>
          <w:rFonts w:hint="eastAsia"/>
        </w:rPr>
      </w:pPr>
      <w:r>
        <w:rPr>
          <w:rFonts w:hint="eastAsia"/>
        </w:rPr>
        <w:sym w:font="Symbol" w:char="F0B7"/>
      </w:r>
      <w:r>
        <w:tab/>
      </w:r>
      <w:r>
        <w:rPr>
          <w:rFonts w:hint="eastAsia"/>
        </w:rPr>
        <w:t>研究结果通过各种活动和手段如会议、题为《妇女著作》的一份文献——1 000部幻灯片档案——等传播，可从KSSGM网站(www.kssgm.gov.tr)上查阅；</w:t>
      </w:r>
    </w:p>
    <w:p w:rsidR="00320E49" w:rsidRDefault="00320E49">
      <w:pPr>
        <w:pStyle w:val="SingleTxt"/>
        <w:spacing w:after="120"/>
        <w:ind w:left="1695" w:hanging="431"/>
        <w:rPr>
          <w:rFonts w:hint="eastAsia"/>
        </w:rPr>
      </w:pPr>
      <w:r>
        <w:rPr>
          <w:rFonts w:hint="eastAsia"/>
        </w:rPr>
        <w:sym w:font="Symbol" w:char="F0B7"/>
      </w:r>
      <w:r>
        <w:tab/>
      </w:r>
      <w:r>
        <w:rPr>
          <w:rFonts w:hint="eastAsia"/>
        </w:rPr>
        <w:t>1999至2000年期间，根据项目成果，向两个特别专家委员会(妇女参与社会委员会和职业生活与就业委员会)提交了各种政策建议，两个委员会是在第8个五年发展计划筹备过程中建立的。因此，计划提请注意妇女在城市劳动力中比例不足的问题和造成此种情况的社会文化因素和市场相关因素。计划还概述了将根据劳工组织和欧盟标准采取的措施；</w:t>
      </w:r>
    </w:p>
    <w:p w:rsidR="00320E49" w:rsidRDefault="00320E49">
      <w:pPr>
        <w:pStyle w:val="SingleTxt"/>
        <w:spacing w:after="120"/>
        <w:ind w:left="1695" w:hanging="431"/>
        <w:rPr>
          <w:rFonts w:hint="eastAsia"/>
        </w:rPr>
      </w:pPr>
      <w:r>
        <w:rPr>
          <w:rFonts w:hint="eastAsia"/>
        </w:rPr>
        <w:sym w:font="Symbol" w:char="F0B7"/>
      </w:r>
      <w:r>
        <w:tab/>
      </w:r>
      <w:r>
        <w:rPr>
          <w:rFonts w:hint="eastAsia"/>
        </w:rPr>
        <w:t>文献中心于1996年在妇女地位和妇女问题司内部建立，现已全面开展工作。截至2002年12月，中心已收集了31 971册图书，262份手稿，762种灰色材料和214册参考书和材料；</w:t>
      </w:r>
    </w:p>
    <w:p w:rsidR="00320E49" w:rsidRDefault="00320E49">
      <w:pPr>
        <w:pStyle w:val="SingleTxt"/>
        <w:spacing w:after="120"/>
        <w:ind w:left="1695" w:hanging="431"/>
        <w:rPr>
          <w:rFonts w:hint="eastAsia"/>
        </w:rPr>
      </w:pPr>
      <w:r>
        <w:rPr>
          <w:rFonts w:hint="eastAsia"/>
        </w:rPr>
        <w:sym w:font="Symbol" w:char="F0B7"/>
      </w:r>
      <w:r>
        <w:tab/>
      </w:r>
      <w:r>
        <w:rPr>
          <w:rFonts w:hint="eastAsia"/>
        </w:rPr>
        <w:t>1998年至1999年期间，编写了一整套性别培训材料，它由55个互动单元组成，并在试点基础上应用于国家计划组织、国家就业办公室和一个非政府组织即土耳其医学会。妇女地位和妇女问题司与妇女研究培训中心协作，正在起草一个培训者培训方案。</w:t>
      </w:r>
    </w:p>
    <w:p w:rsidR="00320E49" w:rsidRDefault="00320E49">
      <w:pPr>
        <w:pStyle w:val="SingleTxt"/>
        <w:spacing w:after="120"/>
        <w:rPr>
          <w:rFonts w:hint="eastAsia"/>
        </w:rPr>
      </w:pPr>
      <w:r>
        <w:rPr>
          <w:rFonts w:ascii="KaiTi_GB2312" w:eastAsia="KaiTi_GB2312" w:hint="eastAsia"/>
          <w:color w:val="0000FF"/>
        </w:rPr>
        <w:t>妇女就业服务和土耳其工作研究所(工作研究所</w:t>
      </w:r>
      <w:r>
        <w:rPr>
          <w:rFonts w:hint="eastAsia"/>
        </w:rPr>
        <w:t>)</w:t>
      </w:r>
    </w:p>
    <w:p w:rsidR="00320E49" w:rsidRDefault="00320E49">
      <w:pPr>
        <w:pStyle w:val="SingleTxt"/>
        <w:spacing w:after="120"/>
        <w:rPr>
          <w:rFonts w:hint="eastAsia"/>
        </w:rPr>
      </w:pPr>
      <w:r>
        <w:rPr>
          <w:rFonts w:hint="eastAsia"/>
        </w:rPr>
        <w:tab/>
        <w:t>1999年，就业办公室进行了一次改组，扩大和加强了它的授权以防止和(或)减少失业，增强劳动力的能力，以及鼓励和支持企业的倡议。根据工作研究所的数字，2002年登记为求职者的464 228名失业者中，84 465人(18%)是妇女。当年内，被安置工作的失业者中，9%是妇女，其中大约61%为识字者和(或)5年制小学毕业生，8%为8年制小学毕业生，21%为高中毕业生或同等学历持有者，9%为高等院校毕业生。</w:t>
      </w:r>
    </w:p>
    <w:p w:rsidR="00320E49" w:rsidRDefault="00320E49">
      <w:pPr>
        <w:pStyle w:val="SingleTxt"/>
        <w:rPr>
          <w:rFonts w:hint="eastAsia"/>
        </w:rPr>
      </w:pPr>
      <w:r>
        <w:rPr>
          <w:rFonts w:hint="eastAsia"/>
        </w:rPr>
        <w:tab/>
        <w:t>工作研究所促进性别基础上的就业非歧视，但在面临男工强劲需求的情况下它可能会屈服。随着1999年公营部门公务员就业程序和2001年体力劳动者就业程序的集中化，就业机会平等的原则得到了加强。雇主被要求提供一份职务说明，并根据集中管理的竞争性考试的结果录用安置，这种考试男女可以同等地参加。</w:t>
      </w:r>
    </w:p>
    <w:p w:rsidR="00320E49" w:rsidRDefault="00320E49">
      <w:pPr>
        <w:pStyle w:val="SingleTxt"/>
        <w:spacing w:line="340" w:lineRule="exact"/>
        <w:rPr>
          <w:rFonts w:hint="eastAsia"/>
        </w:rPr>
      </w:pPr>
      <w:r>
        <w:rPr>
          <w:rFonts w:hint="eastAsia"/>
        </w:rPr>
        <w:tab/>
        <w:t>工作研究所为积极谋职的失业人员开办能力建设班。</w:t>
      </w:r>
    </w:p>
    <w:p w:rsidR="00320E49" w:rsidRDefault="00320E49">
      <w:pPr>
        <w:pStyle w:val="SingleTxt"/>
        <w:spacing w:line="340" w:lineRule="exact"/>
        <w:rPr>
          <w:rFonts w:hint="eastAsia"/>
        </w:rPr>
      </w:pPr>
      <w:r>
        <w:rPr>
          <w:rFonts w:hint="eastAsia"/>
        </w:rPr>
        <w:tab/>
        <w:t>数年来，参加这些班的人中大约75%是妇女。1995至2002年，总共1 150名妇女参加了为建立私营企业而设计的培训班。参加这些班的妇女大多数属于18至24岁年龄组、高中毕业生和单身。</w:t>
      </w:r>
    </w:p>
    <w:p w:rsidR="00320E49" w:rsidRDefault="00320E49">
      <w:pPr>
        <w:pStyle w:val="SingleTxt"/>
        <w:spacing w:line="340" w:lineRule="exact"/>
        <w:rPr>
          <w:rFonts w:hint="eastAsia"/>
        </w:rPr>
      </w:pPr>
      <w:r>
        <w:rPr>
          <w:rFonts w:hint="eastAsia"/>
        </w:rPr>
        <w:tab/>
        <w:t>缔约各国应……确保：</w:t>
      </w:r>
    </w:p>
    <w:p w:rsidR="00320E49" w:rsidRDefault="00320E49">
      <w:pPr>
        <w:pStyle w:val="SingleTxt"/>
        <w:spacing w:line="340" w:lineRule="exact"/>
        <w:rPr>
          <w:rFonts w:ascii="KaiTi_GB2312" w:eastAsia="KaiTi_GB2312" w:hint="eastAsia"/>
          <w:color w:val="0000FF"/>
        </w:rPr>
      </w:pPr>
      <w:r>
        <w:rPr>
          <w:rFonts w:hint="eastAsia"/>
        </w:rPr>
        <w:tab/>
      </w:r>
      <w:r>
        <w:rPr>
          <w:rFonts w:ascii="KaiTi_GB2312" w:eastAsia="KaiTi_GB2312" w:hint="eastAsia"/>
          <w:color w:val="0000FF"/>
        </w:rPr>
        <w:t>(a)</w:t>
      </w:r>
      <w:r>
        <w:rPr>
          <w:rFonts w:ascii="KaiTi_GB2312" w:eastAsia="KaiTi_GB2312" w:hint="eastAsia"/>
          <w:color w:val="0000FF"/>
        </w:rPr>
        <w:tab/>
        <w:t>享有自由选择专业和职业，提升和工作保障，一切服务福利和条件，接受职业训练和再训练，包括实习训练、高等职业训练和经常训练的权利；</w:t>
      </w:r>
    </w:p>
    <w:p w:rsidR="00320E49" w:rsidRDefault="00320E49">
      <w:pPr>
        <w:pStyle w:val="SingleTxt"/>
        <w:spacing w:line="340" w:lineRule="exact"/>
        <w:rPr>
          <w:rFonts w:hint="eastAsia"/>
        </w:rPr>
      </w:pPr>
      <w:r>
        <w:rPr>
          <w:rFonts w:hint="eastAsia"/>
        </w:rPr>
        <w:tab/>
        <w:t>自由选择专业和职业的权利受宪法保证，它宣称公营部门的就业将不考虑职务要求以外的差别，并受新的《民法典》规定保证，它提出不要求夫妇在选择其专业和工作时得到伴侣的同意。</w:t>
      </w:r>
    </w:p>
    <w:p w:rsidR="00320E49" w:rsidRDefault="00320E49">
      <w:pPr>
        <w:pStyle w:val="SingleTxt"/>
        <w:spacing w:line="340" w:lineRule="exact"/>
        <w:rPr>
          <w:rFonts w:hint="eastAsia"/>
        </w:rPr>
      </w:pPr>
      <w:r>
        <w:rPr>
          <w:rFonts w:hint="eastAsia"/>
        </w:rPr>
        <w:tab/>
        <w:t>1999年，通过了确立中低级管理职务的政府雇员晋升的客观标准的国家条例。这些举措通过优先考虑能力和职业技能而有效地防止了晋升中任何的性别歧视。</w:t>
      </w:r>
    </w:p>
    <w:p w:rsidR="00320E49" w:rsidRDefault="00320E49">
      <w:pPr>
        <w:pStyle w:val="SingleTxt"/>
        <w:spacing w:line="340" w:lineRule="exact"/>
        <w:rPr>
          <w:rFonts w:hint="eastAsia"/>
        </w:rPr>
      </w:pPr>
      <w:r>
        <w:rPr>
          <w:rFonts w:hint="eastAsia"/>
        </w:rPr>
        <w:tab/>
        <w:t>不过，私营部门的情况远远不能令人满意。研究披露，已婚、怀孕或已有子女的妇女可能被剥夺就业机会，而且在晋升或获得在职培训方面遇到歧视。很遗憾，除了应申诉进行调查外，设有其他有效的监管机制。在努力消除这方面漏洞的过程中，劳动和社会保障部正在开展工作，普遍推行符合欧盟标准的工作条件和标准。</w:t>
      </w:r>
    </w:p>
    <w:p w:rsidR="00320E49" w:rsidRDefault="00320E49">
      <w:pPr>
        <w:pStyle w:val="SingleTxt"/>
        <w:spacing w:line="340" w:lineRule="exact"/>
        <w:rPr>
          <w:rFonts w:hint="eastAsia"/>
        </w:rPr>
      </w:pPr>
      <w:r>
        <w:rPr>
          <w:rFonts w:hint="eastAsia"/>
        </w:rPr>
        <w:tab/>
        <w:t>女童自由选择专业和职业的权利受到了严重的侵犯，因为许多10至11岁的女孩在5年制初等教育结束时就退学了。1997年通过了8年制义务基础教育，使女孩能在学校多呆3年，从而扩大了她们选择进一步接受教育和挑选职业的机会(见第十条)。除了延长义务基础教育外，土耳其政府还在1998年批准了劳工组织《准予就业最低年龄第138号公约》，在2001年批准了劳工组织《关于消除最有害的童工形式第182号公约》。由于这些事态发展，修正了《实习和职业教育法》，将就业的最低年龄提高到14岁并对工作条件作出规定，其中特别注意在年轻时加入劳动力的那些人的健康和教育/训练机会。经修正的法律还有各种管理规定适用于在非正规部门、街头、家中从事的工作及不带薪的劳动。在改善童工条件的同时，还在劳工组织/消除童工现象国际计划项目的范围内加紧努力以消灭童工现象和指导全体儿童继续接受教育。</w:t>
      </w:r>
    </w:p>
    <w:p w:rsidR="00320E49" w:rsidRDefault="00320E49">
      <w:pPr>
        <w:pStyle w:val="SingleTxt"/>
        <w:spacing w:line="340" w:lineRule="exact"/>
        <w:rPr>
          <w:rFonts w:hint="eastAsia"/>
        </w:rPr>
      </w:pPr>
      <w:r>
        <w:rPr>
          <w:rFonts w:hint="eastAsia"/>
        </w:rPr>
        <w:tab/>
        <w:t>缔约各国应……确保：</w:t>
      </w:r>
    </w:p>
    <w:p w:rsidR="00320E49" w:rsidRDefault="00320E49">
      <w:pPr>
        <w:pStyle w:val="SingleTxt"/>
        <w:spacing w:after="132"/>
        <w:rPr>
          <w:rFonts w:ascii="KaiTi_GB2312" w:eastAsia="KaiTi_GB2312" w:hint="eastAsia"/>
          <w:color w:val="0000FF"/>
        </w:rPr>
      </w:pPr>
      <w:r>
        <w:rPr>
          <w:rFonts w:hint="eastAsia"/>
        </w:rPr>
        <w:tab/>
      </w:r>
      <w:r>
        <w:rPr>
          <w:rFonts w:ascii="KaiTi_GB2312" w:eastAsia="KaiTi_GB2312" w:hint="eastAsia"/>
          <w:color w:val="0000FF"/>
        </w:rPr>
        <w:t>(d)</w:t>
      </w:r>
      <w:r>
        <w:rPr>
          <w:rFonts w:ascii="KaiTi_GB2312" w:eastAsia="KaiTi_GB2312" w:hint="eastAsia"/>
          <w:color w:val="0000FF"/>
        </w:rPr>
        <w:tab/>
        <w:t>同样价值的工作享有同等报酬包括福利和享有平等待遇的权利，在评定工作的表现方面，享有平等待遇的权利；</w:t>
      </w:r>
    </w:p>
    <w:p w:rsidR="00320E49" w:rsidRDefault="00320E49">
      <w:pPr>
        <w:pStyle w:val="SingleTxt"/>
        <w:spacing w:after="132"/>
        <w:rPr>
          <w:rFonts w:hint="eastAsia"/>
        </w:rPr>
      </w:pPr>
      <w:r>
        <w:rPr>
          <w:rFonts w:hint="eastAsia"/>
        </w:rPr>
        <w:tab/>
        <w:t>正如土耳其前几次报告所述，土耳其法律禁止基于特别的歧视。因此，不能将基于性别的工资差别列入工作合同和劳资协议。例如，自1971年以来，在确定最低工资水平方面遵守了不歧视的准则。高于最低工资的工资和附加福利可以自由谈判，而且不带任何基于性别的歧视。法律也保护公务员免受基于性别、语言、种族、政治见解、信仰、宗教和派别的工资差别。侵犯这些权利要受惩罚。</w:t>
      </w:r>
    </w:p>
    <w:p w:rsidR="00320E49" w:rsidRDefault="00320E49">
      <w:pPr>
        <w:pStyle w:val="SingleTxt"/>
        <w:spacing w:after="132"/>
        <w:rPr>
          <w:rFonts w:hint="eastAsia"/>
        </w:rPr>
      </w:pPr>
      <w:r>
        <w:rPr>
          <w:rFonts w:hint="eastAsia"/>
        </w:rPr>
        <w:tab/>
        <w:t>同等价值的工作同等报酬的原则受法律保障，但由于教育程度、工作连续性状况、晋升程序等方面的性别不平等，男女之间存在着工资/薪金的不平等。在公营和私营两个部门，由于管理层面由工作岗位主要被男子占据，男子的收入在前个部门比妇女高出20.60%，而在各个部门高出30—150%。在公营和私营机构中，工资差别最突出的产业是农业、畜牧业、林业和渔业。担任管理层职务的男女，收入水平往往较为平等。公营部门的机构的大小不是男女工资差别的一个决定因素，但在私营部门，单位雇员如果超过20人，工资差别往往向男子倾斜。例如，根据1998年土耳其雇主工会联合会在受集体谈判制约的258个大单位进行的研究，女工的净工资等于男子的净工资的90.4%。得不到关于工资差别的全面数据，原因是自1994年以来国家统计所没有收集工资数据。</w:t>
      </w:r>
    </w:p>
    <w:p w:rsidR="00320E49" w:rsidRDefault="00320E49">
      <w:pPr>
        <w:pStyle w:val="SingleTxt"/>
        <w:spacing w:after="132"/>
        <w:rPr>
          <w:rFonts w:hint="eastAsia"/>
        </w:rPr>
      </w:pPr>
      <w:r>
        <w:rPr>
          <w:rFonts w:hint="eastAsia"/>
        </w:rPr>
        <w:tab/>
        <w:t>缔约各国应……确保：</w:t>
      </w:r>
    </w:p>
    <w:p w:rsidR="00320E49" w:rsidRDefault="00320E49">
      <w:pPr>
        <w:pStyle w:val="SingleTxt"/>
        <w:spacing w:after="132"/>
        <w:rPr>
          <w:rFonts w:ascii="KaiTi_GB2312" w:eastAsia="KaiTi_GB2312" w:hint="eastAsia"/>
          <w:color w:val="0000FF"/>
        </w:rPr>
      </w:pPr>
      <w:r>
        <w:rPr>
          <w:rFonts w:hint="eastAsia"/>
        </w:rPr>
        <w:tab/>
      </w:r>
      <w:r>
        <w:rPr>
          <w:rFonts w:ascii="KaiTi_GB2312" w:eastAsia="KaiTi_GB2312" w:hint="eastAsia"/>
          <w:color w:val="0000FF"/>
        </w:rPr>
        <w:t>(e)</w:t>
      </w:r>
      <w:r>
        <w:rPr>
          <w:rFonts w:ascii="KaiTi_GB2312" w:eastAsia="KaiTi_GB2312" w:hint="eastAsia"/>
          <w:color w:val="0000FF"/>
        </w:rPr>
        <w:tab/>
        <w:t>享有社会保障的权利，特别是在退休、失业、疾病、残废和老年或在其他丧失工作能力的情况下，以及享有带薪假的权利；</w:t>
      </w:r>
    </w:p>
    <w:p w:rsidR="00320E49" w:rsidRDefault="00320E49">
      <w:pPr>
        <w:pStyle w:val="SingleTxt"/>
        <w:spacing w:after="132"/>
        <w:rPr>
          <w:rFonts w:hint="eastAsia"/>
        </w:rPr>
      </w:pPr>
      <w:r>
        <w:rPr>
          <w:rFonts w:hint="eastAsia"/>
        </w:rPr>
        <w:tab/>
        <w:t>社会保障体系的法律框架在土耳其第2次和第3次合并报告中作了描述。除了家庭支助条款以外，土耳其的社会保障体系与劳工组织第102号公约是一致的，不过：</w:t>
      </w:r>
    </w:p>
    <w:p w:rsidR="00320E49" w:rsidRDefault="00320E49">
      <w:pPr>
        <w:pStyle w:val="SingleTxt"/>
        <w:spacing w:after="132"/>
        <w:rPr>
          <w:rFonts w:hint="eastAsia"/>
        </w:rPr>
      </w:pPr>
      <w:r>
        <w:rPr>
          <w:rFonts w:hint="eastAsia"/>
        </w:rPr>
        <w:tab/>
        <w:t>1.</w:t>
      </w:r>
      <w:r>
        <w:rPr>
          <w:rFonts w:hint="eastAsia"/>
        </w:rPr>
        <w:tab/>
        <w:t>覆盖独立劳动者的社会保障计划不包括产妇保险；</w:t>
      </w:r>
    </w:p>
    <w:p w:rsidR="00320E49" w:rsidRDefault="00320E49">
      <w:pPr>
        <w:pStyle w:val="SingleTxt"/>
        <w:spacing w:after="132"/>
        <w:ind w:left="2126" w:hanging="431"/>
        <w:rPr>
          <w:rFonts w:hint="eastAsia"/>
        </w:rPr>
      </w:pPr>
      <w:r>
        <w:rPr>
          <w:rFonts w:hint="eastAsia"/>
        </w:rPr>
        <w:t>2.</w:t>
      </w:r>
      <w:r>
        <w:rPr>
          <w:rFonts w:hint="eastAsia"/>
        </w:rPr>
        <w:tab/>
        <w:t>“户主”概念虽然已从2001年的《民法典》中删除，但在评估独立农业工人进入社会保障计划时继续是一项要求，它使妇女处于不利地位；</w:t>
      </w:r>
    </w:p>
    <w:p w:rsidR="00320E49" w:rsidRDefault="00320E49">
      <w:pPr>
        <w:pStyle w:val="SingleTxt"/>
        <w:spacing w:after="132"/>
        <w:ind w:left="2126" w:hanging="431"/>
        <w:rPr>
          <w:rFonts w:hint="eastAsia"/>
        </w:rPr>
      </w:pPr>
      <w:r>
        <w:rPr>
          <w:rFonts w:hint="eastAsia"/>
        </w:rPr>
        <w:t>3.</w:t>
      </w:r>
      <w:r>
        <w:rPr>
          <w:rFonts w:hint="eastAsia"/>
        </w:rPr>
        <w:tab/>
        <w:t>妇女参加正规劳动力的程度低，这限制她们独立享受社会保障体系福利的机会。对丈夫或父亲社会保障的依附损害妇女作为享有自身权利的个人的地位；</w:t>
      </w:r>
    </w:p>
    <w:p w:rsidR="00320E49" w:rsidRDefault="00320E49">
      <w:pPr>
        <w:pStyle w:val="SingleTxt"/>
        <w:spacing w:after="132"/>
        <w:ind w:left="2126" w:hanging="431"/>
        <w:rPr>
          <w:rFonts w:hint="eastAsia"/>
        </w:rPr>
      </w:pPr>
      <w:r>
        <w:rPr>
          <w:rFonts w:hint="eastAsia"/>
        </w:rPr>
        <w:t>4.</w:t>
      </w:r>
      <w:r>
        <w:rPr>
          <w:rFonts w:hint="eastAsia"/>
        </w:rPr>
        <w:tab/>
        <w:t>家庭妇女如果缺乏独立的收入来源，就无法受益于随着2000年关于个人退休保险的法律的通过而可以参加的私营人寿保险；</w:t>
      </w:r>
    </w:p>
    <w:p w:rsidR="00320E49" w:rsidRDefault="00320E49">
      <w:pPr>
        <w:pStyle w:val="SingleTxt"/>
        <w:spacing w:after="132"/>
        <w:ind w:left="2126" w:hanging="431"/>
        <w:rPr>
          <w:rFonts w:hint="eastAsia"/>
        </w:rPr>
      </w:pPr>
      <w:r>
        <w:rPr>
          <w:rFonts w:hint="eastAsia"/>
        </w:rPr>
        <w:t>5.</w:t>
      </w:r>
      <w:r>
        <w:rPr>
          <w:rFonts w:hint="eastAsia"/>
        </w:rPr>
        <w:tab/>
        <w:t>现行的老年退休金计划原则上可为65岁以上所有“贫困的”妇女和男子利用，但它不足以满足老年人口的需要，特别是在农村地区。老年妇女的寿命往往长于男子，如果没有其他的保障来源，特别易受损害。</w:t>
      </w:r>
    </w:p>
    <w:p w:rsidR="00320E49" w:rsidRDefault="00320E49">
      <w:pPr>
        <w:pStyle w:val="SingleTxt"/>
        <w:rPr>
          <w:rFonts w:hint="eastAsia"/>
        </w:rPr>
      </w:pPr>
      <w:r>
        <w:rPr>
          <w:rFonts w:hint="eastAsia"/>
        </w:rPr>
        <w:tab/>
        <w:t>理论上，现行的社会保障体系覆盖全体妇女；如果她们工作就直接覆盖，如果不工作则通过其父母、丈夫或子女间接覆盖。因此，如果增加妇女享受社会保障的机会，就要扩大经济的就业容量，以及提高妇女参与正规劳动力的比率。不过这将不会解决土耳其三项主要计划的覆盖质量的差异问题，它们包括一个健康福利体系和一个退休金体系。社会保障计划的标准化列入了第58届政府的方案。</w:t>
      </w:r>
    </w:p>
    <w:p w:rsidR="00320E49" w:rsidRDefault="00320E49">
      <w:pPr>
        <w:pStyle w:val="SingleTxt"/>
      </w:pPr>
      <w:r>
        <w:rPr>
          <w:rFonts w:hint="eastAsia"/>
        </w:rPr>
        <w:tab/>
        <w:t>鉴于上文讨论的制约因素，虽然多年来妇女享受社会保障计划的机会有所增加，但情况远非令人满意。</w:t>
      </w:r>
      <w:r>
        <w:t>1994</w:t>
      </w:r>
      <w:r>
        <w:rPr>
          <w:rFonts w:hint="eastAsia"/>
        </w:rPr>
        <w:t>至</w:t>
      </w:r>
      <w:r>
        <w:t>2001</w:t>
      </w:r>
      <w:r>
        <w:rPr>
          <w:rFonts w:hint="eastAsia"/>
        </w:rPr>
        <w:t>年，妇女参加私营社会保障体系</w:t>
      </w:r>
      <w:r>
        <w:t>(Ba</w:t>
      </w:r>
      <w:r>
        <w:t>ğ</w:t>
      </w:r>
      <w:r>
        <w:t>kur)</w:t>
      </w:r>
      <w:r>
        <w:rPr>
          <w:rFonts w:hint="eastAsia"/>
        </w:rPr>
        <w:t>的比率从</w:t>
      </w:r>
      <w:r>
        <w:t>9.4%</w:t>
      </w:r>
      <w:r>
        <w:rPr>
          <w:rFonts w:hint="eastAsia"/>
        </w:rPr>
        <w:t>提高到</w:t>
      </w:r>
      <w:r>
        <w:t>9.6%</w:t>
      </w:r>
      <w:r>
        <w:rPr>
          <w:rFonts w:hint="eastAsia"/>
        </w:rPr>
        <w:t>；在</w:t>
      </w:r>
      <w:r>
        <w:t>SSK</w:t>
      </w:r>
      <w:r>
        <w:rPr>
          <w:rFonts w:hint="eastAsia"/>
        </w:rPr>
        <w:t>计划中，从</w:t>
      </w:r>
      <w:r>
        <w:t>9.9%</w:t>
      </w:r>
      <w:r>
        <w:rPr>
          <w:rFonts w:hint="eastAsia"/>
        </w:rPr>
        <w:t>提高到</w:t>
      </w:r>
      <w:r>
        <w:t>19.9%</w:t>
      </w:r>
      <w:r>
        <w:rPr>
          <w:rFonts w:hint="eastAsia"/>
        </w:rPr>
        <w:t>，而在覆盖公务员的体系</w:t>
      </w:r>
      <w:r>
        <w:t>(Emekli Sandi</w:t>
      </w:r>
      <w:r>
        <w:t>ğ</w:t>
      </w:r>
      <w:r>
        <w:t>i)</w:t>
      </w:r>
      <w:r>
        <w:rPr>
          <w:rFonts w:hint="eastAsia"/>
        </w:rPr>
        <w:t>中，覆盖率从</w:t>
      </w:r>
      <w:r>
        <w:t>30.6%</w:t>
      </w:r>
      <w:r>
        <w:rPr>
          <w:rFonts w:hint="eastAsia"/>
        </w:rPr>
        <w:t>提高到</w:t>
      </w:r>
      <w:r>
        <w:t>33.1%</w:t>
      </w:r>
      <w:r>
        <w:rPr>
          <w:rFonts w:hint="eastAsia"/>
        </w:rPr>
        <w:t>。</w:t>
      </w:r>
    </w:p>
    <w:p w:rsidR="00320E49" w:rsidRDefault="00320E49">
      <w:pPr>
        <w:pStyle w:val="SingleTxt"/>
        <w:rPr>
          <w:rFonts w:hint="eastAsia"/>
        </w:rPr>
      </w:pPr>
      <w:r>
        <w:rPr>
          <w:rFonts w:hint="eastAsia"/>
        </w:rPr>
        <w:tab/>
        <w:t>缔约各国应……确保：</w:t>
      </w:r>
    </w:p>
    <w:p w:rsidR="00320E49" w:rsidRDefault="00320E49">
      <w:pPr>
        <w:pStyle w:val="SingleTxt"/>
        <w:rPr>
          <w:rFonts w:hint="eastAsia"/>
        </w:rPr>
      </w:pPr>
      <w:r>
        <w:rPr>
          <w:rFonts w:hint="eastAsia"/>
        </w:rPr>
        <w:tab/>
      </w:r>
      <w:r>
        <w:rPr>
          <w:rFonts w:ascii="KaiTi_GB2312" w:eastAsia="KaiTi_GB2312" w:hint="eastAsia"/>
          <w:color w:val="0000FF"/>
        </w:rPr>
        <w:t>(f)</w:t>
      </w:r>
      <w:r>
        <w:rPr>
          <w:rFonts w:ascii="KaiTi_GB2312" w:eastAsia="KaiTi_GB2312" w:hint="eastAsia"/>
          <w:color w:val="0000FF"/>
        </w:rPr>
        <w:tab/>
        <w:t>在工作条件中享有健康和安全保障，包括保障生育机能的权利。</w:t>
      </w:r>
    </w:p>
    <w:p w:rsidR="00320E49" w:rsidRDefault="00320E49">
      <w:pPr>
        <w:pStyle w:val="SingleTxt"/>
        <w:rPr>
          <w:rFonts w:hint="eastAsia"/>
        </w:rPr>
      </w:pPr>
      <w:r>
        <w:rPr>
          <w:rFonts w:hint="eastAsia"/>
        </w:rPr>
        <w:tab/>
        <w:t>自土耳其上次报告以来，法律管理机制没有变化。不过，已经采取了某些措施来改善工作条件和加强相关的机构。</w:t>
      </w:r>
    </w:p>
    <w:p w:rsidR="00320E49" w:rsidRDefault="00320E49">
      <w:pPr>
        <w:pStyle w:val="SingleTxt"/>
        <w:rPr>
          <w:rFonts w:hint="eastAsia"/>
        </w:rPr>
      </w:pPr>
      <w:r>
        <w:rPr>
          <w:rFonts w:hint="eastAsia"/>
        </w:rPr>
        <w:tab/>
        <w:t>在这方面，劳动和社会保障部职业健康局已于2000年10月升格为职业健康总局。总局奉命按照欧盟标准审查和修改关于职业健康和安全的国家条例。在进行改组的同时，还正在总局内设立一个关于“高危群体”的新科，以具体处理儿童、妇女和残疾人的问题。</w:t>
      </w:r>
    </w:p>
    <w:p w:rsidR="00320E49" w:rsidRDefault="00320E49">
      <w:pPr>
        <w:pStyle w:val="SingleTxt"/>
        <w:rPr>
          <w:rFonts w:hint="eastAsia"/>
        </w:rPr>
      </w:pPr>
      <w:r>
        <w:rPr>
          <w:rFonts w:hint="eastAsia"/>
        </w:rPr>
        <w:tab/>
        <w:t>职业健康和工作条件受本部工作监察股和社会保障所监察股监督。总共674名工作监察员中85名为妇女，他们进行定期检查并根据接到的申诉进行调查。另一方面，社会保障监察员确定保险费和审查职业事故和职业病。</w:t>
      </w:r>
    </w:p>
    <w:p w:rsidR="00320E49" w:rsidRDefault="00320E49">
      <w:pPr>
        <w:pStyle w:val="SingleTxt"/>
        <w:rPr>
          <w:rFonts w:ascii="KaiTi_GB2312" w:eastAsia="KaiTi_GB2312" w:hint="eastAsia"/>
          <w:color w:val="0000FF"/>
        </w:rPr>
      </w:pPr>
      <w:r>
        <w:rPr>
          <w:rFonts w:hint="eastAsia"/>
        </w:rPr>
        <w:tab/>
      </w:r>
      <w:r>
        <w:rPr>
          <w:rFonts w:ascii="KaiTi_GB2312" w:eastAsia="KaiTi_GB2312" w:hint="eastAsia"/>
          <w:b/>
          <w:bCs/>
          <w:color w:val="0000FF"/>
        </w:rPr>
        <w:t>第十一条.2.</w:t>
      </w:r>
      <w:r>
        <w:rPr>
          <w:rFonts w:ascii="KaiTi_GB2312" w:eastAsia="KaiTi_GB2312" w:hint="eastAsia"/>
          <w:color w:val="0000FF"/>
        </w:rPr>
        <w:t xml:space="preserve"> 缔约各国为使妇女不致因结婚或生育而受歧视，又为保障其有效工作权利起见，应采取适当措施：</w:t>
      </w:r>
    </w:p>
    <w:p w:rsidR="00320E49" w:rsidRDefault="00320E49">
      <w:pPr>
        <w:pStyle w:val="SingleTxt"/>
        <w:rPr>
          <w:rFonts w:hint="eastAsia"/>
        </w:rPr>
      </w:pPr>
      <w:r>
        <w:rPr>
          <w:rFonts w:ascii="KaiTi_GB2312" w:eastAsia="KaiTi_GB2312" w:hint="eastAsia"/>
          <w:color w:val="0000FF"/>
        </w:rPr>
        <w:tab/>
        <w:t>(a)</w:t>
      </w:r>
      <w:r>
        <w:rPr>
          <w:rFonts w:ascii="KaiTi_GB2312" w:eastAsia="KaiTi_GB2312" w:hint="eastAsia"/>
          <w:color w:val="0000FF"/>
        </w:rPr>
        <w:tab/>
        <w:t>禁止以怀孕或产假为理由予以解雇，以及以婚姻状况为理由予以解雇的歧视，违反规定者得受处分</w:t>
      </w:r>
      <w:r>
        <w:rPr>
          <w:rFonts w:hint="eastAsia"/>
        </w:rPr>
        <w:t>；</w:t>
      </w:r>
    </w:p>
    <w:p w:rsidR="00320E49" w:rsidRDefault="00320E49">
      <w:pPr>
        <w:pStyle w:val="SingleTxt"/>
        <w:rPr>
          <w:rFonts w:hint="eastAsia"/>
        </w:rPr>
      </w:pPr>
      <w:r>
        <w:rPr>
          <w:rFonts w:hint="eastAsia"/>
        </w:rPr>
        <w:tab/>
        <w:t>参阅土耳其第2次和第3次合并报告。</w:t>
      </w:r>
    </w:p>
    <w:p w:rsidR="00320E49" w:rsidRDefault="00320E49">
      <w:pPr>
        <w:pStyle w:val="SingleTxt"/>
        <w:rPr>
          <w:rFonts w:hint="eastAsia"/>
        </w:rPr>
      </w:pPr>
      <w:r>
        <w:rPr>
          <w:rFonts w:hint="eastAsia"/>
        </w:rPr>
        <w:tab/>
        <w:t>缔约各国应……确保：</w:t>
      </w:r>
    </w:p>
    <w:p w:rsidR="00320E49" w:rsidRDefault="00320E49">
      <w:pPr>
        <w:pStyle w:val="SingleTxt"/>
        <w:rPr>
          <w:rFonts w:hint="eastAsia"/>
        </w:rPr>
      </w:pPr>
      <w:r>
        <w:rPr>
          <w:rFonts w:hint="eastAsia"/>
        </w:rPr>
        <w:tab/>
      </w:r>
      <w:r>
        <w:rPr>
          <w:rFonts w:ascii="KaiTi_GB2312" w:eastAsia="KaiTi_GB2312" w:hint="eastAsia"/>
          <w:color w:val="0000FF"/>
        </w:rPr>
        <w:t>(b)</w:t>
      </w:r>
      <w:r>
        <w:rPr>
          <w:rFonts w:ascii="KaiTi_GB2312" w:eastAsia="KaiTi_GB2312" w:hint="eastAsia"/>
          <w:color w:val="0000FF"/>
        </w:rPr>
        <w:tab/>
        <w:t>实施带薪产假或具有同等社会福利的产假，不丧失原有工作、年资或社会津贴</w:t>
      </w:r>
      <w:r>
        <w:rPr>
          <w:rFonts w:hint="eastAsia"/>
        </w:rPr>
        <w:t>；</w:t>
      </w:r>
    </w:p>
    <w:p w:rsidR="00320E49" w:rsidRDefault="00320E49">
      <w:pPr>
        <w:pStyle w:val="SingleTxt"/>
        <w:rPr>
          <w:rFonts w:hint="eastAsia"/>
        </w:rPr>
      </w:pPr>
      <w:r>
        <w:rPr>
          <w:rFonts w:hint="eastAsia"/>
        </w:rPr>
        <w:tab/>
        <w:t>自上次报告以来，关于相关宪法的最重要的变动是2000年的失业保险方案，它允许被保险人或他(她)的受扶养人在失业期间继续领取产妇和健康福利金(见本次报告第11/3条)。</w:t>
      </w:r>
    </w:p>
    <w:p w:rsidR="00320E49" w:rsidRDefault="00320E49">
      <w:pPr>
        <w:pStyle w:val="SingleTxt"/>
        <w:rPr>
          <w:rFonts w:hint="eastAsia"/>
        </w:rPr>
      </w:pPr>
      <w:r>
        <w:rPr>
          <w:rFonts w:hint="eastAsia"/>
        </w:rPr>
        <w:tab/>
        <w:t>缔约各国应……确保：</w:t>
      </w:r>
    </w:p>
    <w:p w:rsidR="00320E49" w:rsidRDefault="00320E49">
      <w:pPr>
        <w:pStyle w:val="SingleTxt"/>
        <w:spacing w:after="120"/>
        <w:rPr>
          <w:rFonts w:ascii="KaiTi_GB2312" w:eastAsia="KaiTi_GB2312" w:hint="eastAsia"/>
          <w:color w:val="0000FF"/>
        </w:rPr>
      </w:pPr>
      <w:r>
        <w:rPr>
          <w:rFonts w:hint="eastAsia"/>
        </w:rPr>
        <w:tab/>
      </w:r>
      <w:r>
        <w:rPr>
          <w:rFonts w:ascii="KaiTi_GB2312" w:eastAsia="KaiTi_GB2312" w:hint="eastAsia"/>
          <w:color w:val="0000FF"/>
        </w:rPr>
        <w:t>(c)</w:t>
      </w:r>
      <w:r>
        <w:rPr>
          <w:rFonts w:ascii="KaiTi_GB2312" w:eastAsia="KaiTi_GB2312" w:hint="eastAsia"/>
          <w:color w:val="0000FF"/>
        </w:rPr>
        <w:tab/>
        <w:t>鼓励提供必要的辅助性社会服务，特别是通过促进建立和发展托儿设施系统，使父母得以兼顾家庭义务和工作责任并参与公共事务；</w:t>
      </w:r>
    </w:p>
    <w:p w:rsidR="00320E49" w:rsidRDefault="00320E49">
      <w:pPr>
        <w:pStyle w:val="SingleTxt"/>
        <w:spacing w:after="120"/>
        <w:rPr>
          <w:rFonts w:hint="eastAsia"/>
        </w:rPr>
      </w:pPr>
      <w:r>
        <w:rPr>
          <w:rFonts w:hint="eastAsia"/>
        </w:rPr>
        <w:tab/>
        <w:t>自土耳其第2次和第3次合并报告以来未作任何改变。工作监察员继续检查工作场所有关遵守法律所规定的日托和育婴室要求的情况。不过，有关不遵守的执行机制并无效力。</w:t>
      </w:r>
    </w:p>
    <w:p w:rsidR="00320E49" w:rsidRDefault="00320E49">
      <w:pPr>
        <w:pStyle w:val="SingleTxt"/>
        <w:spacing w:after="120"/>
        <w:rPr>
          <w:rFonts w:ascii="KaiTi_GB2312" w:eastAsia="KaiTi_GB2312" w:hint="eastAsia"/>
          <w:color w:val="0000FF"/>
        </w:rPr>
      </w:pPr>
      <w:r>
        <w:rPr>
          <w:rFonts w:hint="eastAsia"/>
        </w:rPr>
        <w:tab/>
      </w:r>
      <w:r>
        <w:rPr>
          <w:rFonts w:ascii="KaiTi_GB2312" w:eastAsia="KaiTi_GB2312" w:hint="eastAsia"/>
          <w:color w:val="0000FF"/>
        </w:rPr>
        <w:t>(d)</w:t>
      </w:r>
      <w:r>
        <w:rPr>
          <w:rFonts w:ascii="KaiTi_GB2312" w:eastAsia="KaiTi_GB2312" w:hint="eastAsia"/>
          <w:color w:val="0000FF"/>
        </w:rPr>
        <w:tab/>
        <w:t>对于怀孕期间从事确实有害于健康的工种的妇女，给予特别保护。</w:t>
      </w:r>
    </w:p>
    <w:p w:rsidR="00320E49" w:rsidRDefault="00320E49">
      <w:pPr>
        <w:pStyle w:val="SingleTxt"/>
        <w:spacing w:after="120"/>
        <w:rPr>
          <w:rFonts w:hint="eastAsia"/>
        </w:rPr>
      </w:pPr>
      <w:r>
        <w:rPr>
          <w:rFonts w:hint="eastAsia"/>
        </w:rPr>
        <w:tab/>
        <w:t>参阅土耳其第2项和第3次合并报告。</w:t>
      </w:r>
    </w:p>
    <w:p w:rsidR="00320E49" w:rsidRDefault="00320E49">
      <w:pPr>
        <w:pStyle w:val="SingleTxt"/>
        <w:spacing w:after="120"/>
        <w:rPr>
          <w:rFonts w:ascii="KaiTi_GB2312" w:eastAsia="KaiTi_GB2312" w:hint="eastAsia"/>
          <w:color w:val="0000FF"/>
        </w:rPr>
      </w:pPr>
      <w:r>
        <w:rPr>
          <w:rFonts w:hint="eastAsia"/>
        </w:rPr>
        <w:tab/>
      </w:r>
      <w:r>
        <w:rPr>
          <w:rFonts w:ascii="KaiTi_GB2312" w:eastAsia="KaiTi_GB2312" w:hint="eastAsia"/>
          <w:b/>
          <w:bCs/>
          <w:color w:val="0000FF"/>
        </w:rPr>
        <w:t>第十一条.3.</w:t>
      </w:r>
      <w:r>
        <w:rPr>
          <w:rFonts w:ascii="KaiTi_GB2312" w:eastAsia="KaiTi_GB2312" w:hint="eastAsia"/>
          <w:color w:val="0000FF"/>
        </w:rPr>
        <w:t xml:space="preserve"> 应参照科技知识，定期审查与本条所包涵的内容有关的保护性法律</w:t>
      </w:r>
      <w:r>
        <w:rPr>
          <w:rFonts w:ascii="KaiTi_GB2312" w:eastAsia="KaiTi_GB2312" w:hint="eastAsia"/>
          <w:color w:val="0000FF"/>
        </w:rPr>
        <w:tab/>
        <w:t>，必要时应加以修订、废止或推广。</w:t>
      </w:r>
    </w:p>
    <w:p w:rsidR="00320E49" w:rsidRDefault="00320E49">
      <w:pPr>
        <w:pStyle w:val="SingleTxt"/>
        <w:rPr>
          <w:rFonts w:hint="eastAsia"/>
        </w:rPr>
      </w:pPr>
      <w:r>
        <w:rPr>
          <w:rFonts w:hint="eastAsia"/>
        </w:rPr>
        <w:tab/>
        <w:t>制定有关本条所涉事项的保护性立法是劳动和社会保障部的使命。妇女地位和妇女问题司与该部密切配合，确定在政策制定和立法改革中需要涉及的领域。</w:t>
      </w:r>
    </w:p>
    <w:p w:rsidR="00320E49" w:rsidRDefault="00320E49">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20" w:line="380" w:lineRule="exact"/>
        <w:ind w:left="1264" w:right="1264" w:hanging="1264"/>
        <w:jc w:val="both"/>
        <w:rPr>
          <w:rFonts w:ascii="KaiTi_GB2312" w:eastAsia="KaiTi_GB2312" w:hint="eastAsia"/>
          <w:color w:val="0000FF"/>
          <w:sz w:val="28"/>
        </w:rPr>
      </w:pPr>
      <w:r>
        <w:rPr>
          <w:rFonts w:hint="eastAsia"/>
        </w:rPr>
        <w:tab/>
      </w:r>
      <w:r>
        <w:rPr>
          <w:rFonts w:hint="eastAsia"/>
        </w:rPr>
        <w:tab/>
      </w:r>
      <w:r>
        <w:rPr>
          <w:rFonts w:ascii="KaiTi_GB2312" w:eastAsia="KaiTi_GB2312" w:hint="eastAsia"/>
          <w:color w:val="0000FF"/>
          <w:sz w:val="28"/>
        </w:rPr>
        <w:t>获得保健服务的平等权利</w:t>
      </w:r>
    </w:p>
    <w:p w:rsidR="00320E49" w:rsidRDefault="00320E49">
      <w:pPr>
        <w:pStyle w:val="SingleTxt"/>
        <w:spacing w:after="120"/>
        <w:rPr>
          <w:rFonts w:ascii="KaiTi_GB2312" w:eastAsia="KaiTi_GB2312" w:hint="eastAsia"/>
          <w:color w:val="0000FF"/>
          <w:spacing w:val="-4"/>
        </w:rPr>
      </w:pPr>
      <w:r>
        <w:rPr>
          <w:rFonts w:ascii="KaiTi_GB2312" w:eastAsia="KaiTi_GB2312" w:hint="eastAsia"/>
          <w:color w:val="0000FF"/>
          <w:spacing w:val="-4"/>
        </w:rPr>
        <w:tab/>
      </w:r>
      <w:r>
        <w:rPr>
          <w:rFonts w:ascii="KaiTi_GB2312" w:eastAsia="KaiTi_GB2312" w:hint="eastAsia"/>
          <w:b/>
          <w:bCs/>
          <w:color w:val="0000FF"/>
          <w:spacing w:val="-4"/>
        </w:rPr>
        <w:t>第十二条.1.</w:t>
      </w:r>
      <w:r>
        <w:rPr>
          <w:rFonts w:ascii="KaiTi_GB2312" w:eastAsia="KaiTi_GB2312" w:hint="eastAsia"/>
          <w:color w:val="0000FF"/>
          <w:spacing w:val="-4"/>
        </w:rPr>
        <w:t xml:space="preserve"> 缔约各国应采取一切适应措施以消除在保健方面对妇女的歧视，保证她们在男女平等的基础上取得各种保健服务，包括有关计划生育的保健服务。</w:t>
      </w:r>
    </w:p>
    <w:p w:rsidR="00320E49" w:rsidRDefault="00320E49">
      <w:pPr>
        <w:pStyle w:val="SingleTxt"/>
        <w:spacing w:after="120"/>
        <w:rPr>
          <w:rFonts w:hint="eastAsia"/>
        </w:rPr>
      </w:pPr>
      <w:r>
        <w:rPr>
          <w:rFonts w:hint="eastAsia"/>
        </w:rPr>
        <w:tab/>
        <w:t>按照早在1961年的法律(224)，保健服务是社会化的，它包括一个全国性的初级保健系统网络。在这方面，全国有1万多家保健所、5 000个保健中心和400个母婴保健计划生育中心(MCH/FP)，免费为城乡居民提供初级保健服务，虽然在某些情况下可能会收取最低的成本费用。尽管第一批的两个机构分别设在乡村和城市里，但是母婴保健计划生育中心都设在城市里。</w:t>
      </w:r>
    </w:p>
    <w:p w:rsidR="00320E49" w:rsidRDefault="00320E49">
      <w:pPr>
        <w:pStyle w:val="SingleTxt"/>
        <w:spacing w:after="120"/>
        <w:rPr>
          <w:rFonts w:hint="eastAsia"/>
        </w:rPr>
      </w:pPr>
      <w:r>
        <w:rPr>
          <w:rFonts w:hint="eastAsia"/>
        </w:rPr>
        <w:tab/>
        <w:t>在获得这些机构的服务方面不存在性别歧视，但是人们观察到下列情况：(一)这种初级保健系统的主要受益者是妇女和儿童。造成这种情况的部分原因是事实上妇女往往没有医疗保险；所以这些机构提供的免费服务是她们得到保健服务的惟一途径；(二)对于那些由于身体活动受到传统限制而无法进入这些机构的妇女，通过助产士系统向她们提供上门诊治。</w:t>
      </w:r>
    </w:p>
    <w:p w:rsidR="00320E49" w:rsidRDefault="00320E49">
      <w:pPr>
        <w:pStyle w:val="SingleTxt"/>
        <w:spacing w:after="120"/>
        <w:rPr>
          <w:rFonts w:hint="eastAsia"/>
        </w:rPr>
      </w:pPr>
      <w:r>
        <w:rPr>
          <w:rFonts w:hint="eastAsia"/>
        </w:rPr>
        <w:tab/>
        <w:t>缔约各国应确保：</w:t>
      </w:r>
    </w:p>
    <w:p w:rsidR="00320E49" w:rsidRDefault="00320E49">
      <w:pPr>
        <w:pStyle w:val="SingleTxt"/>
        <w:spacing w:after="120"/>
        <w:rPr>
          <w:rFonts w:hint="eastAsia"/>
        </w:rPr>
      </w:pPr>
      <w:r>
        <w:rPr>
          <w:rFonts w:hint="eastAsia"/>
        </w:rPr>
        <w:tab/>
      </w:r>
      <w:r>
        <w:rPr>
          <w:rFonts w:ascii="KaiTi_GB2312" w:eastAsia="KaiTi_GB2312" w:hint="eastAsia"/>
          <w:b/>
          <w:bCs/>
          <w:color w:val="0000FF"/>
        </w:rPr>
        <w:t>第十二条.2.</w:t>
      </w:r>
      <w:r>
        <w:rPr>
          <w:rFonts w:ascii="KaiTi_GB2312" w:eastAsia="KaiTi_GB2312" w:hint="eastAsia"/>
          <w:color w:val="0000FF"/>
        </w:rPr>
        <w:t xml:space="preserve"> 尽管有本条第1款的规定，缔的各国应保证为妇女提供有关怀孕、分娩和产后期间的适当服务，于必要时给予免费服务，并保证在怀孕和哺乳期间得到充分营养</w:t>
      </w:r>
      <w:r>
        <w:rPr>
          <w:rFonts w:hint="eastAsia"/>
        </w:rPr>
        <w:t>。</w:t>
      </w:r>
    </w:p>
    <w:p w:rsidR="00320E49" w:rsidRDefault="00320E49">
      <w:pPr>
        <w:pStyle w:val="SingleTxt"/>
        <w:spacing w:after="120"/>
        <w:rPr>
          <w:rFonts w:hint="eastAsia"/>
        </w:rPr>
      </w:pPr>
      <w:r>
        <w:rPr>
          <w:rFonts w:hint="eastAsia"/>
        </w:rPr>
        <w:tab/>
        <w:t>在上述初级保健系统的范围内提供生殖保健服务。所提供的服务主要集中在安全分娩方面，包括产前保健、安全接生和产后保健以及计划生育。</w:t>
      </w:r>
    </w:p>
    <w:p w:rsidR="00320E49" w:rsidRDefault="00320E49">
      <w:pPr>
        <w:pStyle w:val="SingleTxt"/>
        <w:spacing w:after="120"/>
        <w:rPr>
          <w:rFonts w:hint="eastAsia"/>
        </w:rPr>
      </w:pPr>
      <w:r>
        <w:rPr>
          <w:rFonts w:hint="eastAsia"/>
        </w:rPr>
        <w:tab/>
        <w:t>从1963年以来每五年进行一次有关人口和保健的调查。这个调查为对重要保健指标和计划生育办法方面的趋势的监测，提供了可靠的数据，从而可对取得的进展和存在的问题进行评估。</w:t>
      </w:r>
    </w:p>
    <w:p w:rsidR="00320E49" w:rsidRDefault="00320E49">
      <w:pPr>
        <w:pStyle w:val="SingleTxt"/>
        <w:rPr>
          <w:rFonts w:ascii="SimHei" w:eastAsia="SimHei" w:hint="eastAsia"/>
          <w:color w:val="FF0000"/>
        </w:rPr>
      </w:pPr>
      <w:r>
        <w:rPr>
          <w:rFonts w:ascii="SimHei" w:eastAsia="SimHei" w:hint="eastAsia"/>
          <w:color w:val="FF0000"/>
        </w:rPr>
        <w:t>母婴保健和计划生育方面取得的进步</w:t>
      </w:r>
    </w:p>
    <w:p w:rsidR="00320E49" w:rsidRDefault="00320E49">
      <w:pPr>
        <w:pStyle w:val="SingleTxt"/>
        <w:rPr>
          <w:rFonts w:hint="eastAsia"/>
        </w:rPr>
      </w:pPr>
      <w:r>
        <w:rPr>
          <w:rFonts w:hint="eastAsia"/>
        </w:rPr>
        <w:tab/>
        <w:t>1998年人口和保健调查提供了最新数据，下一次调查在2003年进行。因此可以按照1993年和1998年的调查结果对某些指标进行比较，以评估母婴保健/计划生育方面的进展情况。</w:t>
      </w:r>
    </w:p>
    <w:p w:rsidR="00320E49" w:rsidRDefault="00320E49">
      <w:pPr>
        <w:pStyle w:val="SingleTxt"/>
        <w:ind w:left="1695" w:hanging="431"/>
        <w:rPr>
          <w:rFonts w:hint="eastAsia"/>
        </w:rPr>
      </w:pPr>
      <w:r>
        <w:rPr>
          <w:rFonts w:hint="eastAsia"/>
        </w:rPr>
        <w:sym w:font="Symbol" w:char="F0B7"/>
      </w:r>
      <w:r>
        <w:tab/>
      </w:r>
      <w:r>
        <w:rPr>
          <w:rFonts w:hint="eastAsia"/>
        </w:rPr>
        <w:t>产前保健从1993年的63%增加到1998年的68%；</w:t>
      </w:r>
    </w:p>
    <w:p w:rsidR="00320E49" w:rsidRDefault="00320E49">
      <w:pPr>
        <w:pStyle w:val="SingleTxt"/>
        <w:ind w:left="1695" w:hanging="431"/>
        <w:rPr>
          <w:rFonts w:hint="eastAsia"/>
        </w:rPr>
      </w:pPr>
      <w:r>
        <w:rPr>
          <w:rFonts w:hint="eastAsia"/>
        </w:rPr>
        <w:sym w:font="Symbol" w:char="F0B7"/>
      </w:r>
      <w:r>
        <w:tab/>
      </w:r>
      <w:r>
        <w:rPr>
          <w:rFonts w:hint="eastAsia"/>
        </w:rPr>
        <w:t>安全条件下的接生从1993年的76%增加到1998年的81.5%；</w:t>
      </w:r>
    </w:p>
    <w:p w:rsidR="00320E49" w:rsidRDefault="00320E49">
      <w:pPr>
        <w:pStyle w:val="SingleTxt"/>
        <w:ind w:left="1695" w:hanging="431"/>
        <w:rPr>
          <w:rFonts w:hint="eastAsia"/>
        </w:rPr>
      </w:pPr>
      <w:r>
        <w:rPr>
          <w:rFonts w:hint="eastAsia"/>
        </w:rPr>
        <w:sym w:font="Symbol" w:char="F0B7"/>
      </w:r>
      <w:r>
        <w:tab/>
      </w:r>
      <w:r>
        <w:rPr>
          <w:rFonts w:hint="eastAsia"/>
        </w:rPr>
        <w:t>生育率从1993年的2.7下降到1998年的2.6。农村地区的生育率(3.1)高于全国平均水平，东南安纳托利亚农村甚至更多(4.2)。但是另一方面，西安纳托利亚的生育率最低(2)。这些数字明显地证实了发展与生育率之间的关系；</w:t>
      </w:r>
    </w:p>
    <w:p w:rsidR="00320E49" w:rsidRDefault="00320E49">
      <w:pPr>
        <w:pStyle w:val="SingleTxt"/>
        <w:ind w:left="1695" w:hanging="431"/>
        <w:rPr>
          <w:rFonts w:hint="eastAsia"/>
        </w:rPr>
      </w:pPr>
      <w:r>
        <w:rPr>
          <w:rFonts w:hint="eastAsia"/>
        </w:rPr>
        <w:sym w:font="Symbol" w:char="F0B7"/>
      </w:r>
      <w:r>
        <w:tab/>
      </w:r>
      <w:r>
        <w:rPr>
          <w:rFonts w:hint="eastAsia"/>
        </w:rPr>
        <w:t>妇女和男子都了解计划生育方法。因此这些方法的使用正在稳步推广。在这方面新式避孕用品的使用从1993年的62.6%增加到1998年的64%。在这五年里没有变化，仍为约34%；</w:t>
      </w:r>
    </w:p>
    <w:p w:rsidR="00320E49" w:rsidRDefault="00320E49">
      <w:pPr>
        <w:pStyle w:val="SingleTxt"/>
        <w:ind w:left="1695" w:hanging="431"/>
        <w:rPr>
          <w:rFonts w:hint="eastAsia"/>
        </w:rPr>
      </w:pPr>
      <w:r>
        <w:rPr>
          <w:rFonts w:hint="eastAsia"/>
        </w:rPr>
        <w:sym w:font="Symbol" w:char="F0B7"/>
      </w:r>
      <w:r>
        <w:tab/>
      </w:r>
      <w:r>
        <w:rPr>
          <w:rFonts w:hint="eastAsia"/>
        </w:rPr>
        <w:t>人工流产的比率尽管不断减少，但仍然实施。重要的是要指出，在土耳其产妇死亡率几乎与人工流产没什么关系。为了弥补现有服务的不足并减少手术干预的风险，正在不断作出努力，以确保普遍实施“医疗流产”办法；</w:t>
      </w:r>
    </w:p>
    <w:p w:rsidR="00320E49" w:rsidRDefault="00320E49">
      <w:pPr>
        <w:pStyle w:val="SingleTxt"/>
        <w:ind w:left="1695" w:hanging="431"/>
        <w:rPr>
          <w:rFonts w:hint="eastAsia"/>
        </w:rPr>
      </w:pPr>
      <w:r>
        <w:rPr>
          <w:rFonts w:hint="eastAsia"/>
        </w:rPr>
        <w:sym w:font="Symbol" w:char="F0B7"/>
      </w:r>
      <w:r>
        <w:tab/>
      </w:r>
      <w:r>
        <w:rPr>
          <w:rFonts w:hint="eastAsia"/>
        </w:rPr>
        <w:t>婴儿死亡率从1993年的53/每千活产下降到1998年的43/每千活产，儿童死亡率(5岁和5岁以下)从61/每千活产下降到52/每千活产；</w:t>
      </w:r>
    </w:p>
    <w:p w:rsidR="00320E49" w:rsidRDefault="00320E49">
      <w:pPr>
        <w:pStyle w:val="SingleTxt"/>
        <w:ind w:left="1695" w:hanging="431"/>
        <w:rPr>
          <w:rFonts w:hint="eastAsia"/>
        </w:rPr>
      </w:pPr>
      <w:r>
        <w:rPr>
          <w:rFonts w:hint="eastAsia"/>
        </w:rPr>
        <w:sym w:font="Symbol" w:char="F0B7"/>
      </w:r>
      <w:r>
        <w:tab/>
      </w:r>
      <w:r>
        <w:rPr>
          <w:rFonts w:hint="eastAsia"/>
        </w:rPr>
        <w:t>儿童免疫达到96%，自1998年以来未出现脊髓灰质炎就是证明。土耳其已被世界卫生组织列为“无脊髓灰质炎”国家。</w:t>
      </w:r>
    </w:p>
    <w:p w:rsidR="00320E49" w:rsidRDefault="00320E49">
      <w:pPr>
        <w:pStyle w:val="SingleTxt"/>
        <w:rPr>
          <w:rFonts w:ascii="SimHei" w:eastAsia="SimHei" w:hint="eastAsia"/>
          <w:color w:val="FF0000"/>
        </w:rPr>
      </w:pPr>
      <w:r>
        <w:rPr>
          <w:rFonts w:ascii="SimHei" w:eastAsia="SimHei" w:hint="eastAsia"/>
          <w:color w:val="FF0000"/>
        </w:rPr>
        <w:t>现存问题</w:t>
      </w:r>
    </w:p>
    <w:p w:rsidR="00320E49" w:rsidRDefault="00320E49">
      <w:pPr>
        <w:pStyle w:val="SingleTxt"/>
        <w:rPr>
          <w:rFonts w:hint="eastAsia"/>
        </w:rPr>
      </w:pPr>
      <w:r>
        <w:rPr>
          <w:rFonts w:hint="eastAsia"/>
        </w:rPr>
        <w:tab/>
        <w:t>尽管在初级母婴保健和生殖保健方面取得了一些进步，但是在保健服务的可利用性，尤其在城乡地区之间和区域之间的可利用性方面还存在差距。</w:t>
      </w:r>
    </w:p>
    <w:p w:rsidR="00320E49" w:rsidRDefault="00320E49">
      <w:pPr>
        <w:pStyle w:val="SingleTxt"/>
        <w:rPr>
          <w:rFonts w:hint="eastAsia"/>
        </w:rPr>
      </w:pPr>
      <w:r>
        <w:rPr>
          <w:rFonts w:hint="eastAsia"/>
        </w:rPr>
        <w:tab/>
        <w:t>婴儿死亡率虽然不断下降，但仍然太高，因为它大约比发达国家高十倍。新生儿死亡率占婴儿死亡率很大部分这一事实表明产科服务有待改进。有效利用现有的服务还需要提高教育水平，尤其是妇女的教育水平。</w:t>
      </w:r>
    </w:p>
    <w:p w:rsidR="00320E49" w:rsidRDefault="00320E49">
      <w:pPr>
        <w:pStyle w:val="SingleTxt"/>
        <w:rPr>
          <w:rFonts w:hint="eastAsia"/>
        </w:rPr>
      </w:pPr>
      <w:r>
        <w:rPr>
          <w:rFonts w:hint="eastAsia"/>
        </w:rPr>
        <w:tab/>
        <w:t>由于未能解决计划生育的需要有35%的夫妻即使不想怀孕也不使用(10%)或使用有效的计划生育办法(25%)。如上所述，人工流产比率仍很高；虽然在土耳其这种办法是得到公认的，但是流产后避孕方法的使用很有限。产后避孕方法的应用亦如此。</w:t>
      </w:r>
    </w:p>
    <w:p w:rsidR="00320E49" w:rsidRDefault="00320E49">
      <w:pPr>
        <w:pStyle w:val="SingleTxt"/>
        <w:rPr>
          <w:rFonts w:hint="eastAsia"/>
        </w:rPr>
      </w:pPr>
      <w:r>
        <w:rPr>
          <w:rFonts w:hint="eastAsia"/>
        </w:rPr>
        <w:tab/>
        <w:t>青少年和老年妇女很不重视生殖保健服务。几乎没有男子参与生殖保健计划。</w:t>
      </w:r>
    </w:p>
    <w:p w:rsidR="00320E49" w:rsidRDefault="00320E49">
      <w:pPr>
        <w:pStyle w:val="SingleTxt"/>
        <w:spacing w:after="130"/>
        <w:rPr>
          <w:rFonts w:ascii="SimHei" w:eastAsia="SimHei" w:hint="eastAsia"/>
          <w:color w:val="FF0000"/>
        </w:rPr>
      </w:pPr>
      <w:r>
        <w:rPr>
          <w:rFonts w:ascii="SimHei" w:eastAsia="SimHei" w:hint="eastAsia"/>
          <w:color w:val="FF0000"/>
        </w:rPr>
        <w:t>改善母婴保健和生殖保健的行动</w:t>
      </w:r>
    </w:p>
    <w:p w:rsidR="00320E49" w:rsidRDefault="00320E49">
      <w:pPr>
        <w:pStyle w:val="SingleTxt"/>
        <w:spacing w:after="130"/>
        <w:rPr>
          <w:rFonts w:hint="eastAsia"/>
        </w:rPr>
      </w:pPr>
      <w:r>
        <w:rPr>
          <w:rFonts w:hint="eastAsia"/>
        </w:rPr>
        <w:tab/>
        <w:t>母婴保健和计划生育方案的基本战略是加强所有有关机构的能力。在这方面卫生部与民间社会和大学和国际组织合作在全国各地实施了一系列项目，以改善生殖和初级母婴保健，尤其是欠发达地区和社会贫困人口中的生殖和初级母婴保健。其中有：</w:t>
      </w:r>
    </w:p>
    <w:p w:rsidR="00320E49" w:rsidRDefault="00320E49">
      <w:pPr>
        <w:pStyle w:val="SingleTxt"/>
        <w:spacing w:after="130"/>
        <w:ind w:left="1695" w:hanging="431"/>
        <w:rPr>
          <w:rFonts w:hint="eastAsia"/>
        </w:rPr>
      </w:pPr>
      <w:r>
        <w:rPr>
          <w:rFonts w:hint="eastAsia"/>
        </w:rPr>
        <w:sym w:font="Symbol" w:char="F0B7"/>
      </w:r>
      <w:r>
        <w:tab/>
      </w:r>
      <w:r>
        <w:rPr>
          <w:rFonts w:hint="eastAsia"/>
        </w:rPr>
        <w:t>安全分娩方案——目标是进行在职培训，以降低产妇和婴儿死亡率；</w:t>
      </w:r>
    </w:p>
    <w:p w:rsidR="00320E49" w:rsidRDefault="00320E49">
      <w:pPr>
        <w:pStyle w:val="SingleTxt"/>
        <w:spacing w:after="130"/>
        <w:ind w:left="1695" w:hanging="431"/>
        <w:rPr>
          <w:rFonts w:hint="eastAsia"/>
        </w:rPr>
      </w:pPr>
      <w:r>
        <w:rPr>
          <w:rFonts w:hint="eastAsia"/>
        </w:rPr>
        <w:sym w:font="Symbol" w:char="F0B7"/>
      </w:r>
      <w:r>
        <w:tab/>
      </w:r>
      <w:r>
        <w:rPr>
          <w:rFonts w:hint="eastAsia"/>
        </w:rPr>
        <w:t>国际生殖保健培训中心——一项土耳其政府——联合国人口基金的活动，目的是向来自土耳其和东欧、中亚和非洲国家的参与人员，提供有关生殖保健的培训方案；</w:t>
      </w:r>
    </w:p>
    <w:p w:rsidR="00320E49" w:rsidRDefault="00320E49">
      <w:pPr>
        <w:pStyle w:val="SingleTxt"/>
        <w:spacing w:after="130"/>
        <w:ind w:left="1695" w:hanging="431"/>
        <w:rPr>
          <w:rFonts w:hint="eastAsia"/>
        </w:rPr>
      </w:pPr>
      <w:r>
        <w:rPr>
          <w:rFonts w:hint="eastAsia"/>
        </w:rPr>
        <w:sym w:font="Symbol" w:char="F0B7"/>
      </w:r>
      <w:r>
        <w:tab/>
      </w:r>
      <w:r>
        <w:rPr>
          <w:rFonts w:hint="eastAsia"/>
        </w:rPr>
        <w:t>生殖保健方案——这是一个在1997至2000年间执行的多目的的方案，包括保健专业人员的培训、计划生育和向夫妻提供避孕用品使用咨询以及改进使用现代医疗技术和外科手术设备的妇女保健中心提供初级母婴保健的设施。</w:t>
      </w:r>
    </w:p>
    <w:p w:rsidR="00320E49" w:rsidRDefault="00320E49">
      <w:pPr>
        <w:pStyle w:val="SingleTxt"/>
        <w:spacing w:after="130"/>
        <w:ind w:left="1695" w:hanging="431"/>
        <w:rPr>
          <w:rFonts w:hint="eastAsia"/>
        </w:rPr>
      </w:pPr>
      <w:r>
        <w:rPr>
          <w:rFonts w:hint="eastAsia"/>
        </w:rPr>
        <w:sym w:font="Symbol" w:char="F0B7"/>
      </w:r>
      <w:r>
        <w:tab/>
      </w:r>
      <w:r>
        <w:rPr>
          <w:rFonts w:hint="eastAsia"/>
        </w:rPr>
        <w:t>土耳其政府——联合国人口其金第三个国家方案(2001-2005年)——其目标是专门通过培训和宣传、机构能力建设、产生知识和数据，来加强生殖保健。这是一个合作性项目，它涉及卫生部、教育部、土耳其科学院、国家规划机构、国家统计机构和妇女地位和妇女问题司。</w:t>
      </w:r>
    </w:p>
    <w:p w:rsidR="00320E49" w:rsidRDefault="00320E49">
      <w:pPr>
        <w:pStyle w:val="SingleTxt"/>
        <w:spacing w:after="130"/>
        <w:rPr>
          <w:rFonts w:hint="eastAsia"/>
        </w:rPr>
      </w:pPr>
      <w:r>
        <w:rPr>
          <w:rFonts w:hint="eastAsia"/>
        </w:rPr>
        <w:tab/>
        <w:t>国家统计所目前正在制订性别保健指标并产生按性别分类的数据。还有许多由土耳其政府和非政府组织实施或合作实施的小型试验性项目，以改善初级和生殖保健，提高公众对相关问题的认识，包括性传染疾病，为大学生制订有关生殖保健的课程以及全面提高获得保健服务的可能性。</w:t>
      </w:r>
    </w:p>
    <w:p w:rsidR="00320E49" w:rsidRDefault="00320E49">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30"/>
        <w:ind w:left="1264" w:right="1264" w:hanging="1264"/>
        <w:jc w:val="both"/>
        <w:rPr>
          <w:rFonts w:ascii="KaiTi_GB2312" w:eastAsia="KaiTi_GB2312" w:hint="eastAsia"/>
          <w:color w:val="0000FF"/>
          <w:sz w:val="28"/>
        </w:rPr>
      </w:pPr>
      <w:r>
        <w:rPr>
          <w:rFonts w:hint="eastAsia"/>
        </w:rPr>
        <w:tab/>
      </w:r>
      <w:r>
        <w:rPr>
          <w:rFonts w:hint="eastAsia"/>
        </w:rPr>
        <w:tab/>
      </w:r>
      <w:r>
        <w:rPr>
          <w:rFonts w:ascii="KaiTi_GB2312" w:eastAsia="KaiTi_GB2312" w:hint="eastAsia"/>
          <w:color w:val="0000FF"/>
          <w:sz w:val="28"/>
        </w:rPr>
        <w:t>社会和经济福利</w:t>
      </w:r>
    </w:p>
    <w:p w:rsidR="00320E49" w:rsidRDefault="00320E49">
      <w:pPr>
        <w:pStyle w:val="SingleTxt"/>
        <w:spacing w:after="130"/>
        <w:rPr>
          <w:rFonts w:ascii="KaiTi_GB2312" w:eastAsia="KaiTi_GB2312" w:hint="eastAsia"/>
          <w:color w:val="0000FF"/>
        </w:rPr>
      </w:pPr>
      <w:r>
        <w:rPr>
          <w:rFonts w:ascii="KaiTi_GB2312" w:eastAsia="KaiTi_GB2312"/>
          <w:b/>
          <w:bCs/>
          <w:color w:val="0000FF"/>
        </w:rPr>
        <w:tab/>
      </w:r>
      <w:r>
        <w:rPr>
          <w:rFonts w:ascii="KaiTi_GB2312" w:eastAsia="KaiTi_GB2312" w:hint="eastAsia"/>
          <w:b/>
          <w:bCs/>
          <w:color w:val="0000FF"/>
        </w:rPr>
        <w:t>第十三条.</w:t>
      </w:r>
      <w:r>
        <w:rPr>
          <w:rFonts w:ascii="KaiTi_GB2312" w:eastAsia="KaiTi_GB2312" w:hint="eastAsia"/>
          <w:color w:val="0000FF"/>
        </w:rPr>
        <w:t xml:space="preserve"> 缔约各国应采取一切适当措施以消除在经济和社会生活的其他方面对妇女的歧视，保证她们在男女平等的基础上有相同权利，特别是：</w:t>
      </w:r>
    </w:p>
    <w:p w:rsidR="00320E49" w:rsidRDefault="00320E49">
      <w:pPr>
        <w:pStyle w:val="SingleTxt"/>
        <w:spacing w:after="130"/>
        <w:rPr>
          <w:rFonts w:ascii="KaiTi_GB2312" w:eastAsia="KaiTi_GB2312" w:hint="eastAsia"/>
          <w:color w:val="0000FF"/>
        </w:rPr>
      </w:pPr>
      <w:r>
        <w:rPr>
          <w:rFonts w:ascii="KaiTi_GB2312" w:eastAsia="KaiTi_GB2312" w:hint="eastAsia"/>
          <w:color w:val="0000FF"/>
        </w:rPr>
        <w:tab/>
        <w:t>(a)</w:t>
      </w:r>
      <w:r>
        <w:rPr>
          <w:rFonts w:ascii="KaiTi_GB2312" w:eastAsia="KaiTi_GB2312" w:hint="eastAsia"/>
          <w:color w:val="0000FF"/>
        </w:rPr>
        <w:tab/>
        <w:t>领取家属津贴的权利；</w:t>
      </w:r>
    </w:p>
    <w:p w:rsidR="00320E49" w:rsidRDefault="00320E49">
      <w:pPr>
        <w:pStyle w:val="SingleTxt"/>
        <w:spacing w:after="130"/>
        <w:rPr>
          <w:rFonts w:hint="eastAsia"/>
        </w:rPr>
      </w:pPr>
      <w:r>
        <w:rPr>
          <w:rFonts w:hint="eastAsia"/>
        </w:rPr>
        <w:tab/>
        <w:t>《公务员法》(657)第203条给予丈夫家属津贴，即使夫妻二人都为政府工作。这是和新的《民法典》相矛盾的，因为在新民法典中已经取消了一家之长的概念，并承认夫妻二人同样有代表权(见本报告第二/f条)。正在拟订对现行《公务员法》的修正案，以允许夫妻任何一方领取家属津贴，但也有争议，认为夫妻可各领取一半津贴。</w:t>
      </w:r>
    </w:p>
    <w:p w:rsidR="00320E49" w:rsidRDefault="00320E49">
      <w:pPr>
        <w:pStyle w:val="SingleTxt"/>
        <w:spacing w:after="130"/>
        <w:rPr>
          <w:rFonts w:hint="eastAsia"/>
        </w:rPr>
      </w:pPr>
      <w:r>
        <w:rPr>
          <w:rFonts w:hint="eastAsia"/>
        </w:rPr>
        <w:tab/>
        <w:t>缔约各国应确保：</w:t>
      </w:r>
    </w:p>
    <w:p w:rsidR="00320E49" w:rsidRDefault="00320E49">
      <w:pPr>
        <w:pStyle w:val="SingleTxt"/>
        <w:spacing w:after="130"/>
        <w:rPr>
          <w:rFonts w:ascii="KaiTi_GB2312" w:eastAsia="KaiTi_GB2312" w:hint="eastAsia"/>
          <w:color w:val="0000FF"/>
        </w:rPr>
      </w:pPr>
      <w:r>
        <w:rPr>
          <w:rFonts w:ascii="KaiTi_GB2312" w:eastAsia="KaiTi_GB2312" w:hint="eastAsia"/>
          <w:color w:val="0000FF"/>
        </w:rPr>
        <w:tab/>
        <w:t>(b)</w:t>
      </w:r>
      <w:r>
        <w:rPr>
          <w:rFonts w:ascii="KaiTi_GB2312" w:eastAsia="KaiTi_GB2312" w:hint="eastAsia"/>
          <w:color w:val="0000FF"/>
        </w:rPr>
        <w:tab/>
        <w:t>银行贷款、抵押和其他形式的金融信贷的权利；</w:t>
      </w:r>
    </w:p>
    <w:p w:rsidR="00320E49" w:rsidRDefault="00320E49">
      <w:pPr>
        <w:pStyle w:val="SingleTxt"/>
        <w:rPr>
          <w:rFonts w:hint="eastAsia"/>
        </w:rPr>
      </w:pPr>
      <w:r>
        <w:rPr>
          <w:rFonts w:hint="eastAsia"/>
        </w:rPr>
        <w:tab/>
        <w:t>由于缺少有关贷款和信贷使用的数据，无法确切地提供妇女进入金融市场的详细情况。但是零碎和部分的信息表明在这方面妇女落后于男子。</w:t>
      </w:r>
    </w:p>
    <w:p w:rsidR="00320E49" w:rsidRDefault="00320E49">
      <w:pPr>
        <w:pStyle w:val="SingleTxt"/>
        <w:rPr>
          <w:rFonts w:hint="eastAsia"/>
        </w:rPr>
      </w:pPr>
      <w:r>
        <w:rPr>
          <w:rFonts w:hint="eastAsia"/>
        </w:rPr>
        <w:tab/>
        <w:t>如土耳其的上一份报告所论述的那样，在1993年启动了一个小企业主信贷方案，以支持妇女创收活动。该方案目前仍在实施，而且自开始实施以来已有21 361名妇女从中获益。截至2002年5月，869名在家中工作的妇女和509名在外工作的妇女获得了创办个人企业或扩大企业的信贷。</w:t>
      </w:r>
    </w:p>
    <w:p w:rsidR="00320E49" w:rsidRDefault="00320E49">
      <w:pPr>
        <w:pStyle w:val="SingleTxt"/>
        <w:rPr>
          <w:rFonts w:hint="eastAsia"/>
        </w:rPr>
      </w:pPr>
      <w:r>
        <w:rPr>
          <w:rFonts w:hint="eastAsia"/>
        </w:rPr>
        <w:tab/>
        <w:t>支持妇女工作基金是一个非政府组织，它向有意开办自己企业的妇女提供培训、信贷和咨询服务。在这方面该基金从1995年到1998年在7个设有外地办事处的区域执行了“微型信贷项目”。共有90位女企业家获得了信贷，另外150位接受了培训。偿还计划是以6或12个月分期付款及每笔信贷40%补贴为基础的。该项目在这方面取得了很大成功，不仅实现了100%的收益率，而且参与信贷方案的妇女都设法建立或改进了她们的企业并大大增加了收入。</w:t>
      </w:r>
    </w:p>
    <w:p w:rsidR="00320E49" w:rsidRDefault="00320E49">
      <w:pPr>
        <w:pStyle w:val="SingleTxt"/>
        <w:rPr>
          <w:rFonts w:hint="eastAsia"/>
        </w:rPr>
      </w:pPr>
      <w:r>
        <w:rPr>
          <w:rFonts w:hint="eastAsia"/>
        </w:rPr>
        <w:tab/>
        <w:t>妇女企业家可以利用的另一种形式的支持是定期组织交易会，妇女生产商们可以在这里展示和销售产品并与其他从事小型企业经营的妇女结成联盟。许多这种交易会和展示会都是由妇女非政府组织安排的。</w:t>
      </w:r>
    </w:p>
    <w:p w:rsidR="00320E49" w:rsidRDefault="00320E49">
      <w:pPr>
        <w:pStyle w:val="SingleTxt"/>
        <w:rPr>
          <w:rFonts w:hint="eastAsia"/>
        </w:rPr>
      </w:pPr>
      <w:r>
        <w:rPr>
          <w:rFonts w:hint="eastAsia"/>
        </w:rPr>
        <w:tab/>
        <w:t>KOSGEB，发展中小型企业管理局还为有意创办自己企业的个人提供关于企业经营的培训。这些培训方案包括可行性研究、工作计划和基本会计制度的制订。该局还通过职业发展中心为新成立的企业提供支持服务。另外，为了便于对这一领域的各种活动的协调并起到一个信息数据库的作用，该局在全球网络上设置了一个企业家网站。</w:t>
      </w:r>
    </w:p>
    <w:p w:rsidR="00320E49" w:rsidRDefault="00320E49">
      <w:pPr>
        <w:pStyle w:val="SingleTxt"/>
        <w:rPr>
          <w:rFonts w:hint="eastAsia"/>
        </w:rPr>
      </w:pPr>
      <w:r>
        <w:rPr>
          <w:rFonts w:hint="eastAsia"/>
        </w:rPr>
        <w:tab/>
        <w:t>如上一个土耳其报告中所指出的，妇女地位和妇女问题司在1994年建立了一个数据库，以鼓励和支持女企业家的活动，并通过组织交易会和展示会帮助她们销售她们的手工艺品。从1994年到2000年有2 195名妇女参与了展示会活动。在数据库的框架内，与哈尔克银行合作，在1997年和1999年举办了“企业家研讨会”。共有60名妇女参加了这些研讨会。</w:t>
      </w:r>
    </w:p>
    <w:p w:rsidR="00320E49" w:rsidRDefault="00320E49">
      <w:pPr>
        <w:pStyle w:val="SingleTxt"/>
        <w:rPr>
          <w:rFonts w:hint="eastAsia"/>
        </w:rPr>
      </w:pPr>
      <w:r>
        <w:rPr>
          <w:rFonts w:hint="eastAsia"/>
        </w:rPr>
        <w:tab/>
        <w:t>关于与东南安纳托利亚项目(GAP)和旨在为农村妇女服务的其他项目和方案共同管理的多功能社区中心的有关活动，请参见本报告第十四条。</w:t>
      </w:r>
    </w:p>
    <w:p w:rsidR="00320E49" w:rsidRDefault="00320E49">
      <w:pPr>
        <w:pStyle w:val="SingleTxt"/>
        <w:rPr>
          <w:rFonts w:hint="eastAsia"/>
        </w:rPr>
      </w:pPr>
      <w:r>
        <w:rPr>
          <w:rFonts w:hint="eastAsia"/>
        </w:rPr>
        <w:tab/>
        <w:t>缔约各国应确保：</w:t>
      </w:r>
    </w:p>
    <w:p w:rsidR="00320E49" w:rsidRDefault="00320E49">
      <w:pPr>
        <w:pStyle w:val="SingleTxt"/>
        <w:rPr>
          <w:rFonts w:ascii="KaiTi_GB2312" w:eastAsia="KaiTi_GB2312" w:hint="eastAsia"/>
          <w:color w:val="0000FF"/>
        </w:rPr>
      </w:pPr>
      <w:r>
        <w:tab/>
      </w:r>
      <w:r>
        <w:rPr>
          <w:rFonts w:ascii="KaiTi_GB2312" w:eastAsia="KaiTi_GB2312"/>
          <w:color w:val="0000FF"/>
        </w:rPr>
        <w:t>(</w:t>
      </w:r>
      <w:r>
        <w:rPr>
          <w:rFonts w:ascii="KaiTi_GB2312" w:eastAsia="KaiTi_GB2312" w:hint="eastAsia"/>
          <w:color w:val="0000FF"/>
        </w:rPr>
        <w:t>c)</w:t>
      </w:r>
      <w:r>
        <w:rPr>
          <w:rFonts w:ascii="KaiTi_GB2312" w:eastAsia="KaiTi_GB2312"/>
          <w:color w:val="0000FF"/>
        </w:rPr>
        <w:tab/>
      </w:r>
      <w:r>
        <w:rPr>
          <w:rFonts w:ascii="KaiTi_GB2312" w:eastAsia="KaiTi_GB2312" w:hint="eastAsia"/>
          <w:color w:val="0000FF"/>
        </w:rPr>
        <w:t>参与娱乐活动、运动和文化生活所有各方面的权利。</w:t>
      </w:r>
    </w:p>
    <w:p w:rsidR="00320E49" w:rsidRDefault="00320E49">
      <w:pPr>
        <w:pStyle w:val="SingleTxt"/>
        <w:rPr>
          <w:rFonts w:hint="eastAsia"/>
        </w:rPr>
      </w:pPr>
      <w:r>
        <w:tab/>
      </w:r>
      <w:r>
        <w:rPr>
          <w:rFonts w:hint="eastAsia"/>
        </w:rPr>
        <w:t>在土耳其已成制度化的妇女最欢乐的文化活动之一是从1998年以来由U</w:t>
      </w:r>
      <w:r>
        <w:rPr>
          <w:rFonts w:hint="eastAsia"/>
        </w:rPr>
        <w:t>ç</w:t>
      </w:r>
      <w:r>
        <w:rPr>
          <w:rFonts w:hint="eastAsia"/>
        </w:rPr>
        <w:t>an Süpürge（飞行扫帚）组织的每年一次的妇女电影节，它甚至吸引了国际支持者。这个电影节让观众可以看到土耳其和外国导演的作品，并从性别的角度对影片展开讨论。文化部为电影节的组织工作提供财政援助。</w:t>
      </w:r>
    </w:p>
    <w:p w:rsidR="00320E49" w:rsidRDefault="00320E49">
      <w:pPr>
        <w:pStyle w:val="SingleTxt"/>
        <w:rPr>
          <w:rFonts w:hint="eastAsia"/>
        </w:rPr>
      </w:pPr>
      <w:r>
        <w:tab/>
      </w:r>
      <w:r>
        <w:rPr>
          <w:rFonts w:hint="eastAsia"/>
        </w:rPr>
        <w:t>作为土耳其第一个妇女信息中心的“妇女图书馆和信息中心基金会”与地方政府合作收集不同领域妇女的作品并在图书馆中提供这些作品。目前，该图书馆大约有1万册关于妇女的或由妇女撰写的书籍，大约5 000种土耳其文或外文期刊、论文以及大量盒式录象带和宣传画、有关妇女作家或艺术家的传记资料以及关于妇女非政府组织的信息。在2002年与文化部合作编写了一本土耳其妇女组织目录。</w:t>
      </w:r>
    </w:p>
    <w:p w:rsidR="00320E49" w:rsidRDefault="00320E49">
      <w:pPr>
        <w:pStyle w:val="SingleTxt"/>
        <w:rPr>
          <w:rFonts w:hint="eastAsia"/>
        </w:rPr>
      </w:pPr>
      <w:r>
        <w:tab/>
      </w:r>
      <w:r>
        <w:rPr>
          <w:rFonts w:hint="eastAsia"/>
        </w:rPr>
        <w:t>妇女地位和妇女问题司的文献中心是1996年成立的，它所收集的各种书籍、文章、论文、研讨会和大会纪录以及报刊文章是研究妇女问题人员的另一个宝贵的资料中心。</w:t>
      </w:r>
    </w:p>
    <w:p w:rsidR="00320E49" w:rsidRDefault="00320E49">
      <w:pPr>
        <w:pStyle w:val="SingleTxt"/>
        <w:rPr>
          <w:rFonts w:hint="eastAsia"/>
        </w:rPr>
      </w:pPr>
      <w:r>
        <w:tab/>
      </w:r>
      <w:r>
        <w:rPr>
          <w:rFonts w:hint="eastAsia"/>
        </w:rPr>
        <w:t>青年和体育总局的各运动协会(共46个)都成立了妇女国家队，并通过社区体育教育机构鼓励女孩和妇女参与不同领域的体育活动。目前在各体育协会注册的有77 746名妇女，41 824名妇女正在积极准备参加竞赛。虽然妇女参与了体育所有领域的活动，但还是集中在排球、篮球、跆拳道、手球和田径运动方面。</w:t>
      </w:r>
    </w:p>
    <w:p w:rsidR="00320E49" w:rsidRDefault="00320E49">
      <w:pPr>
        <w:pStyle w:val="SingleTxt"/>
        <w:rPr>
          <w:rFonts w:hint="eastAsia"/>
        </w:rPr>
      </w:pPr>
      <w:r>
        <w:tab/>
      </w:r>
      <w:r>
        <w:rPr>
          <w:rFonts w:hint="eastAsia"/>
        </w:rPr>
        <w:t>近年来，一些土耳其妇女在国际比赛中取得了巨大的成就。这不仅引起国家和私人机构对鼓励和支持妇女参加体育活动的更大注意，而且可能更重要的是为各行各业树立了女孩的新的榜样。她们中更为突出的有：</w:t>
      </w:r>
    </w:p>
    <w:p w:rsidR="00320E49" w:rsidRDefault="00320E49">
      <w:pPr>
        <w:pStyle w:val="SingleTxt"/>
        <w:spacing w:line="334" w:lineRule="exact"/>
        <w:rPr>
          <w:rFonts w:hint="eastAsia"/>
        </w:rPr>
      </w:pPr>
      <w:r>
        <w:tab/>
      </w:r>
      <w:r>
        <w:rPr>
          <w:rFonts w:hint="eastAsia"/>
        </w:rPr>
        <w:t>1999年世界空手道冠军；2000年欧洲空手道冠军，世界空手道冠军，奥林匹克运动会跆拳道第三名；2002年欧洲田径赛1 500米冠军；布鲁塞尔和柏林田径金联盟；世界田径冠军；世界跆拳道冠军；欧洲跆拳道冠军；三个不同级别的世界举重冠军。</w:t>
      </w:r>
    </w:p>
    <w:p w:rsidR="00320E49" w:rsidRDefault="00320E49">
      <w:pPr>
        <w:pStyle w:val="SingleTxt"/>
        <w:spacing w:line="334" w:lineRule="exact"/>
        <w:rPr>
          <w:rFonts w:hint="eastAsia"/>
        </w:rPr>
      </w:pPr>
      <w:r>
        <w:tab/>
      </w:r>
      <w:r>
        <w:rPr>
          <w:rFonts w:hint="eastAsia"/>
        </w:rPr>
        <w:t>1995年以来有一名妇女在联盟杯赛场上担任裁判。</w:t>
      </w:r>
    </w:p>
    <w:p w:rsidR="00320E49" w:rsidRDefault="00320E49">
      <w:pPr>
        <w:pStyle w:val="SingleTxt"/>
        <w:spacing w:line="334" w:lineRule="exact"/>
        <w:rPr>
          <w:rFonts w:hint="eastAsia"/>
        </w:rPr>
      </w:pPr>
      <w:r>
        <w:tab/>
      </w:r>
      <w:r>
        <w:rPr>
          <w:rFonts w:hint="eastAsia"/>
        </w:rPr>
        <w:t>还需要做大量工作来推广文化体育活动并吸引各种年龄段的妇女来参与这些活动。休闲时间是一个需要与日常生活结合起来的概念。</w:t>
      </w:r>
    </w:p>
    <w:p w:rsidR="00320E49" w:rsidRDefault="00320E49">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40" w:line="380" w:lineRule="exact"/>
        <w:ind w:left="1264" w:right="1264" w:hanging="1264"/>
        <w:jc w:val="both"/>
        <w:rPr>
          <w:rFonts w:ascii="KaiTi_GB2312" w:eastAsia="KaiTi_GB2312" w:hint="eastAsia"/>
          <w:color w:val="0000FF"/>
          <w:sz w:val="28"/>
        </w:rPr>
      </w:pPr>
      <w:r>
        <w:tab/>
      </w:r>
      <w:r>
        <w:tab/>
      </w:r>
      <w:r>
        <w:rPr>
          <w:rFonts w:ascii="KaiTi_GB2312" w:eastAsia="KaiTi_GB2312" w:hint="eastAsia"/>
          <w:color w:val="0000FF"/>
          <w:sz w:val="28"/>
        </w:rPr>
        <w:t>农村妇女</w:t>
      </w:r>
    </w:p>
    <w:p w:rsidR="00320E49" w:rsidRDefault="00320E49">
      <w:pPr>
        <w:pStyle w:val="SingleTxt"/>
        <w:spacing w:line="334" w:lineRule="exact"/>
        <w:rPr>
          <w:rFonts w:ascii="KaiTi_GB2312" w:eastAsia="KaiTi_GB2312" w:hint="eastAsia"/>
          <w:color w:val="0000FF"/>
        </w:rPr>
      </w:pPr>
      <w:r>
        <w:rPr>
          <w:rFonts w:ascii="KaiTi_GB2312" w:eastAsia="KaiTi_GB2312"/>
          <w:b/>
          <w:bCs/>
          <w:color w:val="0000FF"/>
        </w:rPr>
        <w:tab/>
      </w:r>
      <w:r>
        <w:rPr>
          <w:rFonts w:ascii="KaiTi_GB2312" w:eastAsia="KaiTi_GB2312" w:hint="eastAsia"/>
          <w:b/>
          <w:bCs/>
          <w:color w:val="0000FF"/>
        </w:rPr>
        <w:t>第十四条.1.</w:t>
      </w:r>
      <w:r>
        <w:rPr>
          <w:rFonts w:ascii="KaiTi_GB2312" w:eastAsia="KaiTi_GB2312" w:hint="eastAsia"/>
          <w:color w:val="0000FF"/>
        </w:rPr>
        <w:t xml:space="preserve"> 缔约各国应考虑到农村妇女面临的特殊问题和她们对家庭生计包括她们在经济体系中无金钱交易的部门的工作方面所发挥的重要作用，并应采取一切适当措施，保证对农村地区妇女适用本公约的各项规定。</w:t>
      </w:r>
    </w:p>
    <w:p w:rsidR="00320E49" w:rsidRDefault="00320E49">
      <w:pPr>
        <w:pStyle w:val="SingleTxt"/>
        <w:spacing w:line="334" w:lineRule="exact"/>
        <w:rPr>
          <w:rFonts w:hint="eastAsia"/>
        </w:rPr>
      </w:pPr>
      <w:r>
        <w:tab/>
      </w:r>
      <w:r>
        <w:rPr>
          <w:rFonts w:hint="eastAsia"/>
        </w:rPr>
        <w:t>在土耳其农村妇女的问题是与土地和农村的结构密切相关的。由于分散的小规模土地所有制和农业生产收益的不断下降，男子向城市迁移，以寻求工作，妇女承担起了土地上的责任，但是她们得不到必要的资源、信息，无法与决策部门联系。农村地区小型分散的居住格局也使得农村妇女不能像男子那样利用城市生活的有利条件。农村妇女的状况在各个地区之间和资源丰富的平原村庄与严重受限制的山区和林区村庄之间各不相同。如本报告以上段落所说，在2001年全国的妇女占无报酬家庭工作的51.3%，占农业劳动力的61.1%，在农村地区妇女专门从事农业(90.5%)，其中80%以上是无报酬家庭工人。农村地区仅有小部分妇女从事服务业(4.8%)和工业(4.7%)。</w:t>
      </w:r>
    </w:p>
    <w:p w:rsidR="00320E49" w:rsidRDefault="00320E49">
      <w:pPr>
        <w:pStyle w:val="SingleTxt"/>
        <w:rPr>
          <w:rFonts w:ascii="KaiTi_GB2312" w:eastAsia="KaiTi_GB2312" w:hint="eastAsia"/>
          <w:color w:val="0000FF"/>
        </w:rPr>
      </w:pPr>
      <w:r>
        <w:rPr>
          <w:rFonts w:ascii="KaiTi_GB2312" w:eastAsia="KaiTi_GB2312"/>
          <w:b/>
          <w:bCs/>
          <w:color w:val="0000FF"/>
        </w:rPr>
        <w:tab/>
      </w:r>
      <w:r>
        <w:rPr>
          <w:rFonts w:ascii="KaiTi_GB2312" w:eastAsia="KaiTi_GB2312" w:hint="eastAsia"/>
          <w:b/>
          <w:bCs/>
          <w:color w:val="0000FF"/>
        </w:rPr>
        <w:t>第十四条.2</w:t>
      </w:r>
      <w:r>
        <w:rPr>
          <w:rFonts w:ascii="KaiTi_GB2312" w:eastAsia="KaiTi_GB2312" w:hint="eastAsia"/>
          <w:color w:val="0000FF"/>
        </w:rPr>
        <w:t>. 缔约各国应采取一切适当措施以消除对农村妇女的歧视，保证她们在男女平等的基础上参与农村发展并受其益惠，尤其是保证她们有权：</w:t>
      </w:r>
    </w:p>
    <w:p w:rsidR="00320E49" w:rsidRDefault="00320E49">
      <w:pPr>
        <w:pStyle w:val="SingleTxt"/>
        <w:rPr>
          <w:rFonts w:hint="eastAsia"/>
        </w:rPr>
      </w:pPr>
      <w:r>
        <w:rPr>
          <w:rFonts w:ascii="KaiTi_GB2312" w:eastAsia="KaiTi_GB2312"/>
          <w:color w:val="0000FF"/>
        </w:rPr>
        <w:tab/>
      </w:r>
      <w:r>
        <w:rPr>
          <w:rFonts w:ascii="KaiTi_GB2312" w:eastAsia="KaiTi_GB2312" w:hint="eastAsia"/>
          <w:color w:val="0000FF"/>
        </w:rPr>
        <w:t>(a)</w:t>
      </w:r>
      <w:r>
        <w:rPr>
          <w:rFonts w:ascii="KaiTi_GB2312" w:eastAsia="KaiTi_GB2312"/>
          <w:color w:val="0000FF"/>
        </w:rPr>
        <w:tab/>
      </w:r>
      <w:r>
        <w:rPr>
          <w:rFonts w:ascii="KaiTi_GB2312" w:eastAsia="KaiTi_GB2312" w:hint="eastAsia"/>
          <w:color w:val="0000FF"/>
        </w:rPr>
        <w:t>充分参与各级发展规划的拟订和执行工作</w:t>
      </w:r>
      <w:r>
        <w:rPr>
          <w:rFonts w:hint="eastAsia"/>
        </w:rPr>
        <w:t>；</w:t>
      </w:r>
    </w:p>
    <w:p w:rsidR="00320E49" w:rsidRDefault="00320E49">
      <w:pPr>
        <w:pStyle w:val="SingleTxt"/>
        <w:rPr>
          <w:rFonts w:hint="eastAsia"/>
        </w:rPr>
      </w:pPr>
      <w:r>
        <w:tab/>
      </w:r>
      <w:r>
        <w:rPr>
          <w:rFonts w:hint="eastAsia"/>
        </w:rPr>
        <w:t>土耳其在世界最工业化的国家中排名第17位，但是按照开发计划署1999年人类发展指标衡量在180个国家中列86位。农业虽然在经济中不如过去那么重要，但是这个部门仍雇佣了45%的劳动力，其中大部分是妇女。农村居民的生活水平要比城市居民低得多。此外，在80个省中人均国内生产总值差别也很大。在东部人均国内生产总值约为800美元，仅相当于全国国内生产总值2 800美元的29%。</w:t>
      </w:r>
    </w:p>
    <w:p w:rsidR="00320E49" w:rsidRDefault="00320E49">
      <w:pPr>
        <w:pStyle w:val="SingleTxt"/>
        <w:rPr>
          <w:rFonts w:hint="eastAsia"/>
        </w:rPr>
      </w:pPr>
      <w:r>
        <w:tab/>
      </w:r>
      <w:r>
        <w:rPr>
          <w:rFonts w:hint="eastAsia"/>
        </w:rPr>
        <w:t>土耳其的发展战略是以对经济落后地区的有计划的干预以缩小地区差别为目的。第8个五年发展计划所强调的各项目标之一是“创建一个更加公平的收入布局，以消除贫因，并使社会不同阶层都能在改善的福利中得到公平的份额”。公营部门的农村发展项目一直是实现这一目标的重要工具。另外，政府的目标是通过财政和其他直接和间接奖励办法，吸引私人投资欠发达地区。</w:t>
      </w:r>
    </w:p>
    <w:p w:rsidR="00320E49" w:rsidRDefault="00320E49">
      <w:pPr>
        <w:pStyle w:val="SingleTxt"/>
        <w:rPr>
          <w:rFonts w:hint="eastAsia"/>
        </w:rPr>
      </w:pPr>
      <w:r>
        <w:tab/>
      </w:r>
      <w:r>
        <w:rPr>
          <w:rFonts w:hint="eastAsia"/>
        </w:rPr>
        <w:t>以下第十四/d段所阐述的农村发展项目都是以参与性办法为基础的。在这个范围内这些项目的目标是让妇女参与设计和执行的过程。尽管在这方面仍然存在一些不足之处，但是已取得很大进展，而且获得了改进今后办法的经验。迄今为止在农村发展项目中仍未充分利用作为积极鼓励妇女参与发展的有力工具的按性别编制预算办法。</w:t>
      </w:r>
    </w:p>
    <w:p w:rsidR="00320E49" w:rsidRDefault="00320E49">
      <w:pPr>
        <w:pStyle w:val="SingleTxt"/>
        <w:rPr>
          <w:rFonts w:hint="eastAsia"/>
        </w:rPr>
      </w:pPr>
      <w:r>
        <w:tab/>
      </w:r>
      <w:r>
        <w:rPr>
          <w:rFonts w:hint="eastAsia"/>
        </w:rPr>
        <w:t>缔约各国应确保：</w:t>
      </w:r>
    </w:p>
    <w:p w:rsidR="00320E49" w:rsidRDefault="00320E49">
      <w:pPr>
        <w:pStyle w:val="SingleTxt"/>
        <w:rPr>
          <w:rFonts w:ascii="KaiTi_GB2312" w:eastAsia="KaiTi_GB2312" w:hint="eastAsia"/>
          <w:color w:val="0000FF"/>
        </w:rPr>
      </w:pPr>
      <w:r>
        <w:rPr>
          <w:rFonts w:ascii="KaiTi_GB2312" w:eastAsia="KaiTi_GB2312"/>
          <w:color w:val="0000FF"/>
        </w:rPr>
        <w:tab/>
      </w:r>
      <w:r>
        <w:rPr>
          <w:rFonts w:ascii="KaiTi_GB2312" w:eastAsia="KaiTi_GB2312" w:hint="eastAsia"/>
          <w:color w:val="0000FF"/>
        </w:rPr>
        <w:t>(b)</w:t>
      </w:r>
      <w:r>
        <w:rPr>
          <w:rFonts w:ascii="KaiTi_GB2312" w:eastAsia="KaiTi_GB2312"/>
          <w:color w:val="0000FF"/>
        </w:rPr>
        <w:tab/>
      </w:r>
      <w:r>
        <w:rPr>
          <w:rFonts w:ascii="KaiTi_GB2312" w:eastAsia="KaiTi_GB2312" w:hint="eastAsia"/>
          <w:color w:val="0000FF"/>
        </w:rPr>
        <w:t>有权利用充分的保健设施，包括计划生育方面的知识、辅导和服务。</w:t>
      </w:r>
    </w:p>
    <w:p w:rsidR="00320E49" w:rsidRDefault="00320E49">
      <w:pPr>
        <w:pStyle w:val="SingleTxt"/>
        <w:rPr>
          <w:rFonts w:hint="eastAsia"/>
        </w:rPr>
      </w:pPr>
      <w:r>
        <w:tab/>
      </w:r>
      <w:r>
        <w:rPr>
          <w:rFonts w:hint="eastAsia"/>
        </w:rPr>
        <w:t>如本报告第十二条所指出的那样，大多数村庄都有一个保健中心或保健所，提供基本的和母婴保健服务。但是这个系统还不足以满足农村人口日益增加的保健需求，特别是因生殖健康并发症而处在更大风险中的妇女的需求。</w:t>
      </w:r>
    </w:p>
    <w:p w:rsidR="00320E49" w:rsidRDefault="00320E49">
      <w:pPr>
        <w:pStyle w:val="SingleTxt"/>
        <w:rPr>
          <w:rFonts w:hint="eastAsia"/>
        </w:rPr>
      </w:pPr>
      <w:r>
        <w:tab/>
      </w:r>
      <w:r>
        <w:rPr>
          <w:rFonts w:hint="eastAsia"/>
        </w:rPr>
        <w:t>在土耳其政府——儿童基金会协调方案领导下实施的需要特殊保护儿童项目是一项全国范围的综合活动，预期它将通过城市和农村地区的人的能力培养来促进健康。但是鉴于该项目的优先顺序，农村妇女和儿童应是它的主要目标群体。该项目包括三个部分：(a)</w:t>
      </w:r>
      <w:r>
        <w:t xml:space="preserve"> </w:t>
      </w:r>
      <w:r>
        <w:rPr>
          <w:rFonts w:hint="eastAsia"/>
        </w:rPr>
        <w:t>幼儿护理，其目的是减少婴儿死亡率和通过各种措施，包括更好的营养、疾病控制、接种、对孕期和孕后妇女的护理和教育以及加强对父母的宣传，来增强儿童心理和认识能力的发展。该项目的这一部分预期将涉及各省的300多万个家庭；(b)</w:t>
      </w:r>
      <w:r>
        <w:t xml:space="preserve"> </w:t>
      </w:r>
      <w:r>
        <w:rPr>
          <w:rFonts w:hint="eastAsia"/>
        </w:rPr>
        <w:t>儿童和青少年的发展与保护，其目的是增强6-14年龄的儿童的动力和学习能力，提高入学率，尤其是女童的入学率，以及改善儿童和青少年的健康和身体增长状况；(c)</w:t>
      </w:r>
      <w:r>
        <w:t xml:space="preserve"> </w:t>
      </w:r>
      <w:r>
        <w:rPr>
          <w:rFonts w:hint="eastAsia"/>
        </w:rPr>
        <w:t>政策制订和社会动员，其目标是通过促进分散管理及向家庭，特别是妇女和儿童提供基本服务，减少发展差距并提高生活水平；通过培训方案、研讨会和会议，按照《消除对妇女歧视公约》和《儿童权利公约》，促进妇女和儿童的人权；建立一个有关妇女和儿童的数据网络，以监测《消除对妇女歧视公约》和《儿童权利公约》的执行情况；制订措施以减少灾害对风险群体如婴儿、儿童和妇女的影响。</w:t>
      </w:r>
    </w:p>
    <w:p w:rsidR="00320E49" w:rsidRDefault="00320E49">
      <w:pPr>
        <w:pStyle w:val="SingleTxt"/>
        <w:rPr>
          <w:rFonts w:hint="eastAsia"/>
        </w:rPr>
      </w:pPr>
      <w:r>
        <w:tab/>
      </w:r>
      <w:r>
        <w:rPr>
          <w:rFonts w:hint="eastAsia"/>
        </w:rPr>
        <w:t>包括农业和农村事务部、卫生部、教育部、内务部、司法部在内的各个部以及国家统计所都是该项目的主要国家对口部门。</w:t>
      </w:r>
    </w:p>
    <w:p w:rsidR="00320E49" w:rsidRDefault="00320E49">
      <w:pPr>
        <w:pStyle w:val="SingleTxt"/>
        <w:rPr>
          <w:rFonts w:hint="eastAsia"/>
        </w:rPr>
      </w:pPr>
      <w:r>
        <w:tab/>
      </w:r>
      <w:r>
        <w:rPr>
          <w:rFonts w:hint="eastAsia"/>
        </w:rPr>
        <w:t>缔约各国应确保：</w:t>
      </w:r>
    </w:p>
    <w:p w:rsidR="00320E49" w:rsidRDefault="00320E49">
      <w:pPr>
        <w:pStyle w:val="SingleTxt"/>
        <w:rPr>
          <w:rFonts w:hint="eastAsia"/>
        </w:rPr>
      </w:pPr>
      <w:r>
        <w:tab/>
      </w:r>
      <w:r>
        <w:rPr>
          <w:rFonts w:ascii="KaiTi_GB2312" w:eastAsia="KaiTi_GB2312" w:hint="eastAsia"/>
          <w:color w:val="0000FF"/>
        </w:rPr>
        <w:t>(c)</w:t>
      </w:r>
      <w:r>
        <w:rPr>
          <w:rFonts w:ascii="KaiTi_GB2312" w:eastAsia="KaiTi_GB2312"/>
          <w:color w:val="0000FF"/>
        </w:rPr>
        <w:tab/>
      </w:r>
      <w:r>
        <w:rPr>
          <w:rFonts w:ascii="KaiTi_GB2312" w:eastAsia="KaiTi_GB2312" w:hint="eastAsia"/>
          <w:color w:val="0000FF"/>
        </w:rPr>
        <w:t>从社会保障方案直接受益</w:t>
      </w:r>
      <w:r>
        <w:rPr>
          <w:rFonts w:hint="eastAsia"/>
        </w:rPr>
        <w:t>；</w:t>
      </w:r>
    </w:p>
    <w:p w:rsidR="00320E49" w:rsidRDefault="00320E49">
      <w:pPr>
        <w:pStyle w:val="SingleTxt"/>
        <w:rPr>
          <w:rFonts w:hint="eastAsia"/>
        </w:rPr>
      </w:pPr>
      <w:r>
        <w:tab/>
      </w:r>
      <w:r>
        <w:rPr>
          <w:rFonts w:hint="eastAsia"/>
        </w:rPr>
        <w:t>对于农业部门这些人的社会保障制度还远不尽人意。劳动和社会保障部目前正在研究这个问题，以便采用一种广泛的制度和更加标准化的福利(见本报告第十一条)。</w:t>
      </w:r>
    </w:p>
    <w:p w:rsidR="00320E49" w:rsidRDefault="00320E49">
      <w:pPr>
        <w:pStyle w:val="SingleTxt"/>
        <w:rPr>
          <w:rFonts w:hint="eastAsia"/>
        </w:rPr>
      </w:pPr>
      <w:r>
        <w:tab/>
      </w:r>
      <w:r>
        <w:rPr>
          <w:rFonts w:hint="eastAsia"/>
        </w:rPr>
        <w:t>缔约各国应确保：</w:t>
      </w:r>
    </w:p>
    <w:p w:rsidR="00320E49" w:rsidRDefault="00320E49">
      <w:pPr>
        <w:pStyle w:val="SingleTxt"/>
        <w:rPr>
          <w:rFonts w:ascii="KaiTi_GB2312" w:eastAsia="KaiTi_GB2312" w:hint="eastAsia"/>
          <w:color w:val="0000FF"/>
        </w:rPr>
      </w:pPr>
      <w:r>
        <w:tab/>
      </w:r>
      <w:r>
        <w:rPr>
          <w:rFonts w:ascii="KaiTi_GB2312" w:eastAsia="KaiTi_GB2312" w:hint="eastAsia"/>
          <w:color w:val="0000FF"/>
        </w:rPr>
        <w:t>(d)</w:t>
      </w:r>
      <w:r>
        <w:rPr>
          <w:rFonts w:ascii="KaiTi_GB2312" w:eastAsia="KaiTi_GB2312"/>
          <w:color w:val="0000FF"/>
        </w:rPr>
        <w:tab/>
      </w:r>
      <w:r>
        <w:rPr>
          <w:rFonts w:ascii="KaiTi_GB2312" w:eastAsia="KaiTi_GB2312" w:hint="eastAsia"/>
          <w:color w:val="0000FF"/>
        </w:rPr>
        <w:t>接受各种正式和非正式的训练和教育，包括实用识字的训练和教育在内，以及除了别的以外，享受一切社区服务和推广服务的益惠，以提高她们的技术熟练程度；</w:t>
      </w:r>
    </w:p>
    <w:p w:rsidR="00320E49" w:rsidRDefault="00320E49">
      <w:pPr>
        <w:pStyle w:val="SingleTxt"/>
        <w:spacing w:line="334" w:lineRule="exact"/>
        <w:rPr>
          <w:rFonts w:hint="eastAsia"/>
        </w:rPr>
      </w:pPr>
      <w:r>
        <w:tab/>
      </w:r>
      <w:r>
        <w:rPr>
          <w:rFonts w:hint="eastAsia"/>
        </w:rPr>
        <w:t>农业和农村事务部受权通过其农民教育和推广方案向乡村地区提供优良耕作方法并引进适当技术，以提高农业收入和作物及畜牧业生产的生产率。虽然妇女也能从这些服务中受益，但是面向生产的推广工作往往总是由男性农民提供的男性的活动。针对农村妇女的推广方案往往集中在家政学课程、家庭营养学、手工艺等方面。</w:t>
      </w:r>
    </w:p>
    <w:p w:rsidR="00320E49" w:rsidRDefault="00320E49">
      <w:pPr>
        <w:pStyle w:val="SingleTxt"/>
        <w:spacing w:line="334" w:lineRule="exact"/>
        <w:rPr>
          <w:rFonts w:hint="eastAsia"/>
        </w:rPr>
      </w:pPr>
      <w:r>
        <w:tab/>
      </w:r>
      <w:r>
        <w:rPr>
          <w:rFonts w:hint="eastAsia"/>
        </w:rPr>
        <w:t>为了把性别更有效地纳入推广工作，农业和农村事务部于1997年在组织和支持总局内成立了一个乡村发展中的妇女科。该科将作为农业和农村事务部内的一个中心部门，来规划针对农村妇女的农业推广和家政方案，并通过省和县级推广单位监督方案的执行工作。农业和农村事务部雇佣了总共1227名女性农业技术人员，考虑到妇女在农业生产中所起的中心作用，这个数字显然是不够的。</w:t>
      </w:r>
    </w:p>
    <w:p w:rsidR="00320E49" w:rsidRDefault="00320E49">
      <w:pPr>
        <w:pStyle w:val="SingleTxt"/>
        <w:spacing w:line="334" w:lineRule="exact"/>
        <w:rPr>
          <w:rFonts w:hint="eastAsia"/>
        </w:rPr>
      </w:pPr>
      <w:r>
        <w:tab/>
      </w:r>
      <w:r>
        <w:rPr>
          <w:rFonts w:hint="eastAsia"/>
        </w:rPr>
        <w:t>在过去三十年中除了作为农业和农村事务部正常工作方案一部分而提供的农民教育和推广服务之外，还执行了有计划的乡村发展项目，以集中注意优先问题和地区。公营部门的项目由相关公营部门实体(如农业和农村事务部、林业部、东南安纳托利项目管理局等)与诸如国际农业发展基金会、粮食和农业组织和世界银行这些国际组织，以及双边援助国或筹资机构合作执行的。大部分项目都有非政府组织的参与。</w:t>
      </w:r>
    </w:p>
    <w:p w:rsidR="00320E49" w:rsidRDefault="00320E49">
      <w:pPr>
        <w:pStyle w:val="SingleTxt"/>
        <w:rPr>
          <w:rFonts w:hint="eastAsia"/>
        </w:rPr>
      </w:pPr>
      <w:r>
        <w:tab/>
      </w:r>
      <w:r>
        <w:rPr>
          <w:rFonts w:hint="eastAsia"/>
        </w:rPr>
        <w:t>从上次报告以来，最主要的综合性项目之一是土耳其政府——农发基金奥尔杜-吉雷松省农乡发展项目。该项目是从1999年开始的，预计将在2004年结束。该项目与早期的项目不同的一个方面是项目的执行是根据项目目标人口包括妇女参与制订的项目计划进行的。按照该项目的设计，成立了至少包括一名妇女成员的村庄发展委员会，作为村一级的执行机构。此外，在省一级还聘用了女性乡村协调员，以确保经协调把妇女关心的问题纳入所有各级的项目执行中。</w:t>
      </w:r>
    </w:p>
    <w:p w:rsidR="00320E49" w:rsidRDefault="00320E49">
      <w:pPr>
        <w:pStyle w:val="SingleTxt"/>
        <w:rPr>
          <w:rFonts w:hint="eastAsia"/>
        </w:rPr>
      </w:pPr>
      <w:r>
        <w:tab/>
      </w:r>
      <w:r>
        <w:rPr>
          <w:rFonts w:hint="eastAsia"/>
        </w:rPr>
        <w:t>在土耳其执行的最全面的农村发展项目是东南安纳托利亚项目，即广为人知的GAP。这是一个旨在通过在9个省利用综合干预战略减少地区差别的正在进行的项目。由于GAP项目的核心是基于大规模的灌溉，所以涉及到大量的农业推广活动。然而GAP项目最具创新的副产品是被称为CATOMs的多功能社区中心，其目的是促进妇女参与发展进程。</w:t>
      </w:r>
    </w:p>
    <w:p w:rsidR="00320E49" w:rsidRDefault="00320E49">
      <w:pPr>
        <w:pStyle w:val="SingleTxt"/>
        <w:rPr>
          <w:rFonts w:hint="eastAsia"/>
        </w:rPr>
      </w:pPr>
      <w:r>
        <w:tab/>
      </w:r>
      <w:r>
        <w:rPr>
          <w:rFonts w:hint="eastAsia"/>
        </w:rPr>
        <w:t>多功能社区中心是由东南安纳托利亚项目管理局在儿童基金会的支持下于1995年，作为在农村的一个试验性项目和Sanlurfa的一个棚户区，开始建立的。在很短的时间内这种中心就遍及了该地区并得到了更大的自主权。从1997年以来这些多功能社区中心都由参加者推选的一个5-7人的妇女小组管理。到2002年5月止，在8个省共有23个设在农村和城市中心附近的多功能社区中心。它们已成为吸引所有年龄段妇女的主要中心，让6万多名妇女在不同的能力建设方案中受益。目前东南安纳托利亚项目管理局正在对这些中心进行再评估，以便加强对它们的授权并改进它们的工作方法。多功能社区中心的主要活动包括：</w:t>
      </w:r>
    </w:p>
    <w:p w:rsidR="00320E49" w:rsidRDefault="00320E49">
      <w:pPr>
        <w:pStyle w:val="SingleTxt"/>
        <w:ind w:left="1695" w:hanging="431"/>
        <w:rPr>
          <w:rFonts w:hint="eastAsia"/>
        </w:rPr>
      </w:pPr>
      <w:r>
        <w:rPr>
          <w:rFonts w:hint="eastAsia"/>
        </w:rPr>
        <w:sym w:font="Symbol" w:char="F0B7"/>
      </w:r>
      <w:r>
        <w:tab/>
      </w:r>
      <w:r>
        <w:rPr>
          <w:rFonts w:hint="eastAsia"/>
        </w:rPr>
        <w:t>有关扫盲、电脑应用、英语、家政的短期课程；</w:t>
      </w:r>
    </w:p>
    <w:p w:rsidR="00320E49" w:rsidRDefault="00320E49">
      <w:pPr>
        <w:pStyle w:val="SingleTxt"/>
        <w:ind w:left="1695" w:hanging="431"/>
        <w:rPr>
          <w:rFonts w:hint="eastAsia"/>
        </w:rPr>
      </w:pPr>
      <w:r>
        <w:rPr>
          <w:rFonts w:hint="eastAsia"/>
        </w:rPr>
        <w:sym w:font="Symbol" w:char="F0B7"/>
      </w:r>
      <w:r>
        <w:tab/>
      </w:r>
      <w:r>
        <w:rPr>
          <w:rFonts w:hint="eastAsia"/>
        </w:rPr>
        <w:t>有关卫生、母婴保健的保健方案和有限的医疗服务；</w:t>
      </w:r>
    </w:p>
    <w:p w:rsidR="00320E49" w:rsidRDefault="00320E49">
      <w:pPr>
        <w:pStyle w:val="SingleTxt"/>
        <w:tabs>
          <w:tab w:val="clear" w:pos="3419"/>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s>
        <w:ind w:left="1695" w:hanging="431"/>
        <w:rPr>
          <w:rFonts w:hint="eastAsia"/>
        </w:rPr>
      </w:pPr>
      <w:r>
        <w:rPr>
          <w:rFonts w:hint="eastAsia"/>
        </w:rPr>
        <w:sym w:font="Symbol" w:char="F0B7"/>
      </w:r>
      <w:r>
        <w:tab/>
      </w:r>
      <w:r>
        <w:rPr>
          <w:rFonts w:hint="eastAsia"/>
        </w:rPr>
        <w:t>管理和领导方面的能力建设；</w:t>
      </w:r>
    </w:p>
    <w:p w:rsidR="00320E49" w:rsidRDefault="00320E49">
      <w:pPr>
        <w:pStyle w:val="SingleTxt"/>
        <w:ind w:left="1695" w:hanging="431"/>
        <w:rPr>
          <w:rFonts w:hint="eastAsia"/>
        </w:rPr>
      </w:pPr>
      <w:r>
        <w:rPr>
          <w:rFonts w:hint="eastAsia"/>
        </w:rPr>
        <w:sym w:font="Symbol" w:char="F0B7"/>
      </w:r>
      <w:r>
        <w:tab/>
      </w:r>
      <w:r>
        <w:rPr>
          <w:rFonts w:hint="eastAsia"/>
        </w:rPr>
        <w:t>有关创收活动的培训，包括手工艺技能的培养，服装设计和裁剪、美发、镀银等等；</w:t>
      </w:r>
    </w:p>
    <w:p w:rsidR="00320E49" w:rsidRDefault="00320E49">
      <w:pPr>
        <w:pStyle w:val="SingleTxt"/>
        <w:ind w:left="1695" w:hanging="431"/>
        <w:rPr>
          <w:rFonts w:hint="eastAsia"/>
        </w:rPr>
      </w:pPr>
      <w:r>
        <w:rPr>
          <w:rFonts w:hint="eastAsia"/>
        </w:rPr>
        <w:sym w:font="Symbol" w:char="F0B7"/>
      </w:r>
      <w:r>
        <w:tab/>
      </w:r>
      <w:r>
        <w:rPr>
          <w:rFonts w:hint="eastAsia"/>
        </w:rPr>
        <w:t>获得绿色健康卡、教育补助金和其他可利用的社会资助方面的社会团结方案。</w:t>
      </w:r>
    </w:p>
    <w:p w:rsidR="00320E49" w:rsidRDefault="00320E49">
      <w:pPr>
        <w:pStyle w:val="SingleTxt"/>
        <w:spacing w:line="332" w:lineRule="exact"/>
        <w:rPr>
          <w:rFonts w:hint="eastAsia"/>
        </w:rPr>
      </w:pPr>
      <w:r>
        <w:tab/>
      </w:r>
      <w:r>
        <w:rPr>
          <w:rFonts w:hint="eastAsia"/>
        </w:rPr>
        <w:t>多功能社区中心已触及到东南部地区最贫困和最不爱露面的妇女。通过这些中心在为各个社区创造动力让妇女能够获得公共服务方面所取得的成功，增强了不同人口和机构对这些中心的工作的兴趣。因此，Sanlurfa、锡韦雷克和加齐安泰普的多功能社区中心现在都由私营部门资助。巴特曼的多功能社区中心得到一个非政府组织和省长办公室的支持。</w:t>
      </w:r>
    </w:p>
    <w:p w:rsidR="00320E49" w:rsidRDefault="00320E49">
      <w:pPr>
        <w:pStyle w:val="SingleTxt"/>
        <w:rPr>
          <w:rFonts w:hint="eastAsia"/>
        </w:rPr>
      </w:pPr>
      <w:r>
        <w:tab/>
      </w:r>
      <w:r>
        <w:rPr>
          <w:rFonts w:hint="eastAsia"/>
        </w:rPr>
        <w:t>缔约各国应确保：</w:t>
      </w:r>
    </w:p>
    <w:p w:rsidR="00320E49" w:rsidRDefault="00320E49">
      <w:pPr>
        <w:pStyle w:val="SingleTxt"/>
        <w:rPr>
          <w:rFonts w:hint="eastAsia"/>
          <w:spacing w:val="-4"/>
        </w:rPr>
      </w:pPr>
      <w:r>
        <w:rPr>
          <w:rFonts w:ascii="KaiTi_GB2312" w:eastAsia="KaiTi_GB2312"/>
          <w:color w:val="0000FF"/>
          <w:spacing w:val="-4"/>
        </w:rPr>
        <w:tab/>
      </w:r>
      <w:r>
        <w:rPr>
          <w:rFonts w:ascii="KaiTi_GB2312" w:eastAsia="KaiTi_GB2312" w:hint="eastAsia"/>
          <w:color w:val="0000FF"/>
          <w:spacing w:val="-4"/>
        </w:rPr>
        <w:t>(e)</w:t>
      </w:r>
      <w:r>
        <w:rPr>
          <w:rFonts w:ascii="KaiTi_GB2312" w:eastAsia="KaiTi_GB2312" w:hint="eastAsia"/>
          <w:color w:val="0000FF"/>
          <w:spacing w:val="-4"/>
        </w:rPr>
        <w:tab/>
        <w:t>组织自助团体和合作社，以通过受雇和自雇的途径取得平等的经济机会</w:t>
      </w:r>
      <w:r>
        <w:rPr>
          <w:rFonts w:hint="eastAsia"/>
          <w:spacing w:val="-4"/>
        </w:rPr>
        <w:t>；</w:t>
      </w:r>
    </w:p>
    <w:p w:rsidR="00320E49" w:rsidRDefault="00320E49">
      <w:pPr>
        <w:pStyle w:val="SingleTxt"/>
        <w:rPr>
          <w:rFonts w:hint="eastAsia"/>
        </w:rPr>
      </w:pPr>
      <w:r>
        <w:tab/>
      </w:r>
      <w:r>
        <w:rPr>
          <w:rFonts w:hint="eastAsia"/>
        </w:rPr>
        <w:t>在农业和农村事务部的定期推广工作和家政方案以及有计划的农村发展项目的范围内开展了相关的活动。</w:t>
      </w:r>
    </w:p>
    <w:p w:rsidR="00320E49" w:rsidRDefault="00320E49">
      <w:pPr>
        <w:pStyle w:val="SingleTxt"/>
        <w:rPr>
          <w:rFonts w:hint="eastAsia"/>
        </w:rPr>
      </w:pPr>
      <w:r>
        <w:tab/>
      </w:r>
      <w:r>
        <w:rPr>
          <w:rFonts w:hint="eastAsia"/>
        </w:rPr>
        <w:t>由妇女地位和妇女问题司实施的有关促进妇女就业项目的两个研究项目集中注意了提高农村妇女获得经济机会可能性的有效战略，并确定了这方面的政策指导方针。这两个研究的论文已经出版并已广泛散发。</w:t>
      </w:r>
    </w:p>
    <w:p w:rsidR="00320E49" w:rsidRDefault="00320E49">
      <w:pPr>
        <w:pStyle w:val="SingleTxt"/>
        <w:rPr>
          <w:rFonts w:hint="eastAsia"/>
        </w:rPr>
      </w:pPr>
      <w:r>
        <w:tab/>
      </w:r>
      <w:r>
        <w:rPr>
          <w:rFonts w:hint="eastAsia"/>
        </w:rPr>
        <w:t>缔约各国应确保：</w:t>
      </w:r>
    </w:p>
    <w:p w:rsidR="00320E49" w:rsidRDefault="00320E49">
      <w:pPr>
        <w:pStyle w:val="SingleTxt"/>
        <w:rPr>
          <w:rFonts w:ascii="KaiTi_GB2312" w:eastAsia="KaiTi_GB2312" w:hint="eastAsia"/>
          <w:color w:val="0000FF"/>
        </w:rPr>
      </w:pPr>
      <w:r>
        <w:tab/>
      </w:r>
      <w:r>
        <w:rPr>
          <w:rFonts w:ascii="KaiTi_GB2312" w:eastAsia="KaiTi_GB2312" w:hint="eastAsia"/>
          <w:color w:val="0000FF"/>
        </w:rPr>
        <w:t>(f)</w:t>
      </w:r>
      <w:r>
        <w:rPr>
          <w:rFonts w:ascii="KaiTi_GB2312" w:eastAsia="KaiTi_GB2312" w:hint="eastAsia"/>
          <w:color w:val="0000FF"/>
        </w:rPr>
        <w:tab/>
        <w:t>参加一切社区活动；</w:t>
      </w:r>
    </w:p>
    <w:p w:rsidR="00320E49" w:rsidRDefault="00320E49">
      <w:pPr>
        <w:pStyle w:val="SingleTxt"/>
        <w:rPr>
          <w:rFonts w:hint="eastAsia"/>
        </w:rPr>
      </w:pPr>
      <w:r>
        <w:rPr>
          <w:rFonts w:ascii="KaiTi_GB2312" w:eastAsia="KaiTi_GB2312"/>
          <w:color w:val="0000FF"/>
        </w:rPr>
        <w:tab/>
      </w:r>
      <w:r>
        <w:rPr>
          <w:rFonts w:ascii="KaiTi_GB2312" w:eastAsia="KaiTi_GB2312" w:hint="eastAsia"/>
          <w:color w:val="0000FF"/>
        </w:rPr>
        <w:t>(g)</w:t>
      </w:r>
      <w:r>
        <w:rPr>
          <w:rFonts w:ascii="KaiTi_GB2312" w:eastAsia="KaiTi_GB2312" w:hint="eastAsia"/>
          <w:color w:val="0000FF"/>
        </w:rPr>
        <w:tab/>
        <w:t>有机会取得农业信贷，利用销售设施，获得适当技术，并在土地改革和土地垦殖计划方面享有平等待遇</w:t>
      </w:r>
      <w:r>
        <w:rPr>
          <w:rFonts w:hint="eastAsia"/>
        </w:rPr>
        <w:t>；</w:t>
      </w:r>
    </w:p>
    <w:p w:rsidR="00320E49" w:rsidRDefault="00320E49">
      <w:pPr>
        <w:pStyle w:val="SingleTxt"/>
        <w:rPr>
          <w:rFonts w:hint="eastAsia"/>
        </w:rPr>
      </w:pPr>
      <w:r>
        <w:tab/>
      </w:r>
      <w:r>
        <w:rPr>
          <w:rFonts w:hint="eastAsia"/>
        </w:rPr>
        <w:t>由于采用了新的民法典和第二条论述的其他法律改革，所有妨碍妇女得到土地的现行歧视性条款都已取消。因此不存在对妇女的土地拥有权的任何法律障碍。但是由于习俗，在某些地区仍存在妇女把土地放弃给兄弟的倾向。不过这种习俗正在不断减少。</w:t>
      </w:r>
    </w:p>
    <w:p w:rsidR="00320E49" w:rsidRDefault="00320E49">
      <w:pPr>
        <w:pStyle w:val="SingleTxt"/>
        <w:rPr>
          <w:rFonts w:hint="eastAsia"/>
        </w:rPr>
      </w:pPr>
      <w:r>
        <w:tab/>
      </w:r>
      <w:r>
        <w:rPr>
          <w:rFonts w:hint="eastAsia"/>
        </w:rPr>
        <w:t>缔约各国应确保：</w:t>
      </w:r>
    </w:p>
    <w:p w:rsidR="00320E49" w:rsidRDefault="00320E49">
      <w:pPr>
        <w:pStyle w:val="SingleTxt"/>
        <w:rPr>
          <w:rFonts w:ascii="KaiTi_GB2312" w:eastAsia="KaiTi_GB2312" w:hint="eastAsia"/>
          <w:color w:val="0000FF"/>
        </w:rPr>
      </w:pPr>
      <w:r>
        <w:tab/>
      </w:r>
      <w:r>
        <w:rPr>
          <w:rFonts w:ascii="KaiTi_GB2312" w:eastAsia="KaiTi_GB2312" w:hint="eastAsia"/>
          <w:color w:val="0000FF"/>
        </w:rPr>
        <w:t>(h)</w:t>
      </w:r>
      <w:r>
        <w:rPr>
          <w:rFonts w:ascii="KaiTi_GB2312" w:eastAsia="KaiTi_GB2312"/>
          <w:color w:val="0000FF"/>
        </w:rPr>
        <w:tab/>
      </w:r>
      <w:r>
        <w:rPr>
          <w:rFonts w:ascii="KaiTi_GB2312" w:eastAsia="KaiTi_GB2312" w:hint="eastAsia"/>
          <w:color w:val="0000FF"/>
        </w:rPr>
        <w:t>享受适当的生活条件，特别是在住房、卫生、水电供应、交通和通讯方面。</w:t>
      </w:r>
    </w:p>
    <w:p w:rsidR="00320E49" w:rsidRDefault="00320E49">
      <w:pPr>
        <w:pStyle w:val="SingleTxt"/>
        <w:rPr>
          <w:rFonts w:hint="eastAsia"/>
        </w:rPr>
      </w:pPr>
      <w:r>
        <w:tab/>
      </w:r>
      <w:r>
        <w:rPr>
          <w:rFonts w:hint="eastAsia"/>
        </w:rPr>
        <w:t>参阅土耳其的第二和三次合并报告。</w:t>
      </w:r>
    </w:p>
    <w:p w:rsidR="00320E49" w:rsidRDefault="00320E49">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40" w:line="400" w:lineRule="exact"/>
        <w:ind w:left="1264" w:right="1264" w:hanging="1264"/>
        <w:jc w:val="both"/>
        <w:rPr>
          <w:rFonts w:ascii="KaiTi_GB2312" w:eastAsia="KaiTi_GB2312" w:hint="eastAsia"/>
          <w:color w:val="0000FF"/>
          <w:sz w:val="28"/>
        </w:rPr>
      </w:pPr>
      <w:r>
        <w:tab/>
      </w:r>
      <w:r>
        <w:tab/>
      </w:r>
      <w:r>
        <w:rPr>
          <w:rFonts w:ascii="KaiTi_GB2312" w:eastAsia="KaiTi_GB2312" w:hint="eastAsia"/>
          <w:color w:val="0000FF"/>
          <w:sz w:val="28"/>
        </w:rPr>
        <w:t>法律面前和民事事务中的平等</w:t>
      </w:r>
    </w:p>
    <w:p w:rsidR="00320E49" w:rsidRDefault="00320E49">
      <w:pPr>
        <w:pStyle w:val="SingleTxt"/>
        <w:rPr>
          <w:rFonts w:ascii="KaiTi_GB2312" w:eastAsia="KaiTi_GB2312" w:hint="eastAsia"/>
          <w:color w:val="0000FF"/>
        </w:rPr>
      </w:pPr>
      <w:r>
        <w:tab/>
      </w:r>
      <w:r>
        <w:rPr>
          <w:rFonts w:ascii="KaiTi_GB2312" w:eastAsia="KaiTi_GB2312" w:hint="eastAsia"/>
          <w:b/>
          <w:bCs/>
          <w:color w:val="0000FF"/>
        </w:rPr>
        <w:t>第十五条.1.</w:t>
      </w:r>
      <w:r>
        <w:rPr>
          <w:rFonts w:ascii="KaiTi_GB2312" w:eastAsia="KaiTi_GB2312" w:hint="eastAsia"/>
          <w:color w:val="0000FF"/>
        </w:rPr>
        <w:t xml:space="preserve"> 缔约各国应给予男女在法律面前平等的地位。</w:t>
      </w:r>
    </w:p>
    <w:p w:rsidR="00320E49" w:rsidRDefault="00320E49">
      <w:pPr>
        <w:pStyle w:val="SingleTxt"/>
        <w:rPr>
          <w:rFonts w:hint="eastAsia"/>
        </w:rPr>
      </w:pPr>
      <w:r>
        <w:tab/>
      </w:r>
      <w:r>
        <w:rPr>
          <w:rFonts w:hint="eastAsia"/>
        </w:rPr>
        <w:t>土耳其已在1999年9月20日放弃了对《消除对妇女歧视公约》第十五和十六条的保留。宪法、民法典和其他法律的改变对法律面前男女平等产生了很大的推动力。</w:t>
      </w:r>
    </w:p>
    <w:p w:rsidR="00320E49" w:rsidRDefault="00320E49">
      <w:pPr>
        <w:pStyle w:val="SingleTxt"/>
        <w:rPr>
          <w:rFonts w:hint="eastAsia"/>
        </w:rPr>
      </w:pPr>
      <w:r>
        <w:tab/>
      </w:r>
      <w:r>
        <w:rPr>
          <w:rFonts w:hint="eastAsia"/>
        </w:rPr>
        <w:t>从上次报告以来，2001年10月17日起生效的对宪法第41和66条的修正案，通过增加“家庭是社会的基础”，和它“依靠丈夫和妻子的平等”(第41条)条款，取消了丈夫的特权。另一方面通过取消“土耳其母亲和外国父亲生的孩子的国籍按法律管理”的条款，对第66条的修正取消了以往的男女之间的不平等。</w:t>
      </w:r>
    </w:p>
    <w:p w:rsidR="00320E49" w:rsidRDefault="00320E49">
      <w:pPr>
        <w:pStyle w:val="SingleTxt"/>
        <w:rPr>
          <w:rFonts w:hint="eastAsia"/>
        </w:rPr>
      </w:pPr>
      <w:r>
        <w:tab/>
      </w:r>
      <w:r>
        <w:rPr>
          <w:rFonts w:hint="eastAsia"/>
        </w:rPr>
        <w:t>尽管宪法确保了男女之间权利平等这一事实，但是实际的法律准则往往并不允许真正的平等。为了确保今后平等法律的宪法基础，妇女地位和妇女问题司提交了一个预见到对宪法第10条第1款作出改动的法律草案。因此建议加入下列条款：“妇女和男子有平等权利。国家应采取一切必要措施规定男女平等，包括特殊临时性措施。”该草案尚未通过。</w:t>
      </w:r>
    </w:p>
    <w:p w:rsidR="00320E49" w:rsidRDefault="00320E49">
      <w:pPr>
        <w:pStyle w:val="SingleTxt"/>
        <w:rPr>
          <w:rFonts w:ascii="KaiTi_GB2312" w:eastAsia="KaiTi_GB2312" w:hint="eastAsia"/>
          <w:color w:val="0000FF"/>
        </w:rPr>
      </w:pPr>
      <w:r>
        <w:rPr>
          <w:rFonts w:ascii="KaiTi_GB2312" w:eastAsia="KaiTi_GB2312"/>
          <w:color w:val="0000FF"/>
        </w:rPr>
        <w:tab/>
      </w:r>
      <w:r>
        <w:rPr>
          <w:rFonts w:ascii="KaiTi_GB2312" w:eastAsia="KaiTi_GB2312" w:hint="eastAsia"/>
          <w:b/>
          <w:bCs/>
          <w:color w:val="0000FF"/>
        </w:rPr>
        <w:t>第十五条.2.</w:t>
      </w:r>
      <w:r>
        <w:rPr>
          <w:rFonts w:ascii="KaiTi_GB2312" w:eastAsia="KaiTi_GB2312" w:hint="eastAsia"/>
          <w:color w:val="0000FF"/>
        </w:rPr>
        <w:t xml:space="preserve"> 缔约各国应在公民事务上，给予妇女与男子同等的法律行为能力，以及行使这种行为能力的相同机会。特别应给予妇女签订合同和管理财产的平等权利，并在法院和法庭诉讼的各个阶段给予平等待遇。</w:t>
      </w:r>
    </w:p>
    <w:p w:rsidR="00320E49" w:rsidRDefault="00320E49">
      <w:pPr>
        <w:pStyle w:val="SingleTxt"/>
        <w:rPr>
          <w:rFonts w:hint="eastAsia"/>
        </w:rPr>
      </w:pPr>
      <w:r>
        <w:tab/>
      </w:r>
      <w:r>
        <w:rPr>
          <w:rFonts w:hint="eastAsia"/>
        </w:rPr>
        <w:t>法律确保妇女和男子有平等的行为能力和行使这种能力的权利。妇女和男子还分享平等代表权(第189条)，以及办理相互之间或与第三方的法律事务的平等权利(第193条)。1998年对《所得税法》的修订使已婚妇女能够提交单独的所得税申报单。</w:t>
      </w:r>
    </w:p>
    <w:p w:rsidR="00320E49" w:rsidRDefault="00320E49">
      <w:pPr>
        <w:pStyle w:val="SingleTxt"/>
        <w:rPr>
          <w:rFonts w:hint="eastAsia"/>
        </w:rPr>
      </w:pPr>
      <w:r>
        <w:tab/>
      </w:r>
      <w:r>
        <w:rPr>
          <w:rFonts w:hint="eastAsia"/>
        </w:rPr>
        <w:t>夫妻对有关家庭住所的事项有平等权利(第194条)。未经另一方同意，任何一方都不得单独取消与家庭住房有关的租贷协议，转让住房的所有权，也不应限制与住所有关的权利。法律确保了不是家庭住所合法所有人的夫妻一方在这方面的权利。妇女可以不受任何限制地购买、管理和售出财产或物品。</w:t>
      </w:r>
    </w:p>
    <w:p w:rsidR="00320E49" w:rsidRDefault="00320E49">
      <w:pPr>
        <w:pStyle w:val="SingleTxt"/>
        <w:rPr>
          <w:rFonts w:ascii="KaiTi_GB2312" w:eastAsia="KaiTi_GB2312" w:hint="eastAsia"/>
          <w:color w:val="0000FF"/>
        </w:rPr>
      </w:pPr>
      <w:r>
        <w:rPr>
          <w:rFonts w:ascii="KaiTi_GB2312" w:eastAsia="KaiTi_GB2312"/>
          <w:color w:val="0000FF"/>
        </w:rPr>
        <w:tab/>
      </w:r>
      <w:r>
        <w:rPr>
          <w:rFonts w:ascii="KaiTi_GB2312" w:eastAsia="KaiTi_GB2312" w:hint="eastAsia"/>
          <w:b/>
          <w:bCs/>
          <w:color w:val="0000FF"/>
        </w:rPr>
        <w:t>第十五条.3.</w:t>
      </w:r>
      <w:r>
        <w:rPr>
          <w:rFonts w:ascii="KaiTi_GB2312" w:eastAsia="KaiTi_GB2312" w:hint="eastAsia"/>
          <w:color w:val="0000FF"/>
        </w:rPr>
        <w:t xml:space="preserve"> 缔约各国同意，旨在限制妇女法律行为能力的所有合同和其他任何具有法律效力的私人文书，应一律视为无效。</w:t>
      </w:r>
    </w:p>
    <w:p w:rsidR="00320E49" w:rsidRDefault="00320E49">
      <w:pPr>
        <w:pStyle w:val="SingleTxt"/>
        <w:rPr>
          <w:rFonts w:hint="eastAsia"/>
        </w:rPr>
      </w:pPr>
      <w:r>
        <w:tab/>
      </w:r>
      <w:r>
        <w:rPr>
          <w:rFonts w:hint="eastAsia"/>
        </w:rPr>
        <w:t>见上述第十五条的第十五.2段。</w:t>
      </w:r>
    </w:p>
    <w:p w:rsidR="00320E49" w:rsidRDefault="00320E49">
      <w:pPr>
        <w:pStyle w:val="SingleTxt"/>
        <w:rPr>
          <w:rFonts w:hint="eastAsia"/>
        </w:rPr>
      </w:pPr>
      <w:r>
        <w:rPr>
          <w:rFonts w:ascii="KaiTi_GB2312" w:eastAsia="KaiTi_GB2312"/>
          <w:b/>
          <w:bCs/>
          <w:color w:val="0000FF"/>
        </w:rPr>
        <w:tab/>
      </w:r>
      <w:r>
        <w:rPr>
          <w:rFonts w:ascii="KaiTi_GB2312" w:eastAsia="KaiTi_GB2312" w:hint="eastAsia"/>
          <w:b/>
          <w:bCs/>
          <w:color w:val="0000FF"/>
        </w:rPr>
        <w:t>第十五条.4.</w:t>
      </w:r>
      <w:r>
        <w:rPr>
          <w:rFonts w:ascii="KaiTi_GB2312" w:eastAsia="KaiTi_GB2312" w:hint="eastAsia"/>
          <w:color w:val="0000FF"/>
        </w:rPr>
        <w:t xml:space="preserve"> 缔约各国在有关人身移动和自由择居的法律方面，应给予男女相同的权利</w:t>
      </w:r>
      <w:r>
        <w:rPr>
          <w:rFonts w:hint="eastAsia"/>
        </w:rPr>
        <w:t>。</w:t>
      </w:r>
    </w:p>
    <w:p w:rsidR="00320E49" w:rsidRDefault="00320E49">
      <w:pPr>
        <w:pStyle w:val="SingleTxt"/>
        <w:rPr>
          <w:rFonts w:hint="eastAsia"/>
        </w:rPr>
      </w:pPr>
      <w:r>
        <w:tab/>
      </w:r>
      <w:r>
        <w:rPr>
          <w:rFonts w:hint="eastAsia"/>
        </w:rPr>
        <w:t>单身或已婚妇女有与男子相同的迁移权利。持有效护照的妇女只要她愿意，可以出国旅行。夫妻共同选择居住地(第186条)。已从法定住所的定义中取消了原法律中把妻子的居住地定为她丈夫的居住地的条款。土耳其法律规定夫妻应住在一起(民法典第185条)。</w:t>
      </w:r>
    </w:p>
    <w:p w:rsidR="00320E49" w:rsidRDefault="00320E49">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40"/>
        <w:ind w:left="1264" w:right="1264" w:hanging="1264"/>
        <w:jc w:val="both"/>
        <w:rPr>
          <w:rFonts w:ascii="KaiTi_GB2312" w:eastAsia="KaiTi_GB2312" w:hint="eastAsia"/>
          <w:color w:val="0000FF"/>
          <w:sz w:val="28"/>
        </w:rPr>
      </w:pPr>
      <w:r>
        <w:tab/>
      </w:r>
      <w:r>
        <w:tab/>
      </w:r>
      <w:r>
        <w:rPr>
          <w:rFonts w:ascii="KaiTi_GB2312" w:eastAsia="KaiTi_GB2312" w:hint="eastAsia"/>
          <w:color w:val="0000FF"/>
          <w:sz w:val="28"/>
        </w:rPr>
        <w:t>婚姻平等和家庭法</w:t>
      </w:r>
    </w:p>
    <w:p w:rsidR="00320E49" w:rsidRDefault="00320E49">
      <w:pPr>
        <w:pStyle w:val="SingleTxt"/>
        <w:rPr>
          <w:rFonts w:ascii="KaiTi_GB2312" w:eastAsia="KaiTi_GB2312" w:hint="eastAsia"/>
          <w:color w:val="0000FF"/>
        </w:rPr>
      </w:pPr>
      <w:r>
        <w:rPr>
          <w:rFonts w:ascii="KaiTi_GB2312" w:eastAsia="KaiTi_GB2312"/>
          <w:color w:val="0000FF"/>
        </w:rPr>
        <w:tab/>
      </w:r>
      <w:r>
        <w:rPr>
          <w:rFonts w:ascii="KaiTi_GB2312" w:eastAsia="KaiTi_GB2312" w:hint="eastAsia"/>
          <w:b/>
          <w:bCs/>
          <w:color w:val="0000FF"/>
        </w:rPr>
        <w:t>第十六条.1.</w:t>
      </w:r>
      <w:r>
        <w:rPr>
          <w:rFonts w:ascii="KaiTi_GB2312" w:eastAsia="KaiTi_GB2312" w:hint="eastAsia"/>
          <w:color w:val="0000FF"/>
        </w:rPr>
        <w:t xml:space="preserve"> 缔约各国应采取一切适当措施，消除在有关婚姻和家庭关系的一切事项上对妇女的歧视，并特别应保证她们在男女平等的基础上：</w:t>
      </w:r>
    </w:p>
    <w:p w:rsidR="00320E49" w:rsidRDefault="00320E49">
      <w:pPr>
        <w:pStyle w:val="SingleTxt"/>
        <w:rPr>
          <w:rFonts w:hint="eastAsia"/>
        </w:rPr>
      </w:pPr>
      <w:r>
        <w:rPr>
          <w:rFonts w:ascii="KaiTi_GB2312" w:eastAsia="KaiTi_GB2312"/>
          <w:color w:val="0000FF"/>
        </w:rPr>
        <w:tab/>
      </w:r>
      <w:r>
        <w:rPr>
          <w:rFonts w:ascii="KaiTi_GB2312" w:eastAsia="KaiTi_GB2312" w:hint="eastAsia"/>
          <w:color w:val="0000FF"/>
        </w:rPr>
        <w:t>(a)</w:t>
      </w:r>
      <w:r>
        <w:rPr>
          <w:rFonts w:ascii="KaiTi_GB2312" w:eastAsia="KaiTi_GB2312"/>
          <w:color w:val="0000FF"/>
        </w:rPr>
        <w:tab/>
      </w:r>
      <w:r>
        <w:rPr>
          <w:rFonts w:ascii="KaiTi_GB2312" w:eastAsia="KaiTi_GB2312" w:hint="eastAsia"/>
          <w:color w:val="0000FF"/>
        </w:rPr>
        <w:t>有相同的缔婚权利；</w:t>
      </w:r>
    </w:p>
    <w:p w:rsidR="00320E49" w:rsidRDefault="00320E49">
      <w:pPr>
        <w:pStyle w:val="SingleTxt"/>
        <w:rPr>
          <w:rFonts w:hint="eastAsia"/>
        </w:rPr>
      </w:pPr>
      <w:r>
        <w:tab/>
      </w:r>
      <w:r>
        <w:rPr>
          <w:rFonts w:hint="eastAsia"/>
        </w:rPr>
        <w:t>妇女和男子享有按照法律缔结婚约的平等权利。希望结婚的双方共同向设在一方居住地的婚姻登记办事处提出申请，并当面向主持婚姻的官员和两位证人公开表示他们是自由的。</w:t>
      </w:r>
    </w:p>
    <w:p w:rsidR="00320E49" w:rsidRDefault="00320E49">
      <w:pPr>
        <w:pStyle w:val="SingleTxt"/>
        <w:rPr>
          <w:rFonts w:hint="eastAsia"/>
        </w:rPr>
      </w:pPr>
      <w:r>
        <w:tab/>
      </w:r>
      <w:r>
        <w:rPr>
          <w:rFonts w:hint="eastAsia"/>
        </w:rPr>
        <w:t>缔约各国应确保：</w:t>
      </w:r>
    </w:p>
    <w:p w:rsidR="00320E49" w:rsidRDefault="00320E49">
      <w:pPr>
        <w:pStyle w:val="SingleTxt"/>
        <w:rPr>
          <w:rFonts w:ascii="KaiTi_GB2312" w:eastAsia="KaiTi_GB2312" w:hint="eastAsia"/>
          <w:color w:val="0000FF"/>
          <w:spacing w:val="-4"/>
        </w:rPr>
      </w:pPr>
      <w:r>
        <w:rPr>
          <w:rFonts w:ascii="KaiTi_GB2312" w:eastAsia="KaiTi_GB2312"/>
          <w:color w:val="0000FF"/>
          <w:spacing w:val="-4"/>
        </w:rPr>
        <w:tab/>
      </w:r>
      <w:r>
        <w:rPr>
          <w:rFonts w:ascii="KaiTi_GB2312" w:eastAsia="KaiTi_GB2312" w:hint="eastAsia"/>
          <w:color w:val="0000FF"/>
          <w:spacing w:val="-4"/>
        </w:rPr>
        <w:t>(b)</w:t>
      </w:r>
      <w:r>
        <w:rPr>
          <w:rFonts w:ascii="KaiTi_GB2312" w:eastAsia="KaiTi_GB2312" w:hint="eastAsia"/>
          <w:color w:val="0000FF"/>
          <w:spacing w:val="-4"/>
        </w:rPr>
        <w:tab/>
        <w:t>有相同的自由选择配偶和非经本人自由表示、完全同意不缔婚约的权利；</w:t>
      </w:r>
    </w:p>
    <w:p w:rsidR="00320E49" w:rsidRDefault="00320E49">
      <w:pPr>
        <w:pStyle w:val="SingleTxt"/>
        <w:rPr>
          <w:rFonts w:hint="eastAsia"/>
        </w:rPr>
      </w:pPr>
      <w:r>
        <w:tab/>
      </w:r>
      <w:r>
        <w:rPr>
          <w:rFonts w:hint="eastAsia"/>
        </w:rPr>
        <w:t>公证结婚是土耳其共和国建立时通过的管理婚姻的法律中的基本原则之一。新民法典第142和143条反映了这一原则。按照法律，婚姻的基本条件是准备结婚的情侣(无论是未成年人还是成年人)的完全和自由的同意。新法(第124条)规定了两性的最低结婚年龄，并使其平等。因此妇女和男子只有满17周岁时才可以结婚，但由于这个年龄仍低于法定年龄，所以要求得到父母的同意。未满17岁的未成年人可以结婚，但要得到他们法定监护人的允许并有和平法院法官的决定(第126和128条)。</w:t>
      </w:r>
    </w:p>
    <w:p w:rsidR="00320E49" w:rsidRDefault="00320E49">
      <w:pPr>
        <w:pStyle w:val="SingleTxt"/>
        <w:rPr>
          <w:rFonts w:hint="eastAsia"/>
        </w:rPr>
      </w:pPr>
      <w:r>
        <w:tab/>
      </w:r>
      <w:r>
        <w:rPr>
          <w:rFonts w:hint="eastAsia"/>
        </w:rPr>
        <w:t>缔约各国应确保：</w:t>
      </w:r>
    </w:p>
    <w:p w:rsidR="00320E49" w:rsidRDefault="00320E49">
      <w:pPr>
        <w:pStyle w:val="SingleTxt"/>
        <w:rPr>
          <w:rFonts w:ascii="KaiTi_GB2312" w:eastAsia="KaiTi_GB2312" w:hint="eastAsia"/>
          <w:color w:val="0000FF"/>
        </w:rPr>
      </w:pPr>
      <w:r>
        <w:rPr>
          <w:rFonts w:ascii="KaiTi_GB2312" w:eastAsia="KaiTi_GB2312"/>
          <w:color w:val="0000FF"/>
        </w:rPr>
        <w:tab/>
      </w:r>
      <w:r>
        <w:rPr>
          <w:rFonts w:ascii="KaiTi_GB2312" w:eastAsia="KaiTi_GB2312" w:hint="eastAsia"/>
          <w:color w:val="0000FF"/>
        </w:rPr>
        <w:t>(c)</w:t>
      </w:r>
      <w:r>
        <w:rPr>
          <w:rFonts w:ascii="KaiTi_GB2312" w:eastAsia="KaiTi_GB2312"/>
          <w:color w:val="0000FF"/>
        </w:rPr>
        <w:tab/>
      </w:r>
      <w:r>
        <w:rPr>
          <w:rFonts w:ascii="KaiTi_GB2312" w:eastAsia="KaiTi_GB2312" w:hint="eastAsia"/>
          <w:color w:val="0000FF"/>
        </w:rPr>
        <w:t>在婚姻存续期间和解除婚姻关系时，有相同的权利和义务；</w:t>
      </w:r>
    </w:p>
    <w:p w:rsidR="00320E49" w:rsidRDefault="00320E49">
      <w:pPr>
        <w:pStyle w:val="SingleTxt"/>
        <w:spacing w:line="330" w:lineRule="exact"/>
        <w:rPr>
          <w:rFonts w:hint="eastAsia"/>
        </w:rPr>
      </w:pPr>
      <w:r>
        <w:tab/>
      </w:r>
      <w:r>
        <w:rPr>
          <w:rFonts w:hint="eastAsia"/>
        </w:rPr>
        <w:t>按照新民法典第186条的规定，夫妻共同做出有关婚姻结合的决定，并在他们能力范围内对家庭开支做出贡献。这一条取代并取消了前一个法律(即作为一家之长，丈夫负责家庭的生计，供养家庭成员，特别是妻子和子女)中的原则。如果离婚，预计也会有按照法律在婚姻期间给予妇女和男子的相同权利和责任。法律所指的“婚姻无法挽救的破裂”包括可能导致夫妻一方提出离婚的广泛问题(第166条)。另外，法律还规定了诸如通奸、精神病、伤害性对待和犯下侮辱他人罪这些可提供离婚理由的特殊情况。</w:t>
      </w:r>
    </w:p>
    <w:p w:rsidR="00320E49" w:rsidRDefault="00320E49">
      <w:pPr>
        <w:pStyle w:val="SingleTxt"/>
        <w:spacing w:line="330" w:lineRule="exact"/>
        <w:rPr>
          <w:rFonts w:hint="eastAsia"/>
        </w:rPr>
      </w:pPr>
      <w:r>
        <w:tab/>
      </w:r>
      <w:r>
        <w:rPr>
          <w:rFonts w:hint="eastAsia"/>
        </w:rPr>
        <w:t>离婚时，法律保护妇女在婚姻过程中得到的个人的合法身份、如国籍。法律还以非歧视性方式管理与扶养费(第175至178条)和因离婚而造成的潜在或实际损失的补偿(第174和176条)有关的事宜。</w:t>
      </w:r>
    </w:p>
    <w:p w:rsidR="00320E49" w:rsidRDefault="00320E49">
      <w:pPr>
        <w:pStyle w:val="SingleTxt"/>
        <w:spacing w:line="330" w:lineRule="exact"/>
        <w:rPr>
          <w:rFonts w:hint="eastAsia"/>
        </w:rPr>
      </w:pPr>
      <w:r>
        <w:tab/>
      </w:r>
      <w:r>
        <w:rPr>
          <w:rFonts w:hint="eastAsia"/>
        </w:rPr>
        <w:t>还参见本报告的第十六.1(h)条。</w:t>
      </w:r>
    </w:p>
    <w:p w:rsidR="00320E49" w:rsidRDefault="00320E49">
      <w:pPr>
        <w:pStyle w:val="SingleTxt"/>
        <w:spacing w:line="330" w:lineRule="exact"/>
        <w:rPr>
          <w:rFonts w:hint="eastAsia"/>
        </w:rPr>
      </w:pPr>
      <w:r>
        <w:tab/>
      </w:r>
      <w:r>
        <w:rPr>
          <w:rFonts w:hint="eastAsia"/>
        </w:rPr>
        <w:t>缔约各国应确保：</w:t>
      </w:r>
    </w:p>
    <w:p w:rsidR="00320E49" w:rsidRDefault="00320E49">
      <w:pPr>
        <w:pStyle w:val="SingleTxt"/>
        <w:spacing w:line="330" w:lineRule="exact"/>
        <w:rPr>
          <w:rFonts w:ascii="KaiTi_GB2312" w:eastAsia="KaiTi_GB2312" w:hint="eastAsia"/>
          <w:color w:val="0000FF"/>
        </w:rPr>
      </w:pPr>
      <w:r>
        <w:rPr>
          <w:rFonts w:ascii="KaiTi_GB2312" w:eastAsia="KaiTi_GB2312"/>
          <w:color w:val="0000FF"/>
        </w:rPr>
        <w:tab/>
      </w:r>
      <w:r>
        <w:rPr>
          <w:rFonts w:ascii="KaiTi_GB2312" w:eastAsia="KaiTi_GB2312" w:hint="eastAsia"/>
          <w:color w:val="0000FF"/>
        </w:rPr>
        <w:t>(d)</w:t>
      </w:r>
      <w:r>
        <w:rPr>
          <w:rFonts w:ascii="KaiTi_GB2312" w:eastAsia="KaiTi_GB2312"/>
          <w:color w:val="0000FF"/>
        </w:rPr>
        <w:tab/>
      </w:r>
      <w:r>
        <w:rPr>
          <w:rFonts w:ascii="KaiTi_GB2312" w:eastAsia="KaiTi_GB2312" w:hint="eastAsia"/>
          <w:color w:val="0000FF"/>
        </w:rPr>
        <w:t>不论婚姻状况如何，在有关子女的事务上，作为父母亲有相同的权利和义务；但在任何情形下，都应以子女的利益为重；</w:t>
      </w:r>
    </w:p>
    <w:p w:rsidR="00320E49" w:rsidRDefault="00320E49">
      <w:pPr>
        <w:pStyle w:val="SingleTxt"/>
        <w:spacing w:line="330" w:lineRule="exact"/>
        <w:rPr>
          <w:rFonts w:hint="eastAsia"/>
        </w:rPr>
      </w:pPr>
      <w:r>
        <w:tab/>
      </w:r>
      <w:r>
        <w:rPr>
          <w:rFonts w:hint="eastAsia"/>
        </w:rPr>
        <w:t>父亲和母亲同样享有对子女的亲权。在新的法律中已取消了上一部民法典中在子女问题上父母发生分歧时，最后权力给予父亲的条款。对婚外所生的子女的亲权属于母亲(第337条)，法律不再规定这种孩子的合法性问题。换言之，取消了婚外生子女的“非法性”这个词。未婚妇女生的孩子可用母亲的性，除非另有确认或法院裁定(第321条)。</w:t>
      </w:r>
    </w:p>
    <w:p w:rsidR="00320E49" w:rsidRDefault="00320E49">
      <w:pPr>
        <w:pStyle w:val="SingleTxt"/>
        <w:spacing w:line="330" w:lineRule="exact"/>
        <w:rPr>
          <w:rFonts w:hint="eastAsia"/>
        </w:rPr>
      </w:pPr>
      <w:r>
        <w:tab/>
      </w:r>
      <w:r>
        <w:rPr>
          <w:rFonts w:hint="eastAsia"/>
        </w:rPr>
        <w:t>缔约各国应确保：</w:t>
      </w:r>
    </w:p>
    <w:p w:rsidR="00320E49" w:rsidRDefault="00320E49">
      <w:pPr>
        <w:pStyle w:val="SingleTxt"/>
        <w:rPr>
          <w:rFonts w:ascii="KaiTi_GB2312" w:eastAsia="KaiTi_GB2312" w:hint="eastAsia"/>
          <w:color w:val="0000FF"/>
        </w:rPr>
      </w:pPr>
      <w:r>
        <w:rPr>
          <w:rFonts w:ascii="KaiTi_GB2312" w:eastAsia="KaiTi_GB2312"/>
          <w:color w:val="0000FF"/>
        </w:rPr>
        <w:tab/>
      </w:r>
      <w:r>
        <w:rPr>
          <w:rFonts w:ascii="KaiTi_GB2312" w:eastAsia="KaiTi_GB2312" w:hint="eastAsia"/>
          <w:color w:val="0000FF"/>
        </w:rPr>
        <w:t>(e)</w:t>
      </w:r>
      <w:r>
        <w:rPr>
          <w:rFonts w:ascii="KaiTi_GB2312" w:eastAsia="KaiTi_GB2312"/>
          <w:color w:val="0000FF"/>
        </w:rPr>
        <w:tab/>
      </w:r>
      <w:r>
        <w:rPr>
          <w:rFonts w:ascii="KaiTi_GB2312" w:eastAsia="KaiTi_GB2312" w:hint="eastAsia"/>
          <w:color w:val="0000FF"/>
        </w:rPr>
        <w:t>有相同的权利自由负责地决定子女人数和生育间隔，并有机会获得使她们能够行使这种权利的知识、教育和方法；</w:t>
      </w:r>
    </w:p>
    <w:p w:rsidR="00320E49" w:rsidRDefault="00320E49">
      <w:pPr>
        <w:pStyle w:val="SingleTxt"/>
        <w:rPr>
          <w:rFonts w:hint="eastAsia"/>
        </w:rPr>
      </w:pPr>
      <w:r>
        <w:tab/>
      </w:r>
      <w:r>
        <w:rPr>
          <w:rFonts w:hint="eastAsia"/>
        </w:rPr>
        <w:t>请参见本报告第十二和十四条。</w:t>
      </w:r>
    </w:p>
    <w:p w:rsidR="00320E49" w:rsidRDefault="00320E49">
      <w:pPr>
        <w:pStyle w:val="SingleTxt"/>
        <w:rPr>
          <w:rFonts w:ascii="KaiTi_GB2312" w:eastAsia="KaiTi_GB2312" w:hint="eastAsia"/>
          <w:color w:val="0000FF"/>
        </w:rPr>
      </w:pPr>
      <w:r>
        <w:rPr>
          <w:rFonts w:ascii="KaiTi_GB2312" w:eastAsia="KaiTi_GB2312"/>
          <w:color w:val="0000FF"/>
        </w:rPr>
        <w:tab/>
      </w:r>
      <w:r>
        <w:rPr>
          <w:rFonts w:ascii="KaiTi_GB2312" w:eastAsia="KaiTi_GB2312" w:hint="eastAsia"/>
          <w:color w:val="0000FF"/>
        </w:rPr>
        <w:t>(f)</w:t>
      </w:r>
      <w:r>
        <w:rPr>
          <w:rFonts w:ascii="KaiTi_GB2312" w:eastAsia="KaiTi_GB2312"/>
          <w:color w:val="0000FF"/>
        </w:rPr>
        <w:tab/>
      </w:r>
      <w:r>
        <w:rPr>
          <w:rFonts w:ascii="KaiTi_GB2312" w:eastAsia="KaiTi_GB2312" w:hint="eastAsia"/>
          <w:color w:val="0000FF"/>
        </w:rPr>
        <w:t>在监护、看管、受托和收养子女或类似的制度方面，如果国家法规有这些观念的话，有相同的权利和义务；但在任何情形下，均应以子女的利益为重；</w:t>
      </w:r>
    </w:p>
    <w:p w:rsidR="00320E49" w:rsidRDefault="00320E49">
      <w:pPr>
        <w:pStyle w:val="SingleTxt"/>
        <w:spacing w:line="330" w:lineRule="exact"/>
        <w:rPr>
          <w:rFonts w:hint="eastAsia"/>
        </w:rPr>
      </w:pPr>
      <w:r>
        <w:tab/>
      </w:r>
      <w:r>
        <w:rPr>
          <w:rFonts w:hint="eastAsia"/>
        </w:rPr>
        <w:t>未成年的子女应仍受其父母的监护，除非按照民法典第335条因法律原因取消了这种权利。只要婚姻结合继续存在，父母同样享有这种监护权。但是，如果离婚，法官则可能把孩子的监护权判给夫妻一方。在这方面男子并不比妇女优先。没得到监护权的一方有责任共同分担扶养子女的经济需要。法院按照孩子的利益决定探视权。</w:t>
      </w:r>
    </w:p>
    <w:p w:rsidR="00320E49" w:rsidRDefault="00320E49">
      <w:pPr>
        <w:pStyle w:val="SingleTxt"/>
        <w:rPr>
          <w:rFonts w:hint="eastAsia"/>
        </w:rPr>
      </w:pPr>
      <w:r>
        <w:tab/>
      </w:r>
      <w:r>
        <w:rPr>
          <w:rFonts w:hint="eastAsia"/>
        </w:rPr>
        <w:t>30或30岁以上的妇女和男子，有权作为单身或结婚至少五年的夫妻共同领养一个孩子。未婚夫妻不能共同领养子女。</w:t>
      </w:r>
    </w:p>
    <w:p w:rsidR="00320E49" w:rsidRDefault="00320E49">
      <w:pPr>
        <w:pStyle w:val="SingleTxt"/>
        <w:rPr>
          <w:rFonts w:hint="eastAsia"/>
        </w:rPr>
      </w:pPr>
      <w:r>
        <w:tab/>
      </w:r>
      <w:r>
        <w:rPr>
          <w:rFonts w:hint="eastAsia"/>
        </w:rPr>
        <w:t>民法典增加的一个新条款规定，夫妻有责任关心和怜悯他们收养的孩子(第338条)。</w:t>
      </w:r>
    </w:p>
    <w:p w:rsidR="00320E49" w:rsidRDefault="00320E49">
      <w:pPr>
        <w:pStyle w:val="SingleTxt"/>
        <w:rPr>
          <w:rFonts w:hint="eastAsia"/>
        </w:rPr>
      </w:pPr>
      <w:r>
        <w:tab/>
      </w:r>
      <w:r>
        <w:rPr>
          <w:rFonts w:hint="eastAsia"/>
        </w:rPr>
        <w:t>缔约各国应确保：</w:t>
      </w:r>
    </w:p>
    <w:p w:rsidR="00320E49" w:rsidRDefault="00320E49">
      <w:pPr>
        <w:pStyle w:val="SingleTxt"/>
        <w:rPr>
          <w:rFonts w:ascii="KaiTi_GB2312" w:eastAsia="KaiTi_GB2312" w:hint="eastAsia"/>
          <w:color w:val="0000FF"/>
        </w:rPr>
      </w:pPr>
      <w:r>
        <w:tab/>
      </w:r>
      <w:r>
        <w:rPr>
          <w:rFonts w:ascii="KaiTi_GB2312" w:eastAsia="KaiTi_GB2312" w:hint="eastAsia"/>
          <w:color w:val="0000FF"/>
        </w:rPr>
        <w:t>(g)</w:t>
      </w:r>
      <w:r>
        <w:rPr>
          <w:rFonts w:ascii="KaiTi_GB2312" w:eastAsia="KaiTi_GB2312"/>
          <w:color w:val="0000FF"/>
        </w:rPr>
        <w:tab/>
      </w:r>
      <w:r>
        <w:rPr>
          <w:rFonts w:ascii="KaiTi_GB2312" w:eastAsia="KaiTi_GB2312" w:hint="eastAsia"/>
          <w:color w:val="0000FF"/>
        </w:rPr>
        <w:t>夫妻有相同的个人权利，包括选择姓氏、专业和职业的权利；</w:t>
      </w:r>
    </w:p>
    <w:p w:rsidR="00320E49" w:rsidRDefault="00320E49">
      <w:pPr>
        <w:pStyle w:val="SingleTxt"/>
        <w:rPr>
          <w:rFonts w:hint="eastAsia"/>
        </w:rPr>
      </w:pPr>
      <w:r>
        <w:tab/>
      </w:r>
      <w:r>
        <w:rPr>
          <w:rFonts w:hint="eastAsia"/>
        </w:rPr>
        <w:t>在新的民法典中保留了允许妇女结婚后在丈夫的姓前保留并使用自己的姓或用丈夫的姓的1997年修正案(第187条)。</w:t>
      </w:r>
    </w:p>
    <w:p w:rsidR="00320E49" w:rsidRDefault="00320E49">
      <w:pPr>
        <w:pStyle w:val="SingleTxt"/>
        <w:spacing w:line="340" w:lineRule="exact"/>
        <w:rPr>
          <w:rFonts w:hint="eastAsia"/>
        </w:rPr>
      </w:pPr>
      <w:r>
        <w:tab/>
      </w:r>
      <w:r>
        <w:rPr>
          <w:rFonts w:hint="eastAsia"/>
        </w:rPr>
        <w:t>如土耳其上一份报告所指出的，要求妇女外出工作前要得到丈夫允许的条款已在1990年废除。从那时以来由于没有替代的法律，妇女工作权利仅由宣布每一个人都有工作的权利和义务的宪法来管理。有关工作权利的这一原则已被纳入新的民法典。按照第192条的规定，夫妻在选择工作或专业时都不必寻求对方的允许。但是在该条中有一款说明，“在选择和从事一项工作或专业时，应考虑到婚姻组合的一致与福利。”鉴于有关性别关系的传统价值观继续存在，这一条款可能会危及并限制妇女独立做出决定，从而导致歧视现象发生。</w:t>
      </w:r>
    </w:p>
    <w:p w:rsidR="00320E49" w:rsidRDefault="00320E49">
      <w:pPr>
        <w:pStyle w:val="SingleTxt"/>
        <w:rPr>
          <w:rFonts w:hint="eastAsia"/>
        </w:rPr>
      </w:pPr>
      <w:r>
        <w:tab/>
      </w:r>
      <w:r>
        <w:rPr>
          <w:rFonts w:hint="eastAsia"/>
        </w:rPr>
        <w:t>缔约各国应确保：</w:t>
      </w:r>
    </w:p>
    <w:p w:rsidR="00320E49" w:rsidRDefault="00320E49">
      <w:pPr>
        <w:pStyle w:val="SingleTxt"/>
        <w:rPr>
          <w:rFonts w:ascii="KaiTi_GB2312" w:eastAsia="KaiTi_GB2312" w:hint="eastAsia"/>
          <w:color w:val="0000FF"/>
        </w:rPr>
      </w:pPr>
      <w:r>
        <w:tab/>
      </w:r>
      <w:r>
        <w:rPr>
          <w:rFonts w:ascii="KaiTi_GB2312" w:eastAsia="KaiTi_GB2312" w:hint="eastAsia"/>
          <w:color w:val="0000FF"/>
        </w:rPr>
        <w:t>(h)</w:t>
      </w:r>
      <w:r>
        <w:rPr>
          <w:rFonts w:ascii="KaiTi_GB2312" w:eastAsia="KaiTi_GB2312" w:hint="eastAsia"/>
          <w:color w:val="0000FF"/>
        </w:rPr>
        <w:tab/>
        <w:t>配偶双方在财产的所有、取得、经营、管理、享有、处置方面，不论是无偿的或是收取价值报酬的，都具有相同的权利。</w:t>
      </w:r>
    </w:p>
    <w:p w:rsidR="00320E49" w:rsidRDefault="00320E49">
      <w:pPr>
        <w:pStyle w:val="SingleTxt"/>
        <w:spacing w:line="340" w:lineRule="exact"/>
        <w:rPr>
          <w:rFonts w:hint="eastAsia"/>
        </w:rPr>
      </w:pPr>
      <w:r>
        <w:tab/>
      </w:r>
      <w:r>
        <w:rPr>
          <w:rFonts w:hint="eastAsia"/>
        </w:rPr>
        <w:t>如本报告第一条所指出的，新民法典所采用的合法财产制度是有关既得财产所有权的制度(第218-241条)。该制度采用了婚姻存续过程中所获全部财产的增加值在离婚时应平均分享的条款。通过采用平均的婚姻财产制度，新的法律不仅承认两人对婚姻组合作出的货币贡献，而且也承认为家庭日常生活的延续所作出的体力和脑力劳动的价值。因此，新的财产制度承认妇女在家庭中的无偿劳动。如果双方在结婚前或结婚后不选择其他的书面制度，新的财产制度则有效。</w:t>
      </w:r>
    </w:p>
    <w:p w:rsidR="00320E49" w:rsidRDefault="00320E49">
      <w:pPr>
        <w:pStyle w:val="SingleTxt"/>
        <w:spacing w:line="340" w:lineRule="exact"/>
        <w:rPr>
          <w:rFonts w:hint="eastAsia"/>
        </w:rPr>
      </w:pPr>
      <w:r>
        <w:tab/>
      </w:r>
      <w:r>
        <w:rPr>
          <w:rFonts w:hint="eastAsia"/>
        </w:rPr>
        <w:t>法律中有四种财产制度：关于既得财产所有权的制度(新法中的合法财产制度)；财产分割(第242-243条)；共有财产的分割(第244-255条)和共同财产制度(第256-281条)。后两种制度也存在于前一个民法典中。除了最后一种制度之外，其他制度都要求在婚姻结合终止时，解决共同财产问题。前一个民法典中的合法财产制就是财产分割制。这一制度承认以夫妻一方名义注册的物品的个人所有权。因此，离婚后各方可保留婚前所拥有的和婚姻过程中以其名义获得的财产。由于土耳其的惯例是男子通常是家庭财产的合法所有人，所以按照这种制度一旦离婚妇女常常一无所有。因此，新的财产制度不仅是妇女的保障，而且也是对她们自尊心和权利的贡献。但是新的合法财产制度设有追溯效力。</w:t>
      </w:r>
    </w:p>
    <w:p w:rsidR="00320E49" w:rsidRDefault="00320E49">
      <w:pPr>
        <w:pStyle w:val="SingleTxt"/>
        <w:spacing w:line="340" w:lineRule="exact"/>
        <w:rPr>
          <w:rFonts w:hint="eastAsia"/>
        </w:rPr>
      </w:pPr>
      <w:r>
        <w:tab/>
      </w:r>
      <w:r>
        <w:rPr>
          <w:rFonts w:hint="eastAsia"/>
        </w:rPr>
        <w:t>在财产继承方面，幸存的配偶按照管理特定制度的规则有权得到共同资产中他/她的份额。资产的剩余部分将按照法律(第499条)的规定在继承人中分配。土耳其法律给予女性和男性子女对父母财产同等份额的继承权。法律的强制性条文保证了妇女对其兄弟而言的平等继承权，即使通过被继承人的遗嘱也不能撤消这种继承权(第649条)。婚外生的确定了血统的子女享有同样的继承权(第498条)。领养的孩子享有和非婚生子女同样的继承权(第500条)。随着为防止土地分裂，而在农业财产中给予男性子女优先的第661条的改变，继承法中最明显的歧视性质得到了纠正。新法中未提及儿子或女儿。与土耳其人结婚的外国人有权享有与其对应的土耳其人同样的继承份额。</w:t>
      </w:r>
    </w:p>
    <w:p w:rsidR="00320E49" w:rsidRDefault="00320E49">
      <w:pPr>
        <w:pStyle w:val="SingleTxt"/>
        <w:spacing w:line="340" w:lineRule="exact"/>
        <w:rPr>
          <w:rFonts w:ascii="KaiTi_GB2312" w:eastAsia="KaiTi_GB2312" w:hint="eastAsia"/>
          <w:color w:val="0000FF"/>
        </w:rPr>
      </w:pPr>
      <w:r>
        <w:rPr>
          <w:rFonts w:ascii="KaiTi_GB2312" w:eastAsia="KaiTi_GB2312"/>
          <w:b/>
          <w:bCs/>
          <w:color w:val="0000FF"/>
        </w:rPr>
        <w:tab/>
      </w:r>
      <w:r>
        <w:rPr>
          <w:rFonts w:ascii="KaiTi_GB2312" w:eastAsia="KaiTi_GB2312" w:hint="eastAsia"/>
          <w:b/>
          <w:bCs/>
          <w:color w:val="0000FF"/>
        </w:rPr>
        <w:t>第十六条.2.</w:t>
      </w:r>
      <w:r>
        <w:rPr>
          <w:rFonts w:ascii="KaiTi_GB2312" w:eastAsia="KaiTi_GB2312" w:hint="eastAsia"/>
          <w:color w:val="0000FF"/>
        </w:rPr>
        <w:t xml:space="preserve"> 童年订婚和童婚不具法律效力，并应采取一切必要行动，包括制订法律，规定婚姻最低年龄，并规定婚姻必须向正式登记机构登记。</w:t>
      </w:r>
    </w:p>
    <w:p w:rsidR="00320E49" w:rsidRDefault="00320E49">
      <w:pPr>
        <w:pStyle w:val="SingleTxt"/>
        <w:spacing w:line="340" w:lineRule="exact"/>
        <w:rPr>
          <w:rFonts w:hint="eastAsia"/>
        </w:rPr>
      </w:pPr>
      <w:r>
        <w:tab/>
      </w:r>
      <w:r>
        <w:rPr>
          <w:rFonts w:hint="eastAsia"/>
        </w:rPr>
        <w:t>如前所述，土耳其民法典已规定了婚姻的最低年龄，并规定了未成年人结婚的条件。因此，按照民法典的家庭法一章的规定，婚姻仪式的程序要求希望结婚的情侣向登记处申请。申请得到批准后，可举行结婚仪式。然后这对情侣可以得到一份正式的结婚证书。法律明确规定，只有在法定仪式之后才能举行宗教婚姻仪式，否则这对情侣将违反刑法(刑法典第237条)。</w:t>
      </w:r>
    </w:p>
    <w:p w:rsidR="00320E49" w:rsidRDefault="00320E49">
      <w:pPr>
        <w:pStyle w:val="SingleTxt"/>
        <w:spacing w:after="0" w:line="240" w:lineRule="auto"/>
        <w:rPr>
          <w:sz w:val="20"/>
        </w:rPr>
      </w:pPr>
      <w:r>
        <w:rPr>
          <w:noProof/>
          <w:sz w:val="20"/>
        </w:rPr>
        <w:pict>
          <v:line id="_x0000_s2050" style="position:absolute;left:0;text-align:left;z-index:1;mso-position-horizontal:center" from="0,30pt" to="1in,30pt" strokeweight=".25pt"/>
        </w:pict>
      </w:r>
    </w:p>
    <w:sectPr w:rsidR="00320E49">
      <w:type w:val="continuous"/>
      <w:pgSz w:w="12242" w:h="15842" w:code="1"/>
      <w:pgMar w:top="1742" w:right="1195" w:bottom="1898" w:left="1195" w:header="576" w:footer="1030" w:gutter="0"/>
      <w:pgNumType w:start="1"/>
      <w:cols w:space="425"/>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320E49" w:rsidRDefault="00320E49">
      <w:pPr>
        <w:pStyle w:val="CommentText"/>
      </w:pPr>
      <w:r>
        <w:fldChar w:fldCharType="begin"/>
      </w:r>
      <w:r>
        <w:instrText>PAGE</w:instrText>
      </w:r>
      <w:r>
        <w:rPr>
          <w:rFonts w:hint="eastAsia"/>
        </w:rPr>
        <w:instrText xml:space="preserve"> \# "'页：'#'</w:instrText>
      </w:r>
      <w:r>
        <w:rPr>
          <w:rFonts w:hint="eastAsia"/>
        </w:rPr>
        <w:br/>
        <w:instrText>'"</w:instrText>
      </w:r>
      <w:r>
        <w:rPr>
          <w:rStyle w:val="CommentReference"/>
        </w:rPr>
        <w:instrText xml:space="preserve">  </w:instrText>
      </w:r>
      <w:r>
        <w:fldChar w:fldCharType="separate"/>
      </w:r>
      <w:r>
        <w:rPr>
          <w:rFonts w:hint="eastAsia"/>
          <w:noProof/>
        </w:rPr>
        <w:t>页：</w:t>
      </w:r>
      <w:r>
        <w:rPr>
          <w:noProof/>
        </w:rPr>
        <w:t>1</w:t>
      </w:r>
      <w:r>
        <w:rPr>
          <w:rFonts w:hint="eastAsia"/>
          <w:noProof/>
        </w:rPr>
        <w:br/>
      </w:r>
      <w:r>
        <w:fldChar w:fldCharType="end"/>
      </w:r>
      <w:r>
        <w:rPr>
          <w:rStyle w:val="CommentReference"/>
          <w:rFonts w:hint="eastAsia"/>
        </w:rPr>
        <w:annotationRef/>
      </w:r>
      <w:r>
        <w:t>&lt;&lt;ODS JOB NO&gt;&gt;N0346437C&lt;&lt;ODS JOB NO&gt;&gt;</w:t>
      </w:r>
    </w:p>
    <w:p w:rsidR="00320E49" w:rsidRDefault="00320E49">
      <w:pPr>
        <w:pStyle w:val="CommentText"/>
      </w:pPr>
      <w:r>
        <w:t>&lt;&lt;ODS DOC SYMBOL1&gt;&gt;CEDAW/C/TUR/4-5&lt;&lt;ODS DOC SYMBOL1&gt;&gt;</w:t>
      </w:r>
    </w:p>
    <w:p w:rsidR="00320E49" w:rsidRDefault="00320E49">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CE6DA5">
      <w:pPr>
        <w:spacing w:line="240" w:lineRule="auto"/>
      </w:pPr>
      <w:r>
        <w:separator/>
      </w:r>
    </w:p>
  </w:endnote>
  <w:endnote w:type="continuationSeparator" w:id="0">
    <w:p w:rsidR="00000000" w:rsidRDefault="00CE6DA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Arial Unicode MS"/>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320E49">
      <w:tblPrEx>
        <w:tblCellMar>
          <w:top w:w="0" w:type="dxa"/>
          <w:bottom w:w="0" w:type="dxa"/>
        </w:tblCellMar>
      </w:tblPrEx>
      <w:tc>
        <w:tcPr>
          <w:tcW w:w="5034" w:type="dxa"/>
          <w:vAlign w:val="bottom"/>
        </w:tcPr>
        <w:p w:rsidR="00320E49" w:rsidRDefault="00320E49">
          <w:pPr>
            <w:pStyle w:val="Footer"/>
          </w:pPr>
          <w:r>
            <w:fldChar w:fldCharType="begin"/>
          </w:r>
          <w:r>
            <w:instrText xml:space="preserve"> PAGE  \* MERGEFORMAT </w:instrText>
          </w:r>
          <w:r>
            <w:fldChar w:fldCharType="separate"/>
          </w:r>
          <w:r>
            <w:t>44</w:t>
          </w:r>
          <w:r>
            <w:fldChar w:fldCharType="end"/>
          </w:r>
        </w:p>
      </w:tc>
      <w:tc>
        <w:tcPr>
          <w:tcW w:w="5034" w:type="dxa"/>
          <w:vAlign w:val="bottom"/>
        </w:tcPr>
        <w:p w:rsidR="00320E49" w:rsidRDefault="00320E49">
          <w:pPr>
            <w:pStyle w:val="Footer"/>
            <w:jc w:val="right"/>
          </w:pPr>
        </w:p>
      </w:tc>
    </w:tr>
  </w:tbl>
  <w:p w:rsidR="00320E49" w:rsidRDefault="00320E4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320E49">
      <w:tblPrEx>
        <w:tblCellMar>
          <w:top w:w="0" w:type="dxa"/>
          <w:bottom w:w="0" w:type="dxa"/>
        </w:tblCellMar>
      </w:tblPrEx>
      <w:tc>
        <w:tcPr>
          <w:tcW w:w="5034" w:type="dxa"/>
          <w:vAlign w:val="bottom"/>
        </w:tcPr>
        <w:p w:rsidR="00320E49" w:rsidRDefault="00320E49">
          <w:pPr>
            <w:pStyle w:val="Footer"/>
          </w:pPr>
        </w:p>
      </w:tc>
      <w:tc>
        <w:tcPr>
          <w:tcW w:w="5034" w:type="dxa"/>
          <w:vAlign w:val="bottom"/>
        </w:tcPr>
        <w:p w:rsidR="00320E49" w:rsidRDefault="00320E49">
          <w:pPr>
            <w:pStyle w:val="Footer"/>
            <w:jc w:val="right"/>
          </w:pPr>
          <w:r>
            <w:fldChar w:fldCharType="begin"/>
          </w:r>
          <w:r>
            <w:instrText xml:space="preserve"> PAGE  \* MERGEFORMAT </w:instrText>
          </w:r>
          <w:r>
            <w:fldChar w:fldCharType="separate"/>
          </w:r>
          <w:r>
            <w:t>45</w:t>
          </w:r>
          <w:r>
            <w:fldChar w:fldCharType="end"/>
          </w:r>
        </w:p>
      </w:tc>
    </w:tr>
  </w:tbl>
  <w:p w:rsidR="00320E49" w:rsidRDefault="00320E4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0E49" w:rsidRDefault="00320E49">
    <w:pPr>
      <w:pStyle w:val="Footer"/>
      <w:rPr>
        <w:b w:val="0"/>
        <w:sz w:val="21"/>
      </w:rPr>
    </w:pPr>
    <w:r>
      <w:rPr>
        <w:b w:val="0"/>
        <w:sz w:val="21"/>
      </w:rPr>
      <w:t>03-46437 (C)    031003    061003</w:t>
    </w:r>
  </w:p>
  <w:p w:rsidR="00320E49" w:rsidRDefault="00320E49">
    <w:pPr>
      <w:spacing w:before="60" w:line="200" w:lineRule="exact"/>
      <w:rPr>
        <w:rFonts w:ascii="Barcode 3 of 9 by request" w:hAnsi="Barcode 3 of 9 by request"/>
        <w:b/>
      </w:rPr>
    </w:pPr>
    <w:r>
      <w:rPr>
        <w:rFonts w:ascii="Barcode 3 of 9 by request" w:hAnsi="Barcode 3 of 9 by request"/>
        <w:b/>
      </w:rPr>
      <w:t>*0346437*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20E49" w:rsidRDefault="00320E49">
      <w:pPr>
        <w:pStyle w:val="Footer"/>
        <w:spacing w:after="80"/>
        <w:ind w:left="792"/>
        <w:rPr>
          <w:sz w:val="16"/>
        </w:rPr>
      </w:pPr>
      <w:r>
        <w:rPr>
          <w:sz w:val="16"/>
        </w:rPr>
        <w:t>__________________</w:t>
      </w:r>
    </w:p>
  </w:footnote>
  <w:footnote w:type="continuationSeparator" w:id="0">
    <w:p w:rsidR="00320E49" w:rsidRDefault="00320E49">
      <w:pPr>
        <w:pStyle w:val="Footer"/>
        <w:spacing w:after="80"/>
        <w:ind w:left="792"/>
        <w:rPr>
          <w:sz w:val="16"/>
        </w:rPr>
      </w:pPr>
      <w:r>
        <w:rPr>
          <w:sz w:val="16"/>
        </w:rPr>
        <w:t>__________________</w:t>
      </w:r>
    </w:p>
  </w:footnote>
  <w:footnote w:id="1">
    <w:p w:rsidR="00320E49" w:rsidRDefault="00320E49">
      <w:pPr>
        <w:pStyle w:val="FootnoteText"/>
        <w:tabs>
          <w:tab w:val="clear" w:pos="418"/>
          <w:tab w:val="right" w:pos="1195"/>
          <w:tab w:val="left" w:pos="1264"/>
          <w:tab w:val="left" w:pos="1695"/>
          <w:tab w:val="left" w:pos="2126"/>
          <w:tab w:val="left" w:pos="2557"/>
        </w:tabs>
        <w:ind w:left="1264" w:right="1264" w:hanging="432"/>
        <w:jc w:val="both"/>
      </w:pPr>
      <w:r>
        <w:tab/>
      </w:r>
      <w:r>
        <w:rPr>
          <w:rStyle w:val="FootnoteReference"/>
        </w:rPr>
        <w:t>*</w:t>
      </w:r>
      <w:r>
        <w:tab/>
      </w:r>
      <w:r>
        <w:rPr>
          <w:rFonts w:hint="eastAsia"/>
        </w:rPr>
        <w:t>关于土耳其政府提交的初次报告，见CEDAW/C/5/Add.46，由委员会第九届会议审议。关于土耳其政府提交的第二和三次定期报告，见CEDAW/C/TUR/2-3，由委员会第十六届会议审议。本文件未经正式编校。</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0E49" w:rsidRDefault="00320E49">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mso-wrap-style:tight" stroked="f">
          <v:textbox inset="0,0,0,0">
            <w:txbxContent>
              <w:tbl>
                <w:tblPr>
                  <w:tblW w:w="0" w:type="auto"/>
                  <w:tblInd w:w="108" w:type="dxa"/>
                  <w:tblBorders>
                    <w:bottom w:val="single" w:sz="12" w:space="0" w:color="auto"/>
                  </w:tblBorders>
                  <w:tblLayout w:type="fixed"/>
                  <w:tblCellMar>
                    <w:left w:w="0" w:type="dxa"/>
                    <w:right w:w="0" w:type="dxa"/>
                  </w:tblCellMar>
                  <w:tblLook w:val="0000" w:firstRow="0" w:lastRow="0" w:firstColumn="0" w:lastColumn="0" w:noHBand="0" w:noVBand="0"/>
                </w:tblPr>
                <w:tblGrid>
                  <w:gridCol w:w="4838"/>
                  <w:gridCol w:w="5048"/>
                </w:tblGrid>
                <w:tr w:rsidR="00320E49">
                  <w:tblPrEx>
                    <w:tblCellMar>
                      <w:top w:w="0" w:type="dxa"/>
                      <w:bottom w:w="0" w:type="dxa"/>
                    </w:tblCellMar>
                  </w:tblPrEx>
                  <w:trPr>
                    <w:trHeight w:hRule="exact" w:val="864"/>
                  </w:trPr>
                  <w:tc>
                    <w:tcPr>
                      <w:tcW w:w="4838" w:type="dxa"/>
                      <w:vAlign w:val="bottom"/>
                    </w:tcPr>
                    <w:p w:rsidR="00320E49" w:rsidRDefault="00320E49">
                      <w:pPr>
                        <w:pStyle w:val="Header"/>
                        <w:spacing w:after="80"/>
                        <w:rPr>
                          <w:b/>
                          <w:sz w:val="17"/>
                        </w:rPr>
                      </w:pPr>
                      <w:r>
                        <w:rPr>
                          <w:b/>
                          <w:sz w:val="17"/>
                        </w:rPr>
                        <w:t>CEDAW/C/TUR/4-5</w:t>
                      </w:r>
                    </w:p>
                  </w:tc>
                  <w:tc>
                    <w:tcPr>
                      <w:tcW w:w="5048" w:type="dxa"/>
                      <w:vAlign w:val="bottom"/>
                    </w:tcPr>
                    <w:p w:rsidR="00320E49" w:rsidRDefault="00320E49">
                      <w:pPr>
                        <w:pStyle w:val="Header"/>
                      </w:pPr>
                    </w:p>
                  </w:tc>
                </w:tr>
              </w:tbl>
              <w:p w:rsidR="00320E49" w:rsidRDefault="00320E49"/>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0E49" w:rsidRDefault="00320E49">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mso-wrap-style:tight" stroked="f">
          <v:textbox inset="0,0,0,0">
            <w:txbxContent>
              <w:tbl>
                <w:tblPr>
                  <w:tblW w:w="0" w:type="auto"/>
                  <w:tblInd w:w="108" w:type="dxa"/>
                  <w:tblBorders>
                    <w:bottom w:val="single" w:sz="12" w:space="0" w:color="auto"/>
                  </w:tblBorders>
                  <w:tblLayout w:type="fixed"/>
                  <w:tblCellMar>
                    <w:left w:w="0" w:type="dxa"/>
                    <w:right w:w="0" w:type="dxa"/>
                  </w:tblCellMar>
                  <w:tblLook w:val="0000" w:firstRow="0" w:lastRow="0" w:firstColumn="0" w:lastColumn="0" w:noHBand="0" w:noVBand="0"/>
                </w:tblPr>
                <w:tblGrid>
                  <w:gridCol w:w="4838"/>
                  <w:gridCol w:w="5048"/>
                </w:tblGrid>
                <w:tr w:rsidR="00320E49">
                  <w:tblPrEx>
                    <w:tblCellMar>
                      <w:top w:w="0" w:type="dxa"/>
                      <w:bottom w:w="0" w:type="dxa"/>
                    </w:tblCellMar>
                  </w:tblPrEx>
                  <w:trPr>
                    <w:trHeight w:hRule="exact" w:val="864"/>
                  </w:trPr>
                  <w:tc>
                    <w:tcPr>
                      <w:tcW w:w="4838" w:type="dxa"/>
                      <w:vAlign w:val="bottom"/>
                    </w:tcPr>
                    <w:p w:rsidR="00320E49" w:rsidRDefault="00320E49">
                      <w:pPr>
                        <w:pStyle w:val="Header"/>
                      </w:pPr>
                    </w:p>
                  </w:tc>
                  <w:tc>
                    <w:tcPr>
                      <w:tcW w:w="5048" w:type="dxa"/>
                      <w:vAlign w:val="bottom"/>
                    </w:tcPr>
                    <w:p w:rsidR="00320E49" w:rsidRDefault="00320E49">
                      <w:pPr>
                        <w:pStyle w:val="Header"/>
                        <w:spacing w:after="80"/>
                        <w:jc w:val="right"/>
                        <w:rPr>
                          <w:b/>
                          <w:sz w:val="17"/>
                        </w:rPr>
                      </w:pPr>
                      <w:r>
                        <w:rPr>
                          <w:b/>
                          <w:sz w:val="17"/>
                        </w:rPr>
                        <w:t>CEDAW/C/TUR/4-5</w:t>
                      </w:r>
                    </w:p>
                  </w:tc>
                </w:tr>
              </w:tbl>
              <w:p w:rsidR="00320E49" w:rsidRDefault="00320E49"/>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320E49">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320E49" w:rsidRDefault="00320E49">
          <w:pPr>
            <w:pStyle w:val="Header"/>
            <w:spacing w:after="120"/>
          </w:pPr>
        </w:p>
      </w:tc>
      <w:tc>
        <w:tcPr>
          <w:tcW w:w="1872" w:type="dxa"/>
          <w:tcBorders>
            <w:top w:val="nil"/>
            <w:left w:val="nil"/>
            <w:bottom w:val="single" w:sz="4" w:space="0" w:color="auto"/>
            <w:right w:val="nil"/>
          </w:tcBorders>
          <w:vAlign w:val="bottom"/>
        </w:tcPr>
        <w:p w:rsidR="00320E49" w:rsidRDefault="00320E49">
          <w:pPr>
            <w:pStyle w:val="HCh"/>
            <w:spacing w:after="80"/>
            <w:rPr>
              <w:rFonts w:eastAsia="SimSun"/>
              <w:spacing w:val="40"/>
              <w:w w:val="96"/>
            </w:rPr>
          </w:pPr>
          <w:r>
            <w:rPr>
              <w:rFonts w:eastAsia="SimSun" w:hint="eastAsia"/>
              <w:spacing w:val="40"/>
              <w:w w:val="96"/>
            </w:rPr>
            <w:t>联合国</w:t>
          </w:r>
        </w:p>
      </w:tc>
      <w:tc>
        <w:tcPr>
          <w:tcW w:w="245" w:type="dxa"/>
          <w:tcBorders>
            <w:top w:val="nil"/>
            <w:left w:val="nil"/>
            <w:bottom w:val="single" w:sz="4" w:space="0" w:color="auto"/>
            <w:right w:val="nil"/>
          </w:tcBorders>
          <w:vAlign w:val="bottom"/>
        </w:tcPr>
        <w:p w:rsidR="00320E49" w:rsidRDefault="00320E49">
          <w:pPr>
            <w:pStyle w:val="Header"/>
            <w:spacing w:after="120"/>
          </w:pPr>
        </w:p>
      </w:tc>
      <w:tc>
        <w:tcPr>
          <w:tcW w:w="6523" w:type="dxa"/>
          <w:gridSpan w:val="3"/>
          <w:tcBorders>
            <w:top w:val="nil"/>
            <w:left w:val="nil"/>
            <w:bottom w:val="single" w:sz="4" w:space="0" w:color="auto"/>
            <w:right w:val="nil"/>
          </w:tcBorders>
          <w:vAlign w:val="bottom"/>
        </w:tcPr>
        <w:p w:rsidR="00320E49" w:rsidRDefault="00320E49">
          <w:pPr>
            <w:spacing w:after="80" w:line="240" w:lineRule="auto"/>
            <w:jc w:val="right"/>
            <w:rPr>
              <w:rFonts w:ascii="Times New Roman"/>
              <w:position w:val="-4"/>
              <w:sz w:val="20"/>
            </w:rPr>
          </w:pPr>
          <w:r>
            <w:rPr>
              <w:rFonts w:ascii="Times New Roman"/>
              <w:position w:val="-4"/>
              <w:sz w:val="40"/>
            </w:rPr>
            <w:t>CEDAW</w:t>
          </w:r>
          <w:r>
            <w:rPr>
              <w:rFonts w:ascii="Times New Roman"/>
              <w:position w:val="-4"/>
              <w:sz w:val="20"/>
            </w:rPr>
            <w:t>/C/TUR/4-5</w:t>
          </w:r>
        </w:p>
      </w:tc>
    </w:tr>
    <w:tr w:rsidR="00320E49">
      <w:tblPrEx>
        <w:tblCellMar>
          <w:top w:w="0" w:type="dxa"/>
          <w:bottom w:w="0" w:type="dxa"/>
        </w:tblCellMar>
      </w:tblPrEx>
      <w:trPr>
        <w:trHeight w:hRule="exact" w:val="2880"/>
      </w:trPr>
      <w:tc>
        <w:tcPr>
          <w:tcW w:w="1267" w:type="dxa"/>
          <w:tcBorders>
            <w:left w:val="nil"/>
            <w:bottom w:val="single" w:sz="12" w:space="0" w:color="auto"/>
            <w:right w:val="nil"/>
          </w:tcBorders>
        </w:tcPr>
        <w:p w:rsidR="00320E49" w:rsidRDefault="00320E49">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320E49" w:rsidRDefault="00320E49">
          <w:pPr>
            <w:pStyle w:val="Header"/>
            <w:spacing w:before="109"/>
            <w:ind w:left="-72"/>
          </w:pPr>
        </w:p>
      </w:tc>
      <w:tc>
        <w:tcPr>
          <w:tcW w:w="5227" w:type="dxa"/>
          <w:gridSpan w:val="3"/>
          <w:tcBorders>
            <w:left w:val="nil"/>
            <w:bottom w:val="single" w:sz="12" w:space="0" w:color="auto"/>
            <w:right w:val="nil"/>
          </w:tcBorders>
        </w:tcPr>
        <w:p w:rsidR="00320E49" w:rsidRDefault="00320E49">
          <w:pPr>
            <w:pStyle w:val="XLarge"/>
            <w:spacing w:before="109" w:after="140" w:line="400" w:lineRule="exact"/>
            <w:rPr>
              <w:sz w:val="34"/>
            </w:rPr>
          </w:pPr>
          <w:r>
            <w:rPr>
              <w:rFonts w:hint="eastAsia"/>
              <w:sz w:val="34"/>
            </w:rPr>
            <w:t>消除对妇女一切形式歧视公约</w:t>
          </w:r>
        </w:p>
      </w:tc>
      <w:tc>
        <w:tcPr>
          <w:tcW w:w="245" w:type="dxa"/>
          <w:tcBorders>
            <w:left w:val="nil"/>
            <w:bottom w:val="single" w:sz="12" w:space="0" w:color="auto"/>
            <w:right w:val="nil"/>
          </w:tcBorders>
        </w:tcPr>
        <w:p w:rsidR="00320E49" w:rsidRDefault="00320E49">
          <w:pPr>
            <w:pStyle w:val="Header"/>
            <w:spacing w:before="109"/>
          </w:pPr>
        </w:p>
      </w:tc>
      <w:tc>
        <w:tcPr>
          <w:tcW w:w="3180" w:type="dxa"/>
          <w:gridSpan w:val="2"/>
          <w:tcBorders>
            <w:left w:val="nil"/>
            <w:bottom w:val="single" w:sz="12" w:space="0" w:color="auto"/>
            <w:right w:val="nil"/>
          </w:tcBorders>
        </w:tcPr>
        <w:p w:rsidR="00320E49" w:rsidRDefault="00320E49">
          <w:pPr>
            <w:spacing w:before="240" w:line="240" w:lineRule="exact"/>
            <w:rPr>
              <w:rFonts w:ascii="Times New Roman"/>
            </w:rPr>
          </w:pPr>
          <w:r>
            <w:rPr>
              <w:rFonts w:ascii="Times New Roman"/>
            </w:rPr>
            <w:t>Distr.: General</w:t>
          </w:r>
        </w:p>
        <w:p w:rsidR="00320E49" w:rsidRDefault="00320E49">
          <w:pPr>
            <w:spacing w:line="240" w:lineRule="exact"/>
            <w:rPr>
              <w:rFonts w:ascii="Times New Roman"/>
            </w:rPr>
          </w:pPr>
          <w:r>
            <w:rPr>
              <w:rFonts w:ascii="Times New Roman"/>
            </w:rPr>
            <w:t>8 August 2003</w:t>
          </w:r>
        </w:p>
        <w:p w:rsidR="00320E49" w:rsidRDefault="00320E49">
          <w:pPr>
            <w:spacing w:line="240" w:lineRule="exact"/>
            <w:rPr>
              <w:rFonts w:ascii="Times New Roman"/>
            </w:rPr>
          </w:pPr>
          <w:r>
            <w:rPr>
              <w:rFonts w:ascii="Times New Roman"/>
            </w:rPr>
            <w:t>Chinese</w:t>
          </w:r>
        </w:p>
        <w:p w:rsidR="00320E49" w:rsidRDefault="00320E49">
          <w:pPr>
            <w:spacing w:line="240" w:lineRule="exact"/>
            <w:rPr>
              <w:rFonts w:ascii="Times New Roman"/>
            </w:rPr>
          </w:pPr>
          <w:r>
            <w:rPr>
              <w:rFonts w:ascii="Times New Roman"/>
            </w:rPr>
            <w:t>Original: English</w:t>
          </w:r>
        </w:p>
      </w:tc>
    </w:tr>
  </w:tbl>
  <w:p w:rsidR="00320E49" w:rsidRDefault="00320E49">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hideSpellingErrors/>
  <w:hideGrammaticalErrors/>
  <w:activeWritingStyle w:appName="MSWord" w:lang="zh-CN" w:vendorID="64" w:dllVersion="131077"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efaultTabStop w:val="431"/>
  <w:evenAndOddHeaders/>
  <w:drawingGridHorizontalSpacing w:val="105"/>
  <w:drawingGridVerticalSpacing w:val="156"/>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pos w:val="sectEnd"/>
    <w:endnote w:id="-1"/>
    <w:endnote w:id="0"/>
  </w:endnotePr>
  <w:compat>
    <w:spaceForUL/>
    <w:balanceSingleByteDoubleByteWidth/>
    <w:doNotLeaveBackslashAlone/>
    <w:ulTrailSpace/>
    <w:doNotExpandShiftReturn/>
    <w:printColBlack/>
    <w:showBreaksInFrames/>
    <w:suppressBottomSpacing/>
    <w:suppressTopSpacing/>
    <w:suppressSpBfAfterPgBrk/>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3/10/2003 3:52: PM"/>
    <w:docVar w:name="DocCategory" w:val="Doc"/>
    <w:docVar w:name="DocType" w:val="Final"/>
    <w:docVar w:name="JobNo" w:val="0346437C"/>
    <w:docVar w:name="OandT" w:val=" "/>
    <w:docVar w:name="Symbol1" w:val="CEDAW/C/TUR/4-5"/>
    <w:docVar w:name="Symbol2" w:val="-"/>
  </w:docVars>
  <w:rsids>
    <w:rsidRoot w:val="00320E49"/>
    <w:rsid w:val="00320E49"/>
    <w:rsid w:val="00CE6DA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320" w:lineRule="exact"/>
    </w:pPr>
    <w:rPr>
      <w:rFonts w:ascii="SimSun"/>
      <w:kern w:val="14"/>
      <w:sz w:val="21"/>
      <w:lang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SingleTxt"/>
    <w:pPr>
      <w:keepNext/>
      <w:keepLines/>
      <w:suppressAutoHyphens/>
      <w:outlineLvl w:val="0"/>
    </w:pPr>
    <w:rPr>
      <w:rFonts w:ascii="SimHei" w:eastAsia="SimHei"/>
      <w:color w:val="FF0000"/>
      <w:sz w:val="24"/>
    </w:rPr>
  </w:style>
  <w:style w:type="paragraph" w:customStyle="1" w:styleId="HCh">
    <w:name w:val="_ H _Ch"/>
    <w:basedOn w:val="H1"/>
    <w:next w:val="SingleTxt"/>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SingleTxt"/>
    <w:pPr>
      <w:outlineLvl w:val="1"/>
    </w:pPr>
    <w:rPr>
      <w:rFonts w:ascii="SimHei" w:eastAsia="SimHei"/>
      <w:color w:val="FF0000"/>
      <w:spacing w:val="2"/>
    </w:rPr>
  </w:style>
  <w:style w:type="paragraph" w:customStyle="1" w:styleId="H4">
    <w:name w:val="_ H_4"/>
    <w:basedOn w:val="Normal"/>
    <w:next w:val="SingleTxt"/>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pPr>
      <w:tabs>
        <w:tab w:val="left" w:pos="431"/>
      </w:tabs>
      <w:spacing w:after="140"/>
    </w:pPr>
    <w:rPr>
      <w:rFonts w:hAnsi="Courier New" w:cs="Courier New"/>
      <w:szCs w:val="21"/>
    </w:rPr>
  </w:style>
  <w:style w:type="paragraph" w:styleId="NormalIndent">
    <w:name w:val="Normal Indent"/>
    <w:basedOn w:val="Normal"/>
    <w:pPr>
      <w:ind w:firstLine="431"/>
    </w:pPr>
  </w:style>
  <w:style w:type="paragraph" w:styleId="BodyText">
    <w:name w:val="Body Text"/>
    <w:basedOn w:val="Normal"/>
  </w:style>
  <w:style w:type="paragraph" w:styleId="BodyText2">
    <w:name w:val="Body Text 2"/>
    <w:basedOn w:val="Normal"/>
  </w:style>
  <w:style w:type="character" w:styleId="LineNumber">
    <w:name w:val="line number"/>
    <w:rPr>
      <w:sz w:val="14"/>
    </w:rPr>
  </w:style>
  <w:style w:type="paragraph" w:styleId="Header">
    <w:name w:val="header"/>
    <w:pPr>
      <w:tabs>
        <w:tab w:val="center" w:pos="4320"/>
        <w:tab w:val="right" w:pos="8640"/>
      </w:tabs>
    </w:pPr>
    <w:rPr>
      <w:noProof/>
      <w:sz w:val="18"/>
      <w:lang w:eastAsia="zh-CN"/>
    </w:rPr>
  </w:style>
  <w:style w:type="paragraph" w:styleId="Footer">
    <w:name w:val="footer"/>
    <w:pPr>
      <w:tabs>
        <w:tab w:val="center" w:pos="4320"/>
        <w:tab w:val="right" w:pos="8640"/>
      </w:tabs>
    </w:pPr>
    <w:rPr>
      <w:b/>
      <w:noProof/>
      <w:sz w:val="17"/>
      <w:lang w:eastAsia="zh-CN"/>
    </w:rPr>
  </w:style>
  <w:style w:type="paragraph" w:styleId="CommentText">
    <w:name w:val="annotation text"/>
    <w:basedOn w:val="Normal"/>
    <w:semiHidden/>
  </w:style>
  <w:style w:type="paragraph" w:styleId="BalloonText">
    <w:name w:val="Balloon Text"/>
    <w:basedOn w:val="Normal"/>
    <w:semiHidden/>
    <w:rsid w:val="00320E49"/>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138</TotalTime>
  <Pages>45</Pages>
  <Words>6603</Words>
  <Characters>37640</Characters>
  <Application>Microsoft Office Word</Application>
  <DocSecurity>4</DocSecurity>
  <Lines>313</Lines>
  <Paragraphs>88</Paragraphs>
  <ScaleCrop>false</ScaleCrop>
  <HeadingPairs>
    <vt:vector size="4" baseType="variant">
      <vt:variant>
        <vt:lpstr>Title</vt:lpstr>
      </vt:variant>
      <vt:variant>
        <vt:i4>1</vt:i4>
      </vt:variant>
      <vt:variant>
        <vt:lpstr>题目</vt:lpstr>
      </vt:variant>
      <vt:variant>
        <vt:i4>1</vt:i4>
      </vt:variant>
    </vt:vector>
  </HeadingPairs>
  <TitlesOfParts>
    <vt:vector size="2" baseType="lpstr">
      <vt:lpstr> </vt:lpstr>
      <vt:lpstr> </vt:lpstr>
    </vt:vector>
  </TitlesOfParts>
  <Company>United Nations</Company>
  <LinksUpToDate>false</LinksUpToDate>
  <CharactersWithSpaces>44155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dc:creator>
  <cp:keywords/>
  <dc:description/>
  <cp:lastModifiedBy>DGAACS</cp:lastModifiedBy>
  <cp:revision>22</cp:revision>
  <cp:lastPrinted>2003-10-06T09:52:00Z</cp:lastPrinted>
  <dcterms:created xsi:type="dcterms:W3CDTF">2003-10-03T14:52:00Z</dcterms:created>
  <dcterms:modified xsi:type="dcterms:W3CDTF">2003-10-06T10:11:00Z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0346437</vt:lpwstr>
  </property>
  <property fmtid="{D5CDD505-2E9C-101B-9397-08002B2CF9AE}" pid="3" name="Symbol1">
    <vt:lpwstr>CEDAW/C/TUR/4-5</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