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D0CAC">
      <w:pPr>
        <w:spacing w:after="320"/>
        <w:textAlignment w:val="center"/>
      </w:pPr>
      <w:r>
        <w:t>1997</w:t>
      </w:r>
      <w:r>
        <w:rPr>
          <w:rFonts w:hint="eastAsia"/>
        </w:rPr>
        <w:t>年实务会议</w:t>
      </w:r>
    </w:p>
    <w:p w:rsidR="00000000" w:rsidRDefault="00BD0CAC">
      <w:pPr>
        <w:spacing w:after="320"/>
        <w:textAlignment w:val="center"/>
      </w:pPr>
    </w:p>
    <w:p w:rsidR="00000000" w:rsidRDefault="00BD0CAC">
      <w:pPr>
        <w:pStyle w:val="Heading2"/>
        <w:textAlignment w:val="center"/>
      </w:pPr>
      <w:r>
        <w:rPr>
          <w:rFonts w:hint="eastAsia"/>
        </w:rPr>
        <w:t>《经济、社会、文化权利国际盟约》的执行情况</w:t>
      </w:r>
    </w:p>
    <w:p w:rsidR="00000000" w:rsidRDefault="00BD0CAC">
      <w:pPr>
        <w:pStyle w:val="Heading3"/>
      </w:pPr>
      <w:r>
        <w:rPr>
          <w:rFonts w:hint="eastAsia"/>
        </w:rPr>
        <w:t>缔约国依照《盟约》第</w:t>
      </w:r>
      <w:r>
        <w:t>16</w:t>
      </w:r>
      <w:r>
        <w:rPr>
          <w:rFonts w:hint="eastAsia"/>
        </w:rPr>
        <w:t>和</w:t>
      </w:r>
      <w:r>
        <w:t>17</w:t>
      </w:r>
      <w:r>
        <w:rPr>
          <w:rFonts w:hint="eastAsia"/>
        </w:rPr>
        <w:t>条提交的</w:t>
      </w:r>
      <w:r>
        <w:br/>
      </w:r>
      <w:r>
        <w:rPr>
          <w:rFonts w:hint="eastAsia"/>
        </w:rPr>
        <w:t>初次报告</w:t>
      </w:r>
    </w:p>
    <w:p w:rsidR="00000000" w:rsidRDefault="00BD0CAC">
      <w:pPr>
        <w:pStyle w:val="Heading3"/>
      </w:pPr>
      <w:r>
        <w:rPr>
          <w:rFonts w:hint="eastAsia"/>
        </w:rPr>
        <w:t>增</w:t>
      </w:r>
      <w:r>
        <w:t xml:space="preserve">  </w:t>
      </w:r>
      <w:r>
        <w:rPr>
          <w:rFonts w:hint="eastAsia"/>
        </w:rPr>
        <w:t>编</w:t>
      </w:r>
    </w:p>
    <w:p w:rsidR="00000000" w:rsidRDefault="00BD0CAC">
      <w:pPr>
        <w:pStyle w:val="Heading3"/>
      </w:pPr>
      <w:r>
        <w:rPr>
          <w:u w:val="none"/>
        </w:rPr>
        <w:t xml:space="preserve">     </w:t>
      </w:r>
      <w:r>
        <w:rPr>
          <w:rFonts w:hint="eastAsia"/>
        </w:rPr>
        <w:t>喀麦隆</w:t>
      </w:r>
      <w:r>
        <w:rPr>
          <w:rStyle w:val="FootnoteReference"/>
          <w:u w:val="none"/>
          <w:vertAlign w:val="baseline"/>
        </w:rPr>
        <w:footnoteReference w:customMarkFollows="1" w:id="1"/>
        <w:t>*</w:t>
      </w:r>
      <w:r>
        <w:rPr>
          <w:u w:val="none"/>
        </w:rPr>
        <w:t xml:space="preserve"> </w:t>
      </w:r>
      <w:r>
        <w:rPr>
          <w:rStyle w:val="FootnoteReference"/>
          <w:u w:val="none"/>
          <w:vertAlign w:val="baseline"/>
        </w:rPr>
        <w:footnoteReference w:customMarkFollows="1" w:id="2"/>
        <w:t>**</w:t>
      </w:r>
      <w:r>
        <w:rPr>
          <w:u w:val="none"/>
        </w:rPr>
        <w:t xml:space="preserve"> </w:t>
      </w:r>
    </w:p>
    <w:p w:rsidR="00000000" w:rsidRDefault="00BD0CAC"/>
    <w:p w:rsidR="00000000" w:rsidRDefault="00BD0CAC"/>
    <w:p w:rsidR="00000000" w:rsidRDefault="00BD0CAC">
      <w:pPr>
        <w:ind w:left="6734"/>
      </w:pPr>
      <w:r>
        <w:rPr>
          <w:rFonts w:hint="eastAsia"/>
        </w:rPr>
        <w:t>［</w:t>
      </w:r>
      <w:r>
        <w:t>1997</w:t>
      </w:r>
      <w:r>
        <w:rPr>
          <w:rFonts w:hint="eastAsia"/>
        </w:rPr>
        <w:t>年</w:t>
      </w:r>
      <w:r>
        <w:t>5</w:t>
      </w:r>
      <w:r>
        <w:rPr>
          <w:rFonts w:hint="eastAsia"/>
        </w:rPr>
        <w:t>月</w:t>
      </w:r>
      <w:r>
        <w:t>19</w:t>
      </w:r>
      <w:r>
        <w:rPr>
          <w:rFonts w:hint="eastAsia"/>
        </w:rPr>
        <w:t>日］</w:t>
      </w:r>
    </w:p>
    <w:p w:rsidR="00000000" w:rsidRDefault="00BD0CAC">
      <w:pPr>
        <w:pStyle w:val="Heading2"/>
      </w:pPr>
      <w:r>
        <w:br w:type="page"/>
      </w:r>
      <w:r>
        <w:rPr>
          <w:rFonts w:hint="eastAsia"/>
        </w:rPr>
        <w:t>导</w:t>
      </w:r>
      <w:r>
        <w:t xml:space="preserve">  </w:t>
      </w:r>
      <w:r>
        <w:rPr>
          <w:rFonts w:hint="eastAsia"/>
        </w:rPr>
        <w:t>言</w:t>
      </w:r>
    </w:p>
    <w:p w:rsidR="00000000" w:rsidRDefault="00BD0CAC">
      <w:r>
        <w:tab/>
        <w:t xml:space="preserve">1.  </w:t>
      </w:r>
      <w:r>
        <w:rPr>
          <w:rFonts w:hint="eastAsia"/>
        </w:rPr>
        <w:t>喀麦隆批准《经济、社会、文化权利国际盟约》是落实它</w:t>
      </w:r>
      <w:r>
        <w:rPr>
          <w:rFonts w:hint="eastAsia"/>
        </w:rPr>
        <w:t>的一个天然和合理的愿望，即将本国人民的经济、社会和文化发展提高到尊重人的尊严的水平。</w:t>
      </w:r>
    </w:p>
    <w:p w:rsidR="00000000" w:rsidRDefault="00BD0CAC">
      <w:r>
        <w:tab/>
        <w:t xml:space="preserve">2.  </w:t>
      </w:r>
      <w:r>
        <w:rPr>
          <w:rFonts w:hint="eastAsia"/>
        </w:rPr>
        <w:t>喀麦隆是一个独立而稳定的国家，它确信：人不受任何歧视，都享有不可剥夺的神圣权利。因此，喀麦隆宪法序言确认《世界人权宣言》、《联合国宪章》、《非洲人权和各国人民权利宪章》规定的基本自由应予珍视。喀麦隆批准了若干国际人权公约；未批准的公约涉及国内法范围的某些问题。</w:t>
      </w:r>
    </w:p>
    <w:p w:rsidR="00000000" w:rsidRDefault="00BD0CAC">
      <w:pPr>
        <w:spacing w:after="320"/>
        <w:textAlignment w:val="center"/>
      </w:pPr>
      <w:r>
        <w:tab/>
        <w:t xml:space="preserve">3.  </w:t>
      </w:r>
      <w:r>
        <w:rPr>
          <w:rFonts w:hint="eastAsia"/>
        </w:rPr>
        <w:t>本报告按照</w:t>
      </w:r>
      <w:r>
        <w:t>1990</w:t>
      </w:r>
      <w:r>
        <w:rPr>
          <w:rFonts w:hint="eastAsia"/>
        </w:rPr>
        <w:t>年</w:t>
      </w:r>
      <w:r>
        <w:t>11</w:t>
      </w:r>
      <w:r>
        <w:rPr>
          <w:rFonts w:hint="eastAsia"/>
        </w:rPr>
        <w:t>月</w:t>
      </w:r>
      <w:r>
        <w:t>26</w:t>
      </w:r>
      <w:r>
        <w:rPr>
          <w:rFonts w:hint="eastAsia"/>
        </w:rPr>
        <w:t>日至</w:t>
      </w:r>
      <w:r>
        <w:t>12</w:t>
      </w:r>
      <w:r>
        <w:rPr>
          <w:rFonts w:hint="eastAsia"/>
        </w:rPr>
        <w:t>月</w:t>
      </w:r>
      <w:r>
        <w:t>14</w:t>
      </w:r>
      <w:r>
        <w:rPr>
          <w:rFonts w:hint="eastAsia"/>
        </w:rPr>
        <w:t>日委员会第五十届会议通过的经修订的总方针编写；根据《经济、社会、文化权利国际盟约》第</w:t>
      </w:r>
      <w:r>
        <w:t>16</w:t>
      </w:r>
      <w:r>
        <w:rPr>
          <w:rFonts w:hint="eastAsia"/>
        </w:rPr>
        <w:t>和第</w:t>
      </w:r>
      <w:r>
        <w:t>17</w:t>
      </w:r>
      <w:r>
        <w:rPr>
          <w:rFonts w:hint="eastAsia"/>
        </w:rPr>
        <w:t>条的</w:t>
      </w:r>
      <w:r>
        <w:rPr>
          <w:rFonts w:hint="eastAsia"/>
        </w:rPr>
        <w:t>精神，它旨在介绍喀麦隆共和国政府采取了哪些措施，以便在其领土上确保尊重该盟约承认的各项权利。本文件在结构上围绕两个主要中心点：介绍一般经济形势；以及试图回答上述方针中提出的问题。</w:t>
      </w:r>
    </w:p>
    <w:p w:rsidR="00000000" w:rsidRDefault="00BD0CAC">
      <w:pPr>
        <w:pStyle w:val="Heading2"/>
      </w:pPr>
      <w:r>
        <w:rPr>
          <w:rFonts w:hint="eastAsia"/>
        </w:rPr>
        <w:t>一、一般经济形势</w:t>
      </w:r>
    </w:p>
    <w:p w:rsidR="00000000" w:rsidRDefault="00BD0CAC">
      <w:r>
        <w:tab/>
        <w:t xml:space="preserve">4.  </w:t>
      </w:r>
      <w:r>
        <w:rPr>
          <w:rFonts w:hint="eastAsia"/>
        </w:rPr>
        <w:t>我们在这里强调就业问题；在喀麦隆，劳动权是宪法承认的权利，也是其他经济、社会和文化权利的载体。</w:t>
      </w:r>
    </w:p>
    <w:p w:rsidR="00000000" w:rsidRDefault="00BD0CAC">
      <w:r>
        <w:tab/>
        <w:t>5.  1996</w:t>
      </w:r>
      <w:r>
        <w:rPr>
          <w:rFonts w:hint="eastAsia"/>
        </w:rPr>
        <w:t>年，喀麦隆的人口估算为</w:t>
      </w:r>
      <w:r>
        <w:t>1,330</w:t>
      </w:r>
      <w:r>
        <w:rPr>
          <w:rFonts w:hint="eastAsia"/>
        </w:rPr>
        <w:t>万人；</w:t>
      </w:r>
      <w:r>
        <w:t>49.3%</w:t>
      </w:r>
      <w:r>
        <w:rPr>
          <w:rFonts w:hint="eastAsia"/>
        </w:rPr>
        <w:t>为男性，</w:t>
      </w:r>
      <w:r>
        <w:t>50.7%</w:t>
      </w:r>
      <w:r>
        <w:rPr>
          <w:rFonts w:hint="eastAsia"/>
        </w:rPr>
        <w:t>为女性。由此估算就业人口为</w:t>
      </w:r>
      <w:r>
        <w:t>500</w:t>
      </w:r>
      <w:r>
        <w:rPr>
          <w:rFonts w:hint="eastAsia"/>
        </w:rPr>
        <w:t>万人，</w:t>
      </w:r>
      <w:r>
        <w:t>58.4%</w:t>
      </w:r>
      <w:r>
        <w:rPr>
          <w:rFonts w:hint="eastAsia"/>
        </w:rPr>
        <w:t>为男性，</w:t>
      </w:r>
      <w:r>
        <w:t>41.6%</w:t>
      </w:r>
      <w:r>
        <w:rPr>
          <w:rFonts w:hint="eastAsia"/>
        </w:rPr>
        <w:t>为女性。</w:t>
      </w:r>
    </w:p>
    <w:p w:rsidR="00000000" w:rsidRDefault="00BD0CAC">
      <w:r>
        <w:tab/>
        <w:t xml:space="preserve">6.  </w:t>
      </w:r>
      <w:r>
        <w:rPr>
          <w:rFonts w:hint="eastAsia"/>
        </w:rPr>
        <w:t>劳动市场的特点是第一产业和农业就业占有</w:t>
      </w:r>
      <w:r>
        <w:rPr>
          <w:rFonts w:hint="eastAsia"/>
        </w:rPr>
        <w:t>持续领先的地位，原因在于经济多样化程度非常不足。</w:t>
      </w:r>
      <w:r>
        <w:t>40</w:t>
      </w:r>
      <w:r>
        <w:rPr>
          <w:rFonts w:hint="eastAsia"/>
        </w:rPr>
        <w:t>多年来，经济结构似乎一成不变，始终以农牧活动为主，占就业人口</w:t>
      </w:r>
      <w:r>
        <w:t>3/4</w:t>
      </w:r>
      <w:r>
        <w:rPr>
          <w:rFonts w:hint="eastAsia"/>
        </w:rPr>
        <w:t>以上。工业部门难于起飞，仅占就业人口</w:t>
      </w:r>
      <w:r>
        <w:t>10%</w:t>
      </w:r>
      <w:r>
        <w:rPr>
          <w:rFonts w:hint="eastAsia"/>
        </w:rPr>
        <w:t>以下。至于第三产业，由于商业活动和服务业</w:t>
      </w:r>
      <w:r>
        <w:t>(</w:t>
      </w:r>
      <w:r>
        <w:rPr>
          <w:rFonts w:hint="eastAsia"/>
        </w:rPr>
        <w:t>特别是公共管理</w:t>
      </w:r>
      <w:r>
        <w:t>)</w:t>
      </w:r>
      <w:r>
        <w:rPr>
          <w:rFonts w:hint="eastAsia"/>
        </w:rPr>
        <w:t>而相对发达。根据联合国开发计划署对</w:t>
      </w:r>
      <w:r>
        <w:t>1990-1992</w:t>
      </w:r>
      <w:r>
        <w:rPr>
          <w:rFonts w:hint="eastAsia"/>
        </w:rPr>
        <w:t>年期的估算，</w:t>
      </w:r>
      <w:r>
        <w:t>79%</w:t>
      </w:r>
      <w:r>
        <w:rPr>
          <w:rFonts w:hint="eastAsia"/>
        </w:rPr>
        <w:t>就业人口在第一产业工作、</w:t>
      </w:r>
      <w:r>
        <w:t>7%</w:t>
      </w:r>
      <w:r>
        <w:rPr>
          <w:rFonts w:hint="eastAsia"/>
        </w:rPr>
        <w:t>从事第二产业、</w:t>
      </w:r>
      <w:r>
        <w:t>14%</w:t>
      </w:r>
      <w:r>
        <w:rPr>
          <w:rFonts w:hint="eastAsia"/>
        </w:rPr>
        <w:t>从事第三产业。</w:t>
      </w:r>
    </w:p>
    <w:p w:rsidR="00000000" w:rsidRDefault="00BD0CAC">
      <w:r>
        <w:tab/>
        <w:t xml:space="preserve">7.  </w:t>
      </w:r>
      <w:r>
        <w:rPr>
          <w:rFonts w:hint="eastAsia"/>
        </w:rPr>
        <w:t>除此种第一产业和农业就业始终领先的特点外，还要加上劳动力充裕、而培训不足；</w:t>
      </w:r>
      <w:r>
        <w:t>1987</w:t>
      </w:r>
      <w:r>
        <w:rPr>
          <w:rFonts w:hint="eastAsia"/>
        </w:rPr>
        <w:t>年人口普查显示：就业人口教育程度和熟练程度都很低；</w:t>
      </w:r>
      <w:r>
        <w:t>41%</w:t>
      </w:r>
      <w:r>
        <w:rPr>
          <w:rFonts w:hint="eastAsia"/>
        </w:rPr>
        <w:t>就业者从未在</w:t>
      </w:r>
      <w:r>
        <w:rPr>
          <w:rFonts w:hint="eastAsia"/>
        </w:rPr>
        <w:t>校学习，</w:t>
      </w:r>
      <w:r>
        <w:t>45%</w:t>
      </w:r>
      <w:r>
        <w:rPr>
          <w:rFonts w:hint="eastAsia"/>
        </w:rPr>
        <w:t>具有大学水平。的确，现在的统计数是在改善中。此种熟练程度不足在经济活动各部门均不难察觉，并与中学、大学毕业生似乎过剩形成对照。</w:t>
      </w:r>
    </w:p>
    <w:p w:rsidR="00000000" w:rsidRDefault="00BD0CAC">
      <w:r>
        <w:tab/>
        <w:t xml:space="preserve">8.  </w:t>
      </w:r>
      <w:r>
        <w:rPr>
          <w:rFonts w:hint="eastAsia"/>
        </w:rPr>
        <w:t>就业人口的另一特点，是独立就业和家庭辅助劳动领先</w:t>
      </w:r>
      <w:r>
        <w:t>(</w:t>
      </w:r>
      <w:r>
        <w:rPr>
          <w:rFonts w:hint="eastAsia"/>
        </w:rPr>
        <w:t>占</w:t>
      </w:r>
      <w:r>
        <w:t>1987</w:t>
      </w:r>
      <w:r>
        <w:rPr>
          <w:rFonts w:hint="eastAsia"/>
        </w:rPr>
        <w:t>年就业人口</w:t>
      </w:r>
      <w:r>
        <w:t>80%</w:t>
      </w:r>
      <w:r>
        <w:rPr>
          <w:rFonts w:hint="eastAsia"/>
        </w:rPr>
        <w:t>以上</w:t>
      </w:r>
      <w:r>
        <w:t>)</w:t>
      </w:r>
      <w:r>
        <w:rPr>
          <w:rFonts w:hint="eastAsia"/>
        </w:rPr>
        <w:t>，它们既不要求熟练程度，也不论教育程度</w:t>
      </w:r>
      <w:r>
        <w:t>(68%)</w:t>
      </w:r>
      <w:r>
        <w:rPr>
          <w:rFonts w:hint="eastAsia"/>
        </w:rPr>
        <w:t>。这些独立职工和家庭辅助劳动者多半从事农牧业。这种局面是家庭性经济结构的后果，反映出发展严重不足。它确实在很大程度上说明缺乏职业培训，并助长所谓非结构部门大规模存在：其产品生产或服务的生产率低下、质量无保证。</w:t>
      </w:r>
    </w:p>
    <w:p w:rsidR="00000000" w:rsidRDefault="00BD0CAC">
      <w:r>
        <w:tab/>
        <w:t>9.  1989</w:t>
      </w:r>
      <w:r>
        <w:rPr>
          <w:rFonts w:hint="eastAsia"/>
        </w:rPr>
        <w:t>年</w:t>
      </w:r>
      <w:r>
        <w:rPr>
          <w:rFonts w:hint="eastAsia"/>
        </w:rPr>
        <w:t>至</w:t>
      </w:r>
      <w:r>
        <w:t>1995</w:t>
      </w:r>
      <w:r>
        <w:rPr>
          <w:rFonts w:hint="eastAsia"/>
        </w:rPr>
        <w:t>年，就业人口增长</w:t>
      </w:r>
      <w:r>
        <w:t>103.5</w:t>
      </w:r>
      <w:r>
        <w:rPr>
          <w:rFonts w:hint="eastAsia"/>
        </w:rPr>
        <w:t>万人，年均增长率</w:t>
      </w:r>
      <w:r>
        <w:t>3.0%</w:t>
      </w:r>
      <w:r>
        <w:rPr>
          <w:rFonts w:hint="eastAsia"/>
        </w:rPr>
        <w:t>。这意味着：为使毛失业率与</w:t>
      </w:r>
      <w:r>
        <w:t>1987</w:t>
      </w:r>
      <w:r>
        <w:rPr>
          <w:rFonts w:hint="eastAsia"/>
        </w:rPr>
        <w:t>年持平，即保持</w:t>
      </w:r>
      <w:r>
        <w:t>18.6%</w:t>
      </w:r>
      <w:r>
        <w:rPr>
          <w:rFonts w:hint="eastAsia"/>
        </w:rPr>
        <w:t>，</w:t>
      </w:r>
      <w:r>
        <w:t>1987-1995</w:t>
      </w:r>
      <w:r>
        <w:rPr>
          <w:rFonts w:hint="eastAsia"/>
        </w:rPr>
        <w:t>年间年需新就业机会</w:t>
      </w:r>
      <w:r>
        <w:t>15</w:t>
      </w:r>
      <w:r>
        <w:rPr>
          <w:rFonts w:hint="eastAsia"/>
        </w:rPr>
        <w:t>万个，才能吸收人口增加产生的额外劳力。还应指出：就业人口的增长超过周期总人口增长，后者估计为</w:t>
      </w:r>
      <w:r>
        <w:t>2.83%</w:t>
      </w:r>
      <w:r>
        <w:rPr>
          <w:rFonts w:hint="eastAsia"/>
        </w:rPr>
        <w:t>。考虑到喀麦隆面临经济危机，此种就业人口遽增对劳动市场有许多消极影响。</w:t>
      </w:r>
    </w:p>
    <w:p w:rsidR="00000000" w:rsidRDefault="00BD0CAC">
      <w:r>
        <w:tab/>
        <w:t xml:space="preserve">10.  </w:t>
      </w:r>
      <w:r>
        <w:rPr>
          <w:rFonts w:hint="eastAsia"/>
        </w:rPr>
        <w:t>最近几年就业问题的总趋势是各部门均向下滑落。的确，由于经济危机而制订了种种调整方案，其对就业的后果不言自明：公务员征聘被冻结、满退休年龄一律下岗、公务员精减</w:t>
      </w:r>
      <w:r>
        <w:t>(</w:t>
      </w:r>
      <w:r>
        <w:rPr>
          <w:rFonts w:hint="eastAsia"/>
        </w:rPr>
        <w:t>自愿或强</w:t>
      </w:r>
      <w:r>
        <w:rPr>
          <w:rFonts w:hint="eastAsia"/>
        </w:rPr>
        <w:t>迫下岗</w:t>
      </w:r>
      <w:r>
        <w:t>)</w:t>
      </w:r>
      <w:r>
        <w:rPr>
          <w:rFonts w:hint="eastAsia"/>
        </w:rPr>
        <w:t>、私营和半公营某些部门大量裁员。此外，由于人口增加，就业人口增长速度大大超过工资劳动就业机会的增长。与就业人口剧增同时，人们注意到就业机会正逐步减少。这种局面酿成的后果是：作为七十年代偶发的失业现象，近十年来已变为沉疴。它已成为如今最重要的经济、社会和政治挑战。</w:t>
      </w:r>
    </w:p>
    <w:p w:rsidR="00000000" w:rsidRDefault="00BD0CAC">
      <w:r>
        <w:tab/>
        <w:t xml:space="preserve">11.  </w:t>
      </w:r>
      <w:r>
        <w:rPr>
          <w:rFonts w:hint="eastAsia"/>
        </w:rPr>
        <w:t>一般说来，大城市约有五分之一至四分之一十五岁以上就业适龄者无事可做。</w:t>
      </w:r>
      <w:r>
        <w:t>1987</w:t>
      </w:r>
      <w:r>
        <w:rPr>
          <w:rFonts w:hint="eastAsia"/>
        </w:rPr>
        <w:t>年，喀麦隆全国失业率约为</w:t>
      </w:r>
      <w:r>
        <w:t>8.6%</w:t>
      </w:r>
      <w:r>
        <w:rPr>
          <w:rFonts w:hint="eastAsia"/>
        </w:rPr>
        <w:t>至</w:t>
      </w:r>
      <w:r>
        <w:t>10.3%</w:t>
      </w:r>
      <w:r>
        <w:rPr>
          <w:rFonts w:hint="eastAsia"/>
        </w:rPr>
        <w:t>；然而同期城市地区失业率或已从</w:t>
      </w:r>
      <w:r>
        <w:t>16%</w:t>
      </w:r>
      <w:r>
        <w:rPr>
          <w:rFonts w:hint="eastAsia"/>
        </w:rPr>
        <w:t>增至</w:t>
      </w:r>
      <w:r>
        <w:t>20%</w:t>
      </w:r>
      <w:r>
        <w:rPr>
          <w:rFonts w:hint="eastAsia"/>
        </w:rPr>
        <w:t>。根据</w:t>
      </w:r>
      <w:r>
        <w:t>1993</w:t>
      </w:r>
      <w:r>
        <w:rPr>
          <w:rFonts w:hint="eastAsia"/>
        </w:rPr>
        <w:t>年在雅温得进行的最新调查</w:t>
      </w:r>
      <w:r>
        <w:t>(DIAL123)</w:t>
      </w:r>
      <w:r>
        <w:rPr>
          <w:rFonts w:hint="eastAsia"/>
        </w:rPr>
        <w:t>，失业</w:t>
      </w:r>
      <w:r>
        <w:rPr>
          <w:rFonts w:hint="eastAsia"/>
        </w:rPr>
        <w:t>率为</w:t>
      </w:r>
      <w:r>
        <w:t>25%</w:t>
      </w:r>
      <w:r>
        <w:rPr>
          <w:rFonts w:hint="eastAsia"/>
        </w:rPr>
        <w:t>。同一调查显示：失业与教育水平直接相关。对从未入学者而言失业率较低，受过高等教育者失业率却较高。</w:t>
      </w:r>
    </w:p>
    <w:p w:rsidR="00000000" w:rsidRDefault="00BD0CAC">
      <w:r>
        <w:tab/>
        <w:t xml:space="preserve">12.  </w:t>
      </w:r>
      <w:r>
        <w:rPr>
          <w:rFonts w:hint="eastAsia"/>
        </w:rPr>
        <w:t>对失业和贫穷的应急办法之一是迅速发展非正式部门。这一部门在喀麦隆城市发展迅速，有助于部分吸收城市失业人口，虽然也掩盖了开工不足的问题。这个部门</w:t>
      </w:r>
      <w:r>
        <w:t>1993</w:t>
      </w:r>
      <w:r>
        <w:rPr>
          <w:rFonts w:hint="eastAsia"/>
        </w:rPr>
        <w:t>年在雅温得占有</w:t>
      </w:r>
      <w:r>
        <w:t>57%</w:t>
      </w:r>
      <w:r>
        <w:rPr>
          <w:rFonts w:hint="eastAsia"/>
        </w:rPr>
        <w:t>劳动者，其特点是手工业和零售商贩占据优势。非正式部门是获取职业技能的处所，也是朝喀麦隆经济现代部门过渡的一个步骤。</w:t>
      </w:r>
    </w:p>
    <w:p w:rsidR="00000000" w:rsidRDefault="00BD0CAC">
      <w:r>
        <w:tab/>
        <w:t xml:space="preserve">13.  </w:t>
      </w:r>
      <w:r>
        <w:rPr>
          <w:rFonts w:hint="eastAsia"/>
        </w:rPr>
        <w:t>从创造就业机会的角度来看，由于该部门创造机会的成本很低，它在当前似乎是对付失业高峰的最后手段。</w:t>
      </w:r>
      <w:r>
        <w:rPr>
          <w:rFonts w:hint="eastAsia"/>
        </w:rPr>
        <w:t>在该部门占优势的为产业业主</w:t>
      </w:r>
      <w:r>
        <w:t>(82%)</w:t>
      </w:r>
      <w:r>
        <w:rPr>
          <w:rFonts w:hint="eastAsia"/>
        </w:rPr>
        <w:t>和家庭业主</w:t>
      </w:r>
      <w:r>
        <w:t>(13%)</w:t>
      </w:r>
      <w:r>
        <w:rPr>
          <w:rFonts w:hint="eastAsia"/>
        </w:rPr>
        <w:t>。部门分布状况：生产</w:t>
      </w:r>
      <w:r>
        <w:t>40%</w:t>
      </w:r>
      <w:r>
        <w:rPr>
          <w:rFonts w:hint="eastAsia"/>
        </w:rPr>
        <w:t>、商业</w:t>
      </w:r>
      <w:r>
        <w:t>28%</w:t>
      </w:r>
      <w:r>
        <w:rPr>
          <w:rFonts w:hint="eastAsia"/>
        </w:rPr>
        <w:t>、服务</w:t>
      </w:r>
      <w:r>
        <w:t>24%</w:t>
      </w:r>
      <w:r>
        <w:rPr>
          <w:rFonts w:hint="eastAsia"/>
        </w:rPr>
        <w:t>，以及交通</w:t>
      </w:r>
      <w:r>
        <w:t>9%</w:t>
      </w:r>
      <w:r>
        <w:rPr>
          <w:rFonts w:hint="eastAsia"/>
        </w:rPr>
        <w:t>。工业企业集中在以下行业：缝纫</w:t>
      </w:r>
      <w:r>
        <w:t>33%</w:t>
      </w:r>
      <w:r>
        <w:rPr>
          <w:rFonts w:hint="eastAsia"/>
        </w:rPr>
        <w:t>、汽车机械</w:t>
      </w:r>
      <w:r>
        <w:t>29%</w:t>
      </w:r>
      <w:r>
        <w:rPr>
          <w:rFonts w:hint="eastAsia"/>
        </w:rPr>
        <w:t>、流动商贩</w:t>
      </w:r>
      <w:r>
        <w:t>28%</w:t>
      </w:r>
      <w:r>
        <w:rPr>
          <w:rFonts w:hint="eastAsia"/>
        </w:rPr>
        <w:t>。其初始资本</w:t>
      </w:r>
      <w:r>
        <w:t>53%</w:t>
      </w:r>
      <w:r>
        <w:rPr>
          <w:rFonts w:hint="eastAsia"/>
        </w:rPr>
        <w:t>以上来自以往就业的储蓄。家庭</w:t>
      </w:r>
      <w:r>
        <w:t>(</w:t>
      </w:r>
      <w:r>
        <w:rPr>
          <w:rFonts w:hint="eastAsia"/>
        </w:rPr>
        <w:t>亲友</w:t>
      </w:r>
      <w:r>
        <w:t>)</w:t>
      </w:r>
      <w:r>
        <w:rPr>
          <w:rFonts w:hint="eastAsia"/>
        </w:rPr>
        <w:t>支助在初始资本构成中仍占重要地位</w:t>
      </w:r>
      <w:r>
        <w:t>(23%)</w:t>
      </w:r>
      <w:r>
        <w:rPr>
          <w:rFonts w:hint="eastAsia"/>
        </w:rPr>
        <w:t>，养老储金也有贡献</w:t>
      </w:r>
      <w:r>
        <w:t>(11%)</w:t>
      </w:r>
      <w:r>
        <w:rPr>
          <w:rFonts w:hint="eastAsia"/>
        </w:rPr>
        <w:t>。至于劳动力的情况，雇主大多由</w:t>
      </w:r>
      <w:r>
        <w:t>33</w:t>
      </w:r>
      <w:r>
        <w:rPr>
          <w:rFonts w:hint="eastAsia"/>
        </w:rPr>
        <w:t>岁上下的男子构成。他们平均在校就读过约</w:t>
      </w:r>
      <w:r>
        <w:t>8</w:t>
      </w:r>
      <w:r>
        <w:rPr>
          <w:rFonts w:hint="eastAsia"/>
        </w:rPr>
        <w:t>年。一般情况下，</w:t>
      </w:r>
      <w:r>
        <w:t>34%</w:t>
      </w:r>
      <w:r>
        <w:rPr>
          <w:rFonts w:hint="eastAsia"/>
        </w:rPr>
        <w:t>雇主具有小学水平，</w:t>
      </w:r>
      <w:r>
        <w:t>51%</w:t>
      </w:r>
      <w:r>
        <w:rPr>
          <w:rFonts w:hint="eastAsia"/>
        </w:rPr>
        <w:t>为中学水平，</w:t>
      </w:r>
      <w:r>
        <w:t>6%</w:t>
      </w:r>
      <w:r>
        <w:rPr>
          <w:rFonts w:hint="eastAsia"/>
        </w:rPr>
        <w:t>为大学水平。</w:t>
      </w:r>
    </w:p>
    <w:p w:rsidR="00000000" w:rsidRDefault="00BD0CAC">
      <w:r>
        <w:tab/>
        <w:t xml:space="preserve">14.  </w:t>
      </w:r>
      <w:r>
        <w:rPr>
          <w:rFonts w:hint="eastAsia"/>
        </w:rPr>
        <w:t>熟悉主要和辅助工作是在正式培训渠道外通</w:t>
      </w:r>
      <w:r>
        <w:rPr>
          <w:rFonts w:hint="eastAsia"/>
        </w:rPr>
        <w:t>过学徒制</w:t>
      </w:r>
      <w:r>
        <w:t>(39%)</w:t>
      </w:r>
      <w:r>
        <w:rPr>
          <w:rFonts w:hint="eastAsia"/>
        </w:rPr>
        <w:t>和就地培训</w:t>
      </w:r>
      <w:r>
        <w:t>(36%)</w:t>
      </w:r>
      <w:r>
        <w:rPr>
          <w:rFonts w:hint="eastAsia"/>
        </w:rPr>
        <w:t>进行的。不足</w:t>
      </w:r>
      <w:r>
        <w:t>18%</w:t>
      </w:r>
      <w:r>
        <w:rPr>
          <w:rFonts w:hint="eastAsia"/>
        </w:rPr>
        <w:t>的企业主受过技术教育。中学毕业生基本上集中在商业和市内交通业中。女企业家集中从事缝纫、洗衣、餐饮业等。男子主要从事细木工、细金属工、饮料销售和交通运输</w:t>
      </w:r>
      <w:r>
        <w:t>(</w:t>
      </w:r>
      <w:r>
        <w:rPr>
          <w:rFonts w:hint="eastAsia"/>
        </w:rPr>
        <w:t>非法出租汽车</w:t>
      </w:r>
      <w:r>
        <w:t>)</w:t>
      </w:r>
      <w:r>
        <w:rPr>
          <w:rFonts w:hint="eastAsia"/>
        </w:rPr>
        <w:t>。非结构部门在国民经济中的地位已是不言而喻，因为在</w:t>
      </w:r>
      <w:r>
        <w:t>1995</w:t>
      </w:r>
      <w:r>
        <w:rPr>
          <w:rFonts w:hint="eastAsia"/>
        </w:rPr>
        <w:t>年，它以</w:t>
      </w:r>
      <w:r>
        <w:t>1,300,000</w:t>
      </w:r>
      <w:r>
        <w:rPr>
          <w:rFonts w:hint="eastAsia"/>
        </w:rPr>
        <w:t>个职位而在就业人口中占有</w:t>
      </w:r>
      <w:r>
        <w:t>24.5%</w:t>
      </w:r>
      <w:r>
        <w:rPr>
          <w:rFonts w:hint="eastAsia"/>
        </w:rPr>
        <w:t>。它远胜于结构内部门，后者从业者仅占职位的</w:t>
      </w:r>
      <w:r>
        <w:t>12%</w:t>
      </w:r>
      <w:r>
        <w:rPr>
          <w:rFonts w:hint="eastAsia"/>
        </w:rPr>
        <w:t>。该部门为仅次于农业部门的第二个就业机会的提供者。此外，该部门对国内生产毛值的贡献约为</w:t>
      </w:r>
      <w:r>
        <w:t>1,760</w:t>
      </w:r>
      <w:r>
        <w:rPr>
          <w:rFonts w:hint="eastAsia"/>
        </w:rPr>
        <w:t>亿非洲法郎。</w:t>
      </w:r>
    </w:p>
    <w:p w:rsidR="00000000" w:rsidRDefault="00BD0CAC">
      <w:r>
        <w:tab/>
        <w:t xml:space="preserve">15.  </w:t>
      </w:r>
      <w:r>
        <w:rPr>
          <w:rFonts w:hint="eastAsia"/>
        </w:rPr>
        <w:t>在</w:t>
      </w:r>
      <w:r>
        <w:rPr>
          <w:rFonts w:hint="eastAsia"/>
        </w:rPr>
        <w:t>培训常规教育培训体制外的年轻人方面，该部门也发挥极重要的作用，每一企业平均收有两名徒工。非结构部门弥补了常规体制和教育培训体制的不足。该部门在就业市场上的比重日增，从</w:t>
      </w:r>
      <w:r>
        <w:t>1979</w:t>
      </w:r>
      <w:r>
        <w:rPr>
          <w:rFonts w:hint="eastAsia"/>
        </w:rPr>
        <w:t>年占就业人口</w:t>
      </w:r>
      <w:r>
        <w:t>8%</w:t>
      </w:r>
      <w:r>
        <w:rPr>
          <w:rFonts w:hint="eastAsia"/>
        </w:rPr>
        <w:t>到</w:t>
      </w:r>
      <w:r>
        <w:t>1991</w:t>
      </w:r>
      <w:r>
        <w:rPr>
          <w:rFonts w:hint="eastAsia"/>
        </w:rPr>
        <w:t>年占</w:t>
      </w:r>
      <w:r>
        <w:t>23%</w:t>
      </w:r>
      <w:r>
        <w:rPr>
          <w:rFonts w:hint="eastAsia"/>
        </w:rPr>
        <w:t>。同期，该部门对国内生产毛值的贡献由</w:t>
      </w:r>
      <w:r>
        <w:t>4%</w:t>
      </w:r>
      <w:r>
        <w:rPr>
          <w:rFonts w:hint="eastAsia"/>
        </w:rPr>
        <w:t>增为</w:t>
      </w:r>
      <w:r>
        <w:t>30%</w:t>
      </w:r>
      <w:r>
        <w:rPr>
          <w:rFonts w:hint="eastAsia"/>
        </w:rPr>
        <w:t>，工资总额从</w:t>
      </w:r>
      <w:r>
        <w:t>110</w:t>
      </w:r>
      <w:r>
        <w:rPr>
          <w:rFonts w:hint="eastAsia"/>
        </w:rPr>
        <w:t>亿增至</w:t>
      </w:r>
      <w:r>
        <w:t>1760</w:t>
      </w:r>
      <w:r>
        <w:rPr>
          <w:rFonts w:hint="eastAsia"/>
        </w:rPr>
        <w:t>亿。</w:t>
      </w:r>
    </w:p>
    <w:p w:rsidR="00000000" w:rsidRDefault="00BD0CAC">
      <w:r>
        <w:tab/>
        <w:t xml:space="preserve">16.  </w:t>
      </w:r>
      <w:r>
        <w:rPr>
          <w:rFonts w:hint="eastAsia"/>
        </w:rPr>
        <w:t>自经济危机加剧以来，与紧缩政策相关的官方投资和消费开支削减，以及由于国内需求下降使私人支出减少，导致国内生产毛值萎缩。此外，从</w:t>
      </w:r>
      <w:r>
        <w:t>1988</w:t>
      </w:r>
      <w:r>
        <w:rPr>
          <w:rFonts w:hint="eastAsia"/>
        </w:rPr>
        <w:t>年以来，政府采取调整政策，其对就业的中短期影响不可忽视。在金融部门，</w:t>
      </w:r>
      <w:r>
        <w:rPr>
          <w:rFonts w:hint="eastAsia"/>
        </w:rPr>
        <w:t>此种调整导致</w:t>
      </w:r>
      <w:r>
        <w:t>1990</w:t>
      </w:r>
      <w:r>
        <w:rPr>
          <w:rFonts w:hint="eastAsia"/>
        </w:rPr>
        <w:t>年减少</w:t>
      </w:r>
      <w:r>
        <w:t>26,000</w:t>
      </w:r>
      <w:r>
        <w:rPr>
          <w:rFonts w:hint="eastAsia"/>
        </w:rPr>
        <w:t>个职位。在准国营部门，由于征聘政策不当，</w:t>
      </w:r>
      <w:r>
        <w:t>1990</w:t>
      </w:r>
      <w:r>
        <w:rPr>
          <w:rFonts w:hint="eastAsia"/>
        </w:rPr>
        <w:t>年解雇职工数估计达</w:t>
      </w:r>
      <w:r>
        <w:t>12,000</w:t>
      </w:r>
      <w:r>
        <w:rPr>
          <w:rFonts w:hint="eastAsia"/>
        </w:rPr>
        <w:t>人。在国营部门，调整的后果是冻结招聘和晋升、关闭某些职业培训中心、系统地责令满退休年龄者一律下岗、降低工资，以及自愿或强迫停职。所有这些因素汇成一个后果，便是国家正在经历就业危机。</w:t>
      </w:r>
      <w:r>
        <w:t>1994</w:t>
      </w:r>
      <w:r>
        <w:rPr>
          <w:rFonts w:hint="eastAsia"/>
        </w:rPr>
        <w:t>年全国失业率约为</w:t>
      </w:r>
      <w:r>
        <w:t>11%</w:t>
      </w:r>
      <w:r>
        <w:rPr>
          <w:rFonts w:hint="eastAsia"/>
        </w:rPr>
        <w:t>，失业人数高达</w:t>
      </w:r>
      <w:r>
        <w:t>540,000</w:t>
      </w:r>
      <w:r>
        <w:rPr>
          <w:rFonts w:hint="eastAsia"/>
        </w:rPr>
        <w:t>人。</w:t>
      </w:r>
    </w:p>
    <w:p w:rsidR="00000000" w:rsidRDefault="00BD0CAC">
      <w:r>
        <w:tab/>
        <w:t xml:space="preserve">17.  </w:t>
      </w:r>
      <w:r>
        <w:rPr>
          <w:rFonts w:hint="eastAsia"/>
        </w:rPr>
        <w:t>从以上事实可见：经济危机似乎未波及非结构部门：它在物质生产和服务部门以及劳动市场上的比重反而增强。经济危机再次突出了现代部门的弱点：无足够能</w:t>
      </w:r>
      <w:r>
        <w:rPr>
          <w:rFonts w:hint="eastAsia"/>
        </w:rPr>
        <w:t>力为劳动市场创造充分的就业机会。</w:t>
      </w:r>
    </w:p>
    <w:p w:rsidR="00000000" w:rsidRDefault="00BD0CAC">
      <w:r>
        <w:tab/>
        <w:t>18.  1975-1984</w:t>
      </w:r>
      <w:r>
        <w:rPr>
          <w:rFonts w:hint="eastAsia"/>
        </w:rPr>
        <w:t>年期间，现代部门的投资年增长率达</w:t>
      </w:r>
      <w:r>
        <w:t>24%</w:t>
      </w:r>
      <w:r>
        <w:rPr>
          <w:rFonts w:hint="eastAsia"/>
        </w:rPr>
        <w:t>，而年就业增长率却低于</w:t>
      </w:r>
      <w:r>
        <w:t>7%</w:t>
      </w:r>
      <w:r>
        <w:rPr>
          <w:rFonts w:hint="eastAsia"/>
        </w:rPr>
        <w:t>，这意味着投资是在资本而非劳力密集部门实现的。</w:t>
      </w:r>
    </w:p>
    <w:p w:rsidR="00000000" w:rsidRDefault="00BD0CAC">
      <w:r>
        <w:tab/>
        <w:t xml:space="preserve">19.  </w:t>
      </w:r>
      <w:r>
        <w:rPr>
          <w:rFonts w:hint="eastAsia"/>
        </w:rPr>
        <w:t>据统计，</w:t>
      </w:r>
      <w:r>
        <w:t>1994</w:t>
      </w:r>
      <w:r>
        <w:rPr>
          <w:rFonts w:hint="eastAsia"/>
        </w:rPr>
        <w:t>年现代部门工资劳动就业人数为</w:t>
      </w:r>
      <w:r>
        <w:t>668,818</w:t>
      </w:r>
      <w:r>
        <w:rPr>
          <w:rFonts w:hint="eastAsia"/>
        </w:rPr>
        <w:t>人，其中</w:t>
      </w:r>
      <w:r>
        <w:t>81%</w:t>
      </w:r>
      <w:r>
        <w:rPr>
          <w:rFonts w:hint="eastAsia"/>
        </w:rPr>
        <w:t>在现代私营部门</w:t>
      </w:r>
      <w:r>
        <w:t>18.2%</w:t>
      </w:r>
      <w:r>
        <w:rPr>
          <w:rFonts w:hint="eastAsia"/>
        </w:rPr>
        <w:t>在公务部门。第一产业拥有现代部门</w:t>
      </w:r>
      <w:r>
        <w:t>35.4%</w:t>
      </w:r>
      <w:r>
        <w:rPr>
          <w:rFonts w:hint="eastAsia"/>
        </w:rPr>
        <w:t>的工资劳动者，从而遥遥领先；第三产业紧随其后，占工资劳动者的</w:t>
      </w:r>
      <w:r>
        <w:t>30.1%</w:t>
      </w:r>
      <w:r>
        <w:rPr>
          <w:rFonts w:hint="eastAsia"/>
        </w:rPr>
        <w:t>，其中</w:t>
      </w:r>
      <w:r>
        <w:t>21.3%</w:t>
      </w:r>
      <w:r>
        <w:rPr>
          <w:rFonts w:hint="eastAsia"/>
        </w:rPr>
        <w:t>从事服务工作；再其次是第二产业，占经济的现代部门工资劳动者</w:t>
      </w:r>
      <w:r>
        <w:t>16.4%</w:t>
      </w:r>
      <w:r>
        <w:rPr>
          <w:rFonts w:hint="eastAsia"/>
        </w:rPr>
        <w:t>。在工资就业者当中不能忽视国营部</w:t>
      </w:r>
      <w:r>
        <w:rPr>
          <w:rFonts w:hint="eastAsia"/>
        </w:rPr>
        <w:t>门所占份额。国营部门在现代部门的工资劳动者中占</w:t>
      </w:r>
      <w:r>
        <w:t>18.2%</w:t>
      </w:r>
      <w:r>
        <w:rPr>
          <w:rFonts w:hint="eastAsia"/>
        </w:rPr>
        <w:t>。</w:t>
      </w:r>
    </w:p>
    <w:p w:rsidR="00000000" w:rsidRDefault="00BD0CAC">
      <w:r>
        <w:tab/>
        <w:t xml:space="preserve">20.  </w:t>
      </w:r>
      <w:r>
        <w:rPr>
          <w:rFonts w:hint="eastAsia"/>
        </w:rPr>
        <w:t>大体上，在企业职工中妇女所占比例不大：占总员额的</w:t>
      </w:r>
      <w:r>
        <w:t>11.8%</w:t>
      </w:r>
      <w:r>
        <w:rPr>
          <w:rFonts w:hint="eastAsia"/>
        </w:rPr>
        <w:t>，原因甚多，比如她们进入培训结构的机会有限、某些雇主不愿招女工</w:t>
      </w:r>
      <w:r>
        <w:t>(</w:t>
      </w:r>
      <w:r>
        <w:rPr>
          <w:rFonts w:hint="eastAsia"/>
        </w:rPr>
        <w:t>虽有《劳动法》第一条第</w:t>
      </w:r>
      <w:r>
        <w:t>2</w:t>
      </w:r>
      <w:r>
        <w:rPr>
          <w:rFonts w:hint="eastAsia"/>
        </w:rPr>
        <w:t>款的规定</w:t>
      </w:r>
      <w:r>
        <w:t>)</w:t>
      </w:r>
      <w:r>
        <w:rPr>
          <w:rFonts w:hint="eastAsia"/>
        </w:rPr>
        <w:t>、妇女限于某些行政性工种，以及其他社会和家庭因素。由此可见，妇女、儿童和残疾人仍处于最不利的地位。</w:t>
      </w:r>
    </w:p>
    <w:p w:rsidR="00000000" w:rsidRDefault="00BD0CAC">
      <w:r>
        <w:tab/>
        <w:t xml:space="preserve">21.  </w:t>
      </w:r>
      <w:r>
        <w:rPr>
          <w:rFonts w:hint="eastAsia"/>
        </w:rPr>
        <w:t>已显示出妇女日益参与</w:t>
      </w:r>
      <w:r>
        <w:t>(</w:t>
      </w:r>
      <w:r>
        <w:rPr>
          <w:rFonts w:hint="eastAsia"/>
        </w:rPr>
        <w:t>已占员额</w:t>
      </w:r>
      <w:r>
        <w:t>20%</w:t>
      </w:r>
      <w:r>
        <w:rPr>
          <w:rFonts w:hint="eastAsia"/>
        </w:rPr>
        <w:t>以上</w:t>
      </w:r>
      <w:r>
        <w:t>)</w:t>
      </w:r>
      <w:r>
        <w:rPr>
          <w:rFonts w:hint="eastAsia"/>
        </w:rPr>
        <w:t>第三产业的服务行业、银行、保险、印刷、纺织和服装制造业。不过妇女只占企业熟练劳动力</w:t>
      </w:r>
      <w:r>
        <w:t>(4</w:t>
      </w:r>
      <w:r>
        <w:rPr>
          <w:rFonts w:hint="eastAsia"/>
        </w:rPr>
        <w:t>至</w:t>
      </w:r>
      <w:r>
        <w:t>12</w:t>
      </w:r>
      <w:r>
        <w:rPr>
          <w:rFonts w:hint="eastAsia"/>
        </w:rPr>
        <w:t>级</w:t>
      </w:r>
      <w:r>
        <w:t>)</w:t>
      </w:r>
      <w:r>
        <w:rPr>
          <w:rFonts w:hint="eastAsia"/>
        </w:rPr>
        <w:t>的</w:t>
      </w:r>
      <w:r>
        <w:t>5.2%</w:t>
      </w:r>
      <w:r>
        <w:rPr>
          <w:rFonts w:hint="eastAsia"/>
        </w:rPr>
        <w:t>，最熟练的妇女仍在银行、</w:t>
      </w:r>
      <w:r>
        <w:rPr>
          <w:rFonts w:hint="eastAsia"/>
        </w:rPr>
        <w:t>保险、第三产业的服务行业、电力、煤气和民用水及印刷业中。</w:t>
      </w:r>
    </w:p>
    <w:p w:rsidR="00000000" w:rsidRDefault="00BD0CAC">
      <w:r>
        <w:tab/>
        <w:t xml:space="preserve">22.  </w:t>
      </w:r>
      <w:r>
        <w:rPr>
          <w:rFonts w:hint="eastAsia"/>
        </w:rPr>
        <w:t>至于工资总数，由于当前正处在危机中，它在大部分工作部门无重大变化；而在另一些部门，由于压缩编制、技术性失业以及工资下降，工资总数变化不大、甚至向下滑落。</w:t>
      </w:r>
    </w:p>
    <w:p w:rsidR="00000000" w:rsidRDefault="00BD0CAC">
      <w:r>
        <w:tab/>
        <w:t>23.  1994</w:t>
      </w:r>
      <w:r>
        <w:rPr>
          <w:rFonts w:hint="eastAsia"/>
        </w:rPr>
        <w:t>年的社会保险涉及</w:t>
      </w:r>
      <w:r>
        <w:t>668,818</w:t>
      </w:r>
      <w:r>
        <w:rPr>
          <w:rFonts w:hint="eastAsia"/>
        </w:rPr>
        <w:t>名工资劳动者，其中</w:t>
      </w:r>
      <w:r>
        <w:t>547,298</w:t>
      </w:r>
      <w:r>
        <w:rPr>
          <w:rFonts w:hint="eastAsia"/>
        </w:rPr>
        <w:t>名在“社会互助全国基金”投保，</w:t>
      </w:r>
      <w:r>
        <w:t>121,520</w:t>
      </w:r>
      <w:r>
        <w:rPr>
          <w:rFonts w:hint="eastAsia"/>
        </w:rPr>
        <w:t>名在公务部门参加保险。受保人大多数在第一产业</w:t>
      </w:r>
      <w:r>
        <w:t>(</w:t>
      </w:r>
      <w:r>
        <w:rPr>
          <w:rFonts w:hint="eastAsia"/>
        </w:rPr>
        <w:t>占</w:t>
      </w:r>
      <w:r>
        <w:t>43%)</w:t>
      </w:r>
      <w:r>
        <w:rPr>
          <w:rFonts w:hint="eastAsia"/>
        </w:rPr>
        <w:t>和第三产业</w:t>
      </w:r>
      <w:r>
        <w:t>(</w:t>
      </w:r>
      <w:r>
        <w:rPr>
          <w:rFonts w:hint="eastAsia"/>
        </w:rPr>
        <w:t>占</w:t>
      </w:r>
      <w:r>
        <w:t>37%)</w:t>
      </w:r>
      <w:r>
        <w:rPr>
          <w:rFonts w:hint="eastAsia"/>
        </w:rPr>
        <w:t>工作。第二产业在“全国基金”受保者中不足</w:t>
      </w:r>
      <w:r>
        <w:t>20%</w:t>
      </w:r>
      <w:r>
        <w:rPr>
          <w:rFonts w:hint="eastAsia"/>
        </w:rPr>
        <w:t>。“全国基金”亦未能逃脱</w:t>
      </w:r>
      <w:r>
        <w:t>1986</w:t>
      </w:r>
      <w:r>
        <w:rPr>
          <w:rFonts w:hint="eastAsia"/>
        </w:rPr>
        <w:t>年以来</w:t>
      </w:r>
      <w:r>
        <w:rPr>
          <w:rFonts w:hint="eastAsia"/>
        </w:rPr>
        <w:t>影响喀麦隆的经济和财政危机；如今它困难重重，既是由于投保人数下降、也是由于需负担的人数</w:t>
      </w:r>
      <w:r>
        <w:t>(</w:t>
      </w:r>
      <w:r>
        <w:rPr>
          <w:rFonts w:hint="eastAsia"/>
        </w:rPr>
        <w:t>领取养老金者</w:t>
      </w:r>
      <w:r>
        <w:t>)</w:t>
      </w:r>
      <w:r>
        <w:rPr>
          <w:rFonts w:hint="eastAsia"/>
        </w:rPr>
        <w:t>锐增。</w:t>
      </w:r>
    </w:p>
    <w:p w:rsidR="00000000" w:rsidRDefault="00BD0CAC">
      <w:pPr>
        <w:spacing w:after="320"/>
        <w:textAlignment w:val="center"/>
      </w:pPr>
      <w:r>
        <w:tab/>
        <w:t>24.  1994</w:t>
      </w:r>
      <w:r>
        <w:rPr>
          <w:rFonts w:hint="eastAsia"/>
        </w:rPr>
        <w:t>年参加社会保险的人数仅及</w:t>
      </w:r>
      <w:r>
        <w:t>1988</w:t>
      </w:r>
      <w:r>
        <w:rPr>
          <w:rFonts w:hint="eastAsia"/>
        </w:rPr>
        <w:t>年的</w:t>
      </w:r>
      <w:r>
        <w:t>92%</w:t>
      </w:r>
      <w:r>
        <w:rPr>
          <w:rFonts w:hint="eastAsia"/>
        </w:rPr>
        <w:t>。同期须负担的养老金领取者增长</w:t>
      </w:r>
      <w:r>
        <w:t>142%</w:t>
      </w:r>
      <w:r>
        <w:rPr>
          <w:rFonts w:hint="eastAsia"/>
        </w:rPr>
        <w:t>。“全国基金”的困难表现为拖欠或交纳的金额向负面发展。“全国基金”收到的纳款额逐渐下降。因此</w:t>
      </w:r>
      <w:r>
        <w:t>1994</w:t>
      </w:r>
      <w:r>
        <w:rPr>
          <w:rFonts w:hint="eastAsia"/>
        </w:rPr>
        <w:t>年的收入仅及</w:t>
      </w:r>
      <w:r>
        <w:t>1988</w:t>
      </w:r>
      <w:r>
        <w:rPr>
          <w:rFonts w:hint="eastAsia"/>
        </w:rPr>
        <w:t>年价值的</w:t>
      </w:r>
      <w:r>
        <w:t>74%</w:t>
      </w:r>
      <w:r>
        <w:rPr>
          <w:rFonts w:hint="eastAsia"/>
        </w:rPr>
        <w:t>。这种收入的负发展大大影响了受保人预期“全国基金”提供服务的质量，尤其是家庭津贴和许多其他补助。</w:t>
      </w:r>
      <w:r>
        <w:t>1988</w:t>
      </w:r>
      <w:r>
        <w:rPr>
          <w:rFonts w:hint="eastAsia"/>
        </w:rPr>
        <w:t>年以来，“全国中心”的家庭津贴和其他补助总额持续滑落。</w:t>
      </w:r>
      <w:r>
        <w:t>1994</w:t>
      </w:r>
      <w:r>
        <w:rPr>
          <w:rFonts w:hint="eastAsia"/>
        </w:rPr>
        <w:t>年</w:t>
      </w:r>
      <w:r>
        <w:rPr>
          <w:rFonts w:hint="eastAsia"/>
        </w:rPr>
        <w:t>发放的津贴仅及</w:t>
      </w:r>
      <w:r>
        <w:t>1988</w:t>
      </w:r>
      <w:r>
        <w:rPr>
          <w:rFonts w:hint="eastAsia"/>
        </w:rPr>
        <w:t>年价值的</w:t>
      </w:r>
      <w:r>
        <w:t>40%</w:t>
      </w:r>
      <w:r>
        <w:rPr>
          <w:rFonts w:hint="eastAsia"/>
        </w:rPr>
        <w:t>。提供服务的情况也是如此，仅占</w:t>
      </w:r>
      <w:r>
        <w:t>1988</w:t>
      </w:r>
      <w:r>
        <w:rPr>
          <w:rFonts w:hint="eastAsia"/>
        </w:rPr>
        <w:t>年价值的</w:t>
      </w:r>
      <w:r>
        <w:t>38%</w:t>
      </w:r>
      <w:r>
        <w:rPr>
          <w:rFonts w:hint="eastAsia"/>
        </w:rPr>
        <w:t>。所有这些困难均对劳动市场发生影响，对创建微型企业的家庭投资不利，而这又是由于银行系统周转不灵。</w:t>
      </w:r>
    </w:p>
    <w:p w:rsidR="00000000" w:rsidRDefault="00BD0CAC">
      <w:pPr>
        <w:pStyle w:val="Heading2"/>
      </w:pPr>
      <w:r>
        <w:rPr>
          <w:rFonts w:hint="eastAsia"/>
        </w:rPr>
        <w:t>二、关于《盟约》执行情况</w:t>
      </w:r>
    </w:p>
    <w:p w:rsidR="00000000" w:rsidRDefault="00BD0CAC">
      <w:pPr>
        <w:pStyle w:val="Heading3"/>
      </w:pPr>
      <w:r>
        <w:rPr>
          <w:rFonts w:hint="eastAsia"/>
        </w:rPr>
        <w:t>第</w:t>
      </w:r>
      <w:r>
        <w:t xml:space="preserve"> 2 </w:t>
      </w:r>
      <w:r>
        <w:rPr>
          <w:rFonts w:hint="eastAsia"/>
        </w:rPr>
        <w:t>条</w:t>
      </w:r>
    </w:p>
    <w:p w:rsidR="00000000" w:rsidRDefault="00BD0CAC">
      <w:pPr>
        <w:pStyle w:val="Heading4"/>
      </w:pPr>
      <w:r>
        <w:t>2.1</w:t>
      </w:r>
    </w:p>
    <w:p w:rsidR="00000000" w:rsidRDefault="00BD0CAC">
      <w:pPr>
        <w:spacing w:after="320"/>
        <w:textAlignment w:val="center"/>
      </w:pPr>
      <w:r>
        <w:tab/>
        <w:t xml:space="preserve">25.  </w:t>
      </w:r>
      <w:r>
        <w:rPr>
          <w:rFonts w:hint="eastAsia"/>
        </w:rPr>
        <w:t>在喀麦隆，关于《盟约》中所承认的各项权利，对居住在其领土上的一切人士均不分国籍予以保障，但为维护国家主权的宪法、立法和规章条款不在此列。</w:t>
      </w:r>
    </w:p>
    <w:p w:rsidR="00000000" w:rsidRDefault="00BD0CAC">
      <w:pPr>
        <w:pStyle w:val="Heading4"/>
      </w:pPr>
      <w:r>
        <w:t>2.2</w:t>
      </w:r>
    </w:p>
    <w:p w:rsidR="00000000" w:rsidRDefault="00BD0CAC">
      <w:pPr>
        <w:spacing w:after="320"/>
        <w:textAlignment w:val="center"/>
      </w:pPr>
      <w:r>
        <w:tab/>
        <w:t>26.  1992</w:t>
      </w:r>
      <w:r>
        <w:rPr>
          <w:rFonts w:hint="eastAsia"/>
        </w:rPr>
        <w:t>年</w:t>
      </w:r>
      <w:r>
        <w:t>8</w:t>
      </w:r>
      <w:r>
        <w:rPr>
          <w:rFonts w:hint="eastAsia"/>
        </w:rPr>
        <w:t>月</w:t>
      </w:r>
      <w:r>
        <w:t>14</w:t>
      </w:r>
      <w:r>
        <w:rPr>
          <w:rFonts w:hint="eastAsia"/>
        </w:rPr>
        <w:t>日关于劳动法的第</w:t>
      </w:r>
      <w:r>
        <w:t>92/007</w:t>
      </w:r>
      <w:r>
        <w:rPr>
          <w:rFonts w:hint="eastAsia"/>
        </w:rPr>
        <w:t>号法令第</w:t>
      </w:r>
      <w:r>
        <w:t>1</w:t>
      </w:r>
      <w:r>
        <w:rPr>
          <w:rFonts w:hint="eastAsia"/>
        </w:rPr>
        <w:t>条第</w:t>
      </w:r>
      <w:r>
        <w:t>2</w:t>
      </w:r>
      <w:r>
        <w:rPr>
          <w:rFonts w:hint="eastAsia"/>
        </w:rPr>
        <w:t>款规定：“根据本法令，以下一切人士不论其性别与国</w:t>
      </w:r>
      <w:r>
        <w:rPr>
          <w:rFonts w:hint="eastAsia"/>
        </w:rPr>
        <w:t>籍均得被认为劳动者：该人为取得报酬将其职业活动置于某一自然人或法人、国营或私营人员领导或权威下，而后者即被认为是其雇主者”。</w:t>
      </w:r>
    </w:p>
    <w:p w:rsidR="00000000" w:rsidRDefault="00BD0CAC">
      <w:pPr>
        <w:pStyle w:val="Heading4"/>
      </w:pPr>
      <w:r>
        <w:t>2.3</w:t>
      </w:r>
    </w:p>
    <w:p w:rsidR="00000000" w:rsidRDefault="00BD0CAC">
      <w:pPr>
        <w:spacing w:after="320"/>
        <w:textAlignment w:val="center"/>
      </w:pPr>
      <w:r>
        <w:tab/>
        <w:t xml:space="preserve">27.  </w:t>
      </w:r>
      <w:r>
        <w:rPr>
          <w:rFonts w:hint="eastAsia"/>
        </w:rPr>
        <w:t>喀麦隆在其可使用资源范围内并在友好国家及国际机构双边、多边援助下，在尊重《盟约》承认的各种权利的情况下确保其自身之发展。</w:t>
      </w:r>
    </w:p>
    <w:p w:rsidR="00000000" w:rsidRDefault="00BD0CAC">
      <w:pPr>
        <w:pStyle w:val="Heading3"/>
      </w:pPr>
      <w:r>
        <w:rPr>
          <w:rFonts w:hint="eastAsia"/>
        </w:rPr>
        <w:t>第</w:t>
      </w:r>
      <w:r>
        <w:t xml:space="preserve"> 6 </w:t>
      </w:r>
      <w:r>
        <w:rPr>
          <w:rFonts w:hint="eastAsia"/>
        </w:rPr>
        <w:t>条</w:t>
      </w:r>
    </w:p>
    <w:p w:rsidR="00000000" w:rsidRDefault="00BD0CAC">
      <w:pPr>
        <w:pStyle w:val="Heading4"/>
      </w:pPr>
      <w:r>
        <w:t>6.1</w:t>
      </w:r>
    </w:p>
    <w:p w:rsidR="00000000" w:rsidRDefault="00BD0CAC">
      <w:r>
        <w:tab/>
        <w:t xml:space="preserve">28.  </w:t>
      </w:r>
      <w:r>
        <w:rPr>
          <w:rFonts w:hint="eastAsia"/>
        </w:rPr>
        <w:t>喀麦隆加入了国际劳工组织的一些公约，特别是关于就业的第</w:t>
      </w:r>
      <w:r>
        <w:t>122</w:t>
      </w:r>
      <w:r>
        <w:rPr>
          <w:rFonts w:hint="eastAsia"/>
        </w:rPr>
        <w:t>号公约、关于歧视问题的第</w:t>
      </w:r>
      <w:r>
        <w:t>111</w:t>
      </w:r>
      <w:r>
        <w:rPr>
          <w:rFonts w:hint="eastAsia"/>
        </w:rPr>
        <w:t>号公约</w:t>
      </w:r>
      <w:r>
        <w:t>(</w:t>
      </w:r>
      <w:r>
        <w:rPr>
          <w:rFonts w:hint="eastAsia"/>
        </w:rPr>
        <w:t>就业与职业</w:t>
      </w:r>
      <w:r>
        <w:t>)</w:t>
      </w:r>
      <w:r>
        <w:rPr>
          <w:rFonts w:hint="eastAsia"/>
        </w:rPr>
        <w:t>。已向国际劳工组织递交了若干季度、半年及年度报告，其中最近的报告涵盖</w:t>
      </w:r>
      <w:r>
        <w:t>1996</w:t>
      </w:r>
      <w:r>
        <w:rPr>
          <w:rFonts w:hint="eastAsia"/>
        </w:rPr>
        <w:t>年</w:t>
      </w:r>
      <w:r>
        <w:t>6</w:t>
      </w:r>
      <w:r>
        <w:rPr>
          <w:rFonts w:hint="eastAsia"/>
        </w:rPr>
        <w:t>月至</w:t>
      </w:r>
      <w:r>
        <w:t>9</w:t>
      </w:r>
      <w:r>
        <w:rPr>
          <w:rFonts w:hint="eastAsia"/>
        </w:rPr>
        <w:t>月期间，以下引用</w:t>
      </w:r>
      <w:r>
        <w:rPr>
          <w:rFonts w:hint="eastAsia"/>
        </w:rPr>
        <w:t>相关密切的段落：</w:t>
      </w:r>
    </w:p>
    <w:p w:rsidR="00000000" w:rsidRDefault="00BD0CAC">
      <w:pPr>
        <w:pStyle w:val="Heading4"/>
        <w:spacing w:before="320"/>
      </w:pPr>
      <w:r>
        <w:t>6.2 (a)</w:t>
      </w:r>
    </w:p>
    <w:p w:rsidR="00000000" w:rsidRDefault="00BD0CAC">
      <w:r>
        <w:tab/>
        <w:t xml:space="preserve">29.  </w:t>
      </w:r>
      <w:r>
        <w:rPr>
          <w:rFonts w:hint="eastAsia"/>
        </w:rPr>
        <w:t>就业人口增速远高于工资劳动的就业机遇，后者趋于倒退。此种局面导致</w:t>
      </w:r>
      <w:r>
        <w:t>1970</w:t>
      </w:r>
      <w:r>
        <w:rPr>
          <w:rFonts w:hint="eastAsia"/>
        </w:rPr>
        <w:t>年代偶发的失业现象，近十年来已变为沉疴。它如今已是最重大的经济、社会和政治挑战。通常大城市约有五分之一至四分之一</w:t>
      </w:r>
      <w:r>
        <w:t>15</w:t>
      </w:r>
      <w:r>
        <w:rPr>
          <w:rFonts w:hint="eastAsia"/>
        </w:rPr>
        <w:t>岁以上的应就业人口为失业者。</w:t>
      </w:r>
    </w:p>
    <w:p w:rsidR="00000000" w:rsidRDefault="00BD0CAC">
      <w:r>
        <w:tab/>
        <w:t xml:space="preserve">30.  </w:t>
      </w:r>
      <w:r>
        <w:rPr>
          <w:rFonts w:hint="eastAsia"/>
        </w:rPr>
        <w:t>在估计为</w:t>
      </w:r>
      <w:r>
        <w:t>5,100,000</w:t>
      </w:r>
      <w:r>
        <w:rPr>
          <w:rFonts w:hint="eastAsia"/>
        </w:rPr>
        <w:t>人的就业人口中，</w:t>
      </w:r>
      <w:r>
        <w:t>1996</w:t>
      </w:r>
      <w:r>
        <w:rPr>
          <w:rFonts w:hint="eastAsia"/>
        </w:rPr>
        <w:t>年经常性工资劳动者的职位约有</w:t>
      </w:r>
      <w:r>
        <w:t>690,000</w:t>
      </w:r>
      <w:r>
        <w:rPr>
          <w:rFonts w:hint="eastAsia"/>
        </w:rPr>
        <w:t>个，分布如下：</w:t>
      </w:r>
    </w:p>
    <w:p w:rsidR="00000000" w:rsidRDefault="00BD0CAC" w:rsidP="00BD0CAC">
      <w:pPr>
        <w:pStyle w:val="a6"/>
        <w:numPr>
          <w:ilvl w:val="0"/>
          <w:numId w:val="1"/>
        </w:numPr>
      </w:pPr>
      <w:r>
        <w:rPr>
          <w:rFonts w:hint="eastAsia"/>
        </w:rPr>
        <w:t>第一产业</w:t>
      </w:r>
      <w:r>
        <w:tab/>
      </w:r>
      <w:r>
        <w:tab/>
      </w:r>
      <w:r>
        <w:tab/>
        <w:t>244 260</w:t>
      </w:r>
    </w:p>
    <w:p w:rsidR="00000000" w:rsidRDefault="00BD0CAC" w:rsidP="00BD0CAC">
      <w:pPr>
        <w:pStyle w:val="a6"/>
        <w:numPr>
          <w:ilvl w:val="0"/>
          <w:numId w:val="1"/>
        </w:numPr>
      </w:pPr>
      <w:r>
        <w:rPr>
          <w:rFonts w:hint="eastAsia"/>
        </w:rPr>
        <w:t>第二产业</w:t>
      </w:r>
      <w:r>
        <w:tab/>
      </w:r>
      <w:r>
        <w:tab/>
      </w:r>
      <w:r>
        <w:tab/>
        <w:t>113 160</w:t>
      </w:r>
    </w:p>
    <w:p w:rsidR="00000000" w:rsidRDefault="00BD0CAC" w:rsidP="00BD0CAC">
      <w:pPr>
        <w:pStyle w:val="a6"/>
        <w:numPr>
          <w:ilvl w:val="0"/>
          <w:numId w:val="1"/>
        </w:numPr>
      </w:pPr>
      <w:r>
        <w:rPr>
          <w:rFonts w:hint="eastAsia"/>
        </w:rPr>
        <w:t>第三产业</w:t>
      </w:r>
      <w:r>
        <w:tab/>
      </w:r>
      <w:r>
        <w:tab/>
      </w:r>
      <w:r>
        <w:tab/>
        <w:t>207 690</w:t>
      </w:r>
    </w:p>
    <w:p w:rsidR="00000000" w:rsidRDefault="00BD0CAC">
      <w:r>
        <w:rPr>
          <w:rFonts w:hint="eastAsia"/>
        </w:rPr>
        <w:t>喀麦隆平均失业率一般为</w:t>
      </w:r>
      <w:r>
        <w:t>15-17%</w:t>
      </w:r>
      <w:r>
        <w:rPr>
          <w:rFonts w:hint="eastAsia"/>
        </w:rPr>
        <w:t>，其</w:t>
      </w:r>
      <w:r>
        <w:rPr>
          <w:rFonts w:hint="eastAsia"/>
        </w:rPr>
        <w:t>中雅温得为高失业率，达</w:t>
      </w:r>
      <w:r>
        <w:t>30%</w:t>
      </w:r>
      <w:r>
        <w:rPr>
          <w:rFonts w:hint="eastAsia"/>
        </w:rPr>
        <w:t>；杜阿拉为</w:t>
      </w:r>
      <w:r>
        <w:t>27%</w:t>
      </w:r>
      <w:r>
        <w:rPr>
          <w:rFonts w:hint="eastAsia"/>
        </w:rPr>
        <w:t>。由于喀麦隆的人力资源潜力雄厚，其生产能力一直开工不足，导致独立以来长期就业不充分的状态。妇女、儿童和残疾人处境最差。</w:t>
      </w:r>
    </w:p>
    <w:p w:rsidR="00000000" w:rsidRDefault="00BD0CAC">
      <w:pPr>
        <w:pStyle w:val="Heading4"/>
        <w:spacing w:before="320"/>
        <w:textAlignment w:val="center"/>
      </w:pPr>
      <w:r>
        <w:t>6.2 (b)</w:t>
      </w:r>
    </w:p>
    <w:p w:rsidR="00000000" w:rsidRDefault="00BD0CAC">
      <w:r>
        <w:tab/>
        <w:t xml:space="preserve">31.  </w:t>
      </w:r>
      <w:r>
        <w:rPr>
          <w:rFonts w:hint="eastAsia"/>
        </w:rPr>
        <w:t>喀麦隆通过并实施了《投资法》和关于产业免税区的法令，构成促进就业的两大支柱；另有《劳动法》，旨在方便和促进就业，并促成雇主与雇员谈判。</w:t>
      </w:r>
    </w:p>
    <w:p w:rsidR="00000000" w:rsidRDefault="00BD0CAC">
      <w:r>
        <w:tab/>
        <w:t xml:space="preserve">32.  </w:t>
      </w:r>
      <w:r>
        <w:rPr>
          <w:rFonts w:hint="eastAsia"/>
        </w:rPr>
        <w:t>关于《投资法》和免税制，其优惠如下：</w:t>
      </w:r>
    </w:p>
    <w:p w:rsidR="00000000" w:rsidRDefault="00BD0CAC">
      <w:pPr>
        <w:ind w:left="518"/>
      </w:pPr>
      <w:r>
        <w:t>(</w:t>
      </w:r>
      <w:r>
        <w:rPr>
          <w:rFonts w:hint="eastAsia"/>
        </w:rPr>
        <w:t>一</w:t>
      </w:r>
      <w:r>
        <w:t>)</w:t>
      </w:r>
      <w:r>
        <w:tab/>
      </w:r>
      <w:r>
        <w:rPr>
          <w:rFonts w:hint="eastAsia"/>
          <w:u w:val="single"/>
        </w:rPr>
        <w:t>税收优惠</w:t>
      </w:r>
      <w:r>
        <w:rPr>
          <w:rFonts w:hint="eastAsia"/>
        </w:rPr>
        <w:t>：</w:t>
      </w:r>
    </w:p>
    <w:p w:rsidR="00000000" w:rsidRDefault="00BD0CAC">
      <w:pPr>
        <w:ind w:left="1036"/>
      </w:pPr>
      <w:r>
        <w:rPr>
          <w:rFonts w:hint="eastAsia"/>
          <w:u w:val="single"/>
        </w:rPr>
        <w:t>安置阶段</w:t>
      </w:r>
      <w:r>
        <w:rPr>
          <w:rFonts w:hint="eastAsia"/>
        </w:rPr>
        <w:t>：</w:t>
      </w:r>
    </w:p>
    <w:p w:rsidR="00000000" w:rsidRDefault="00BD0CAC" w:rsidP="00BD0CAC">
      <w:pPr>
        <w:pStyle w:val="a6"/>
        <w:numPr>
          <w:ilvl w:val="0"/>
          <w:numId w:val="1"/>
        </w:numPr>
        <w:ind w:left="2064"/>
      </w:pPr>
      <w:r>
        <w:rPr>
          <w:rFonts w:hint="eastAsia"/>
        </w:rPr>
        <w:t>免缴登记税、迁移税；</w:t>
      </w:r>
    </w:p>
    <w:p w:rsidR="00000000" w:rsidRDefault="00BD0CAC" w:rsidP="00BD0CAC">
      <w:pPr>
        <w:pStyle w:val="a6"/>
        <w:numPr>
          <w:ilvl w:val="0"/>
          <w:numId w:val="1"/>
        </w:numPr>
        <w:ind w:left="2064"/>
      </w:pPr>
      <w:r>
        <w:rPr>
          <w:rFonts w:hint="eastAsia"/>
        </w:rPr>
        <w:t>从课税第一年起，减免公司税</w:t>
      </w:r>
      <w:r>
        <w:t>50</w:t>
      </w:r>
      <w:r>
        <w:rPr>
          <w:rFonts w:hint="eastAsia"/>
        </w:rPr>
        <w:t>％。</w:t>
      </w:r>
    </w:p>
    <w:p w:rsidR="00000000" w:rsidRDefault="00BD0CAC">
      <w:pPr>
        <w:ind w:left="1036"/>
      </w:pPr>
      <w:r>
        <w:rPr>
          <w:rFonts w:hint="eastAsia"/>
          <w:u w:val="single"/>
        </w:rPr>
        <w:t>生产阶段</w:t>
      </w:r>
      <w:r>
        <w:rPr>
          <w:rFonts w:hint="eastAsia"/>
        </w:rPr>
        <w:t>：</w:t>
      </w:r>
    </w:p>
    <w:p w:rsidR="00000000" w:rsidRDefault="00BD0CAC" w:rsidP="00BD0CAC">
      <w:pPr>
        <w:pStyle w:val="a6"/>
        <w:numPr>
          <w:ilvl w:val="0"/>
          <w:numId w:val="1"/>
        </w:numPr>
        <w:ind w:left="2064"/>
      </w:pPr>
      <w:r>
        <w:rPr>
          <w:rFonts w:hint="eastAsia"/>
        </w:rPr>
        <w:t>减免</w:t>
      </w:r>
      <w:r>
        <w:t>50</w:t>
      </w:r>
      <w:r>
        <w:rPr>
          <w:rFonts w:hint="eastAsia"/>
        </w:rPr>
        <w:t>％公司税、工商营利税以及</w:t>
      </w:r>
      <w:r>
        <w:rPr>
          <w:rFonts w:hint="eastAsia"/>
        </w:rPr>
        <w:t>收入和流动资本累进税；</w:t>
      </w:r>
    </w:p>
    <w:p w:rsidR="00000000" w:rsidRDefault="00BD0CAC" w:rsidP="00BD0CAC">
      <w:pPr>
        <w:pStyle w:val="a6"/>
        <w:numPr>
          <w:ilvl w:val="0"/>
          <w:numId w:val="1"/>
        </w:numPr>
        <w:ind w:left="2064"/>
      </w:pPr>
      <w:r>
        <w:rPr>
          <w:rFonts w:hint="eastAsia"/>
        </w:rPr>
        <w:t>对制成品免收出口税和保险税；</w:t>
      </w:r>
    </w:p>
    <w:p w:rsidR="00000000" w:rsidRDefault="00BD0CAC" w:rsidP="00BD0CAC">
      <w:pPr>
        <w:pStyle w:val="a6"/>
        <w:numPr>
          <w:ilvl w:val="0"/>
          <w:numId w:val="1"/>
        </w:numPr>
        <w:ind w:left="2064"/>
      </w:pPr>
      <w:r>
        <w:rPr>
          <w:rFonts w:hint="eastAsia"/>
        </w:rPr>
        <w:t>从课税收入中扣减一定数量的不可延期额，相当于制成品离岸价格</w:t>
      </w:r>
      <w:r>
        <w:t>0.5</w:t>
      </w:r>
      <w:r>
        <w:rPr>
          <w:rFonts w:hint="eastAsia"/>
        </w:rPr>
        <w:t>％。</w:t>
      </w:r>
    </w:p>
    <w:p w:rsidR="00000000" w:rsidRDefault="00BD0CAC">
      <w:pPr>
        <w:ind w:left="518"/>
      </w:pPr>
      <w:r>
        <w:br w:type="page"/>
        <w:t>(</w:t>
      </w:r>
      <w:r>
        <w:rPr>
          <w:rFonts w:hint="eastAsia"/>
        </w:rPr>
        <w:t>二</w:t>
      </w:r>
      <w:r>
        <w:t>)</w:t>
      </w:r>
      <w:r>
        <w:tab/>
      </w:r>
      <w:r>
        <w:rPr>
          <w:rFonts w:hint="eastAsia"/>
          <w:u w:val="single"/>
        </w:rPr>
        <w:t>经济优惠</w:t>
      </w:r>
      <w:r>
        <w:rPr>
          <w:rFonts w:hint="eastAsia"/>
        </w:rPr>
        <w:t>：</w:t>
      </w:r>
    </w:p>
    <w:p w:rsidR="00000000" w:rsidRDefault="00BD0CAC">
      <w:pPr>
        <w:spacing w:before="120" w:after="120"/>
        <w:ind w:left="1038"/>
      </w:pPr>
      <w:r>
        <w:rPr>
          <w:rFonts w:hint="eastAsia"/>
          <w:u w:val="single"/>
        </w:rPr>
        <w:t>关税方面</w:t>
      </w:r>
      <w:r>
        <w:rPr>
          <w:rFonts w:hint="eastAsia"/>
        </w:rPr>
        <w:t>：</w:t>
      </w:r>
    </w:p>
    <w:p w:rsidR="00000000" w:rsidRDefault="00BD0CAC" w:rsidP="00BD0CAC">
      <w:pPr>
        <w:pStyle w:val="a6"/>
        <w:numPr>
          <w:ilvl w:val="0"/>
          <w:numId w:val="1"/>
        </w:numPr>
      </w:pPr>
      <w:r>
        <w:rPr>
          <w:rFonts w:hint="eastAsia"/>
        </w:rPr>
        <w:t>一项共同的对外税率，对企业用装备和原料实行低关税。</w:t>
      </w:r>
    </w:p>
    <w:p w:rsidR="00000000" w:rsidRDefault="00BD0CAC">
      <w:pPr>
        <w:spacing w:before="120" w:after="120"/>
        <w:ind w:left="1038"/>
      </w:pPr>
      <w:r>
        <w:rPr>
          <w:rFonts w:hint="eastAsia"/>
          <w:u w:val="single"/>
        </w:rPr>
        <w:t>推动出口方面</w:t>
      </w:r>
      <w:r>
        <w:rPr>
          <w:rFonts w:hint="eastAsia"/>
        </w:rPr>
        <w:t>：</w:t>
      </w:r>
    </w:p>
    <w:p w:rsidR="00000000" w:rsidRDefault="00BD0CAC" w:rsidP="00BD0CAC">
      <w:pPr>
        <w:pStyle w:val="a6"/>
        <w:numPr>
          <w:ilvl w:val="0"/>
          <w:numId w:val="1"/>
        </w:numPr>
      </w:pPr>
      <w:r>
        <w:rPr>
          <w:rFonts w:hint="eastAsia"/>
        </w:rPr>
        <w:t>对制成品免收出口税和保险税。</w:t>
      </w:r>
    </w:p>
    <w:p w:rsidR="00000000" w:rsidRDefault="00BD0CAC" w:rsidP="00BD0CAC">
      <w:pPr>
        <w:pStyle w:val="a6"/>
        <w:numPr>
          <w:ilvl w:val="0"/>
          <w:numId w:val="1"/>
        </w:numPr>
      </w:pPr>
      <w:r>
        <w:rPr>
          <w:rFonts w:hint="eastAsia"/>
        </w:rPr>
        <w:t>从课税收入中扣减一定数量的不可延期额，相当于制成品离岸价</w:t>
      </w:r>
      <w:r>
        <w:t>0.5%</w:t>
      </w:r>
      <w:r>
        <w:rPr>
          <w:rFonts w:hint="eastAsia"/>
        </w:rPr>
        <w:t>。</w:t>
      </w:r>
    </w:p>
    <w:p w:rsidR="00000000" w:rsidRDefault="00BD0CAC">
      <w:pPr>
        <w:spacing w:before="120" w:after="120"/>
        <w:ind w:left="1038"/>
      </w:pPr>
      <w:r>
        <w:rPr>
          <w:rFonts w:hint="eastAsia"/>
          <w:u w:val="single"/>
        </w:rPr>
        <w:t>促进各地工业化方面</w:t>
      </w:r>
      <w:r>
        <w:rPr>
          <w:rFonts w:hint="eastAsia"/>
        </w:rPr>
        <w:t>：</w:t>
      </w:r>
    </w:p>
    <w:p w:rsidR="00000000" w:rsidRDefault="00BD0CAC" w:rsidP="00BD0CAC">
      <w:pPr>
        <w:pStyle w:val="a6"/>
        <w:numPr>
          <w:ilvl w:val="0"/>
          <w:numId w:val="1"/>
        </w:numPr>
      </w:pPr>
      <w:r>
        <w:rPr>
          <w:rFonts w:hint="eastAsia"/>
        </w:rPr>
        <w:t>从课税收入中扣减一定数量的不可延期额，如被接受企业设于大城市之外，则相当于其交通和服务开支的</w:t>
      </w:r>
      <w:r>
        <w:t>50</w:t>
      </w:r>
      <w:r>
        <w:rPr>
          <w:rFonts w:hint="eastAsia"/>
        </w:rPr>
        <w:t>％。</w:t>
      </w:r>
    </w:p>
    <w:p w:rsidR="00000000" w:rsidRDefault="00BD0CAC">
      <w:r>
        <w:tab/>
        <w:t xml:space="preserve">33.  </w:t>
      </w:r>
      <w:r>
        <w:rPr>
          <w:rFonts w:hint="eastAsia"/>
        </w:rPr>
        <w:t>关于免税区制度：免税区旨在促进新投资、便利出口发展并</w:t>
      </w:r>
      <w:r>
        <w:rPr>
          <w:rFonts w:hint="eastAsia"/>
        </w:rPr>
        <w:t>创造新就业机会；喀麦隆政府以</w:t>
      </w:r>
      <w:r>
        <w:t>1990</w:t>
      </w:r>
      <w:r>
        <w:rPr>
          <w:rFonts w:hint="eastAsia"/>
        </w:rPr>
        <w:t>年</w:t>
      </w:r>
      <w:r>
        <w:t>1</w:t>
      </w:r>
      <w:r>
        <w:rPr>
          <w:rFonts w:hint="eastAsia"/>
        </w:rPr>
        <w:t>月</w:t>
      </w:r>
      <w:r>
        <w:t>29</w:t>
      </w:r>
      <w:r>
        <w:rPr>
          <w:rFonts w:hint="eastAsia"/>
        </w:rPr>
        <w:t>日第</w:t>
      </w:r>
      <w:r>
        <w:t>90/001</w:t>
      </w:r>
      <w:r>
        <w:rPr>
          <w:rFonts w:hint="eastAsia"/>
        </w:rPr>
        <w:t>号法令设置该免税区。被接受实行该制度的企业享受以下商业、税收和关税效益：</w:t>
      </w:r>
    </w:p>
    <w:p w:rsidR="00000000" w:rsidRDefault="00BD0CAC">
      <w:pPr>
        <w:spacing w:before="120" w:after="120"/>
        <w:ind w:left="520"/>
      </w:pPr>
      <w:r>
        <w:t>(</w:t>
      </w:r>
      <w:r>
        <w:rPr>
          <w:rFonts w:hint="eastAsia"/>
        </w:rPr>
        <w:t>一</w:t>
      </w:r>
      <w:r>
        <w:t>)</w:t>
      </w:r>
      <w:r>
        <w:tab/>
      </w:r>
      <w:r>
        <w:rPr>
          <w:rFonts w:hint="eastAsia"/>
          <w:u w:val="single"/>
        </w:rPr>
        <w:t>商业优惠</w:t>
      </w:r>
    </w:p>
    <w:p w:rsidR="00000000" w:rsidRDefault="00BD0CAC">
      <w:pPr>
        <w:ind w:left="1036"/>
      </w:pPr>
      <w:r>
        <w:rPr>
          <w:rFonts w:hint="eastAsia"/>
        </w:rPr>
        <w:t>被接受实行免税区制度的企业进出口无需许可证、批准书或限额。但进出口须办理事先申报手续，以便利统计工作。</w:t>
      </w:r>
    </w:p>
    <w:p w:rsidR="00000000" w:rsidRDefault="00BD0CAC">
      <w:pPr>
        <w:spacing w:before="120" w:after="120"/>
        <w:ind w:left="520"/>
      </w:pPr>
      <w:r>
        <w:t>(</w:t>
      </w:r>
      <w:r>
        <w:rPr>
          <w:rFonts w:hint="eastAsia"/>
        </w:rPr>
        <w:t>二</w:t>
      </w:r>
      <w:r>
        <w:t>)</w:t>
      </w:r>
      <w:r>
        <w:tab/>
      </w:r>
      <w:r>
        <w:rPr>
          <w:rFonts w:hint="eastAsia"/>
          <w:u w:val="single"/>
        </w:rPr>
        <w:t>税收优惠</w:t>
      </w:r>
    </w:p>
    <w:p w:rsidR="00000000" w:rsidRDefault="00BD0CAC">
      <w:pPr>
        <w:spacing w:after="120"/>
        <w:ind w:left="1036"/>
        <w:textAlignment w:val="center"/>
      </w:pPr>
      <w:r>
        <w:rPr>
          <w:rFonts w:hint="eastAsia"/>
        </w:rPr>
        <w:t>建立在工业免税区内的企业，在头十年中完全免收直接和间接税，以及印花登记税、地产迁移税和外汇转帐税。</w:t>
      </w:r>
    </w:p>
    <w:p w:rsidR="00000000" w:rsidRDefault="00BD0CAC">
      <w:pPr>
        <w:spacing w:after="120"/>
        <w:ind w:left="1036"/>
        <w:textAlignment w:val="center"/>
      </w:pPr>
      <w:r>
        <w:rPr>
          <w:rFonts w:hint="eastAsia"/>
        </w:rPr>
        <w:t>从经营的第十一年起，将接受企业继续享受上述各项效益、但除去工商营利税，它们须付该税收</w:t>
      </w:r>
      <w:r>
        <w:t>15</w:t>
      </w:r>
      <w:r>
        <w:rPr>
          <w:rFonts w:hint="eastAsia"/>
        </w:rPr>
        <w:t>％税额。</w:t>
      </w:r>
    </w:p>
    <w:p w:rsidR="00000000" w:rsidRDefault="00BD0CAC">
      <w:pPr>
        <w:ind w:left="1036"/>
      </w:pPr>
      <w:r>
        <w:rPr>
          <w:rFonts w:hint="eastAsia"/>
        </w:rPr>
        <w:t>此外，在上述免税期的亏损被认为是以后财</w:t>
      </w:r>
      <w:r>
        <w:rPr>
          <w:rFonts w:hint="eastAsia"/>
        </w:rPr>
        <w:t>政年度的负担，从已获营利中扣除。</w:t>
      </w:r>
    </w:p>
    <w:p w:rsidR="00000000" w:rsidRDefault="00BD0CAC">
      <w:pPr>
        <w:spacing w:before="120" w:after="120"/>
        <w:ind w:left="516"/>
        <w:rPr>
          <w:u w:val="single"/>
        </w:rPr>
      </w:pPr>
      <w:r>
        <w:br w:type="page"/>
        <w:t>(</w:t>
      </w:r>
      <w:r>
        <w:rPr>
          <w:rFonts w:hint="eastAsia"/>
        </w:rPr>
        <w:t>三</w:t>
      </w:r>
      <w:r>
        <w:t>)</w:t>
      </w:r>
      <w:r>
        <w:tab/>
      </w:r>
      <w:r>
        <w:rPr>
          <w:rFonts w:hint="eastAsia"/>
          <w:u w:val="single"/>
        </w:rPr>
        <w:t>关税优惠</w:t>
      </w:r>
    </w:p>
    <w:p w:rsidR="00000000" w:rsidRDefault="00BD0CAC">
      <w:pPr>
        <w:ind w:left="1036"/>
      </w:pPr>
      <w:r>
        <w:rPr>
          <w:rFonts w:hint="eastAsia"/>
        </w:rPr>
        <w:t>工业免税区的企业免收各种关税。政府通过以上措施促进生产性投资，从而尽可能创造就业机会，使求职者能找到工作。</w:t>
      </w:r>
    </w:p>
    <w:p w:rsidR="00000000" w:rsidRDefault="00BD0CAC">
      <w:pPr>
        <w:pStyle w:val="Heading4"/>
        <w:spacing w:before="320"/>
        <w:textAlignment w:val="center"/>
      </w:pPr>
      <w:r>
        <w:t>6.2 (c)</w:t>
      </w:r>
    </w:p>
    <w:p w:rsidR="00000000" w:rsidRDefault="00BD0CAC">
      <w:r>
        <w:tab/>
        <w:t xml:space="preserve">34.  </w:t>
      </w:r>
      <w:r>
        <w:rPr>
          <w:rFonts w:hint="eastAsia"/>
        </w:rPr>
        <w:t>国家就业基金</w:t>
      </w:r>
      <w:r>
        <w:t>(</w:t>
      </w:r>
      <w:r>
        <w:rPr>
          <w:rFonts w:hint="eastAsia"/>
        </w:rPr>
        <w:t>就业基金</w:t>
      </w:r>
      <w:r>
        <w:t>)1990</w:t>
      </w:r>
      <w:r>
        <w:rPr>
          <w:rFonts w:hint="eastAsia"/>
        </w:rPr>
        <w:t>年</w:t>
      </w:r>
      <w:r>
        <w:t>4</w:t>
      </w:r>
      <w:r>
        <w:rPr>
          <w:rFonts w:hint="eastAsia"/>
        </w:rPr>
        <w:t>月</w:t>
      </w:r>
      <w:r>
        <w:t>27</w:t>
      </w:r>
      <w:r>
        <w:rPr>
          <w:rFonts w:hint="eastAsia"/>
        </w:rPr>
        <w:t>日在“社会方面的调整”项目范围内面世。其任务是增加就业机会，促成急于求职者任职以及由于经济原因下岗者重新就业，促进、资助并跟踪就地培训方案、建立师徒关系、正式和职业培训、自我创业以及创办微型企业</w:t>
      </w:r>
      <w:r>
        <w:t>(</w:t>
      </w:r>
      <w:r>
        <w:rPr>
          <w:rFonts w:hint="eastAsia"/>
        </w:rPr>
        <w:t>创业者应作货币或实物贡献</w:t>
      </w:r>
      <w:r>
        <w:t>)</w:t>
      </w:r>
      <w:r>
        <w:rPr>
          <w:rFonts w:hint="eastAsia"/>
        </w:rPr>
        <w:t>。对富有创业精神并有可行计划的失业者，就业基金提供小额信贷</w:t>
      </w:r>
      <w:r>
        <w:rPr>
          <w:rFonts w:hint="eastAsia"/>
        </w:rPr>
        <w:t>，以实现微型企业方案。</w:t>
      </w:r>
    </w:p>
    <w:p w:rsidR="00000000" w:rsidRDefault="00BD0CAC">
      <w:r>
        <w:tab/>
        <w:t xml:space="preserve">35.  </w:t>
      </w:r>
      <w:r>
        <w:rPr>
          <w:rFonts w:hint="eastAsia"/>
        </w:rPr>
        <w:t>国际劳工局实施的青年毕业生和青年手工业者方案原则上由政府捐助</w:t>
      </w:r>
      <w:r>
        <w:t>2</w:t>
      </w:r>
      <w:r>
        <w:rPr>
          <w:rFonts w:hint="eastAsia"/>
        </w:rPr>
        <w:t>亿</w:t>
      </w:r>
      <w:r>
        <w:t>3000</w:t>
      </w:r>
      <w:r>
        <w:rPr>
          <w:rFonts w:hint="eastAsia"/>
        </w:rPr>
        <w:t>万非洲法郎和联合国开发计划署提供</w:t>
      </w:r>
      <w:r>
        <w:t>544,000</w:t>
      </w:r>
      <w:r>
        <w:rPr>
          <w:rFonts w:hint="eastAsia"/>
        </w:rPr>
        <w:t>美元构成。这一方案旨在提倡创业精神，作用于向由一批青年创业者创建和管理可行企业提供援助</w:t>
      </w:r>
      <w:r>
        <w:t>(</w:t>
      </w:r>
      <w:r>
        <w:rPr>
          <w:rFonts w:hint="eastAsia"/>
        </w:rPr>
        <w:t>创业者须作货币或实物贡献。在草创阶段，创建者应获该项目援助以办理行政手续、筹集必要资金、设置管理所需的手段，并与其他创业者开展合作互助。遗憾的是，由于种种原因，此一项目已中断。</w:t>
      </w:r>
    </w:p>
    <w:p w:rsidR="00000000" w:rsidRDefault="00BD0CAC">
      <w:r>
        <w:tab/>
        <w:t>36.  1981</w:t>
      </w:r>
      <w:r>
        <w:rPr>
          <w:rFonts w:hint="eastAsia"/>
        </w:rPr>
        <w:t>年开办的创建企业中心是支持中小企业的一项创举。提供的服务包括界定企业及其</w:t>
      </w:r>
      <w:r>
        <w:rPr>
          <w:rFonts w:hint="eastAsia"/>
        </w:rPr>
        <w:t>产品性质、市场研究、生产及人力资源开发计划、编制预算、寻找伙伴以及推进项目。</w:t>
      </w:r>
    </w:p>
    <w:p w:rsidR="00000000" w:rsidRDefault="00BD0CAC">
      <w:r>
        <w:tab/>
        <w:t xml:space="preserve">37.  </w:t>
      </w:r>
      <w:r>
        <w:rPr>
          <w:rFonts w:hint="eastAsia"/>
        </w:rPr>
        <w:t>“资助机构、私营设计院和中小企业三角合作”项目由国际劳工局、杜阿拉高等经济贸易学学校协同联合国工业发展组织</w:t>
      </w:r>
      <w:r>
        <w:t>(</w:t>
      </w:r>
      <w:r>
        <w:rPr>
          <w:rFonts w:hint="eastAsia"/>
        </w:rPr>
        <w:t>工发</w:t>
      </w:r>
      <w:r>
        <w:t>)</w:t>
      </w:r>
      <w:r>
        <w:rPr>
          <w:rFonts w:hint="eastAsia"/>
        </w:rPr>
        <w:t>联合执行。除在私营咨询市场完成的许多研究报告外，该项目将设计一项进修方案，培训“中小企业”方案主管信贷的银行干部。为咨询公司的本国干部组织出国进修、评估受益企业和咨询机构的成果、设计咨询活动的一项或多项筹资体制。</w:t>
      </w:r>
    </w:p>
    <w:p w:rsidR="00000000" w:rsidRDefault="00BD0CAC">
      <w:pPr>
        <w:pStyle w:val="Heading4"/>
        <w:spacing w:before="320"/>
        <w:textAlignment w:val="center"/>
      </w:pPr>
      <w:r>
        <w:t>6.2 (d)</w:t>
      </w:r>
    </w:p>
    <w:p w:rsidR="00000000" w:rsidRDefault="00BD0CAC">
      <w:r>
        <w:tab/>
        <w:t xml:space="preserve">38.  </w:t>
      </w:r>
      <w:r>
        <w:rPr>
          <w:rFonts w:hint="eastAsia"/>
        </w:rPr>
        <w:t>宪法序言、《劳动法》第</w:t>
      </w:r>
      <w:r>
        <w:t>2</w:t>
      </w:r>
      <w:r>
        <w:rPr>
          <w:rFonts w:hint="eastAsia"/>
        </w:rPr>
        <w:t>条，以及第</w:t>
      </w:r>
      <w:r>
        <w:t>111</w:t>
      </w:r>
      <w:r>
        <w:rPr>
          <w:rFonts w:hint="eastAsia"/>
        </w:rPr>
        <w:t>号和第</w:t>
      </w:r>
      <w:r>
        <w:t>122</w:t>
      </w:r>
      <w:r>
        <w:rPr>
          <w:rFonts w:hint="eastAsia"/>
        </w:rPr>
        <w:t>号公约都保证人</w:t>
      </w:r>
      <w:r>
        <w:rPr>
          <w:rFonts w:hint="eastAsia"/>
        </w:rPr>
        <w:t>人有自由选择职业的权利以及行使政治自由和基本自由的权利。</w:t>
      </w:r>
    </w:p>
    <w:p w:rsidR="00000000" w:rsidRDefault="00BD0CAC">
      <w:pPr>
        <w:pStyle w:val="Heading4"/>
        <w:spacing w:before="320"/>
        <w:textAlignment w:val="center"/>
      </w:pPr>
      <w:r>
        <w:t>6.2 (e)</w:t>
      </w:r>
    </w:p>
    <w:p w:rsidR="00000000" w:rsidRDefault="00BD0CAC">
      <w:r>
        <w:tab/>
        <w:t xml:space="preserve">39.  </w:t>
      </w:r>
      <w:r>
        <w:rPr>
          <w:rFonts w:hint="eastAsia"/>
        </w:rPr>
        <w:t>在职业培训领域，喀麦隆采取了以下措施：</w:t>
      </w:r>
    </w:p>
    <w:p w:rsidR="00000000" w:rsidRDefault="00BD0CAC" w:rsidP="00BD0CAC">
      <w:pPr>
        <w:pStyle w:val="a6"/>
        <w:numPr>
          <w:ilvl w:val="0"/>
          <w:numId w:val="1"/>
        </w:numPr>
      </w:pPr>
      <w:r>
        <w:rPr>
          <w:rFonts w:hint="eastAsia"/>
        </w:rPr>
        <w:t>恢复现有职业培训基础设施的计划；该计划特别规定建立新的职业培训公共中心</w:t>
      </w:r>
      <w:r>
        <w:t>(</w:t>
      </w:r>
      <w:r>
        <w:rPr>
          <w:rFonts w:hint="eastAsia"/>
        </w:rPr>
        <w:t>在每省建立并改建公务员公共中心</w:t>
      </w:r>
      <w:r>
        <w:t>)</w:t>
      </w:r>
      <w:r>
        <w:rPr>
          <w:rFonts w:hint="eastAsia"/>
        </w:rPr>
        <w:t>；</w:t>
      </w:r>
    </w:p>
    <w:p w:rsidR="00000000" w:rsidRDefault="00BD0CAC" w:rsidP="00BD0CAC">
      <w:pPr>
        <w:pStyle w:val="a6"/>
        <w:numPr>
          <w:ilvl w:val="0"/>
          <w:numId w:val="1"/>
        </w:numPr>
      </w:pPr>
      <w:r>
        <w:rPr>
          <w:rFonts w:hint="eastAsia"/>
        </w:rPr>
        <w:t>放宽职业培训领域，批准</w:t>
      </w:r>
      <w:r>
        <w:t>50</w:t>
      </w:r>
      <w:r>
        <w:rPr>
          <w:rFonts w:hint="eastAsia"/>
        </w:rPr>
        <w:t>几个私立职业培训中心今后在全国合法展开活动，其领域涉及工业、机械、信息学、办公自动化辅助医学、饭店管理与旅游、通信、文书、银行等部门，其培训需求超过当地有关供给。</w:t>
      </w:r>
    </w:p>
    <w:p w:rsidR="00000000" w:rsidRDefault="00BD0CAC" w:rsidP="00BD0CAC">
      <w:pPr>
        <w:pStyle w:val="a6"/>
        <w:numPr>
          <w:ilvl w:val="0"/>
          <w:numId w:val="1"/>
        </w:numPr>
      </w:pPr>
      <w:r>
        <w:rPr>
          <w:rFonts w:hint="eastAsia"/>
        </w:rPr>
        <w:t>发放或延长某些喀麦隆劳动者和手工业者出国实习和进修奖赏金，五年期总额为</w:t>
      </w:r>
      <w:r>
        <w:t>5</w:t>
      </w:r>
      <w:r>
        <w:rPr>
          <w:rFonts w:hint="eastAsia"/>
        </w:rPr>
        <w:t>亿非洲法郎，即年</w:t>
      </w:r>
      <w:r>
        <w:rPr>
          <w:rFonts w:hint="eastAsia"/>
        </w:rPr>
        <w:t>均</w:t>
      </w:r>
      <w:r>
        <w:t>1</w:t>
      </w:r>
      <w:r>
        <w:rPr>
          <w:rFonts w:hint="eastAsia"/>
        </w:rPr>
        <w:t>亿非洲法郎，重点是喀麦隆熟练劳动力紧缺的重点部门；</w:t>
      </w:r>
    </w:p>
    <w:p w:rsidR="00000000" w:rsidRDefault="00BD0CAC" w:rsidP="00BD0CAC">
      <w:pPr>
        <w:pStyle w:val="a6"/>
        <w:numPr>
          <w:ilvl w:val="0"/>
          <w:numId w:val="1"/>
        </w:numPr>
      </w:pPr>
      <w:r>
        <w:rPr>
          <w:rFonts w:hint="eastAsia"/>
        </w:rPr>
        <w:t>国家就业基金以五年为期培训</w:t>
      </w:r>
      <w:r>
        <w:t>2,006</w:t>
      </w:r>
      <w:r>
        <w:rPr>
          <w:rFonts w:hint="eastAsia"/>
        </w:rPr>
        <w:t>名高校毕业生，费用为</w:t>
      </w:r>
      <w:r>
        <w:t>598,415,150</w:t>
      </w:r>
      <w:r>
        <w:rPr>
          <w:rFonts w:hint="eastAsia"/>
        </w:rPr>
        <w:t>非洲法郎；</w:t>
      </w:r>
    </w:p>
    <w:p w:rsidR="00000000" w:rsidRDefault="00BD0CAC" w:rsidP="00BD0CAC">
      <w:pPr>
        <w:pStyle w:val="a6"/>
        <w:numPr>
          <w:ilvl w:val="0"/>
          <w:numId w:val="1"/>
        </w:numPr>
      </w:pPr>
      <w:r>
        <w:rPr>
          <w:rFonts w:hint="eastAsia"/>
        </w:rPr>
        <w:t>就地培训</w:t>
      </w:r>
      <w:r>
        <w:t>3,263</w:t>
      </w:r>
      <w:r>
        <w:rPr>
          <w:rFonts w:hint="eastAsia"/>
        </w:rPr>
        <w:t>名申请者，费用为</w:t>
      </w:r>
      <w:r>
        <w:t>475,902,840</w:t>
      </w:r>
      <w:r>
        <w:rPr>
          <w:rFonts w:hint="eastAsia"/>
        </w:rPr>
        <w:t>非洲法郎。</w:t>
      </w:r>
    </w:p>
    <w:p w:rsidR="00000000" w:rsidRDefault="00BD0CAC">
      <w:pPr>
        <w:pStyle w:val="Heading4"/>
        <w:spacing w:before="320"/>
      </w:pPr>
      <w:r>
        <w:t>6.2 (f)</w:t>
      </w:r>
    </w:p>
    <w:p w:rsidR="00000000" w:rsidRDefault="00BD0CAC">
      <w:r>
        <w:tab/>
        <w:t xml:space="preserve">40.  </w:t>
      </w:r>
      <w:r>
        <w:rPr>
          <w:rFonts w:hint="eastAsia"/>
        </w:rPr>
        <w:t>喀麦隆已制订大规模创造就业机会的规划，但在实行自由选择的生产性充分就业目标方面遇到困难，这是由于同结构调整计划及非洲法郎贬值相关的种种经济制约，而同时国家又面临人口爆炸以及“熟练失业者”重新涌现的局面。</w:t>
      </w:r>
    </w:p>
    <w:p w:rsidR="00000000" w:rsidRDefault="00BD0CAC">
      <w:r>
        <w:tab/>
        <w:t xml:space="preserve">41.  </w:t>
      </w:r>
      <w:r>
        <w:rPr>
          <w:rFonts w:hint="eastAsia"/>
        </w:rPr>
        <w:t>支持微型企业的方案并未恢复。但在公务员工资劳动部门，为</w:t>
      </w:r>
      <w:r>
        <w:rPr>
          <w:rFonts w:hint="eastAsia"/>
        </w:rPr>
        <w:t>实施精减国家机关的行动，国家鼓励促进独立就业和设立中小企业，办法是发放鼓励自我就业的补助金。</w:t>
      </w:r>
    </w:p>
    <w:p w:rsidR="00000000" w:rsidRDefault="00BD0CAC">
      <w:pPr>
        <w:pStyle w:val="Heading4"/>
        <w:spacing w:before="320"/>
        <w:textAlignment w:val="center"/>
      </w:pPr>
      <w:r>
        <w:t>6.3 (a)</w:t>
      </w:r>
    </w:p>
    <w:p w:rsidR="00000000" w:rsidRDefault="00BD0CAC">
      <w:r>
        <w:tab/>
        <w:t xml:space="preserve">42.  </w:t>
      </w:r>
      <w:r>
        <w:rPr>
          <w:rFonts w:hint="eastAsia"/>
        </w:rPr>
        <w:t>喀麦隆已批准</w:t>
      </w:r>
      <w:r>
        <w:t>1958</w:t>
      </w:r>
      <w:r>
        <w:rPr>
          <w:rFonts w:hint="eastAsia"/>
        </w:rPr>
        <w:t>年关于歧视问题的第</w:t>
      </w:r>
      <w:r>
        <w:t>111</w:t>
      </w:r>
      <w:r>
        <w:rPr>
          <w:rFonts w:hint="eastAsia"/>
        </w:rPr>
        <w:t>号公约</w:t>
      </w:r>
      <w:r>
        <w:t>(</w:t>
      </w:r>
      <w:r>
        <w:rPr>
          <w:rFonts w:hint="eastAsia"/>
        </w:rPr>
        <w:t>就业</w:t>
      </w:r>
      <w:r>
        <w:rPr>
          <w:rFonts w:hint="eastAsia"/>
          <w:spacing w:val="-40"/>
        </w:rPr>
        <w:t>——</w:t>
      </w:r>
      <w:r>
        <w:t xml:space="preserve"> </w:t>
      </w:r>
      <w:r>
        <w:rPr>
          <w:rFonts w:hint="eastAsia"/>
        </w:rPr>
        <w:t>职业方面</w:t>
      </w:r>
      <w:r>
        <w:t>)</w:t>
      </w:r>
      <w:r>
        <w:rPr>
          <w:rFonts w:hint="eastAsia"/>
        </w:rPr>
        <w:t>，始终主张就业及职业的机遇平等和平等对待。根据《世界人权宣言》第一条：“人人生而自由，在尊严和权利上一律平等，”喀麦隆在宪法及《劳动法》中向国民及在其领土上劳动的外国人提供一切就业和任职机会，而不区分种族、肤色、性别、宗教、政治见解、国籍或社会成份。不过，为保护本国劳力，外籍劳工在签订劳动合同前须持有劳动就业部颁发的</w:t>
      </w:r>
      <w:r>
        <w:rPr>
          <w:rFonts w:hint="eastAsia"/>
        </w:rPr>
        <w:t>许可证。同样，作为就业机会喀麦隆化的一部分，某些原来留供外籍劳动者从事的就业机会正逐步回归喀麦隆劳动者，他们按</w:t>
      </w:r>
      <w:r>
        <w:t>1977</w:t>
      </w:r>
      <w:r>
        <w:rPr>
          <w:rFonts w:hint="eastAsia"/>
        </w:rPr>
        <w:t>年</w:t>
      </w:r>
      <w:r>
        <w:t>3</w:t>
      </w:r>
      <w:r>
        <w:rPr>
          <w:rFonts w:hint="eastAsia"/>
        </w:rPr>
        <w:t>月</w:t>
      </w:r>
      <w:r>
        <w:t>14</w:t>
      </w:r>
      <w:r>
        <w:rPr>
          <w:rFonts w:hint="eastAsia"/>
        </w:rPr>
        <w:t>日关于职位喀麦隆化的第</w:t>
      </w:r>
      <w:r>
        <w:t>77/67</w:t>
      </w:r>
      <w:r>
        <w:rPr>
          <w:rFonts w:hint="eastAsia"/>
        </w:rPr>
        <w:t>号法令而优先受惠。</w:t>
      </w:r>
    </w:p>
    <w:p w:rsidR="00000000" w:rsidRDefault="00BD0CAC">
      <w:pPr>
        <w:pStyle w:val="Heading4"/>
        <w:spacing w:before="320"/>
        <w:textAlignment w:val="center"/>
      </w:pPr>
      <w:r>
        <w:t>6.3 (b)</w:t>
      </w:r>
    </w:p>
    <w:p w:rsidR="00000000" w:rsidRDefault="00BD0CAC">
      <w:r>
        <w:tab/>
        <w:t xml:space="preserve">43.  </w:t>
      </w:r>
      <w:r>
        <w:rPr>
          <w:rFonts w:hint="eastAsia"/>
        </w:rPr>
        <w:t>职业方向和培训政策正在形成：已拟订一项指导性规划草案并已提交政府，以便交付国民议会通过。关于就业问题国家政策的一项声明草案即将准备就绪。</w:t>
      </w:r>
    </w:p>
    <w:p w:rsidR="00000000" w:rsidRDefault="00BD0CAC">
      <w:pPr>
        <w:pStyle w:val="Heading4"/>
        <w:spacing w:before="320"/>
        <w:textAlignment w:val="center"/>
      </w:pPr>
      <w:r>
        <w:t>6.4</w:t>
      </w:r>
    </w:p>
    <w:p w:rsidR="00000000" w:rsidRDefault="00BD0CAC">
      <w:r>
        <w:tab/>
        <w:t>44.  1996</w:t>
      </w:r>
      <w:r>
        <w:rPr>
          <w:rFonts w:hint="eastAsia"/>
        </w:rPr>
        <w:t>年喀麦隆人口估计为</w:t>
      </w:r>
      <w:r>
        <w:t>1,330</w:t>
      </w:r>
      <w:r>
        <w:rPr>
          <w:rFonts w:hint="eastAsia"/>
        </w:rPr>
        <w:t>万人。就业人口，即已有或可能有职位者估计为</w:t>
      </w:r>
      <w:r>
        <w:t>510</w:t>
      </w:r>
      <w:r>
        <w:rPr>
          <w:rFonts w:hint="eastAsia"/>
        </w:rPr>
        <w:t>万人，其中</w:t>
      </w:r>
      <w:r>
        <w:t>58.4</w:t>
      </w:r>
      <w:r>
        <w:rPr>
          <w:rFonts w:hint="eastAsia"/>
        </w:rPr>
        <w:t>％为男性、</w:t>
      </w:r>
      <w:r>
        <w:t>41.6</w:t>
      </w:r>
      <w:r>
        <w:rPr>
          <w:rFonts w:hint="eastAsia"/>
        </w:rPr>
        <w:t>％为女性。这部分就业人口主</w:t>
      </w:r>
      <w:r>
        <w:rPr>
          <w:rFonts w:hint="eastAsia"/>
        </w:rPr>
        <w:t>要在农村。</w:t>
      </w:r>
    </w:p>
    <w:p w:rsidR="00000000" w:rsidRDefault="00BD0CAC">
      <w:r>
        <w:tab/>
        <w:t xml:space="preserve">45.  </w:t>
      </w:r>
      <w:r>
        <w:rPr>
          <w:rFonts w:hint="eastAsia"/>
        </w:rPr>
        <w:t>应就业人口平均年增长率为</w:t>
      </w:r>
      <w:r>
        <w:t>3</w:t>
      </w:r>
      <w:r>
        <w:rPr>
          <w:rFonts w:hint="eastAsia"/>
        </w:rPr>
        <w:t>％。为使失业率保持在较低水平</w:t>
      </w:r>
      <w:r>
        <w:t>(</w:t>
      </w:r>
      <w:r>
        <w:rPr>
          <w:rFonts w:hint="eastAsia"/>
        </w:rPr>
        <w:t>低于</w:t>
      </w:r>
      <w:r>
        <w:t>10</w:t>
      </w:r>
      <w:r>
        <w:rPr>
          <w:rFonts w:hint="eastAsia"/>
        </w:rPr>
        <w:t>％</w:t>
      </w:r>
      <w:r>
        <w:t>)</w:t>
      </w:r>
      <w:r>
        <w:rPr>
          <w:rFonts w:hint="eastAsia"/>
        </w:rPr>
        <w:t>上，平均每年须创造</w:t>
      </w:r>
      <w:r>
        <w:t>150,000</w:t>
      </w:r>
      <w:r>
        <w:rPr>
          <w:rFonts w:hint="eastAsia"/>
        </w:rPr>
        <w:t>个就业机会，以容纳人口增长造成的额外劳力。</w:t>
      </w:r>
    </w:p>
    <w:p w:rsidR="00000000" w:rsidRDefault="00BD0CAC">
      <w:r>
        <w:tab/>
        <w:t xml:space="preserve">46.  </w:t>
      </w:r>
      <w:r>
        <w:rPr>
          <w:rFonts w:hint="eastAsia"/>
        </w:rPr>
        <w:t>应就业人口也以大量未经培训的劳力占优势为其特点。据估计，劳动力的教育与熟练程度不足：</w:t>
      </w:r>
    </w:p>
    <w:p w:rsidR="00000000" w:rsidRDefault="00BD0CAC" w:rsidP="00BD0CAC">
      <w:pPr>
        <w:pStyle w:val="a6"/>
        <w:numPr>
          <w:ilvl w:val="0"/>
          <w:numId w:val="1"/>
        </w:numPr>
      </w:pPr>
      <w:r>
        <w:t>40</w:t>
      </w:r>
      <w:r>
        <w:rPr>
          <w:rFonts w:hint="eastAsia"/>
        </w:rPr>
        <w:t>％的失业者从未在校学习；</w:t>
      </w:r>
    </w:p>
    <w:p w:rsidR="00000000" w:rsidRDefault="00BD0CAC" w:rsidP="00BD0CAC">
      <w:pPr>
        <w:pStyle w:val="a6"/>
        <w:numPr>
          <w:ilvl w:val="0"/>
          <w:numId w:val="1"/>
        </w:numPr>
      </w:pPr>
      <w:r>
        <w:t>45</w:t>
      </w:r>
      <w:r>
        <w:rPr>
          <w:rFonts w:hint="eastAsia"/>
        </w:rPr>
        <w:t>％具有小学水平；</w:t>
      </w:r>
    </w:p>
    <w:p w:rsidR="00000000" w:rsidRDefault="00BD0CAC" w:rsidP="00BD0CAC">
      <w:pPr>
        <w:pStyle w:val="a6"/>
        <w:numPr>
          <w:ilvl w:val="0"/>
          <w:numId w:val="1"/>
        </w:numPr>
      </w:pPr>
      <w:r>
        <w:t>13</w:t>
      </w:r>
      <w:r>
        <w:rPr>
          <w:rFonts w:hint="eastAsia"/>
        </w:rPr>
        <w:t>％具有中学水平；</w:t>
      </w:r>
    </w:p>
    <w:p w:rsidR="00000000" w:rsidRDefault="00BD0CAC" w:rsidP="00BD0CAC">
      <w:pPr>
        <w:pStyle w:val="a6"/>
        <w:numPr>
          <w:ilvl w:val="0"/>
          <w:numId w:val="1"/>
        </w:numPr>
      </w:pPr>
      <w:r>
        <w:t>2</w:t>
      </w:r>
      <w:r>
        <w:rPr>
          <w:rFonts w:hint="eastAsia"/>
        </w:rPr>
        <w:t>％具有大学水平。</w:t>
      </w:r>
    </w:p>
    <w:p w:rsidR="00000000" w:rsidRDefault="00BD0CAC">
      <w:pPr>
        <w:pStyle w:val="Heading4"/>
        <w:spacing w:before="320"/>
        <w:textAlignment w:val="center"/>
      </w:pPr>
      <w:r>
        <w:t>6.5</w:t>
      </w:r>
    </w:p>
    <w:p w:rsidR="00000000" w:rsidRDefault="00BD0CAC">
      <w:r>
        <w:tab/>
        <w:t xml:space="preserve">47.  </w:t>
      </w:r>
      <w:r>
        <w:rPr>
          <w:rFonts w:hint="eastAsia"/>
        </w:rPr>
        <w:t>喀麦隆由三个区域组成：第一区</w:t>
      </w:r>
      <w:r>
        <w:t>(</w:t>
      </w:r>
      <w:r>
        <w:rPr>
          <w:rFonts w:hint="eastAsia"/>
        </w:rPr>
        <w:t>雅温得、杜阿拉、艾代阿、布埃阿</w:t>
      </w:r>
      <w:r>
        <w:t>)</w:t>
      </w:r>
      <w:r>
        <w:rPr>
          <w:rFonts w:hint="eastAsia"/>
        </w:rPr>
        <w:t>；第二区</w:t>
      </w:r>
      <w:r>
        <w:t>(</w:t>
      </w:r>
      <w:r>
        <w:rPr>
          <w:rFonts w:hint="eastAsia"/>
        </w:rPr>
        <w:t>包括上述城市以外的所有城市</w:t>
      </w:r>
      <w:r>
        <w:t>)</w:t>
      </w:r>
      <w:r>
        <w:rPr>
          <w:rFonts w:hint="eastAsia"/>
        </w:rPr>
        <w:t>；以及第三区，即农村地区。按照新</w:t>
      </w:r>
      <w:r>
        <w:rPr>
          <w:rFonts w:hint="eastAsia"/>
        </w:rPr>
        <w:t>劳动法，仅有一个统一的工资区。</w:t>
      </w:r>
    </w:p>
    <w:p w:rsidR="00000000" w:rsidRDefault="00BD0CAC">
      <w:pPr>
        <w:pStyle w:val="Heading2"/>
        <w:spacing w:before="320" w:line="336" w:lineRule="auto"/>
        <w:textAlignment w:val="center"/>
      </w:pPr>
      <w:r>
        <w:rPr>
          <w:rFonts w:hint="eastAsia"/>
        </w:rPr>
        <w:t>第</w:t>
      </w:r>
      <w:r>
        <w:t xml:space="preserve"> 7 </w:t>
      </w:r>
      <w:r>
        <w:rPr>
          <w:rFonts w:hint="eastAsia"/>
        </w:rPr>
        <w:t>条</w:t>
      </w:r>
    </w:p>
    <w:p w:rsidR="00000000" w:rsidRDefault="00BD0CAC">
      <w:pPr>
        <w:pStyle w:val="Heading4"/>
      </w:pPr>
      <w:r>
        <w:t>7.2 (b)</w:t>
      </w:r>
    </w:p>
    <w:p w:rsidR="00000000" w:rsidRDefault="00BD0CAC">
      <w:r>
        <w:tab/>
        <w:t xml:space="preserve">48.  </w:t>
      </w:r>
      <w:r>
        <w:rPr>
          <w:rFonts w:hint="eastAsia"/>
        </w:rPr>
        <w:t>最低工资制多少受到监控。</w:t>
      </w:r>
    </w:p>
    <w:p w:rsidR="00000000" w:rsidRDefault="00BD0CAC">
      <w:pPr>
        <w:pStyle w:val="Heading4"/>
        <w:spacing w:before="320"/>
        <w:textAlignment w:val="center"/>
      </w:pPr>
      <w:r>
        <w:t>7.2 (c)</w:t>
      </w:r>
    </w:p>
    <w:p w:rsidR="00000000" w:rsidRDefault="00BD0CAC">
      <w:r>
        <w:tab/>
        <w:t xml:space="preserve">49.  </w:t>
      </w:r>
      <w:r>
        <w:rPr>
          <w:rFonts w:hint="eastAsia"/>
        </w:rPr>
        <w:t>按照国际劳工准则、特别是第</w:t>
      </w:r>
      <w:r>
        <w:t>100</w:t>
      </w:r>
      <w:r>
        <w:rPr>
          <w:rFonts w:hint="eastAsia"/>
        </w:rPr>
        <w:t>号公约，在工资方面不存在任何不平等或歧视，更谈不到对“同工同酬”原则有任何减损。</w:t>
      </w:r>
    </w:p>
    <w:p w:rsidR="00000000" w:rsidRDefault="00BD0CAC">
      <w:pPr>
        <w:pStyle w:val="Heading4"/>
        <w:spacing w:before="320"/>
        <w:textAlignment w:val="center"/>
      </w:pPr>
      <w:r>
        <w:t>7.2 (c)(</w:t>
      </w:r>
      <w:r>
        <w:rPr>
          <w:rFonts w:hint="eastAsia"/>
        </w:rPr>
        <w:t>一</w:t>
      </w:r>
      <w:r>
        <w:t>)</w:t>
      </w:r>
    </w:p>
    <w:p w:rsidR="00000000" w:rsidRDefault="00BD0CAC">
      <w:r>
        <w:tab/>
        <w:t xml:space="preserve">50.  </w:t>
      </w:r>
      <w:r>
        <w:rPr>
          <w:rFonts w:hint="eastAsia"/>
        </w:rPr>
        <w:t>喀麦隆不存在此种歧视。</w:t>
      </w:r>
    </w:p>
    <w:p w:rsidR="00000000" w:rsidRDefault="00BD0CAC">
      <w:pPr>
        <w:pStyle w:val="Heading4"/>
        <w:spacing w:before="320"/>
        <w:textAlignment w:val="center"/>
      </w:pPr>
      <w:r>
        <w:t>7.2 (c)(</w:t>
      </w:r>
      <w:r>
        <w:rPr>
          <w:rFonts w:hint="eastAsia"/>
        </w:rPr>
        <w:t>二</w:t>
      </w:r>
      <w:r>
        <w:t>)</w:t>
      </w:r>
    </w:p>
    <w:p w:rsidR="00000000" w:rsidRDefault="00BD0CAC">
      <w:r>
        <w:tab/>
        <w:t xml:space="preserve">51.  </w:t>
      </w:r>
      <w:r>
        <w:rPr>
          <w:rFonts w:hint="eastAsia"/>
        </w:rPr>
        <w:t>在喀麦隆有国家分类样本，参照了关于技工和职业的国际分类法。此种分类法将劳动者分为</w:t>
      </w:r>
      <w:r>
        <w:t>1</w:t>
      </w:r>
      <w:r>
        <w:rPr>
          <w:rFonts w:hint="eastAsia"/>
        </w:rPr>
        <w:t>至</w:t>
      </w:r>
      <w:r>
        <w:t>12</w:t>
      </w:r>
      <w:r>
        <w:rPr>
          <w:rFonts w:hint="eastAsia"/>
        </w:rPr>
        <w:t>级。根据职位的职责规定可以定级。工作可按日、周、月的周期包活或计件。</w:t>
      </w:r>
    </w:p>
    <w:p w:rsidR="00000000" w:rsidRDefault="00BD0CAC">
      <w:pPr>
        <w:pStyle w:val="Heading4"/>
        <w:spacing w:before="320"/>
        <w:textAlignment w:val="center"/>
      </w:pPr>
      <w:r>
        <w:t>7.2 (d)</w:t>
      </w:r>
    </w:p>
    <w:p w:rsidR="00000000" w:rsidRDefault="00BD0CAC">
      <w:r>
        <w:tab/>
        <w:t>52</w:t>
      </w:r>
      <w:r>
        <w:t xml:space="preserve">.  </w:t>
      </w:r>
      <w:r>
        <w:rPr>
          <w:rFonts w:hint="eastAsia"/>
        </w:rPr>
        <w:t>国营部门的收入分配有两种方式。一方面，属于</w:t>
      </w:r>
      <w:r>
        <w:t>A</w:t>
      </w:r>
      <w:r>
        <w:rPr>
          <w:rFonts w:hint="eastAsia"/>
        </w:rPr>
        <w:t>、</w:t>
      </w:r>
      <w:r>
        <w:t>B</w:t>
      </w:r>
      <w:r>
        <w:rPr>
          <w:rFonts w:hint="eastAsia"/>
        </w:rPr>
        <w:t>、</w:t>
      </w:r>
      <w:r>
        <w:t>C</w:t>
      </w:r>
      <w:r>
        <w:rPr>
          <w:rFonts w:hint="eastAsia"/>
        </w:rPr>
        <w:t>、</w:t>
      </w:r>
      <w:r>
        <w:t>D</w:t>
      </w:r>
      <w:r>
        <w:rPr>
          <w:rFonts w:hint="eastAsia"/>
        </w:rPr>
        <w:t>类的公务员是以指数为基础计算。每一类又划分为两级，依次称二级和一级。每级又分为数等。二级有八等，一级有三等。另设有特级。此外，国营部门职员收入的分配适用于国家公务员，以及按劳动法管理的行政合同人员。他们被分为</w:t>
      </w:r>
      <w:r>
        <w:t>1</w:t>
      </w:r>
      <w:r>
        <w:rPr>
          <w:rFonts w:hint="eastAsia"/>
        </w:rPr>
        <w:t>至</w:t>
      </w:r>
      <w:r>
        <w:t>12</w:t>
      </w:r>
      <w:r>
        <w:rPr>
          <w:rFonts w:hint="eastAsia"/>
        </w:rPr>
        <w:t>类。每类又分</w:t>
      </w:r>
      <w:r>
        <w:t>12</w:t>
      </w:r>
      <w:r>
        <w:rPr>
          <w:rFonts w:hint="eastAsia"/>
        </w:rPr>
        <w:t>等。国家公务员和职员的报酬按指数分类计算，工资根据单位指数值升降。例如</w:t>
      </w:r>
      <w:r>
        <w:t>1992</w:t>
      </w:r>
      <w:r>
        <w:rPr>
          <w:rFonts w:hint="eastAsia"/>
        </w:rPr>
        <w:t>年指数值为</w:t>
      </w:r>
      <w:r>
        <w:t>429.69</w:t>
      </w:r>
      <w:r>
        <w:rPr>
          <w:rFonts w:hint="eastAsia"/>
        </w:rPr>
        <w:t>；到</w:t>
      </w:r>
      <w:r>
        <w:t>1993</w:t>
      </w:r>
      <w:r>
        <w:rPr>
          <w:rFonts w:hint="eastAsia"/>
        </w:rPr>
        <w:t>年贬值为</w:t>
      </w:r>
      <w:r>
        <w:t>146.654</w:t>
      </w:r>
      <w:r>
        <w:rPr>
          <w:rFonts w:hint="eastAsia"/>
        </w:rPr>
        <w:t>。</w:t>
      </w:r>
    </w:p>
    <w:p w:rsidR="00000000" w:rsidRDefault="00BD0CAC">
      <w:r>
        <w:tab/>
        <w:t xml:space="preserve">53.  </w:t>
      </w:r>
      <w:r>
        <w:rPr>
          <w:rFonts w:hint="eastAsia"/>
        </w:rPr>
        <w:t>在私营部门，职工的报酬分为</w:t>
      </w:r>
      <w:r>
        <w:t>1</w:t>
      </w:r>
      <w:r>
        <w:rPr>
          <w:rFonts w:hint="eastAsia"/>
        </w:rPr>
        <w:t>至</w:t>
      </w:r>
      <w:r>
        <w:t>12</w:t>
      </w:r>
      <w:r>
        <w:rPr>
          <w:rFonts w:hint="eastAsia"/>
        </w:rPr>
        <w:t>类。每一类又分为</w:t>
      </w:r>
      <w:r>
        <w:t>A</w:t>
      </w:r>
      <w:r>
        <w:rPr>
          <w:rFonts w:hint="eastAsia"/>
        </w:rPr>
        <w:t>、</w:t>
      </w:r>
      <w:r>
        <w:t>B</w:t>
      </w:r>
      <w:r>
        <w:rPr>
          <w:rFonts w:hint="eastAsia"/>
        </w:rPr>
        <w:t>、</w:t>
      </w:r>
      <w:r>
        <w:t>C</w:t>
      </w:r>
      <w:r>
        <w:rPr>
          <w:rFonts w:hint="eastAsia"/>
        </w:rPr>
        <w:t>……诸等</w:t>
      </w:r>
      <w:r>
        <w:rPr>
          <w:rFonts w:hint="eastAsia"/>
        </w:rPr>
        <w:t>次，直至特等</w:t>
      </w:r>
      <w:r>
        <w:t>G</w:t>
      </w:r>
      <w:r>
        <w:rPr>
          <w:rFonts w:hint="eastAsia"/>
        </w:rPr>
        <w:t>。虽有经济危机，私营部门的工资显然高于国营部门，因为</w:t>
      </w:r>
      <w:r>
        <w:t>1985</w:t>
      </w:r>
      <w:r>
        <w:rPr>
          <w:rFonts w:hint="eastAsia"/>
        </w:rPr>
        <w:t>年制订的工资等级表显然是有优惠的。国营部门最低工资遽降</w:t>
      </w:r>
      <w:r>
        <w:t>6</w:t>
      </w:r>
      <w:r>
        <w:rPr>
          <w:rFonts w:hint="eastAsia"/>
        </w:rPr>
        <w:t>％，最高工资的跌幅则高达</w:t>
      </w:r>
      <w:r>
        <w:t>66</w:t>
      </w:r>
      <w:r>
        <w:rPr>
          <w:rFonts w:hint="eastAsia"/>
        </w:rPr>
        <w:t>％。</w:t>
      </w:r>
    </w:p>
    <w:p w:rsidR="00000000" w:rsidRDefault="00BD0CAC">
      <w:r>
        <w:tab/>
        <w:t xml:space="preserve">54.  </w:t>
      </w:r>
      <w:r>
        <w:rPr>
          <w:rFonts w:hint="eastAsia"/>
        </w:rPr>
        <w:t>比较而言，可以很有把握地确认：在私营和准国营部门，工资持续不断增长。在某些企业中甚至仍在增长，虽然取消了某些优惠，造成购买力下降。</w:t>
      </w:r>
    </w:p>
    <w:p w:rsidR="00000000" w:rsidRDefault="00BD0CAC">
      <w:r>
        <w:tab/>
        <w:t xml:space="preserve">55. </w:t>
      </w:r>
      <w:r>
        <w:rPr>
          <w:rFonts w:hint="eastAsia"/>
        </w:rPr>
        <w:t>与此相反，国营部门的工资名义上经历了提高阶段，以及停滞和下降阶段；在实际上，它在提高阶段是有所增加的，到停滞阶段初期即已下滑，至这一时期末尾变为猛跌。此种国营部门的工资下降，加之非洲法郎贬值，导</w:t>
      </w:r>
      <w:r>
        <w:rPr>
          <w:rFonts w:hint="eastAsia"/>
        </w:rPr>
        <w:t>致经济活动萧条、家庭</w:t>
      </w:r>
      <w:r>
        <w:t>(</w:t>
      </w:r>
      <w:r>
        <w:rPr>
          <w:rFonts w:hint="eastAsia"/>
        </w:rPr>
        <w:t>主要是城市家庭</w:t>
      </w:r>
      <w:r>
        <w:t>)</w:t>
      </w:r>
      <w:r>
        <w:rPr>
          <w:rFonts w:hint="eastAsia"/>
        </w:rPr>
        <w:t>购买力下滑，以及人民生活水平显著降低。</w:t>
      </w:r>
    </w:p>
    <w:p w:rsidR="00000000" w:rsidRDefault="00BD0CAC">
      <w:pPr>
        <w:pStyle w:val="Heading4"/>
        <w:spacing w:before="320"/>
      </w:pPr>
      <w:r>
        <w:t>7.3</w:t>
      </w:r>
    </w:p>
    <w:p w:rsidR="00000000" w:rsidRDefault="00BD0CAC">
      <w:pPr>
        <w:spacing w:after="320"/>
        <w:textAlignment w:val="center"/>
      </w:pPr>
      <w:r>
        <w:tab/>
        <w:t>56.  1992</w:t>
      </w:r>
      <w:r>
        <w:rPr>
          <w:rFonts w:hint="eastAsia"/>
        </w:rPr>
        <w:t>年</w:t>
      </w:r>
      <w:r>
        <w:t>8</w:t>
      </w:r>
      <w:r>
        <w:rPr>
          <w:rFonts w:hint="eastAsia"/>
        </w:rPr>
        <w:t>月</w:t>
      </w:r>
      <w:r>
        <w:t>14</w:t>
      </w:r>
      <w:r>
        <w:rPr>
          <w:rFonts w:hint="eastAsia"/>
        </w:rPr>
        <w:t>日第</w:t>
      </w:r>
      <w:r>
        <w:t>92/007</w:t>
      </w:r>
      <w:r>
        <w:rPr>
          <w:rFonts w:hint="eastAsia"/>
        </w:rPr>
        <w:t>号关于喀麦隆《劳动法》的法令第</w:t>
      </w:r>
      <w:r>
        <w:t>95</w:t>
      </w:r>
      <w:r>
        <w:rPr>
          <w:rFonts w:hint="eastAsia"/>
        </w:rPr>
        <w:t>、</w:t>
      </w:r>
      <w:r>
        <w:t>96</w:t>
      </w:r>
      <w:r>
        <w:rPr>
          <w:rFonts w:hint="eastAsia"/>
        </w:rPr>
        <w:t>、</w:t>
      </w:r>
      <w:r>
        <w:t>97</w:t>
      </w:r>
      <w:r>
        <w:rPr>
          <w:rFonts w:hint="eastAsia"/>
        </w:rPr>
        <w:t>条，以及</w:t>
      </w:r>
      <w:r>
        <w:t>1984</w:t>
      </w:r>
      <w:r>
        <w:rPr>
          <w:rFonts w:hint="eastAsia"/>
        </w:rPr>
        <w:t>年</w:t>
      </w:r>
      <w:r>
        <w:t>11</w:t>
      </w:r>
      <w:r>
        <w:rPr>
          <w:rFonts w:hint="eastAsia"/>
        </w:rPr>
        <w:t>月</w:t>
      </w:r>
      <w:r>
        <w:t>26</w:t>
      </w:r>
      <w:r>
        <w:rPr>
          <w:rFonts w:hint="eastAsia"/>
        </w:rPr>
        <w:t>日第</w:t>
      </w:r>
      <w:r>
        <w:t>039/MTPS/IMT</w:t>
      </w:r>
      <w:r>
        <w:rPr>
          <w:rFonts w:hint="eastAsia"/>
        </w:rPr>
        <w:t>决定确立了工作地点的卫生和安全措施。</w:t>
      </w:r>
    </w:p>
    <w:p w:rsidR="00000000" w:rsidRDefault="00BD0CAC">
      <w:pPr>
        <w:pStyle w:val="Heading4"/>
      </w:pPr>
      <w:r>
        <w:t>7.3 (a)</w:t>
      </w:r>
    </w:p>
    <w:p w:rsidR="00000000" w:rsidRDefault="00BD0CAC">
      <w:pPr>
        <w:spacing w:after="320"/>
        <w:textAlignment w:val="center"/>
      </w:pPr>
      <w:r>
        <w:tab/>
        <w:t xml:space="preserve">57.  </w:t>
      </w:r>
      <w:r>
        <w:rPr>
          <w:rFonts w:hint="eastAsia"/>
        </w:rPr>
        <w:t>关于对结构内部门的分析不排除任何在这些部门任职的职工；因此，任何人都未被置于这些文件的实施范围之外。</w:t>
      </w:r>
    </w:p>
    <w:p w:rsidR="00000000" w:rsidRDefault="00BD0CAC">
      <w:pPr>
        <w:pStyle w:val="Heading4"/>
      </w:pPr>
      <w:r>
        <w:t>7.3 (b)</w:t>
      </w:r>
    </w:p>
    <w:p w:rsidR="00000000" w:rsidRDefault="00BD0CAC">
      <w:pPr>
        <w:spacing w:after="320"/>
        <w:textAlignment w:val="center"/>
      </w:pPr>
      <w:r>
        <w:tab/>
        <w:t xml:space="preserve">58.  </w:t>
      </w:r>
      <w:r>
        <w:rPr>
          <w:rFonts w:hint="eastAsia"/>
        </w:rPr>
        <w:t>在</w:t>
      </w:r>
      <w:r>
        <w:t>1988</w:t>
      </w:r>
      <w:r>
        <w:rPr>
          <w:rFonts w:hint="eastAsia"/>
        </w:rPr>
        <w:t>至</w:t>
      </w:r>
      <w:r>
        <w:t>1994</w:t>
      </w:r>
      <w:r>
        <w:rPr>
          <w:rFonts w:hint="eastAsia"/>
        </w:rPr>
        <w:t>年期间中央统计数字表明，工伤事故总数为</w:t>
      </w:r>
      <w:r>
        <w:t>28,747</w:t>
      </w:r>
      <w:r>
        <w:rPr>
          <w:rFonts w:hint="eastAsia"/>
        </w:rPr>
        <w:t>起。</w:t>
      </w:r>
    </w:p>
    <w:p w:rsidR="00000000" w:rsidRDefault="00BD0CAC">
      <w:pPr>
        <w:pStyle w:val="Heading4"/>
      </w:pPr>
      <w:r>
        <w:t>7.4</w:t>
      </w:r>
    </w:p>
    <w:p w:rsidR="00000000" w:rsidRDefault="00BD0CAC">
      <w:pPr>
        <w:spacing w:after="320"/>
        <w:textAlignment w:val="center"/>
      </w:pPr>
      <w:r>
        <w:tab/>
        <w:t xml:space="preserve">59.  </w:t>
      </w:r>
      <w:r>
        <w:rPr>
          <w:rFonts w:hint="eastAsia"/>
        </w:rPr>
        <w:t>在喀麦隆，此类歧视实际上并不存在，因为我们认真执行《世界人权宣言》第</w:t>
      </w:r>
      <w:r>
        <w:t>1</w:t>
      </w:r>
      <w:r>
        <w:rPr>
          <w:rFonts w:hint="eastAsia"/>
        </w:rPr>
        <w:t>条以及</w:t>
      </w:r>
      <w:r>
        <w:t>1992</w:t>
      </w:r>
      <w:r>
        <w:rPr>
          <w:rFonts w:hint="eastAsia"/>
        </w:rPr>
        <w:t>年</w:t>
      </w:r>
      <w:r>
        <w:t>8</w:t>
      </w:r>
      <w:r>
        <w:rPr>
          <w:rFonts w:hint="eastAsia"/>
        </w:rPr>
        <w:t>月</w:t>
      </w:r>
      <w:r>
        <w:t>14</w:t>
      </w:r>
      <w:r>
        <w:rPr>
          <w:rFonts w:hint="eastAsia"/>
        </w:rPr>
        <w:t>日关于喀麦隆《劳动法》的第</w:t>
      </w:r>
      <w:r>
        <w:t>92/007</w:t>
      </w:r>
      <w:r>
        <w:rPr>
          <w:rFonts w:hint="eastAsia"/>
        </w:rPr>
        <w:t>号法令第</w:t>
      </w:r>
      <w:r>
        <w:t>2</w:t>
      </w:r>
      <w:r>
        <w:rPr>
          <w:rFonts w:hint="eastAsia"/>
        </w:rPr>
        <w:t>条。不过应该提及：尽管妇女底数很大，她们在国民经济各部门的比例均不足，为纠正此种情况，应实行最近在北京举行的第四次世界妇女大会认可的定额政策。</w:t>
      </w:r>
    </w:p>
    <w:p w:rsidR="00000000" w:rsidRDefault="00BD0CAC">
      <w:pPr>
        <w:pStyle w:val="Heading4"/>
      </w:pPr>
      <w:r>
        <w:t>7.4 (a)</w:t>
      </w:r>
    </w:p>
    <w:p w:rsidR="00000000" w:rsidRDefault="00BD0CAC">
      <w:pPr>
        <w:spacing w:after="320"/>
        <w:textAlignment w:val="center"/>
      </w:pPr>
      <w:r>
        <w:tab/>
        <w:t xml:space="preserve">60.  </w:t>
      </w:r>
      <w:r>
        <w:rPr>
          <w:rFonts w:hint="eastAsia"/>
        </w:rPr>
        <w:t>被排斥的那一类妇女是农村地区的妇女，她们是非常边际化的。</w:t>
      </w:r>
    </w:p>
    <w:p w:rsidR="00000000" w:rsidRDefault="00BD0CAC">
      <w:pPr>
        <w:pStyle w:val="Heading4"/>
      </w:pPr>
      <w:r>
        <w:t>7.5</w:t>
      </w:r>
    </w:p>
    <w:p w:rsidR="00000000" w:rsidRDefault="00BD0CAC">
      <w:pPr>
        <w:spacing w:after="320"/>
        <w:textAlignment w:val="center"/>
      </w:pPr>
      <w:r>
        <w:tab/>
        <w:t xml:space="preserve">61.  </w:t>
      </w:r>
      <w:r>
        <w:rPr>
          <w:rFonts w:hint="eastAsia"/>
        </w:rPr>
        <w:t>每周的休息日由《劳动法》第</w:t>
      </w:r>
      <w:r>
        <w:t>88</w:t>
      </w:r>
      <w:r>
        <w:rPr>
          <w:rFonts w:hint="eastAsia"/>
        </w:rPr>
        <w:t>条予以规定。《劳动法》第</w:t>
      </w:r>
      <w:r>
        <w:t>80</w:t>
      </w:r>
      <w:r>
        <w:rPr>
          <w:rFonts w:hint="eastAsia"/>
        </w:rPr>
        <w:t>条规定了工作时间，</w:t>
      </w:r>
      <w:r>
        <w:t>1995</w:t>
      </w:r>
      <w:r>
        <w:rPr>
          <w:rFonts w:hint="eastAsia"/>
        </w:rPr>
        <w:t>年</w:t>
      </w:r>
      <w:r>
        <w:t>12</w:t>
      </w:r>
      <w:r>
        <w:rPr>
          <w:rFonts w:hint="eastAsia"/>
        </w:rPr>
        <w:t>月</w:t>
      </w:r>
      <w:r>
        <w:t>18</w:t>
      </w:r>
      <w:r>
        <w:rPr>
          <w:rFonts w:hint="eastAsia"/>
        </w:rPr>
        <w:t>日第</w:t>
      </w:r>
      <w:r>
        <w:t>95/</w:t>
      </w:r>
      <w:r>
        <w:t>665/PM</w:t>
      </w:r>
      <w:r>
        <w:rPr>
          <w:rFonts w:hint="eastAsia"/>
        </w:rPr>
        <w:t>号法令对法定劳动时间减损作了规定。《劳动法》第</w:t>
      </w:r>
      <w:r>
        <w:t>89</w:t>
      </w:r>
      <w:r>
        <w:rPr>
          <w:rFonts w:hint="eastAsia"/>
        </w:rPr>
        <w:t>条对有报酬假期的方式作了规定。</w:t>
      </w:r>
      <w:r>
        <w:t>1995</w:t>
      </w:r>
      <w:r>
        <w:rPr>
          <w:rFonts w:hint="eastAsia"/>
        </w:rPr>
        <w:t>年</w:t>
      </w:r>
      <w:r>
        <w:t>12</w:t>
      </w:r>
      <w:r>
        <w:rPr>
          <w:rFonts w:hint="eastAsia"/>
        </w:rPr>
        <w:t>月</w:t>
      </w:r>
      <w:r>
        <w:t>18</w:t>
      </w:r>
      <w:r>
        <w:rPr>
          <w:rFonts w:hint="eastAsia"/>
        </w:rPr>
        <w:t>日有关法定劳动时间减损的第</w:t>
      </w:r>
      <w:r>
        <w:t>95/665/PM</w:t>
      </w:r>
      <w:r>
        <w:rPr>
          <w:rFonts w:hint="eastAsia"/>
        </w:rPr>
        <w:t>号法令规定了节假日报酬。</w:t>
      </w:r>
    </w:p>
    <w:p w:rsidR="00000000" w:rsidRDefault="00BD0CAC">
      <w:pPr>
        <w:pStyle w:val="Heading4"/>
      </w:pPr>
      <w:r>
        <w:t>7.5 (a)</w:t>
      </w:r>
    </w:p>
    <w:p w:rsidR="00000000" w:rsidRDefault="00BD0CAC">
      <w:pPr>
        <w:spacing w:after="320"/>
        <w:textAlignment w:val="center"/>
      </w:pPr>
      <w:r>
        <w:tab/>
        <w:t xml:space="preserve">62.  </w:t>
      </w:r>
      <w:r>
        <w:rPr>
          <w:rFonts w:hint="eastAsia"/>
        </w:rPr>
        <w:t>执行这些文件无重大困难，因而违反的案例多由于无知而非蓄意背离。</w:t>
      </w:r>
    </w:p>
    <w:p w:rsidR="00000000" w:rsidRDefault="00BD0CAC">
      <w:pPr>
        <w:pStyle w:val="Heading4"/>
      </w:pPr>
      <w:r>
        <w:t>7.5 (b)</w:t>
      </w:r>
    </w:p>
    <w:p w:rsidR="00000000" w:rsidRDefault="00BD0CAC">
      <w:pPr>
        <w:spacing w:after="320"/>
        <w:textAlignment w:val="center"/>
      </w:pPr>
      <w:r>
        <w:tab/>
        <w:t xml:space="preserve">63.  </w:t>
      </w:r>
      <w:r>
        <w:rPr>
          <w:rFonts w:hint="eastAsia"/>
        </w:rPr>
        <w:t>见</w:t>
      </w:r>
      <w:r>
        <w:t xml:space="preserve">7.3.(a) </w:t>
      </w:r>
      <w:r>
        <w:rPr>
          <w:rFonts w:hint="eastAsia"/>
        </w:rPr>
        <w:t>段答复。</w:t>
      </w:r>
    </w:p>
    <w:p w:rsidR="00000000" w:rsidRDefault="00BD0CAC">
      <w:pPr>
        <w:pStyle w:val="Heading4"/>
      </w:pPr>
      <w:r>
        <w:t>7.6</w:t>
      </w:r>
    </w:p>
    <w:p w:rsidR="00000000" w:rsidRDefault="00BD0CAC">
      <w:pPr>
        <w:spacing w:after="320"/>
        <w:textAlignment w:val="center"/>
      </w:pPr>
      <w:r>
        <w:tab/>
        <w:t xml:space="preserve">64.  </w:t>
      </w:r>
      <w:r>
        <w:rPr>
          <w:rFonts w:hint="eastAsia"/>
        </w:rPr>
        <w:t>关于放宽劳动市场，可提及的是：</w:t>
      </w:r>
      <w:r>
        <w:t>1992</w:t>
      </w:r>
      <w:r>
        <w:rPr>
          <w:rFonts w:hint="eastAsia"/>
        </w:rPr>
        <w:t>年</w:t>
      </w:r>
      <w:r>
        <w:t>8</w:t>
      </w:r>
      <w:r>
        <w:rPr>
          <w:rFonts w:hint="eastAsia"/>
        </w:rPr>
        <w:t>月</w:t>
      </w:r>
      <w:r>
        <w:t>14</w:t>
      </w:r>
      <w:r>
        <w:rPr>
          <w:rFonts w:hint="eastAsia"/>
        </w:rPr>
        <w:t>日关于《劳动法》的第</w:t>
      </w:r>
      <w:r>
        <w:t>92/007</w:t>
      </w:r>
      <w:r>
        <w:rPr>
          <w:rFonts w:hint="eastAsia"/>
        </w:rPr>
        <w:t>号法令较此前更为灵活，它放宽了雇工、认可了合同政策，并使临时工合法化，以及其他……</w:t>
      </w:r>
      <w:r>
        <w:rPr>
          <w:rFonts w:hint="eastAsia"/>
        </w:rPr>
        <w:t>。</w:t>
      </w:r>
    </w:p>
    <w:p w:rsidR="00000000" w:rsidRDefault="00BD0CAC">
      <w:pPr>
        <w:pStyle w:val="Heading4"/>
      </w:pPr>
      <w:r>
        <w:t>7.7</w:t>
      </w:r>
    </w:p>
    <w:p w:rsidR="00000000" w:rsidRDefault="00BD0CAC">
      <w:pPr>
        <w:spacing w:after="320"/>
        <w:textAlignment w:val="center"/>
      </w:pPr>
      <w:r>
        <w:tab/>
        <w:t xml:space="preserve">65.  </w:t>
      </w:r>
      <w:r>
        <w:rPr>
          <w:rFonts w:hint="eastAsia"/>
        </w:rPr>
        <w:t>在这个具体问题上，国际劳工组织的国际援助仍是有限的，尽管国家已将公约的规定扩大到所有领域。</w:t>
      </w:r>
    </w:p>
    <w:p w:rsidR="00000000" w:rsidRDefault="00BD0CAC">
      <w:pPr>
        <w:pStyle w:val="Heading3"/>
      </w:pPr>
      <w:r>
        <w:rPr>
          <w:rFonts w:hint="eastAsia"/>
        </w:rPr>
        <w:t>第</w:t>
      </w:r>
      <w:r>
        <w:t xml:space="preserve"> 8 </w:t>
      </w:r>
      <w:r>
        <w:rPr>
          <w:rFonts w:hint="eastAsia"/>
        </w:rPr>
        <w:t>条</w:t>
      </w:r>
    </w:p>
    <w:p w:rsidR="00000000" w:rsidRDefault="00BD0CAC">
      <w:pPr>
        <w:pStyle w:val="Heading4"/>
      </w:pPr>
      <w:r>
        <w:t>8.1</w:t>
      </w:r>
    </w:p>
    <w:p w:rsidR="00000000" w:rsidRDefault="00BD0CAC">
      <w:pPr>
        <w:spacing w:after="320"/>
        <w:textAlignment w:val="center"/>
      </w:pPr>
      <w:r>
        <w:tab/>
        <w:t xml:space="preserve">66.  </w:t>
      </w:r>
      <w:r>
        <w:rPr>
          <w:rFonts w:hint="eastAsia"/>
        </w:rPr>
        <w:t>喀麦隆是这些盟约的缔约国</w:t>
      </w:r>
      <w:r>
        <w:t>(03)</w:t>
      </w:r>
      <w:r>
        <w:rPr>
          <w:rFonts w:hint="eastAsia"/>
        </w:rPr>
        <w:t>，但尚未批准劳工组织有关公务员的公约。</w:t>
      </w:r>
    </w:p>
    <w:p w:rsidR="00000000" w:rsidRDefault="00BD0CAC">
      <w:pPr>
        <w:pStyle w:val="Heading4"/>
      </w:pPr>
      <w:r>
        <w:t>8.2</w:t>
      </w:r>
    </w:p>
    <w:p w:rsidR="00000000" w:rsidRDefault="00BD0CAC">
      <w:r>
        <w:tab/>
        <w:t xml:space="preserve">67.  </w:t>
      </w:r>
      <w:r>
        <w:rPr>
          <w:rFonts w:hint="eastAsia"/>
        </w:rPr>
        <w:t>关于由《劳动法》及雇主管理的劳动者，劳动法第</w:t>
      </w:r>
      <w:r>
        <w:t>4</w:t>
      </w:r>
      <w:r>
        <w:rPr>
          <w:rFonts w:hint="eastAsia"/>
        </w:rPr>
        <w:t>和第</w:t>
      </w:r>
      <w:r>
        <w:t>8</w:t>
      </w:r>
      <w:r>
        <w:rPr>
          <w:rFonts w:hint="eastAsia"/>
        </w:rPr>
        <w:t>条明文规定了创建工会的条件。这些规定又通过</w:t>
      </w:r>
      <w:r>
        <w:t>1993</w:t>
      </w:r>
      <w:r>
        <w:rPr>
          <w:rFonts w:hint="eastAsia"/>
        </w:rPr>
        <w:t>年</w:t>
      </w:r>
      <w:r>
        <w:t>7</w:t>
      </w:r>
      <w:r>
        <w:rPr>
          <w:rFonts w:hint="eastAsia"/>
        </w:rPr>
        <w:t>月</w:t>
      </w:r>
      <w:r>
        <w:t>15</w:t>
      </w:r>
      <w:r>
        <w:rPr>
          <w:rFonts w:hint="eastAsia"/>
        </w:rPr>
        <w:t>日第</w:t>
      </w:r>
      <w:r>
        <w:t>93/574</w:t>
      </w:r>
      <w:r>
        <w:rPr>
          <w:rFonts w:hint="eastAsia"/>
        </w:rPr>
        <w:t>号法令得到补充，确定了被允许办理登记手续的职业工会应有的形式。</w:t>
      </w:r>
    </w:p>
    <w:p w:rsidR="00000000" w:rsidRDefault="00BD0CAC">
      <w:pPr>
        <w:spacing w:after="320"/>
        <w:textAlignment w:val="center"/>
      </w:pPr>
      <w:r>
        <w:tab/>
        <w:t xml:space="preserve">68.  </w:t>
      </w:r>
      <w:r>
        <w:rPr>
          <w:rFonts w:hint="eastAsia"/>
        </w:rPr>
        <w:t>关于公务人员，</w:t>
      </w:r>
      <w:r>
        <w:t>1968</w:t>
      </w:r>
      <w:r>
        <w:rPr>
          <w:rFonts w:hint="eastAsia"/>
        </w:rPr>
        <w:t>年</w:t>
      </w:r>
      <w:r>
        <w:t>1</w:t>
      </w:r>
      <w:r>
        <w:rPr>
          <w:rFonts w:hint="eastAsia"/>
        </w:rPr>
        <w:t>月</w:t>
      </w:r>
      <w:r>
        <w:t>6</w:t>
      </w:r>
      <w:r>
        <w:rPr>
          <w:rFonts w:hint="eastAsia"/>
        </w:rPr>
        <w:t>日第</w:t>
      </w:r>
      <w:r>
        <w:t>69/DF/7</w:t>
      </w:r>
      <w:r>
        <w:rPr>
          <w:rFonts w:hint="eastAsia"/>
        </w:rPr>
        <w:t>号法令确定了不受劳动</w:t>
      </w:r>
      <w:r>
        <w:rPr>
          <w:rFonts w:hint="eastAsia"/>
        </w:rPr>
        <w:t>法管辖的职业协会或工会的组织形式和被接纳的条件，准许它们进行工会活动。</w:t>
      </w:r>
    </w:p>
    <w:p w:rsidR="00000000" w:rsidRDefault="00BD0CAC">
      <w:pPr>
        <w:pStyle w:val="Heading4"/>
      </w:pPr>
      <w:r>
        <w:t>8.2 (a)</w:t>
      </w:r>
    </w:p>
    <w:p w:rsidR="00000000" w:rsidRDefault="00BD0CAC">
      <w:pPr>
        <w:spacing w:after="320"/>
        <w:textAlignment w:val="center"/>
      </w:pPr>
      <w:r>
        <w:tab/>
        <w:t xml:space="preserve">69.  </w:t>
      </w:r>
      <w:r>
        <w:rPr>
          <w:rFonts w:hint="eastAsia"/>
        </w:rPr>
        <w:t>关于建立工会，不存在专门文件规定劳动者的类别，因为上述文件均适用于各部门。</w:t>
      </w:r>
    </w:p>
    <w:p w:rsidR="00000000" w:rsidRDefault="00BD0CAC">
      <w:pPr>
        <w:pStyle w:val="Heading4"/>
      </w:pPr>
      <w:r>
        <w:t>8.2 (b)</w:t>
      </w:r>
    </w:p>
    <w:p w:rsidR="00000000" w:rsidRDefault="00BD0CAC">
      <w:r>
        <w:tab/>
        <w:t xml:space="preserve">70.  </w:t>
      </w:r>
      <w:r>
        <w:rPr>
          <w:rFonts w:hint="eastAsia"/>
        </w:rPr>
        <w:t>不存在特殊限制；但建立任何工会均须事先批准，从而有助于遏制这方面的无政府状态，否则年深月久不无失控之虞。</w:t>
      </w:r>
    </w:p>
    <w:p w:rsidR="00000000" w:rsidRDefault="00BD0CAC">
      <w:pPr>
        <w:spacing w:after="320"/>
        <w:textAlignment w:val="center"/>
      </w:pPr>
      <w:r>
        <w:tab/>
        <w:t xml:space="preserve">71.  </w:t>
      </w:r>
      <w:r>
        <w:rPr>
          <w:rFonts w:hint="eastAsia"/>
        </w:rPr>
        <w:t>如将来修订《劳动法》，全国劳动咨询委员会将研究可否从</w:t>
      </w:r>
      <w:r>
        <w:t>1992</w:t>
      </w:r>
      <w:r>
        <w:rPr>
          <w:rFonts w:hint="eastAsia"/>
        </w:rPr>
        <w:t>年</w:t>
      </w:r>
      <w:r>
        <w:t>8</w:t>
      </w:r>
      <w:r>
        <w:rPr>
          <w:rFonts w:hint="eastAsia"/>
        </w:rPr>
        <w:t>月</w:t>
      </w:r>
      <w:r>
        <w:t>14</w:t>
      </w:r>
      <w:r>
        <w:rPr>
          <w:rFonts w:hint="eastAsia"/>
        </w:rPr>
        <w:t>日有关《劳动法》的第</w:t>
      </w:r>
      <w:r>
        <w:t>92/007</w:t>
      </w:r>
      <w:r>
        <w:rPr>
          <w:rFonts w:hint="eastAsia"/>
        </w:rPr>
        <w:t>号法令中撤销第</w:t>
      </w:r>
      <w:r>
        <w:t>6-2</w:t>
      </w:r>
      <w:r>
        <w:rPr>
          <w:rFonts w:hint="eastAsia"/>
        </w:rPr>
        <w:t>条。</w:t>
      </w:r>
    </w:p>
    <w:p w:rsidR="00000000" w:rsidRDefault="00BD0CAC">
      <w:pPr>
        <w:pStyle w:val="Heading4"/>
      </w:pPr>
      <w:r>
        <w:t>8.2 (c)</w:t>
      </w:r>
    </w:p>
    <w:p w:rsidR="00000000" w:rsidRDefault="00BD0CAC">
      <w:pPr>
        <w:spacing w:after="320"/>
        <w:textAlignment w:val="center"/>
      </w:pPr>
      <w:r>
        <w:tab/>
        <w:t xml:space="preserve">72.  </w:t>
      </w:r>
      <w:r>
        <w:rPr>
          <w:rFonts w:hint="eastAsia"/>
        </w:rPr>
        <w:t>根据国际劳工组织第</w:t>
      </w:r>
      <w:r>
        <w:t>87</w:t>
      </w:r>
      <w:r>
        <w:rPr>
          <w:rFonts w:hint="eastAsia"/>
        </w:rPr>
        <w:t>号公约，工会</w:t>
      </w:r>
      <w:r>
        <w:rPr>
          <w:rFonts w:hint="eastAsia"/>
        </w:rPr>
        <w:t>有可能组成联合会、总会并加入国际工会组织。不存在阻挠此种加入的限制。</w:t>
      </w:r>
    </w:p>
    <w:p w:rsidR="00000000" w:rsidRDefault="00BD0CAC">
      <w:pPr>
        <w:pStyle w:val="Heading4"/>
      </w:pPr>
      <w:r>
        <w:t>8.2 (d)</w:t>
      </w:r>
    </w:p>
    <w:p w:rsidR="00000000" w:rsidRDefault="00BD0CAC">
      <w:pPr>
        <w:spacing w:after="320"/>
        <w:textAlignment w:val="center"/>
      </w:pPr>
      <w:r>
        <w:tab/>
        <w:t>73.  1992</w:t>
      </w:r>
      <w:r>
        <w:rPr>
          <w:rFonts w:hint="eastAsia"/>
        </w:rPr>
        <w:t>年</w:t>
      </w:r>
      <w:r>
        <w:t>8</w:t>
      </w:r>
      <w:r>
        <w:rPr>
          <w:rFonts w:hint="eastAsia"/>
        </w:rPr>
        <w:t>月</w:t>
      </w:r>
      <w:r>
        <w:t>14</w:t>
      </w:r>
      <w:r>
        <w:rPr>
          <w:rFonts w:hint="eastAsia"/>
        </w:rPr>
        <w:t>日关于《劳动法》的第</w:t>
      </w:r>
      <w:r>
        <w:t>92/007</w:t>
      </w:r>
      <w:r>
        <w:rPr>
          <w:rFonts w:hint="eastAsia"/>
        </w:rPr>
        <w:t>号法令第</w:t>
      </w:r>
      <w:r>
        <w:t>13</w:t>
      </w:r>
      <w:r>
        <w:rPr>
          <w:rFonts w:hint="eastAsia"/>
        </w:rPr>
        <w:t>和第</w:t>
      </w:r>
      <w:r>
        <w:t>14</w:t>
      </w:r>
      <w:r>
        <w:rPr>
          <w:rFonts w:hint="eastAsia"/>
        </w:rPr>
        <w:t>条规定：当某一工会违反现行法规时，可对其活动予以限制。集体谈判主动权为社会伙伴</w:t>
      </w:r>
      <w:r>
        <w:t>(</w:t>
      </w:r>
      <w:r>
        <w:rPr>
          <w:rFonts w:hint="eastAsia"/>
        </w:rPr>
        <w:t>雇主与劳工</w:t>
      </w:r>
      <w:r>
        <w:t>)</w:t>
      </w:r>
      <w:r>
        <w:rPr>
          <w:rFonts w:hint="eastAsia"/>
        </w:rPr>
        <w:t>双方所共有；国家则仅仅发挥仲裁作用。</w:t>
      </w:r>
    </w:p>
    <w:p w:rsidR="00000000" w:rsidRDefault="00BD0CAC">
      <w:pPr>
        <w:pStyle w:val="Heading4"/>
      </w:pPr>
      <w:r>
        <w:t>8.2 (e)</w:t>
      </w:r>
    </w:p>
    <w:p w:rsidR="00000000" w:rsidRDefault="00BD0CAC">
      <w:pPr>
        <w:spacing w:after="320"/>
        <w:textAlignment w:val="center"/>
      </w:pPr>
      <w:r>
        <w:tab/>
        <w:t xml:space="preserve">74.  </w:t>
      </w:r>
      <w:r>
        <w:rPr>
          <w:rFonts w:hint="eastAsia"/>
        </w:rPr>
        <w:t>已建立的各种工会分布如下：</w:t>
      </w:r>
    </w:p>
    <w:p w:rsidR="00000000" w:rsidRDefault="00BD0CAC">
      <w:pPr>
        <w:pStyle w:val="Heading4"/>
        <w:rPr>
          <w:u w:val="none"/>
        </w:rPr>
      </w:pPr>
      <w:r>
        <w:rPr>
          <w:u w:val="none"/>
        </w:rPr>
        <w:tab/>
        <w:t>(</w:t>
      </w:r>
      <w:r>
        <w:rPr>
          <w:rFonts w:hint="eastAsia"/>
          <w:u w:val="none"/>
        </w:rPr>
        <w:t>一</w:t>
      </w:r>
      <w:r>
        <w:rPr>
          <w:u w:val="none"/>
        </w:rPr>
        <w:t xml:space="preserve">) </w:t>
      </w:r>
      <w:r>
        <w:rPr>
          <w:rFonts w:hint="eastAsia"/>
        </w:rPr>
        <w:t>工人工会</w:t>
      </w:r>
    </w:p>
    <w:p w:rsidR="00000000" w:rsidRDefault="00BD0CAC">
      <w:r>
        <w:tab/>
      </w:r>
      <w:r>
        <w:tab/>
      </w:r>
      <w:r>
        <w:rPr>
          <w:rFonts w:hint="eastAsia"/>
          <w:u w:val="single"/>
        </w:rPr>
        <w:t>工会联合会</w:t>
      </w:r>
      <w:r>
        <w:rPr>
          <w:rFonts w:hint="eastAsia"/>
        </w:rPr>
        <w:t>：</w:t>
      </w:r>
    </w:p>
    <w:p w:rsidR="00000000" w:rsidRDefault="00BD0CAC">
      <w:pPr>
        <w:ind w:left="2072" w:hanging="152"/>
      </w:pPr>
      <w:r>
        <w:rPr>
          <w:rFonts w:hint="eastAsia"/>
        </w:rPr>
        <w:t>喀麦隆工人工会联合会</w:t>
      </w:r>
      <w:r>
        <w:t>(CSTC)</w:t>
      </w:r>
      <w:r>
        <w:rPr>
          <w:rFonts w:hint="eastAsia"/>
        </w:rPr>
        <w:t>及喀麦隆自由工会联盟</w:t>
      </w:r>
      <w:r>
        <w:t>(USLC)</w:t>
      </w:r>
    </w:p>
    <w:tbl>
      <w:tblPr>
        <w:tblW w:w="0" w:type="auto"/>
        <w:tblInd w:w="995" w:type="dxa"/>
        <w:tblLayout w:type="fixed"/>
        <w:tblCellMar>
          <w:left w:w="28" w:type="dxa"/>
          <w:right w:w="28" w:type="dxa"/>
        </w:tblCellMar>
        <w:tblLook w:val="0000" w:firstRow="0" w:lastRow="0" w:firstColumn="0" w:lastColumn="0" w:noHBand="0" w:noVBand="0"/>
      </w:tblPr>
      <w:tblGrid>
        <w:gridCol w:w="4167"/>
        <w:gridCol w:w="960"/>
        <w:gridCol w:w="654"/>
        <w:gridCol w:w="906"/>
      </w:tblGrid>
      <w:tr w:rsidR="00000000">
        <w:tblPrEx>
          <w:tblCellMar>
            <w:top w:w="0" w:type="dxa"/>
            <w:bottom w:w="0" w:type="dxa"/>
          </w:tblCellMar>
        </w:tblPrEx>
        <w:tc>
          <w:tcPr>
            <w:tcW w:w="4167" w:type="dxa"/>
          </w:tcPr>
          <w:p w:rsidR="00000000" w:rsidRDefault="00BD0CAC">
            <w:pPr>
              <w:ind w:firstLine="899"/>
            </w:pPr>
            <w:r>
              <w:rPr>
                <w:rFonts w:hint="eastAsia"/>
              </w:rPr>
              <w:t>全国性工会：</w:t>
            </w:r>
          </w:p>
        </w:tc>
        <w:tc>
          <w:tcPr>
            <w:tcW w:w="960" w:type="dxa"/>
          </w:tcPr>
          <w:p w:rsidR="00000000" w:rsidRDefault="00BD0CAC">
            <w:r>
              <w:t>CSTC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14</w:t>
            </w:r>
          </w:p>
        </w:tc>
      </w:tr>
      <w:tr w:rsidR="00000000">
        <w:tblPrEx>
          <w:tblCellMar>
            <w:top w:w="0" w:type="dxa"/>
            <w:bottom w:w="0" w:type="dxa"/>
          </w:tblCellMar>
        </w:tblPrEx>
        <w:tc>
          <w:tcPr>
            <w:tcW w:w="4167" w:type="dxa"/>
          </w:tcPr>
          <w:p w:rsidR="00000000" w:rsidRDefault="00BD0CAC">
            <w:pPr>
              <w:ind w:firstLine="899"/>
            </w:pPr>
          </w:p>
        </w:tc>
        <w:tc>
          <w:tcPr>
            <w:tcW w:w="960" w:type="dxa"/>
          </w:tcPr>
          <w:p w:rsidR="00000000" w:rsidRDefault="00BD0CAC">
            <w:r>
              <w:t>USLC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9</w:t>
            </w:r>
          </w:p>
        </w:tc>
      </w:tr>
      <w:tr w:rsidR="00000000">
        <w:tblPrEx>
          <w:tblCellMar>
            <w:top w:w="0" w:type="dxa"/>
            <w:bottom w:w="0" w:type="dxa"/>
          </w:tblCellMar>
        </w:tblPrEx>
        <w:tc>
          <w:tcPr>
            <w:tcW w:w="4167" w:type="dxa"/>
          </w:tcPr>
          <w:p w:rsidR="00000000" w:rsidRDefault="00BD0CAC">
            <w:pPr>
              <w:ind w:firstLine="899"/>
            </w:pPr>
            <w:r>
              <w:rPr>
                <w:rFonts w:hint="eastAsia"/>
              </w:rPr>
              <w:t>全国性独立工会</w:t>
            </w:r>
          </w:p>
        </w:tc>
        <w:tc>
          <w:tcPr>
            <w:tcW w:w="960" w:type="dxa"/>
          </w:tcPr>
          <w:p w:rsidR="00000000" w:rsidRDefault="00BD0CAC"/>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11</w:t>
            </w:r>
          </w:p>
        </w:tc>
      </w:tr>
      <w:tr w:rsidR="00000000">
        <w:tblPrEx>
          <w:tblCellMar>
            <w:top w:w="0" w:type="dxa"/>
            <w:bottom w:w="0" w:type="dxa"/>
          </w:tblCellMar>
        </w:tblPrEx>
        <w:tc>
          <w:tcPr>
            <w:tcW w:w="4167" w:type="dxa"/>
          </w:tcPr>
          <w:p w:rsidR="00000000" w:rsidRDefault="00BD0CAC">
            <w:pPr>
              <w:ind w:firstLine="899"/>
            </w:pPr>
            <w:r>
              <w:rPr>
                <w:rFonts w:hint="eastAsia"/>
              </w:rPr>
              <w:t>省级工会</w:t>
            </w:r>
          </w:p>
        </w:tc>
        <w:tc>
          <w:tcPr>
            <w:tcW w:w="960" w:type="dxa"/>
          </w:tcPr>
          <w:p w:rsidR="00000000" w:rsidRDefault="00BD0CAC">
            <w:r>
              <w:t>CSTC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255</w:t>
            </w:r>
          </w:p>
        </w:tc>
      </w:tr>
      <w:tr w:rsidR="00000000">
        <w:tblPrEx>
          <w:tblCellMar>
            <w:top w:w="0" w:type="dxa"/>
            <w:bottom w:w="0" w:type="dxa"/>
          </w:tblCellMar>
        </w:tblPrEx>
        <w:tc>
          <w:tcPr>
            <w:tcW w:w="4167" w:type="dxa"/>
          </w:tcPr>
          <w:p w:rsidR="00000000" w:rsidRDefault="00BD0CAC">
            <w:pPr>
              <w:ind w:firstLine="899"/>
            </w:pPr>
          </w:p>
        </w:tc>
        <w:tc>
          <w:tcPr>
            <w:tcW w:w="960" w:type="dxa"/>
          </w:tcPr>
          <w:p w:rsidR="00000000" w:rsidRDefault="00BD0CAC">
            <w:r>
              <w:t>USLC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14</w:t>
            </w:r>
          </w:p>
        </w:tc>
      </w:tr>
      <w:tr w:rsidR="00000000">
        <w:tblPrEx>
          <w:tblCellMar>
            <w:top w:w="0" w:type="dxa"/>
            <w:bottom w:w="0" w:type="dxa"/>
          </w:tblCellMar>
        </w:tblPrEx>
        <w:tc>
          <w:tcPr>
            <w:tcW w:w="4167" w:type="dxa"/>
          </w:tcPr>
          <w:p w:rsidR="00000000" w:rsidRDefault="00BD0CAC">
            <w:pPr>
              <w:ind w:firstLine="899"/>
            </w:pPr>
            <w:r>
              <w:rPr>
                <w:rFonts w:hint="eastAsia"/>
              </w:rPr>
              <w:t>省级独立工会</w:t>
            </w:r>
          </w:p>
        </w:tc>
        <w:tc>
          <w:tcPr>
            <w:tcW w:w="960" w:type="dxa"/>
          </w:tcPr>
          <w:p w:rsidR="00000000" w:rsidRDefault="00BD0CAC"/>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11</w:t>
            </w:r>
          </w:p>
        </w:tc>
      </w:tr>
      <w:tr w:rsidR="00000000">
        <w:tblPrEx>
          <w:tblCellMar>
            <w:top w:w="0" w:type="dxa"/>
            <w:bottom w:w="0" w:type="dxa"/>
          </w:tblCellMar>
        </w:tblPrEx>
        <w:tc>
          <w:tcPr>
            <w:tcW w:w="4167" w:type="dxa"/>
          </w:tcPr>
          <w:p w:rsidR="00000000" w:rsidRDefault="00BD0CAC">
            <w:r>
              <w:rPr>
                <w:rFonts w:hint="eastAsia"/>
                <w:u w:val="single"/>
              </w:rPr>
              <w:t>联合会</w:t>
            </w:r>
            <w:r>
              <w:rPr>
                <w:rFonts w:hint="eastAsia"/>
              </w:rPr>
              <w:t>：</w:t>
            </w:r>
          </w:p>
        </w:tc>
        <w:tc>
          <w:tcPr>
            <w:tcW w:w="960" w:type="dxa"/>
          </w:tcPr>
          <w:p w:rsidR="00000000" w:rsidRDefault="00BD0CAC"/>
        </w:tc>
        <w:tc>
          <w:tcPr>
            <w:tcW w:w="654" w:type="dxa"/>
          </w:tcPr>
          <w:p w:rsidR="00000000" w:rsidRDefault="00BD0CAC"/>
        </w:tc>
        <w:tc>
          <w:tcPr>
            <w:tcW w:w="906" w:type="dxa"/>
          </w:tcPr>
          <w:p w:rsidR="00000000" w:rsidRDefault="00BD0CAC">
            <w:pPr>
              <w:tabs>
                <w:tab w:val="clear" w:pos="510"/>
                <w:tab w:val="clear" w:pos="1021"/>
                <w:tab w:val="clear" w:pos="1531"/>
                <w:tab w:val="clear" w:pos="2041"/>
              </w:tabs>
              <w:ind w:left="57" w:right="284"/>
              <w:jc w:val="right"/>
            </w:pPr>
          </w:p>
        </w:tc>
      </w:tr>
      <w:tr w:rsidR="00000000">
        <w:tblPrEx>
          <w:tblCellMar>
            <w:top w:w="0" w:type="dxa"/>
            <w:bottom w:w="0" w:type="dxa"/>
          </w:tblCellMar>
        </w:tblPrEx>
        <w:tc>
          <w:tcPr>
            <w:tcW w:w="4167" w:type="dxa"/>
          </w:tcPr>
          <w:p w:rsidR="00000000" w:rsidRDefault="00BD0CAC">
            <w:pPr>
              <w:ind w:firstLine="899"/>
            </w:pPr>
            <w:r>
              <w:rPr>
                <w:rFonts w:hint="eastAsia"/>
              </w:rPr>
              <w:t>省级联盟：</w:t>
            </w:r>
          </w:p>
        </w:tc>
        <w:tc>
          <w:tcPr>
            <w:tcW w:w="960" w:type="dxa"/>
          </w:tcPr>
          <w:p w:rsidR="00000000" w:rsidRDefault="00BD0CAC">
            <w:r>
              <w:t>CSTC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31</w:t>
            </w:r>
          </w:p>
        </w:tc>
      </w:tr>
      <w:tr w:rsidR="00000000">
        <w:tblPrEx>
          <w:tblCellMar>
            <w:top w:w="0" w:type="dxa"/>
            <w:bottom w:w="0" w:type="dxa"/>
          </w:tblCellMar>
        </w:tblPrEx>
        <w:tc>
          <w:tcPr>
            <w:tcW w:w="4167" w:type="dxa"/>
          </w:tcPr>
          <w:p w:rsidR="00000000" w:rsidRDefault="00BD0CAC">
            <w:pPr>
              <w:ind w:firstLine="899"/>
            </w:pPr>
          </w:p>
        </w:tc>
        <w:tc>
          <w:tcPr>
            <w:tcW w:w="960" w:type="dxa"/>
          </w:tcPr>
          <w:p w:rsidR="00000000" w:rsidRDefault="00BD0CAC">
            <w:r>
              <w:t>USLC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w:t>
            </w:r>
          </w:p>
        </w:tc>
      </w:tr>
      <w:tr w:rsidR="00000000">
        <w:tblPrEx>
          <w:tblCellMar>
            <w:top w:w="0" w:type="dxa"/>
            <w:bottom w:w="0" w:type="dxa"/>
          </w:tblCellMar>
        </w:tblPrEx>
        <w:tc>
          <w:tcPr>
            <w:tcW w:w="4167" w:type="dxa"/>
          </w:tcPr>
          <w:p w:rsidR="00000000" w:rsidRDefault="00BD0CAC">
            <w:pPr>
              <w:ind w:firstLine="899"/>
            </w:pPr>
            <w:r>
              <w:rPr>
                <w:rFonts w:hint="eastAsia"/>
              </w:rPr>
              <w:t>省级独立联盟</w:t>
            </w:r>
          </w:p>
        </w:tc>
        <w:tc>
          <w:tcPr>
            <w:tcW w:w="960" w:type="dxa"/>
          </w:tcPr>
          <w:p w:rsidR="00000000" w:rsidRDefault="00BD0CAC"/>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1</w:t>
            </w:r>
          </w:p>
        </w:tc>
      </w:tr>
      <w:tr w:rsidR="00000000">
        <w:tblPrEx>
          <w:tblCellMar>
            <w:top w:w="0" w:type="dxa"/>
            <w:bottom w:w="0" w:type="dxa"/>
          </w:tblCellMar>
        </w:tblPrEx>
        <w:tc>
          <w:tcPr>
            <w:tcW w:w="4167" w:type="dxa"/>
          </w:tcPr>
          <w:p w:rsidR="00000000" w:rsidRDefault="00BD0CAC">
            <w:pPr>
              <w:ind w:firstLine="899"/>
            </w:pPr>
            <w:r>
              <w:rPr>
                <w:rFonts w:hint="eastAsia"/>
              </w:rPr>
              <w:t>工会联合会：</w:t>
            </w:r>
          </w:p>
        </w:tc>
        <w:tc>
          <w:tcPr>
            <w:tcW w:w="960" w:type="dxa"/>
          </w:tcPr>
          <w:p w:rsidR="00000000" w:rsidRDefault="00BD0CAC">
            <w:r>
              <w:t>CSTC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8</w:t>
            </w:r>
          </w:p>
        </w:tc>
      </w:tr>
      <w:tr w:rsidR="00000000">
        <w:tblPrEx>
          <w:tblCellMar>
            <w:top w:w="0" w:type="dxa"/>
            <w:bottom w:w="0" w:type="dxa"/>
          </w:tblCellMar>
        </w:tblPrEx>
        <w:tc>
          <w:tcPr>
            <w:tcW w:w="4167" w:type="dxa"/>
          </w:tcPr>
          <w:p w:rsidR="00000000" w:rsidRDefault="00BD0CAC">
            <w:pPr>
              <w:ind w:firstLine="899"/>
            </w:pPr>
          </w:p>
        </w:tc>
        <w:tc>
          <w:tcPr>
            <w:tcW w:w="960" w:type="dxa"/>
          </w:tcPr>
          <w:p w:rsidR="00000000" w:rsidRDefault="00BD0CAC">
            <w:r>
              <w:t>USLC</w:t>
            </w:r>
          </w:p>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0</w:t>
            </w:r>
          </w:p>
        </w:tc>
      </w:tr>
      <w:tr w:rsidR="00000000">
        <w:tblPrEx>
          <w:tblCellMar>
            <w:top w:w="0" w:type="dxa"/>
            <w:bottom w:w="0" w:type="dxa"/>
          </w:tblCellMar>
        </w:tblPrEx>
        <w:tc>
          <w:tcPr>
            <w:tcW w:w="4167" w:type="dxa"/>
          </w:tcPr>
          <w:p w:rsidR="00000000" w:rsidRDefault="00BD0CAC">
            <w:pPr>
              <w:ind w:firstLine="899"/>
            </w:pPr>
            <w:r>
              <w:rPr>
                <w:rFonts w:hint="eastAsia"/>
              </w:rPr>
              <w:t>独立工会联合会</w:t>
            </w:r>
          </w:p>
        </w:tc>
        <w:tc>
          <w:tcPr>
            <w:tcW w:w="960" w:type="dxa"/>
          </w:tcPr>
          <w:p w:rsidR="00000000" w:rsidRDefault="00BD0CAC"/>
        </w:tc>
        <w:tc>
          <w:tcPr>
            <w:tcW w:w="654" w:type="dxa"/>
          </w:tcPr>
          <w:p w:rsidR="00000000" w:rsidRDefault="00BD0CAC">
            <w:r>
              <w:t>:</w:t>
            </w:r>
          </w:p>
        </w:tc>
        <w:tc>
          <w:tcPr>
            <w:tcW w:w="906" w:type="dxa"/>
          </w:tcPr>
          <w:p w:rsidR="00000000" w:rsidRDefault="00BD0CAC">
            <w:pPr>
              <w:tabs>
                <w:tab w:val="clear" w:pos="510"/>
                <w:tab w:val="clear" w:pos="1021"/>
                <w:tab w:val="clear" w:pos="1531"/>
                <w:tab w:val="clear" w:pos="2041"/>
              </w:tabs>
              <w:ind w:left="57" w:right="284"/>
              <w:jc w:val="right"/>
            </w:pPr>
            <w:r>
              <w:t>3</w:t>
            </w:r>
          </w:p>
        </w:tc>
      </w:tr>
      <w:tr w:rsidR="00000000">
        <w:tblPrEx>
          <w:tblCellMar>
            <w:top w:w="0" w:type="dxa"/>
            <w:bottom w:w="0" w:type="dxa"/>
          </w:tblCellMar>
        </w:tblPrEx>
        <w:tc>
          <w:tcPr>
            <w:tcW w:w="4167" w:type="dxa"/>
          </w:tcPr>
          <w:p w:rsidR="00000000" w:rsidRDefault="00BD0CAC">
            <w:pPr>
              <w:ind w:firstLine="899"/>
            </w:pPr>
          </w:p>
        </w:tc>
        <w:tc>
          <w:tcPr>
            <w:tcW w:w="960" w:type="dxa"/>
          </w:tcPr>
          <w:p w:rsidR="00000000" w:rsidRDefault="00BD0CAC"/>
        </w:tc>
        <w:tc>
          <w:tcPr>
            <w:tcW w:w="654" w:type="dxa"/>
          </w:tcPr>
          <w:p w:rsidR="00000000" w:rsidRDefault="00BD0CAC"/>
        </w:tc>
        <w:tc>
          <w:tcPr>
            <w:tcW w:w="906" w:type="dxa"/>
          </w:tcPr>
          <w:p w:rsidR="00000000" w:rsidRDefault="00BD0CAC">
            <w:pPr>
              <w:tabs>
                <w:tab w:val="clear" w:pos="510"/>
                <w:tab w:val="clear" w:pos="1021"/>
                <w:tab w:val="clear" w:pos="1531"/>
                <w:tab w:val="clear" w:pos="2041"/>
              </w:tabs>
              <w:ind w:left="57" w:right="284"/>
              <w:jc w:val="right"/>
            </w:pPr>
          </w:p>
        </w:tc>
      </w:tr>
    </w:tbl>
    <w:p w:rsidR="00000000" w:rsidRDefault="00BD0CAC">
      <w:pPr>
        <w:pStyle w:val="Heading4"/>
        <w:rPr>
          <w:u w:val="none"/>
        </w:rPr>
      </w:pPr>
      <w:r>
        <w:rPr>
          <w:u w:val="none"/>
        </w:rPr>
        <w:tab/>
        <w:t>(</w:t>
      </w:r>
      <w:r>
        <w:rPr>
          <w:rFonts w:hint="eastAsia"/>
          <w:u w:val="none"/>
        </w:rPr>
        <w:t>二</w:t>
      </w:r>
      <w:r>
        <w:rPr>
          <w:u w:val="none"/>
        </w:rPr>
        <w:t xml:space="preserve">) </w:t>
      </w:r>
      <w:r>
        <w:rPr>
          <w:rFonts w:hint="eastAsia"/>
        </w:rPr>
        <w:t>雇主工会</w:t>
      </w:r>
    </w:p>
    <w:p w:rsidR="00000000" w:rsidRDefault="00BD0CAC" w:rsidP="00BD0CAC">
      <w:pPr>
        <w:pStyle w:val="a6"/>
        <w:numPr>
          <w:ilvl w:val="0"/>
          <w:numId w:val="1"/>
        </w:numPr>
        <w:ind w:left="1531"/>
      </w:pPr>
      <w:r>
        <w:rPr>
          <w:rFonts w:hint="eastAsia"/>
        </w:rPr>
        <w:t>喀麦隆实业家工会</w:t>
      </w:r>
      <w:r>
        <w:t>(SYNDUSTRICAM)</w:t>
      </w:r>
    </w:p>
    <w:p w:rsidR="00000000" w:rsidRDefault="00BD0CAC" w:rsidP="00BD0CAC">
      <w:pPr>
        <w:pStyle w:val="a6"/>
        <w:numPr>
          <w:ilvl w:val="0"/>
          <w:numId w:val="1"/>
        </w:numPr>
        <w:ind w:left="1531"/>
      </w:pPr>
      <w:r>
        <w:rPr>
          <w:rFonts w:hint="eastAsia"/>
        </w:rPr>
        <w:t>喀麦隆农业专业人员工会联合会</w:t>
      </w:r>
      <w:r>
        <w:t>(USPAC)</w:t>
      </w:r>
    </w:p>
    <w:p w:rsidR="00000000" w:rsidRDefault="00BD0CAC" w:rsidP="00BD0CAC">
      <w:pPr>
        <w:pStyle w:val="a6"/>
        <w:numPr>
          <w:ilvl w:val="0"/>
          <w:numId w:val="1"/>
        </w:numPr>
        <w:ind w:left="1531"/>
      </w:pPr>
      <w:r>
        <w:rPr>
          <w:rFonts w:hint="eastAsia"/>
        </w:rPr>
        <w:t>喀麦隆专业人员工会联合会</w:t>
      </w:r>
      <w:r>
        <w:t>(USPC)</w:t>
      </w:r>
    </w:p>
    <w:p w:rsidR="00000000" w:rsidRDefault="00BD0CAC">
      <w:pPr>
        <w:spacing w:after="320"/>
        <w:textAlignment w:val="center"/>
      </w:pPr>
      <w:r>
        <w:rPr>
          <w:rFonts w:hint="eastAsia"/>
        </w:rPr>
        <w:t>关于会员数目，目前尚无统计，以后将向委员会通报。</w:t>
      </w:r>
    </w:p>
    <w:p w:rsidR="00000000" w:rsidRDefault="00BD0CAC">
      <w:pPr>
        <w:pStyle w:val="Heading4"/>
      </w:pPr>
      <w:r>
        <w:t>8.3</w:t>
      </w:r>
    </w:p>
    <w:p w:rsidR="00000000" w:rsidRDefault="00BD0CAC">
      <w:pPr>
        <w:spacing w:after="320"/>
        <w:textAlignment w:val="center"/>
      </w:pPr>
      <w:r>
        <w:tab/>
        <w:t xml:space="preserve">75.  </w:t>
      </w:r>
      <w:r>
        <w:rPr>
          <w:rFonts w:hint="eastAsia"/>
        </w:rPr>
        <w:t>喀麦隆工人被承认有罢工权。这一权利由《劳动法》第</w:t>
      </w:r>
      <w:r>
        <w:t>157</w:t>
      </w:r>
      <w:r>
        <w:rPr>
          <w:rFonts w:hint="eastAsia"/>
        </w:rPr>
        <w:t>至</w:t>
      </w:r>
      <w:r>
        <w:t>165</w:t>
      </w:r>
      <w:r>
        <w:rPr>
          <w:rFonts w:hint="eastAsia"/>
        </w:rPr>
        <w:t>条作出规定。因此，</w:t>
      </w:r>
      <w:r>
        <w:t>1992</w:t>
      </w:r>
      <w:r>
        <w:rPr>
          <w:rFonts w:hint="eastAsia"/>
        </w:rPr>
        <w:t>年</w:t>
      </w:r>
      <w:r>
        <w:t>8</w:t>
      </w:r>
      <w:r>
        <w:rPr>
          <w:rFonts w:hint="eastAsia"/>
        </w:rPr>
        <w:t>月</w:t>
      </w:r>
      <w:r>
        <w:t>14</w:t>
      </w:r>
      <w:r>
        <w:rPr>
          <w:rFonts w:hint="eastAsia"/>
        </w:rPr>
        <w:t>日关于《劳动法》的第</w:t>
      </w:r>
      <w:r>
        <w:t>92/007</w:t>
      </w:r>
      <w:r>
        <w:rPr>
          <w:rFonts w:hint="eastAsia"/>
        </w:rPr>
        <w:t>号法令保障罢工权。</w:t>
      </w:r>
    </w:p>
    <w:p w:rsidR="00000000" w:rsidRDefault="00BD0CAC">
      <w:pPr>
        <w:pStyle w:val="Heading4"/>
      </w:pPr>
      <w:r>
        <w:t>8.3 (a)</w:t>
      </w:r>
    </w:p>
    <w:p w:rsidR="00000000" w:rsidRDefault="00BD0CAC">
      <w:pPr>
        <w:spacing w:after="320"/>
        <w:textAlignment w:val="center"/>
      </w:pPr>
      <w:r>
        <w:tab/>
        <w:t xml:space="preserve">76.  </w:t>
      </w:r>
      <w:r>
        <w:rPr>
          <w:rFonts w:hint="eastAsia"/>
        </w:rPr>
        <w:t>罢工应遵循的程序在附件中说明。</w:t>
      </w:r>
    </w:p>
    <w:p w:rsidR="00000000" w:rsidRDefault="00BD0CAC">
      <w:pPr>
        <w:pStyle w:val="Heading4"/>
      </w:pPr>
      <w:r>
        <w:t>8.3 (b)</w:t>
      </w:r>
    </w:p>
    <w:p w:rsidR="00000000" w:rsidRDefault="00BD0CAC">
      <w:pPr>
        <w:spacing w:after="320"/>
        <w:textAlignment w:val="center"/>
      </w:pPr>
      <w:r>
        <w:tab/>
        <w:t xml:space="preserve">77.  </w:t>
      </w:r>
      <w:r>
        <w:rPr>
          <w:rFonts w:hint="eastAsia"/>
        </w:rPr>
        <w:t>在罢工问题上并无对某类工人的特别规定。</w:t>
      </w:r>
    </w:p>
    <w:p w:rsidR="00000000" w:rsidRDefault="00BD0CAC">
      <w:pPr>
        <w:pStyle w:val="Heading4"/>
      </w:pPr>
      <w:r>
        <w:t>8.4</w:t>
      </w:r>
    </w:p>
    <w:p w:rsidR="00000000" w:rsidRDefault="00BD0CAC">
      <w:pPr>
        <w:spacing w:after="320"/>
        <w:textAlignment w:val="center"/>
      </w:pPr>
      <w:r>
        <w:tab/>
        <w:t xml:space="preserve">78.  </w:t>
      </w:r>
      <w:r>
        <w:rPr>
          <w:rFonts w:hint="eastAsia"/>
        </w:rPr>
        <w:t>这几类人员</w:t>
      </w:r>
      <w:r>
        <w:t>(</w:t>
      </w:r>
      <w:r>
        <w:rPr>
          <w:rFonts w:hint="eastAsia"/>
        </w:rPr>
        <w:t>公务员、着制服人员等</w:t>
      </w:r>
      <w:r>
        <w:t>)</w:t>
      </w:r>
      <w:r>
        <w:rPr>
          <w:rFonts w:hint="eastAsia"/>
        </w:rPr>
        <w:t>不属</w:t>
      </w:r>
      <w:r>
        <w:t>1992</w:t>
      </w:r>
      <w:r>
        <w:rPr>
          <w:rFonts w:hint="eastAsia"/>
        </w:rPr>
        <w:t>年</w:t>
      </w:r>
      <w:r>
        <w:t>8</w:t>
      </w:r>
      <w:r>
        <w:rPr>
          <w:rFonts w:hint="eastAsia"/>
        </w:rPr>
        <w:t>月</w:t>
      </w:r>
      <w:r>
        <w:t>14</w:t>
      </w:r>
      <w:r>
        <w:rPr>
          <w:rFonts w:hint="eastAsia"/>
        </w:rPr>
        <w:t>日关于喀麦隆《劳动法》的第</w:t>
      </w:r>
      <w:r>
        <w:t>92/007</w:t>
      </w:r>
      <w:r>
        <w:rPr>
          <w:rFonts w:hint="eastAsia"/>
        </w:rPr>
        <w:t>号法令管辖范围，特别是其第</w:t>
      </w:r>
      <w:r>
        <w:t>1</w:t>
      </w:r>
      <w:r>
        <w:rPr>
          <w:rFonts w:hint="eastAsia"/>
        </w:rPr>
        <w:t>条第</w:t>
      </w:r>
      <w:r>
        <w:t>3</w:t>
      </w:r>
      <w:r>
        <w:rPr>
          <w:rFonts w:hint="eastAsia"/>
        </w:rPr>
        <w:t>款。</w:t>
      </w:r>
    </w:p>
    <w:p w:rsidR="00000000" w:rsidRDefault="00BD0CAC">
      <w:pPr>
        <w:pStyle w:val="Heading3"/>
      </w:pPr>
      <w:r>
        <w:rPr>
          <w:rFonts w:hint="eastAsia"/>
        </w:rPr>
        <w:t>第</w:t>
      </w:r>
      <w:r>
        <w:t xml:space="preserve"> 9 </w:t>
      </w:r>
      <w:r>
        <w:rPr>
          <w:rFonts w:hint="eastAsia"/>
        </w:rPr>
        <w:t>条</w:t>
      </w:r>
    </w:p>
    <w:p w:rsidR="00000000" w:rsidRDefault="00BD0CAC">
      <w:pPr>
        <w:pStyle w:val="Heading4"/>
      </w:pPr>
      <w:r>
        <w:t>9.1</w:t>
      </w:r>
    </w:p>
    <w:p w:rsidR="00000000" w:rsidRDefault="00BD0CAC">
      <w:pPr>
        <w:spacing w:after="320"/>
        <w:textAlignment w:val="center"/>
      </w:pPr>
      <w:r>
        <w:tab/>
        <w:t xml:space="preserve">79.  </w:t>
      </w:r>
      <w:r>
        <w:rPr>
          <w:rFonts w:hint="eastAsia"/>
        </w:rPr>
        <w:t>喀麦隆未参加所提及的一切公约</w:t>
      </w:r>
      <w:r>
        <w:rPr>
          <w:rFonts w:hint="eastAsia"/>
        </w:rPr>
        <w:t>。不过有一个机构、即社会互助国家基金</w:t>
      </w:r>
      <w:r>
        <w:t>(</w:t>
      </w:r>
      <w:r>
        <w:rPr>
          <w:rFonts w:hint="eastAsia"/>
        </w:rPr>
        <w:t>国家基金</w:t>
      </w:r>
      <w:r>
        <w:t>)</w:t>
      </w:r>
      <w:r>
        <w:rPr>
          <w:rFonts w:hint="eastAsia"/>
        </w:rPr>
        <w:t>负责第</w:t>
      </w:r>
      <w:r>
        <w:t>102</w:t>
      </w:r>
      <w:r>
        <w:rPr>
          <w:rFonts w:hint="eastAsia"/>
        </w:rPr>
        <w:t>号公约列举的某些方面。</w:t>
      </w:r>
    </w:p>
    <w:p w:rsidR="00000000" w:rsidRDefault="00BD0CAC">
      <w:pPr>
        <w:pStyle w:val="Heading4"/>
      </w:pPr>
      <w:r>
        <w:t>9.2</w:t>
      </w:r>
    </w:p>
    <w:p w:rsidR="00000000" w:rsidRDefault="00BD0CAC">
      <w:r>
        <w:tab/>
        <w:t xml:space="preserve">80.  </w:t>
      </w:r>
      <w:r>
        <w:rPr>
          <w:rFonts w:hint="eastAsia"/>
        </w:rPr>
        <w:t>我国现有社会保险共分三类：家庭补助、老年、伤残和死亡保险—养恤金，以及工伤事故和职业病保险。在这三类范围内，向社会保险参加者提供以下补助：</w:t>
      </w:r>
    </w:p>
    <w:p w:rsidR="00000000" w:rsidRDefault="00BD0CAC">
      <w:pPr>
        <w:ind w:left="1021"/>
      </w:pPr>
      <w:r>
        <w:rPr>
          <w:rFonts w:hint="eastAsia"/>
        </w:rPr>
        <w:t>产假补助</w:t>
      </w:r>
    </w:p>
    <w:p w:rsidR="00000000" w:rsidRDefault="00BD0CAC">
      <w:pPr>
        <w:ind w:left="1021"/>
      </w:pPr>
      <w:r>
        <w:rPr>
          <w:rFonts w:hint="eastAsia"/>
        </w:rPr>
        <w:t>伤残补助</w:t>
      </w:r>
    </w:p>
    <w:p w:rsidR="00000000" w:rsidRDefault="00BD0CAC">
      <w:pPr>
        <w:ind w:left="1021"/>
      </w:pPr>
      <w:r>
        <w:rPr>
          <w:rFonts w:hint="eastAsia"/>
        </w:rPr>
        <w:t>遗属补助</w:t>
      </w:r>
    </w:p>
    <w:p w:rsidR="00000000" w:rsidRDefault="00BD0CAC">
      <w:pPr>
        <w:ind w:left="1021"/>
      </w:pPr>
      <w:r>
        <w:rPr>
          <w:rFonts w:hint="eastAsia"/>
        </w:rPr>
        <w:t>工伤事故补助</w:t>
      </w:r>
    </w:p>
    <w:p w:rsidR="00000000" w:rsidRDefault="00BD0CAC">
      <w:pPr>
        <w:ind w:left="1021"/>
      </w:pPr>
      <w:r>
        <w:rPr>
          <w:rFonts w:hint="eastAsia"/>
        </w:rPr>
        <w:t>家庭补助</w:t>
      </w:r>
    </w:p>
    <w:p w:rsidR="00000000" w:rsidRDefault="00BD0CAC">
      <w:pPr>
        <w:spacing w:after="160"/>
        <w:textAlignment w:val="center"/>
      </w:pPr>
      <w:r>
        <w:rPr>
          <w:rFonts w:hint="eastAsia"/>
        </w:rPr>
        <w:t>喀麦隆负责社会保险的机构在</w:t>
      </w:r>
      <w:r>
        <w:t>1991</w:t>
      </w:r>
      <w:r>
        <w:rPr>
          <w:rFonts w:hint="eastAsia"/>
        </w:rPr>
        <w:t>年至</w:t>
      </w:r>
      <w:r>
        <w:t>1995</w:t>
      </w:r>
      <w:r>
        <w:rPr>
          <w:rFonts w:hint="eastAsia"/>
        </w:rPr>
        <w:t>年期间，就以下各方面向参加社会保险者提供了补助：</w:t>
      </w:r>
    </w:p>
    <w:p w:rsidR="00000000" w:rsidRDefault="00BD0CAC">
      <w:pPr>
        <w:pStyle w:val="NormalIndent"/>
        <w:spacing w:after="320"/>
        <w:textAlignment w:val="center"/>
      </w:pPr>
      <w:r>
        <w:t>(a)</w:t>
      </w:r>
      <w:r>
        <w:tab/>
      </w:r>
      <w:r>
        <w:rPr>
          <w:rFonts w:hint="eastAsia"/>
          <w:u w:val="single"/>
        </w:rPr>
        <w:t>家庭补助</w:t>
      </w:r>
      <w:r>
        <w:rPr>
          <w:rFonts w:hint="eastAsia"/>
        </w:rPr>
        <w:t>：</w:t>
      </w:r>
    </w:p>
    <w:tbl>
      <w:tblPr>
        <w:tblW w:w="0" w:type="auto"/>
        <w:tblInd w:w="1082" w:type="dxa"/>
        <w:tblLayout w:type="fixed"/>
        <w:tblCellMar>
          <w:left w:w="28" w:type="dxa"/>
          <w:right w:w="28" w:type="dxa"/>
        </w:tblCellMar>
        <w:tblLook w:val="0000" w:firstRow="0" w:lastRow="0" w:firstColumn="0" w:lastColumn="0" w:noHBand="0" w:noVBand="0"/>
      </w:tblPr>
      <w:tblGrid>
        <w:gridCol w:w="4800"/>
        <w:gridCol w:w="2520"/>
      </w:tblGrid>
      <w:tr w:rsidR="00000000">
        <w:tblPrEx>
          <w:tblCellMar>
            <w:top w:w="0" w:type="dxa"/>
            <w:bottom w:w="0" w:type="dxa"/>
          </w:tblCellMar>
        </w:tblPrEx>
        <w:tc>
          <w:tcPr>
            <w:tcW w:w="4800" w:type="dxa"/>
          </w:tcPr>
          <w:p w:rsidR="00000000" w:rsidRDefault="00BD0CAC" w:rsidP="00BD0CAC">
            <w:pPr>
              <w:pStyle w:val="a6"/>
              <w:numPr>
                <w:ilvl w:val="0"/>
                <w:numId w:val="1"/>
              </w:numPr>
              <w:tabs>
                <w:tab w:val="clear" w:pos="510"/>
                <w:tab w:val="clear" w:pos="1021"/>
                <w:tab w:val="clear" w:pos="1531"/>
                <w:tab w:val="clear" w:pos="2041"/>
                <w:tab w:val="left" w:pos="4253"/>
              </w:tabs>
              <w:ind w:left="510"/>
            </w:pPr>
            <w:r>
              <w:rPr>
                <w:rFonts w:hint="eastAsia"/>
              </w:rPr>
              <w:t>家庭津贴……………………………</w:t>
            </w:r>
          </w:p>
        </w:tc>
        <w:tc>
          <w:tcPr>
            <w:tcW w:w="2520" w:type="dxa"/>
          </w:tcPr>
          <w:p w:rsidR="00000000" w:rsidRDefault="00BD0CAC">
            <w:pPr>
              <w:jc w:val="right"/>
            </w:pPr>
            <w:r>
              <w:t>27,760,599,371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产前津贴……………………………</w:t>
            </w:r>
          </w:p>
        </w:tc>
        <w:tc>
          <w:tcPr>
            <w:tcW w:w="2520" w:type="dxa"/>
          </w:tcPr>
          <w:p w:rsidR="00000000" w:rsidRDefault="00BD0CAC">
            <w:pPr>
              <w:jc w:val="right"/>
            </w:pPr>
            <w:r>
              <w:t>920,217,790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产假津贴……………………………</w:t>
            </w:r>
          </w:p>
        </w:tc>
        <w:tc>
          <w:tcPr>
            <w:tcW w:w="2520" w:type="dxa"/>
          </w:tcPr>
          <w:p w:rsidR="00000000" w:rsidRDefault="00BD0CAC">
            <w:pPr>
              <w:jc w:val="right"/>
            </w:pPr>
            <w:r>
              <w:t>1,210,790,985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医疗费………………………………</w:t>
            </w:r>
          </w:p>
        </w:tc>
        <w:tc>
          <w:tcPr>
            <w:tcW w:w="2520" w:type="dxa"/>
          </w:tcPr>
          <w:p w:rsidR="00000000" w:rsidRDefault="00BD0CAC">
            <w:pPr>
              <w:jc w:val="right"/>
            </w:pPr>
            <w:r>
              <w:t>44,405,535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逐日津贴……………………………</w:t>
            </w:r>
          </w:p>
        </w:tc>
        <w:tc>
          <w:tcPr>
            <w:tcW w:w="2520" w:type="dxa"/>
          </w:tcPr>
          <w:p w:rsidR="00000000" w:rsidRDefault="00BD0CAC">
            <w:pPr>
              <w:jc w:val="right"/>
            </w:pPr>
            <w:r>
              <w:t>1,944,769,249 F</w:t>
            </w:r>
          </w:p>
        </w:tc>
      </w:tr>
    </w:tbl>
    <w:p w:rsidR="00000000" w:rsidRDefault="00BD0CAC">
      <w:pPr>
        <w:pStyle w:val="NormalIndent"/>
        <w:spacing w:before="240" w:after="320"/>
        <w:textAlignment w:val="center"/>
      </w:pPr>
      <w:r>
        <w:t>(b)</w:t>
      </w:r>
      <w:r>
        <w:tab/>
      </w:r>
      <w:r>
        <w:rPr>
          <w:rFonts w:hint="eastAsia"/>
          <w:u w:val="single"/>
        </w:rPr>
        <w:t>职业风险金</w:t>
      </w:r>
      <w:r>
        <w:rPr>
          <w:rFonts w:hint="eastAsia"/>
        </w:rPr>
        <w:t>：</w:t>
      </w:r>
    </w:p>
    <w:tbl>
      <w:tblPr>
        <w:tblW w:w="0" w:type="auto"/>
        <w:tblInd w:w="1082" w:type="dxa"/>
        <w:tblLayout w:type="fixed"/>
        <w:tblCellMar>
          <w:left w:w="28" w:type="dxa"/>
          <w:right w:w="28" w:type="dxa"/>
        </w:tblCellMar>
        <w:tblLook w:val="0000" w:firstRow="0" w:lastRow="0" w:firstColumn="0" w:lastColumn="0" w:noHBand="0" w:noVBand="0"/>
      </w:tblPr>
      <w:tblGrid>
        <w:gridCol w:w="4800"/>
        <w:gridCol w:w="2520"/>
      </w:tblGrid>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逐日津贴……………………………</w:t>
            </w:r>
          </w:p>
        </w:tc>
        <w:tc>
          <w:tcPr>
            <w:tcW w:w="2520" w:type="dxa"/>
          </w:tcPr>
          <w:p w:rsidR="00000000" w:rsidRDefault="00BD0CAC">
            <w:pPr>
              <w:jc w:val="right"/>
            </w:pPr>
            <w:r>
              <w:t>547,132,835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丧失工作能力津贴…………………</w:t>
            </w:r>
          </w:p>
        </w:tc>
        <w:tc>
          <w:tcPr>
            <w:tcW w:w="2520" w:type="dxa"/>
          </w:tcPr>
          <w:p w:rsidR="00000000" w:rsidRDefault="00BD0CAC">
            <w:pPr>
              <w:jc w:val="right"/>
            </w:pPr>
            <w:r>
              <w:t>1,138,682,057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保险者年金…………………………</w:t>
            </w:r>
          </w:p>
        </w:tc>
        <w:tc>
          <w:tcPr>
            <w:tcW w:w="2520" w:type="dxa"/>
          </w:tcPr>
          <w:p w:rsidR="00000000" w:rsidRDefault="00BD0CAC">
            <w:pPr>
              <w:jc w:val="right"/>
            </w:pPr>
            <w:r>
              <w:t>2,409,721,704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遗属年金……………………………</w:t>
            </w:r>
          </w:p>
        </w:tc>
        <w:tc>
          <w:tcPr>
            <w:tcW w:w="2520" w:type="dxa"/>
          </w:tcPr>
          <w:p w:rsidR="00000000" w:rsidRDefault="00BD0CAC">
            <w:pPr>
              <w:jc w:val="right"/>
            </w:pPr>
            <w:r>
              <w:t>3,442,043,109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年金赎</w:t>
            </w:r>
            <w:r>
              <w:rPr>
                <w:rFonts w:hint="eastAsia"/>
              </w:rPr>
              <w:t>金……………………………</w:t>
            </w:r>
          </w:p>
        </w:tc>
        <w:tc>
          <w:tcPr>
            <w:tcW w:w="2520" w:type="dxa"/>
          </w:tcPr>
          <w:p w:rsidR="00000000" w:rsidRDefault="00BD0CAC">
            <w:pPr>
              <w:jc w:val="right"/>
            </w:pPr>
            <w:r>
              <w:t>133,075,528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医疗费</w:t>
            </w:r>
            <w:r>
              <w:t xml:space="preserve">REED.REC.F4 </w:t>
            </w:r>
            <w:r>
              <w:rPr>
                <w:rFonts w:hint="eastAsia"/>
              </w:rPr>
              <w:t>……………</w:t>
            </w:r>
          </w:p>
        </w:tc>
        <w:tc>
          <w:tcPr>
            <w:tcW w:w="2520" w:type="dxa"/>
          </w:tcPr>
          <w:p w:rsidR="00000000" w:rsidRDefault="00BD0CAC">
            <w:pPr>
              <w:jc w:val="right"/>
            </w:pPr>
            <w:r>
              <w:t>531,445,112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杂费及辅助费………………………</w:t>
            </w:r>
          </w:p>
        </w:tc>
        <w:tc>
          <w:tcPr>
            <w:tcW w:w="2520" w:type="dxa"/>
          </w:tcPr>
          <w:p w:rsidR="00000000" w:rsidRDefault="00BD0CAC">
            <w:pPr>
              <w:jc w:val="right"/>
            </w:pPr>
            <w:r>
              <w:t>5,940,679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其他技术性支出……………………</w:t>
            </w:r>
          </w:p>
        </w:tc>
        <w:tc>
          <w:tcPr>
            <w:tcW w:w="2520" w:type="dxa"/>
          </w:tcPr>
          <w:p w:rsidR="00000000" w:rsidRDefault="00BD0CAC">
            <w:pPr>
              <w:spacing w:after="320"/>
              <w:jc w:val="right"/>
              <w:textAlignment w:val="center"/>
            </w:pPr>
            <w:r>
              <w:t>9,920 F</w:t>
            </w:r>
          </w:p>
        </w:tc>
      </w:tr>
    </w:tbl>
    <w:p w:rsidR="00000000" w:rsidRDefault="00BD0CAC">
      <w:pPr>
        <w:pStyle w:val="NormalIndent"/>
        <w:spacing w:after="320"/>
        <w:textAlignment w:val="center"/>
      </w:pPr>
      <w:r>
        <w:t>(c)</w:t>
      </w:r>
      <w:r>
        <w:tab/>
      </w:r>
      <w:r>
        <w:rPr>
          <w:rFonts w:hint="eastAsia"/>
          <w:u w:val="single"/>
        </w:rPr>
        <w:t>老年、伤残和死亡养恤金</w:t>
      </w:r>
      <w:r>
        <w:rPr>
          <w:rFonts w:hint="eastAsia"/>
        </w:rPr>
        <w:t>：</w:t>
      </w:r>
    </w:p>
    <w:tbl>
      <w:tblPr>
        <w:tblW w:w="0" w:type="auto"/>
        <w:tblInd w:w="1082" w:type="dxa"/>
        <w:tblLayout w:type="fixed"/>
        <w:tblCellMar>
          <w:left w:w="28" w:type="dxa"/>
          <w:right w:w="28" w:type="dxa"/>
        </w:tblCellMar>
        <w:tblLook w:val="0000" w:firstRow="0" w:lastRow="0" w:firstColumn="0" w:lastColumn="0" w:noHBand="0" w:noVBand="0"/>
      </w:tblPr>
      <w:tblGrid>
        <w:gridCol w:w="4800"/>
        <w:gridCol w:w="2520"/>
      </w:tblGrid>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养老金………………………………</w:t>
            </w:r>
          </w:p>
        </w:tc>
        <w:tc>
          <w:tcPr>
            <w:tcW w:w="2520" w:type="dxa"/>
          </w:tcPr>
          <w:p w:rsidR="00000000" w:rsidRDefault="00BD0CAC">
            <w:pPr>
              <w:jc w:val="right"/>
            </w:pPr>
            <w:r>
              <w:t>27,880,230,948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老年津贴……………………………</w:t>
            </w:r>
          </w:p>
        </w:tc>
        <w:tc>
          <w:tcPr>
            <w:tcW w:w="2520" w:type="dxa"/>
          </w:tcPr>
          <w:p w:rsidR="00000000" w:rsidRDefault="00BD0CAC">
            <w:pPr>
              <w:jc w:val="right"/>
            </w:pPr>
            <w:r>
              <w:t>939,622,291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伤残养恤金…………………………</w:t>
            </w:r>
          </w:p>
        </w:tc>
        <w:tc>
          <w:tcPr>
            <w:tcW w:w="2520" w:type="dxa"/>
          </w:tcPr>
          <w:p w:rsidR="00000000" w:rsidRDefault="00BD0CAC">
            <w:pPr>
              <w:jc w:val="right"/>
            </w:pPr>
            <w:r>
              <w:t>803,861,189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遗属养恤金…………………………</w:t>
            </w:r>
          </w:p>
        </w:tc>
        <w:tc>
          <w:tcPr>
            <w:tcW w:w="2520" w:type="dxa"/>
          </w:tcPr>
          <w:p w:rsidR="00000000" w:rsidRDefault="00BD0CAC">
            <w:pPr>
              <w:jc w:val="right"/>
            </w:pPr>
            <w:r>
              <w:t>7,534,471</w:t>
            </w:r>
            <w:r>
              <w:t>,228 F</w:t>
            </w:r>
          </w:p>
        </w:tc>
      </w:tr>
      <w:tr w:rsidR="00000000">
        <w:tblPrEx>
          <w:tblCellMar>
            <w:top w:w="0" w:type="dxa"/>
            <w:bottom w:w="0" w:type="dxa"/>
          </w:tblCellMar>
        </w:tblPrEx>
        <w:tc>
          <w:tcPr>
            <w:tcW w:w="4800" w:type="dxa"/>
          </w:tcPr>
          <w:p w:rsidR="00000000" w:rsidRDefault="00BD0CAC" w:rsidP="00BD0CAC">
            <w:pPr>
              <w:pStyle w:val="a6"/>
              <w:numPr>
                <w:ilvl w:val="0"/>
                <w:numId w:val="1"/>
              </w:numPr>
              <w:ind w:left="510"/>
            </w:pPr>
            <w:r>
              <w:rPr>
                <w:rFonts w:hint="eastAsia"/>
              </w:rPr>
              <w:t>遗属津贴……………………………</w:t>
            </w:r>
          </w:p>
        </w:tc>
        <w:tc>
          <w:tcPr>
            <w:tcW w:w="2520" w:type="dxa"/>
          </w:tcPr>
          <w:p w:rsidR="00000000" w:rsidRDefault="00BD0CAC">
            <w:pPr>
              <w:spacing w:after="320"/>
              <w:jc w:val="right"/>
              <w:textAlignment w:val="center"/>
            </w:pPr>
            <w:r>
              <w:t>527,253,266 F</w:t>
            </w:r>
          </w:p>
        </w:tc>
      </w:tr>
    </w:tbl>
    <w:p w:rsidR="00000000" w:rsidRDefault="00BD0CAC">
      <w:pPr>
        <w:pStyle w:val="Heading4"/>
      </w:pPr>
      <w:r>
        <w:t>9.3</w:t>
      </w:r>
    </w:p>
    <w:p w:rsidR="00000000" w:rsidRDefault="00BD0CAC">
      <w:r>
        <w:tab/>
        <w:t xml:space="preserve">81.  </w:t>
      </w:r>
      <w:r>
        <w:rPr>
          <w:rFonts w:hint="eastAsia"/>
        </w:rPr>
        <w:t>国家基金的社会互助制度包括上述三方面。它涉及《劳动法》第</w:t>
      </w:r>
      <w:r>
        <w:t>1</w:t>
      </w:r>
      <w:r>
        <w:rPr>
          <w:rFonts w:hint="eastAsia"/>
        </w:rPr>
        <w:t>条所指工资劳动者，即：“根据本法令，以下一切人士不论其性别与国籍均得被认为是劳动者：该人为取得报酬将其职业活动置于某一自然人或法人、国营或私营人员领导或权威之下。而后者即被认为是其雇主者。”以上的社会涵盖面被扩大到因职业风险而享受保护的有限类别</w:t>
      </w:r>
      <w:r>
        <w:t>(</w:t>
      </w:r>
      <w:r>
        <w:rPr>
          <w:rFonts w:hint="eastAsia"/>
        </w:rPr>
        <w:t>水手、有限公司管理人、徒工、技校学生以及被安置在培训或职能再教育中心的人员、“参与发展公民服务”部门的附属人员</w:t>
      </w:r>
      <w:r>
        <w:t>)</w:t>
      </w:r>
      <w:r>
        <w:rPr>
          <w:rFonts w:hint="eastAsia"/>
        </w:rPr>
        <w:t>。相反地，不列入上述范围的有《劳动法》管理的公职人员，和由以下法规管理的人员：</w:t>
      </w:r>
    </w:p>
    <w:p w:rsidR="00000000" w:rsidRDefault="00BD0CAC" w:rsidP="00BD0CAC">
      <w:pPr>
        <w:pStyle w:val="a6"/>
        <w:numPr>
          <w:ilvl w:val="0"/>
          <w:numId w:val="1"/>
        </w:numPr>
        <w:ind w:left="1531"/>
      </w:pPr>
      <w:r>
        <w:rPr>
          <w:rFonts w:hint="eastAsia"/>
        </w:rPr>
        <w:t>公务员总法规；</w:t>
      </w:r>
    </w:p>
    <w:p w:rsidR="00000000" w:rsidRDefault="00BD0CAC" w:rsidP="00BD0CAC">
      <w:pPr>
        <w:pStyle w:val="a6"/>
        <w:numPr>
          <w:ilvl w:val="0"/>
          <w:numId w:val="1"/>
        </w:numPr>
        <w:ind w:left="1531"/>
      </w:pPr>
      <w:r>
        <w:rPr>
          <w:rFonts w:hint="eastAsia"/>
        </w:rPr>
        <w:t>法官法规；</w:t>
      </w:r>
    </w:p>
    <w:p w:rsidR="00000000" w:rsidRDefault="00BD0CAC" w:rsidP="00BD0CAC">
      <w:pPr>
        <w:pStyle w:val="a6"/>
        <w:numPr>
          <w:ilvl w:val="0"/>
          <w:numId w:val="1"/>
        </w:numPr>
        <w:ind w:left="1531"/>
      </w:pPr>
      <w:r>
        <w:rPr>
          <w:rFonts w:hint="eastAsia"/>
        </w:rPr>
        <w:t>军人总法规；</w:t>
      </w:r>
    </w:p>
    <w:p w:rsidR="00000000" w:rsidRDefault="00BD0CAC" w:rsidP="00BD0CAC">
      <w:pPr>
        <w:pStyle w:val="a6"/>
        <w:numPr>
          <w:ilvl w:val="0"/>
          <w:numId w:val="1"/>
        </w:numPr>
        <w:ind w:left="1531"/>
      </w:pPr>
      <w:r>
        <w:rPr>
          <w:rFonts w:hint="eastAsia"/>
        </w:rPr>
        <w:t>国家保安特别法规；</w:t>
      </w:r>
    </w:p>
    <w:p w:rsidR="00000000" w:rsidRDefault="00BD0CAC" w:rsidP="00BD0CAC">
      <w:pPr>
        <w:pStyle w:val="a6"/>
        <w:numPr>
          <w:ilvl w:val="0"/>
          <w:numId w:val="1"/>
        </w:numPr>
        <w:ind w:left="1531"/>
      </w:pPr>
      <w:r>
        <w:rPr>
          <w:rFonts w:hint="eastAsia"/>
        </w:rPr>
        <w:t>监狱行政人员特别法规；</w:t>
      </w:r>
    </w:p>
    <w:p w:rsidR="00000000" w:rsidRDefault="00BD0CAC" w:rsidP="00BD0CAC">
      <w:pPr>
        <w:pStyle w:val="a6"/>
        <w:numPr>
          <w:ilvl w:val="0"/>
          <w:numId w:val="1"/>
        </w:numPr>
        <w:spacing w:after="160"/>
        <w:ind w:left="1531"/>
        <w:textAlignment w:val="center"/>
      </w:pPr>
      <w:r>
        <w:rPr>
          <w:rFonts w:hint="eastAsia"/>
        </w:rPr>
        <w:t>行政助理人员特别规定。</w:t>
      </w:r>
    </w:p>
    <w:p w:rsidR="00000000" w:rsidRDefault="00BD0CAC">
      <w:pPr>
        <w:spacing w:after="320"/>
        <w:textAlignment w:val="center"/>
      </w:pPr>
      <w:r>
        <w:tab/>
        <w:t xml:space="preserve">82.  </w:t>
      </w:r>
      <w:r>
        <w:rPr>
          <w:rFonts w:hint="eastAsia"/>
        </w:rPr>
        <w:t>目前</w:t>
      </w:r>
      <w:r>
        <w:t>(1997</w:t>
      </w:r>
      <w:r>
        <w:rPr>
          <w:rFonts w:hint="eastAsia"/>
        </w:rPr>
        <w:t>年</w:t>
      </w:r>
      <w:r>
        <w:t>)</w:t>
      </w:r>
      <w:r>
        <w:rPr>
          <w:rFonts w:hint="eastAsia"/>
        </w:rPr>
        <w:t>，该制度用于</w:t>
      </w:r>
      <w:r>
        <w:t>543,635</w:t>
      </w:r>
      <w:r>
        <w:rPr>
          <w:rFonts w:hint="eastAsia"/>
        </w:rPr>
        <w:t>名参加社会保险者以及</w:t>
      </w:r>
      <w:r>
        <w:t>748,988</w:t>
      </w:r>
      <w:r>
        <w:rPr>
          <w:rFonts w:hint="eastAsia"/>
        </w:rPr>
        <w:t>名儿童</w:t>
      </w:r>
      <w:r>
        <w:t>(</w:t>
      </w:r>
      <w:r>
        <w:rPr>
          <w:rFonts w:hint="eastAsia"/>
        </w:rPr>
        <w:t>除去国家公务人员及行政部门合同人员，他们划归财政部主管</w:t>
      </w:r>
      <w:r>
        <w:t>)</w:t>
      </w:r>
      <w:r>
        <w:rPr>
          <w:rFonts w:hint="eastAsia"/>
        </w:rPr>
        <w:t>。上述制度提供的津贴按类别划分为：</w:t>
      </w:r>
    </w:p>
    <w:p w:rsidR="00000000" w:rsidRDefault="00BD0CAC">
      <w:pPr>
        <w:pStyle w:val="Heading4"/>
      </w:pPr>
      <w:r>
        <w:rPr>
          <w:u w:val="none"/>
        </w:rPr>
        <w:tab/>
        <w:t>(</w:t>
      </w:r>
      <w:r>
        <w:rPr>
          <w:rFonts w:hint="eastAsia"/>
          <w:u w:val="none"/>
        </w:rPr>
        <w:t>一</w:t>
      </w:r>
      <w:r>
        <w:rPr>
          <w:u w:val="none"/>
        </w:rPr>
        <w:t xml:space="preserve">) </w:t>
      </w:r>
      <w:r>
        <w:rPr>
          <w:rFonts w:hint="eastAsia"/>
        </w:rPr>
        <w:t>工伤事故和职业病</w:t>
      </w:r>
    </w:p>
    <w:p w:rsidR="00000000" w:rsidRDefault="00BD0CAC">
      <w:r>
        <w:tab/>
        <w:t xml:space="preserve">83.  </w:t>
      </w:r>
      <w:r>
        <w:rPr>
          <w:rFonts w:hint="eastAsia"/>
          <w:u w:val="single"/>
        </w:rPr>
        <w:t>逐日津贴</w:t>
      </w:r>
      <w:r>
        <w:rPr>
          <w:rFonts w:hint="eastAsia"/>
        </w:rPr>
        <w:t>提供给未能恢复工作的受害者；不论其中断工作时间长短，概称“暂时丧失工作能力”。该津</w:t>
      </w:r>
      <w:r>
        <w:rPr>
          <w:rFonts w:hint="eastAsia"/>
        </w:rPr>
        <w:t>贴数额等于受害者平均月工资的</w:t>
      </w:r>
      <w:r>
        <w:t xml:space="preserve">2/3, </w:t>
      </w:r>
      <w:r>
        <w:rPr>
          <w:rFonts w:hint="eastAsia"/>
        </w:rPr>
        <w:t>以工伤事故前三个月平均工资计算。</w:t>
      </w:r>
    </w:p>
    <w:p w:rsidR="00000000" w:rsidRDefault="00BD0CAC">
      <w:r>
        <w:tab/>
        <w:t xml:space="preserve">84.  </w:t>
      </w:r>
      <w:r>
        <w:rPr>
          <w:rFonts w:hint="eastAsia"/>
        </w:rPr>
        <w:t>局部永久丧失工作能力的年金，在局部永久丧失工作能力的程度大于</w:t>
      </w:r>
      <w:r>
        <w:t>20%</w:t>
      </w:r>
      <w:r>
        <w:rPr>
          <w:rFonts w:hint="eastAsia"/>
        </w:rPr>
        <w:t>时向受害者支付。局部永久丧失工作能力的年金额根据丧失工作能力的程度，按照如全部永久丧失工作能力的比例、即以月均工资</w:t>
      </w:r>
      <w:r>
        <w:t>85%</w:t>
      </w:r>
      <w:r>
        <w:rPr>
          <w:rFonts w:hint="eastAsia"/>
        </w:rPr>
        <w:t>的比例予以计算。</w:t>
      </w:r>
    </w:p>
    <w:p w:rsidR="00000000" w:rsidRDefault="00BD0CAC">
      <w:r>
        <w:tab/>
        <w:t xml:space="preserve">85.  </w:t>
      </w:r>
      <w:r>
        <w:rPr>
          <w:rFonts w:hint="eastAsia"/>
        </w:rPr>
        <w:t>当局部永久丧失工作能力程度小于</w:t>
      </w:r>
      <w:r>
        <w:t>20%</w:t>
      </w:r>
      <w:r>
        <w:rPr>
          <w:rFonts w:hint="eastAsia"/>
        </w:rPr>
        <w:t>时，发给受害者丧失工作能力补助金。该补助金额相当于一次年金的</w:t>
      </w:r>
      <w:r>
        <w:t>10</w:t>
      </w:r>
      <w:r>
        <w:rPr>
          <w:rFonts w:hint="eastAsia"/>
        </w:rPr>
        <w:t>倍</w:t>
      </w:r>
    </w:p>
    <w:p w:rsidR="00000000" w:rsidRDefault="00BD0CAC">
      <w:r>
        <w:tab/>
        <w:t xml:space="preserve">86.  </w:t>
      </w:r>
      <w:r>
        <w:rPr>
          <w:rFonts w:hint="eastAsia"/>
        </w:rPr>
        <w:t>遗属年金付给因工伤事故死亡者的有权享有者</w:t>
      </w:r>
      <w:r>
        <w:t>(</w:t>
      </w:r>
      <w:r>
        <w:rPr>
          <w:rFonts w:hint="eastAsia"/>
        </w:rPr>
        <w:t>父、母、合法子女、认同或领养子女</w:t>
      </w:r>
      <w:r>
        <w:t>)</w:t>
      </w:r>
      <w:r>
        <w:rPr>
          <w:rFonts w:hint="eastAsia"/>
        </w:rPr>
        <w:t>，该年金总额相当于受</w:t>
      </w:r>
      <w:r>
        <w:rPr>
          <w:rFonts w:hint="eastAsia"/>
        </w:rPr>
        <w:t>害者月均工资</w:t>
      </w:r>
      <w:r>
        <w:t>85%</w:t>
      </w:r>
      <w:r>
        <w:rPr>
          <w:rFonts w:hint="eastAsia"/>
        </w:rPr>
        <w:t>。</w:t>
      </w:r>
    </w:p>
    <w:p w:rsidR="00000000" w:rsidRDefault="00BD0CAC">
      <w:r>
        <w:tab/>
        <w:t xml:space="preserve">87.  </w:t>
      </w:r>
      <w:r>
        <w:rPr>
          <w:rFonts w:hint="eastAsia"/>
        </w:rPr>
        <w:t>关于实报实销补助，全国基金负担的实际费用包括受害者的治疗、训练和康复费</w:t>
      </w:r>
      <w:r>
        <w:t>(</w:t>
      </w:r>
      <w:r>
        <w:rPr>
          <w:rFonts w:hint="eastAsia"/>
        </w:rPr>
        <w:t>住院费、医药费、假肢费、整形费、放射体检费</w:t>
      </w:r>
      <w:r>
        <w:t>)</w:t>
      </w:r>
      <w:r>
        <w:rPr>
          <w:rFonts w:hint="eastAsia"/>
        </w:rPr>
        <w:t>以及丧葬费。</w:t>
      </w:r>
    </w:p>
    <w:p w:rsidR="00000000" w:rsidRDefault="00BD0CAC">
      <w:pPr>
        <w:spacing w:after="320"/>
        <w:textAlignment w:val="center"/>
      </w:pPr>
      <w:r>
        <w:tab/>
        <w:t xml:space="preserve">88.  </w:t>
      </w:r>
      <w:r>
        <w:rPr>
          <w:rFonts w:hint="eastAsia"/>
        </w:rPr>
        <w:t>职业风险补助完全由以工资为基础计算的份额构成，不封顶地支付给劳动者，此种份额概由雇主承担。</w:t>
      </w:r>
    </w:p>
    <w:p w:rsidR="00000000" w:rsidRDefault="00BD0CAC">
      <w:pPr>
        <w:pStyle w:val="Heading4"/>
      </w:pPr>
      <w:r>
        <w:rPr>
          <w:u w:val="none"/>
        </w:rPr>
        <w:tab/>
        <w:t>(</w:t>
      </w:r>
      <w:r>
        <w:rPr>
          <w:rFonts w:hint="eastAsia"/>
          <w:u w:val="none"/>
        </w:rPr>
        <w:t>二</w:t>
      </w:r>
      <w:r>
        <w:rPr>
          <w:u w:val="none"/>
        </w:rPr>
        <w:t xml:space="preserve">) </w:t>
      </w:r>
      <w:r>
        <w:rPr>
          <w:rFonts w:hint="eastAsia"/>
        </w:rPr>
        <w:t>老年、伤残和死亡保险—养恤金</w:t>
      </w:r>
    </w:p>
    <w:p w:rsidR="00000000" w:rsidRDefault="00BD0CAC">
      <w:r>
        <w:tab/>
        <w:t xml:space="preserve">89.  </w:t>
      </w:r>
      <w:r>
        <w:rPr>
          <w:rFonts w:hint="eastAsia"/>
        </w:rPr>
        <w:t>正常老年养恤金提供给注册至少</w:t>
      </w:r>
      <w:r>
        <w:t>20</w:t>
      </w:r>
      <w:r>
        <w:rPr>
          <w:rFonts w:hint="eastAsia"/>
        </w:rPr>
        <w:t>年、年满</w:t>
      </w:r>
      <w:r>
        <w:t>60</w:t>
      </w:r>
      <w:r>
        <w:rPr>
          <w:rFonts w:hint="eastAsia"/>
        </w:rPr>
        <w:t>、参加保险逾</w:t>
      </w:r>
      <w:r>
        <w:t>180</w:t>
      </w:r>
      <w:r>
        <w:rPr>
          <w:rFonts w:hint="eastAsia"/>
        </w:rPr>
        <w:t>月的人员。养恤金最低比率相当于月均工资</w:t>
      </w:r>
      <w:r>
        <w:t>30%</w:t>
      </w:r>
      <w:r>
        <w:rPr>
          <w:rFonts w:hint="eastAsia"/>
        </w:rPr>
        <w:t>，以参加保险者停止工作之日前</w:t>
      </w:r>
      <w:r>
        <w:t>36</w:t>
      </w:r>
      <w:r>
        <w:rPr>
          <w:rFonts w:hint="eastAsia"/>
        </w:rPr>
        <w:t>至</w:t>
      </w:r>
      <w:r>
        <w:t>60</w:t>
      </w:r>
      <w:r>
        <w:rPr>
          <w:rFonts w:hint="eastAsia"/>
        </w:rPr>
        <w:t>个月的平均工资计算；超过</w:t>
      </w:r>
      <w:r>
        <w:t>180</w:t>
      </w:r>
      <w:r>
        <w:rPr>
          <w:rFonts w:hint="eastAsia"/>
        </w:rPr>
        <w:t>月保险期者，按每</w:t>
      </w:r>
      <w:r>
        <w:t>1</w:t>
      </w:r>
      <w:r>
        <w:t>2</w:t>
      </w:r>
      <w:r>
        <w:rPr>
          <w:rFonts w:hint="eastAsia"/>
        </w:rPr>
        <w:t>个月递增</w:t>
      </w:r>
      <w:r>
        <w:t>1%</w:t>
      </w:r>
      <w:r>
        <w:rPr>
          <w:rFonts w:hint="eastAsia"/>
        </w:rPr>
        <w:t>计算。</w:t>
      </w:r>
    </w:p>
    <w:p w:rsidR="00000000" w:rsidRDefault="00BD0CAC">
      <w:r>
        <w:tab/>
        <w:t xml:space="preserve">90.  </w:t>
      </w:r>
      <w:r>
        <w:rPr>
          <w:rFonts w:hint="eastAsia"/>
        </w:rPr>
        <w:t>提供</w:t>
      </w:r>
      <w:r>
        <w:rPr>
          <w:rFonts w:hint="eastAsia"/>
          <w:u w:val="single"/>
        </w:rPr>
        <w:t>预发老年养恤金</w:t>
      </w:r>
      <w:r>
        <w:rPr>
          <w:rFonts w:hint="eastAsia"/>
        </w:rPr>
        <w:t>，条件与前项相同，除去最低年龄降为</w:t>
      </w:r>
      <w:r>
        <w:t>50</w:t>
      </w:r>
      <w:r>
        <w:rPr>
          <w:rFonts w:hint="eastAsia"/>
        </w:rPr>
        <w:t>岁。</w:t>
      </w:r>
    </w:p>
    <w:p w:rsidR="00000000" w:rsidRDefault="00BD0CAC">
      <w:r>
        <w:tab/>
        <w:t xml:space="preserve">91.  </w:t>
      </w:r>
      <w:r>
        <w:rPr>
          <w:rFonts w:hint="eastAsia"/>
          <w:u w:val="single"/>
        </w:rPr>
        <w:t>老年补助金</w:t>
      </w:r>
      <w:r>
        <w:rPr>
          <w:rFonts w:hint="eastAsia"/>
        </w:rPr>
        <w:t>提供给注册至少</w:t>
      </w:r>
      <w:r>
        <w:t>12</w:t>
      </w:r>
      <w:r>
        <w:rPr>
          <w:rFonts w:hint="eastAsia"/>
        </w:rPr>
        <w:t>个月、年满</w:t>
      </w:r>
      <w:r>
        <w:t>60</w:t>
      </w:r>
      <w:r>
        <w:rPr>
          <w:rFonts w:hint="eastAsia"/>
        </w:rPr>
        <w:t>、参加保险满</w:t>
      </w:r>
      <w:r>
        <w:t>12</w:t>
      </w:r>
      <w:r>
        <w:rPr>
          <w:rFonts w:hint="eastAsia"/>
        </w:rPr>
        <w:t>个月者。老年补助金按参保人</w:t>
      </w:r>
      <w:r>
        <w:t>12</w:t>
      </w:r>
      <w:r>
        <w:rPr>
          <w:rFonts w:hint="eastAsia"/>
        </w:rPr>
        <w:t>个月保险周期的数量乘以月均工资计算。</w:t>
      </w:r>
    </w:p>
    <w:p w:rsidR="00000000" w:rsidRDefault="00BD0CAC">
      <w:r>
        <w:tab/>
        <w:t xml:space="preserve">92.  </w:t>
      </w:r>
      <w:r>
        <w:rPr>
          <w:rFonts w:hint="eastAsia"/>
          <w:u w:val="single"/>
        </w:rPr>
        <w:t>因过早衰老而预发老年补助金</w:t>
      </w:r>
      <w:r>
        <w:rPr>
          <w:rFonts w:hint="eastAsia"/>
        </w:rPr>
        <w:t>，条件与前项相同，但年龄降为</w:t>
      </w:r>
      <w:r>
        <w:t>50</w:t>
      </w:r>
      <w:r>
        <w:rPr>
          <w:rFonts w:hint="eastAsia"/>
        </w:rPr>
        <w:t>岁，参加保险者须出示有效医生证明，证明其体力或精神过早衰老而不能参加有工资收入的工作。</w:t>
      </w:r>
    </w:p>
    <w:p w:rsidR="00000000" w:rsidRDefault="00BD0CAC">
      <w:r>
        <w:tab/>
        <w:t xml:space="preserve">93.  </w:t>
      </w:r>
      <w:r>
        <w:rPr>
          <w:rFonts w:hint="eastAsia"/>
          <w:u w:val="single"/>
        </w:rPr>
        <w:t>伤残养恤金</w:t>
      </w:r>
      <w:r>
        <w:rPr>
          <w:rFonts w:hint="eastAsia"/>
        </w:rPr>
        <w:t>提供给参加保险者，其情况为由于非职业疾病或事故导致体力或精神能力永久衰退</w:t>
      </w:r>
      <w:r>
        <w:t>2/3</w:t>
      </w:r>
      <w:r>
        <w:rPr>
          <w:rFonts w:hint="eastAsia"/>
        </w:rPr>
        <w:t>以上，在导致伤残的丧</w:t>
      </w:r>
      <w:r>
        <w:rPr>
          <w:rFonts w:hint="eastAsia"/>
        </w:rPr>
        <w:t>失工作能力前</w:t>
      </w:r>
      <w:r>
        <w:t>12</w:t>
      </w:r>
      <w:r>
        <w:rPr>
          <w:rFonts w:hint="eastAsia"/>
        </w:rPr>
        <w:t>个月至少已注册</w:t>
      </w:r>
      <w:r>
        <w:t>5</w:t>
      </w:r>
      <w:r>
        <w:rPr>
          <w:rFonts w:hint="eastAsia"/>
        </w:rPr>
        <w:t>年并已参保逾</w:t>
      </w:r>
      <w:r>
        <w:t>6</w:t>
      </w:r>
      <w:r>
        <w:rPr>
          <w:rFonts w:hint="eastAsia"/>
        </w:rPr>
        <w:t>个月。如伤残是由于事故，则不要求具备后一项条件。如像此种情况，则参保者在事故发生时须担任属于保险范围的职务。计算伤残养恤金的方式与计算老年养恤金的法定方式相同。不过，伤残者享受按参保月数计算的特别红利。此外，享受正常或预发老年养恤金</w:t>
      </w:r>
      <w:r>
        <w:t>(60</w:t>
      </w:r>
      <w:r>
        <w:rPr>
          <w:rFonts w:hint="eastAsia"/>
        </w:rPr>
        <w:t>或</w:t>
      </w:r>
      <w:r>
        <w:t>50</w:t>
      </w:r>
      <w:r>
        <w:rPr>
          <w:rFonts w:hint="eastAsia"/>
        </w:rPr>
        <w:t>岁</w:t>
      </w:r>
      <w:r>
        <w:t>)</w:t>
      </w:r>
      <w:r>
        <w:rPr>
          <w:rFonts w:hint="eastAsia"/>
        </w:rPr>
        <w:t>的年龄条件不适用于伤残者。</w:t>
      </w:r>
    </w:p>
    <w:p w:rsidR="00000000" w:rsidRDefault="00BD0CAC">
      <w:r>
        <w:tab/>
        <w:t xml:space="preserve">94.  </w:t>
      </w:r>
      <w:r>
        <w:rPr>
          <w:rFonts w:hint="eastAsia"/>
          <w:u w:val="single"/>
        </w:rPr>
        <w:t>因第三方人员而增额</w:t>
      </w:r>
      <w:r>
        <w:rPr>
          <w:rFonts w:hint="eastAsia"/>
        </w:rPr>
        <w:t>，享受预发老年或伤残养恤金者，如长年需要第三者协助和照顾以料理日常生活，则可发放此一增额。增额为养恤金额的</w:t>
      </w:r>
      <w:r>
        <w:t>40%</w:t>
      </w:r>
      <w:r>
        <w:rPr>
          <w:rFonts w:hint="eastAsia"/>
        </w:rPr>
        <w:t>。</w:t>
      </w:r>
    </w:p>
    <w:p w:rsidR="00000000" w:rsidRDefault="00BD0CAC">
      <w:r>
        <w:tab/>
        <w:t xml:space="preserve">95.  </w:t>
      </w:r>
      <w:r>
        <w:rPr>
          <w:rFonts w:hint="eastAsia"/>
          <w:u w:val="single"/>
        </w:rPr>
        <w:t>遗属养恤金</w:t>
      </w:r>
      <w:r>
        <w:rPr>
          <w:rFonts w:hint="eastAsia"/>
        </w:rPr>
        <w:t>提供给已故领取养恤金者</w:t>
      </w:r>
      <w:r>
        <w:rPr>
          <w:rFonts w:hint="eastAsia"/>
        </w:rPr>
        <w:t>或在就业期间死亡的参加保险者之有权亲属。参加保险者在死亡时享受或本应享受的老年或伤残养恤金以及预发养恤金数额按比例下调：配偶获</w:t>
      </w:r>
      <w:r>
        <w:t>50%</w:t>
      </w:r>
      <w:r>
        <w:rPr>
          <w:rFonts w:hint="eastAsia"/>
        </w:rPr>
        <w:t>；父母双方之遗孤获</w:t>
      </w:r>
      <w:r>
        <w:t>25%</w:t>
      </w:r>
      <w:r>
        <w:rPr>
          <w:rFonts w:hint="eastAsia"/>
        </w:rPr>
        <w:t>；父母一方之遗孤获</w:t>
      </w:r>
      <w:r>
        <w:t>15%</w:t>
      </w:r>
      <w:r>
        <w:rPr>
          <w:rFonts w:hint="eastAsia"/>
        </w:rPr>
        <w:t>；尊亲属获</w:t>
      </w:r>
      <w:r>
        <w:t>10%</w:t>
      </w:r>
      <w:r>
        <w:rPr>
          <w:rFonts w:hint="eastAsia"/>
        </w:rPr>
        <w:t>。</w:t>
      </w:r>
    </w:p>
    <w:p w:rsidR="00000000" w:rsidRDefault="00BD0CAC">
      <w:r>
        <w:tab/>
        <w:t xml:space="preserve">96.  </w:t>
      </w:r>
      <w:r>
        <w:rPr>
          <w:rFonts w:hint="eastAsia"/>
          <w:u w:val="single"/>
        </w:rPr>
        <w:t>遗属补助金</w:t>
      </w:r>
      <w:r>
        <w:rPr>
          <w:rFonts w:hint="eastAsia"/>
        </w:rPr>
        <w:t>提供给在死亡时仅有权享受老年补助金的参加保险者之有权亲属。参加保险者至少应已有</w:t>
      </w:r>
      <w:r>
        <w:t>6</w:t>
      </w:r>
      <w:r>
        <w:rPr>
          <w:rFonts w:hint="eastAsia"/>
        </w:rPr>
        <w:t>个月保险资历。遗属补助金数额相当于参加保险者如具有</w:t>
      </w:r>
      <w:r>
        <w:t>180</w:t>
      </w:r>
      <w:r>
        <w:rPr>
          <w:rFonts w:hint="eastAsia"/>
        </w:rPr>
        <w:t>月保险资历时的老年养恤金额，再乘以在死亡时</w:t>
      </w:r>
      <w:r>
        <w:t>6</w:t>
      </w:r>
      <w:r>
        <w:rPr>
          <w:rFonts w:hint="eastAsia"/>
        </w:rPr>
        <w:t>个月保险周期的倍数。</w:t>
      </w:r>
    </w:p>
    <w:p w:rsidR="00000000" w:rsidRDefault="00BD0CAC">
      <w:r>
        <w:tab/>
        <w:t xml:space="preserve">97.  </w:t>
      </w:r>
      <w:r>
        <w:rPr>
          <w:rFonts w:hint="eastAsia"/>
          <w:u w:val="single"/>
        </w:rPr>
        <w:t>丧葬费</w:t>
      </w:r>
      <w:r>
        <w:rPr>
          <w:rFonts w:hint="eastAsia"/>
        </w:rPr>
        <w:t>在参加保险者死亡时无有权亲属时，在现行规章范围内由全国基金负担。</w:t>
      </w:r>
    </w:p>
    <w:p w:rsidR="00000000" w:rsidRDefault="00BD0CAC">
      <w:pPr>
        <w:spacing w:after="320"/>
        <w:textAlignment w:val="center"/>
      </w:pPr>
      <w:r>
        <w:tab/>
        <w:t>9</w:t>
      </w:r>
      <w:r>
        <w:t xml:space="preserve">8.  </w:t>
      </w:r>
      <w:r>
        <w:rPr>
          <w:rFonts w:hint="eastAsia"/>
        </w:rPr>
        <w:t>养恤金体制由雇主拨付份额构成，此种份额按月工资上限</w:t>
      </w:r>
      <w:r>
        <w:t>300,000</w:t>
      </w:r>
      <w:r>
        <w:rPr>
          <w:rFonts w:hint="eastAsia"/>
        </w:rPr>
        <w:t>万非洲法郎为基数计算。份额在雇主与劳动者双方以</w:t>
      </w:r>
      <w:r>
        <w:t>7%</w:t>
      </w:r>
      <w:r>
        <w:rPr>
          <w:rFonts w:hint="eastAsia"/>
        </w:rPr>
        <w:t>为基数按以下比例分配：雇主承担</w:t>
      </w:r>
      <w:r>
        <w:t>4.2%</w:t>
      </w:r>
      <w:r>
        <w:rPr>
          <w:rFonts w:hint="eastAsia"/>
        </w:rPr>
        <w:t>；劳动者承担</w:t>
      </w:r>
      <w:r>
        <w:t>2.8%</w:t>
      </w:r>
      <w:r>
        <w:rPr>
          <w:rFonts w:hint="eastAsia"/>
        </w:rPr>
        <w:t>。</w:t>
      </w:r>
    </w:p>
    <w:p w:rsidR="00000000" w:rsidRDefault="00BD0CAC">
      <w:pPr>
        <w:pStyle w:val="Heading4"/>
        <w:ind w:left="518"/>
      </w:pPr>
      <w:r>
        <w:rPr>
          <w:u w:val="none"/>
        </w:rPr>
        <w:t>(</w:t>
      </w:r>
      <w:r>
        <w:rPr>
          <w:rFonts w:hint="eastAsia"/>
          <w:u w:val="none"/>
        </w:rPr>
        <w:t>三</w:t>
      </w:r>
      <w:r>
        <w:rPr>
          <w:u w:val="none"/>
        </w:rPr>
        <w:t xml:space="preserve">) </w:t>
      </w:r>
      <w:r>
        <w:rPr>
          <w:rFonts w:hint="eastAsia"/>
        </w:rPr>
        <w:t>家庭补助金</w:t>
      </w:r>
    </w:p>
    <w:p w:rsidR="00000000" w:rsidRDefault="00BD0CAC">
      <w:r>
        <w:tab/>
        <w:t xml:space="preserve">99.  </w:t>
      </w:r>
      <w:r>
        <w:rPr>
          <w:rFonts w:hint="eastAsia"/>
          <w:u w:val="single"/>
        </w:rPr>
        <w:t>家庭补助金</w:t>
      </w:r>
      <w:r>
        <w:rPr>
          <w:rFonts w:hint="eastAsia"/>
        </w:rPr>
        <w:t>发给领取补助金者负担的子女。家庭补助金现在的月标准为每一子女</w:t>
      </w:r>
      <w:r>
        <w:t>1,800</w:t>
      </w:r>
      <w:r>
        <w:rPr>
          <w:rFonts w:hint="eastAsia"/>
        </w:rPr>
        <w:t>非洲法郎。</w:t>
      </w:r>
    </w:p>
    <w:p w:rsidR="00000000" w:rsidRDefault="00BD0CAC">
      <w:r>
        <w:tab/>
        <w:t xml:space="preserve">100.  </w:t>
      </w:r>
      <w:r>
        <w:rPr>
          <w:rFonts w:hint="eastAsia"/>
          <w:u w:val="single"/>
        </w:rPr>
        <w:t>产前补助金</w:t>
      </w:r>
      <w:r>
        <w:rPr>
          <w:rFonts w:hint="eastAsia"/>
        </w:rPr>
        <w:t>在每次向全国基金正常申报妊娠时，发给领取工资的妇女或领取工资的男劳动者之配偶。产前补助金额相当于月家庭补助金额的九倍。</w:t>
      </w:r>
    </w:p>
    <w:p w:rsidR="00000000" w:rsidRDefault="00BD0CAC">
      <w:r>
        <w:tab/>
        <w:t xml:space="preserve">101.  </w:t>
      </w:r>
      <w:r>
        <w:rPr>
          <w:rFonts w:hint="eastAsia"/>
          <w:u w:val="single"/>
        </w:rPr>
        <w:t>产假补助金</w:t>
      </w:r>
      <w:r>
        <w:rPr>
          <w:rFonts w:hint="eastAsia"/>
        </w:rPr>
        <w:t>提供给每一成活婴儿出生时度产假的领取</w:t>
      </w:r>
      <w:r>
        <w:rPr>
          <w:rFonts w:hint="eastAsia"/>
        </w:rPr>
        <w:t>工资妇女或领取工资男性劳动者的配偶。金额相当于月家庭补助金十二倍。</w:t>
      </w:r>
    </w:p>
    <w:p w:rsidR="00000000" w:rsidRDefault="00BD0CAC">
      <w:r>
        <w:tab/>
        <w:t xml:space="preserve">102.  </w:t>
      </w:r>
      <w:r>
        <w:rPr>
          <w:rFonts w:hint="eastAsia"/>
          <w:u w:val="single"/>
        </w:rPr>
        <w:t>逐日津贴</w:t>
      </w:r>
      <w:r>
        <w:rPr>
          <w:rFonts w:hint="eastAsia"/>
        </w:rPr>
        <w:t>提供给度产假的领取工资妇女，但在暂停劳动合同时须已连续工资逾</w:t>
      </w:r>
      <w:r>
        <w:t>6</w:t>
      </w:r>
      <w:r>
        <w:rPr>
          <w:rFonts w:hint="eastAsia"/>
        </w:rPr>
        <w:t>个月。产假期为</w:t>
      </w:r>
      <w:r>
        <w:t>14</w:t>
      </w:r>
      <w:r>
        <w:rPr>
          <w:rFonts w:hint="eastAsia"/>
        </w:rPr>
        <w:t>周，在出示医生证明的情况下可延长</w:t>
      </w:r>
      <w:r>
        <w:t>6</w:t>
      </w:r>
      <w:r>
        <w:rPr>
          <w:rFonts w:hint="eastAsia"/>
        </w:rPr>
        <w:t>周。逐日津贴相当于领取工资的妇女在暂时中止劳动合同时实际获得的净工资数额。</w:t>
      </w:r>
    </w:p>
    <w:p w:rsidR="00000000" w:rsidRDefault="00BD0CAC">
      <w:r>
        <w:tab/>
        <w:t xml:space="preserve">103.  </w:t>
      </w:r>
      <w:r>
        <w:rPr>
          <w:rFonts w:hint="eastAsia"/>
          <w:u w:val="single"/>
        </w:rPr>
        <w:t>妊娠和生育医疗费</w:t>
      </w:r>
      <w:r>
        <w:rPr>
          <w:rFonts w:hint="eastAsia"/>
        </w:rPr>
        <w:t>，为实际报销产前体检或分娩支付的费用，产前每次体检以</w:t>
      </w:r>
      <w:r>
        <w:t>200</w:t>
      </w:r>
      <w:r>
        <w:rPr>
          <w:rFonts w:hint="eastAsia"/>
        </w:rPr>
        <w:t>非洲法郎为限、每次分娩以</w:t>
      </w:r>
      <w:r>
        <w:t>1,400</w:t>
      </w:r>
      <w:r>
        <w:rPr>
          <w:rFonts w:hint="eastAsia"/>
        </w:rPr>
        <w:t>非洲法郎为限。</w:t>
      </w:r>
    </w:p>
    <w:p w:rsidR="00000000" w:rsidRDefault="00BD0CAC">
      <w:pPr>
        <w:spacing w:after="320"/>
        <w:textAlignment w:val="center"/>
      </w:pPr>
      <w:r>
        <w:tab/>
        <w:t xml:space="preserve">104.  </w:t>
      </w:r>
      <w:r>
        <w:rPr>
          <w:rFonts w:hint="eastAsia"/>
        </w:rPr>
        <w:t>家庭补助金完全由雇主份额支付，概由雇主方承担。</w:t>
      </w:r>
    </w:p>
    <w:p w:rsidR="00000000" w:rsidRDefault="00BD0CAC">
      <w:pPr>
        <w:pStyle w:val="Heading4"/>
      </w:pPr>
      <w:r>
        <w:t>9.5</w:t>
      </w:r>
    </w:p>
    <w:p w:rsidR="00000000" w:rsidRDefault="00BD0CAC">
      <w:r>
        <w:tab/>
        <w:t xml:space="preserve">105.  </w:t>
      </w:r>
      <w:r>
        <w:rPr>
          <w:rFonts w:hint="eastAsia"/>
        </w:rPr>
        <w:t>与官方社会</w:t>
      </w:r>
      <w:r>
        <w:rPr>
          <w:rFonts w:hint="eastAsia"/>
        </w:rPr>
        <w:t>保险制度同时，还有一些私营的非正式安排。</w:t>
      </w:r>
    </w:p>
    <w:p w:rsidR="00000000" w:rsidRDefault="00BD0CAC" w:rsidP="00BD0CAC">
      <w:pPr>
        <w:pStyle w:val="a6"/>
        <w:numPr>
          <w:ilvl w:val="0"/>
          <w:numId w:val="1"/>
        </w:numPr>
      </w:pPr>
      <w:r>
        <w:rPr>
          <w:rFonts w:hint="eastAsia"/>
        </w:rPr>
        <w:t>某些企业设立了互助基金，向加入的劳动者发放社会补助金。</w:t>
      </w:r>
    </w:p>
    <w:p w:rsidR="00000000" w:rsidRDefault="00BD0CAC" w:rsidP="00BD0CAC">
      <w:pPr>
        <w:pStyle w:val="a6"/>
        <w:numPr>
          <w:ilvl w:val="0"/>
          <w:numId w:val="1"/>
        </w:numPr>
      </w:pPr>
      <w:r>
        <w:rPr>
          <w:rFonts w:hint="eastAsia"/>
        </w:rPr>
        <w:t>某些私营保险公司也就官方社会保险制度已涵盖的某些领域发放保险单</w:t>
      </w:r>
      <w:r>
        <w:t>(</w:t>
      </w:r>
      <w:r>
        <w:rPr>
          <w:rFonts w:hint="eastAsia"/>
        </w:rPr>
        <w:t>如人寿、疾病保险等</w:t>
      </w:r>
      <w:r>
        <w:t>)</w:t>
      </w:r>
      <w:r>
        <w:rPr>
          <w:rFonts w:hint="eastAsia"/>
        </w:rPr>
        <w:t>。</w:t>
      </w:r>
    </w:p>
    <w:p w:rsidR="00000000" w:rsidRDefault="00BD0CAC" w:rsidP="00BD0CAC">
      <w:pPr>
        <w:pStyle w:val="a6"/>
        <w:numPr>
          <w:ilvl w:val="0"/>
          <w:numId w:val="1"/>
        </w:numPr>
      </w:pPr>
      <w:r>
        <w:rPr>
          <w:rFonts w:hint="eastAsia"/>
        </w:rPr>
        <w:t>最后，还有一些非正式团体</w:t>
      </w:r>
      <w:r>
        <w:t>(</w:t>
      </w:r>
      <w:r>
        <w:rPr>
          <w:rFonts w:hint="eastAsia"/>
        </w:rPr>
        <w:t>养老储金会、联谊会等……</w:t>
      </w:r>
      <w:r>
        <w:t>)</w:t>
      </w:r>
      <w:r>
        <w:rPr>
          <w:rFonts w:hint="eastAsia"/>
        </w:rPr>
        <w:t>在财政上援助其成员应付红白喜事</w:t>
      </w:r>
      <w:r>
        <w:t>(</w:t>
      </w:r>
      <w:r>
        <w:rPr>
          <w:rFonts w:hint="eastAsia"/>
        </w:rPr>
        <w:t>生育、婚嫁、丧事、患病等……</w:t>
      </w:r>
      <w:r>
        <w:t>)</w:t>
      </w:r>
    </w:p>
    <w:p w:rsidR="00000000" w:rsidRDefault="00BD0CAC">
      <w:pPr>
        <w:spacing w:after="320"/>
        <w:textAlignment w:val="center"/>
      </w:pPr>
      <w:r>
        <w:rPr>
          <w:rFonts w:hint="eastAsia"/>
        </w:rPr>
        <w:t>这类安排与官方社会保险制度无关。</w:t>
      </w:r>
    </w:p>
    <w:p w:rsidR="00000000" w:rsidRDefault="00BD0CAC">
      <w:pPr>
        <w:pStyle w:val="Heading4"/>
      </w:pPr>
      <w:r>
        <w:t>9.6</w:t>
      </w:r>
    </w:p>
    <w:p w:rsidR="00000000" w:rsidRDefault="00BD0CAC">
      <w:r>
        <w:tab/>
        <w:t xml:space="preserve">106.  </w:t>
      </w:r>
      <w:r>
        <w:rPr>
          <w:rFonts w:hint="eastAsia"/>
        </w:rPr>
        <w:t>官方社会保险制度向居民各阶层一律开放。除《劳动法》管理的劳动者外，私人亦可以个人名义加入保险。</w:t>
      </w:r>
    </w:p>
    <w:p w:rsidR="00000000" w:rsidRDefault="00BD0CAC">
      <w:pPr>
        <w:spacing w:after="320"/>
        <w:textAlignment w:val="center"/>
      </w:pPr>
      <w:r>
        <w:tab/>
        <w:t xml:space="preserve">107.  </w:t>
      </w:r>
      <w:r>
        <w:rPr>
          <w:rFonts w:hint="eastAsia"/>
        </w:rPr>
        <w:t>信息及收入或许仍是对加入官方社会保险制度的制</w:t>
      </w:r>
      <w:r>
        <w:rPr>
          <w:rFonts w:hint="eastAsia"/>
        </w:rPr>
        <w:t>约因素。居民越来越厚爱非正式社会保险体制，它正日益扩大，因其获取补助与服务的手续较为简便。</w:t>
      </w:r>
    </w:p>
    <w:p w:rsidR="00000000" w:rsidRDefault="00BD0CAC">
      <w:pPr>
        <w:pStyle w:val="Heading4"/>
      </w:pPr>
      <w:r>
        <w:t>9.6 (a)</w:t>
      </w:r>
    </w:p>
    <w:p w:rsidR="00000000" w:rsidRDefault="00BD0CAC">
      <w:pPr>
        <w:spacing w:after="320"/>
        <w:textAlignment w:val="center"/>
      </w:pPr>
      <w:r>
        <w:tab/>
        <w:t xml:space="preserve">108.  </w:t>
      </w:r>
      <w:r>
        <w:rPr>
          <w:rFonts w:hint="eastAsia"/>
        </w:rPr>
        <w:t>政府正在制订一项关于互助会的文件草案，将考虑到处于现行社会保险制度边际的各群体的关切。</w:t>
      </w:r>
    </w:p>
    <w:p w:rsidR="00000000" w:rsidRDefault="00BD0CAC">
      <w:pPr>
        <w:pStyle w:val="Heading4"/>
      </w:pPr>
      <w:r>
        <w:t>9.6 (b)</w:t>
      </w:r>
    </w:p>
    <w:p w:rsidR="00000000" w:rsidRDefault="00BD0CAC">
      <w:pPr>
        <w:spacing w:after="320"/>
        <w:textAlignment w:val="center"/>
      </w:pPr>
      <w:r>
        <w:tab/>
        <w:t xml:space="preserve">109.  </w:t>
      </w:r>
      <w:r>
        <w:rPr>
          <w:rFonts w:hint="eastAsia"/>
        </w:rPr>
        <w:t>如何使现有保障的各类保险筹资合理化，以及鲜明地向名副其实的社会保险制过渡，是正在制订的社会保险法的主要特点。</w:t>
      </w:r>
    </w:p>
    <w:p w:rsidR="00000000" w:rsidRDefault="00BD0CAC">
      <w:pPr>
        <w:pStyle w:val="Heading4"/>
      </w:pPr>
      <w:r>
        <w:t>9.6 (c)</w:t>
      </w:r>
    </w:p>
    <w:p w:rsidR="00000000" w:rsidRDefault="00BD0CAC">
      <w:pPr>
        <w:spacing w:after="320"/>
        <w:textAlignment w:val="center"/>
      </w:pPr>
      <w:r>
        <w:tab/>
        <w:t xml:space="preserve">110.  </w:t>
      </w:r>
      <w:r>
        <w:rPr>
          <w:rFonts w:hint="eastAsia"/>
        </w:rPr>
        <w:t>目前，由于考虑中的措施仍处于草案阶段，还无从评估其对边际化群体的影响。下次报告或可就此提供具体说明。</w:t>
      </w:r>
    </w:p>
    <w:p w:rsidR="00000000" w:rsidRDefault="00BD0CAC">
      <w:pPr>
        <w:pStyle w:val="Heading4"/>
      </w:pPr>
      <w:r>
        <w:t>9.8</w:t>
      </w:r>
    </w:p>
    <w:p w:rsidR="00000000" w:rsidRDefault="00BD0CAC">
      <w:pPr>
        <w:spacing w:after="320"/>
        <w:textAlignment w:val="center"/>
      </w:pPr>
      <w:r>
        <w:tab/>
        <w:t xml:space="preserve">111.  </w:t>
      </w:r>
      <w:r>
        <w:rPr>
          <w:rFonts w:hint="eastAsia"/>
        </w:rPr>
        <w:t>为遵行第</w:t>
      </w:r>
      <w:r>
        <w:t>102</w:t>
      </w:r>
      <w:r>
        <w:rPr>
          <w:rFonts w:hint="eastAsia"/>
        </w:rPr>
        <w:t>号公约，出资机构</w:t>
      </w:r>
      <w:r>
        <w:t>(</w:t>
      </w:r>
      <w:r>
        <w:rPr>
          <w:rFonts w:hint="eastAsia"/>
        </w:rPr>
        <w:t>国际劳工局、世界银行等</w:t>
      </w:r>
      <w:r>
        <w:t>)</w:t>
      </w:r>
      <w:r>
        <w:rPr>
          <w:rFonts w:hint="eastAsia"/>
        </w:rPr>
        <w:t>援助了负责社会保险的机构，以促进第</w:t>
      </w:r>
      <w:r>
        <w:t>9</w:t>
      </w:r>
      <w:r>
        <w:rPr>
          <w:rFonts w:hint="eastAsia"/>
        </w:rPr>
        <w:t>条阐述的社会权利。</w:t>
      </w:r>
    </w:p>
    <w:p w:rsidR="00000000" w:rsidRDefault="00BD0CAC">
      <w:pPr>
        <w:pStyle w:val="Heading3"/>
      </w:pPr>
      <w:r>
        <w:rPr>
          <w:rFonts w:hint="eastAsia"/>
        </w:rPr>
        <w:t>第</w:t>
      </w:r>
      <w:r>
        <w:t xml:space="preserve"> 10 </w:t>
      </w:r>
      <w:r>
        <w:rPr>
          <w:rFonts w:hint="eastAsia"/>
        </w:rPr>
        <w:t>条</w:t>
      </w:r>
    </w:p>
    <w:p w:rsidR="00000000" w:rsidRDefault="00BD0CAC">
      <w:r>
        <w:tab/>
        <w:t xml:space="preserve">112.  </w:t>
      </w:r>
      <w:r>
        <w:rPr>
          <w:rFonts w:hint="eastAsia"/>
        </w:rPr>
        <w:t>喀麦隆加入了《公民权利和政治权利国际盟约》以及《儿童权利公约》。它批准了国际劳工组织关于保护产妇的第</w:t>
      </w:r>
      <w:r>
        <w:t>3</w:t>
      </w:r>
      <w:r>
        <w:rPr>
          <w:rFonts w:hint="eastAsia"/>
        </w:rPr>
        <w:t>号公约，但尚未批准有关产妇、经修订的第</w:t>
      </w:r>
      <w:r>
        <w:t>103</w:t>
      </w:r>
      <w:r>
        <w:rPr>
          <w:rFonts w:hint="eastAsia"/>
        </w:rPr>
        <w:t>号公约。</w:t>
      </w:r>
    </w:p>
    <w:p w:rsidR="00000000" w:rsidRDefault="00BD0CAC">
      <w:r>
        <w:tab/>
        <w:t xml:space="preserve">113.  </w:t>
      </w:r>
      <w:r>
        <w:rPr>
          <w:rFonts w:hint="eastAsia"/>
        </w:rPr>
        <w:t>喀麦隆批准了国际劳工组织以下各公约：</w:t>
      </w:r>
    </w:p>
    <w:p w:rsidR="00000000" w:rsidRDefault="00BD0CAC" w:rsidP="00BD0CAC">
      <w:pPr>
        <w:pStyle w:val="a6"/>
        <w:numPr>
          <w:ilvl w:val="0"/>
          <w:numId w:val="1"/>
        </w:numPr>
      </w:pPr>
      <w:r>
        <w:rPr>
          <w:rFonts w:hint="eastAsia"/>
        </w:rPr>
        <w:t>关于最低年龄</w:t>
      </w:r>
      <w:r>
        <w:t>(</w:t>
      </w:r>
      <w:r>
        <w:rPr>
          <w:rFonts w:hint="eastAsia"/>
        </w:rPr>
        <w:t>工业</w:t>
      </w:r>
      <w:r>
        <w:t>)</w:t>
      </w:r>
      <w:r>
        <w:rPr>
          <w:rFonts w:hint="eastAsia"/>
        </w:rPr>
        <w:t>的第</w:t>
      </w:r>
      <w:r>
        <w:t>5</w:t>
      </w:r>
      <w:r>
        <w:rPr>
          <w:rFonts w:hint="eastAsia"/>
        </w:rPr>
        <w:t>号公约</w:t>
      </w:r>
    </w:p>
    <w:p w:rsidR="00000000" w:rsidRDefault="00BD0CAC" w:rsidP="00BD0CAC">
      <w:pPr>
        <w:pStyle w:val="a6"/>
        <w:numPr>
          <w:ilvl w:val="0"/>
          <w:numId w:val="1"/>
        </w:numPr>
      </w:pPr>
      <w:r>
        <w:rPr>
          <w:rFonts w:hint="eastAsia"/>
        </w:rPr>
        <w:t>关于最低年龄</w:t>
      </w:r>
      <w:r>
        <w:t>(</w:t>
      </w:r>
      <w:r>
        <w:rPr>
          <w:rFonts w:hint="eastAsia"/>
        </w:rPr>
        <w:t>农业</w:t>
      </w:r>
      <w:r>
        <w:t>)</w:t>
      </w:r>
      <w:r>
        <w:rPr>
          <w:rFonts w:hint="eastAsia"/>
        </w:rPr>
        <w:t>的第</w:t>
      </w:r>
      <w:r>
        <w:t>10</w:t>
      </w:r>
      <w:r>
        <w:rPr>
          <w:rFonts w:hint="eastAsia"/>
        </w:rPr>
        <w:t>号公约</w:t>
      </w:r>
    </w:p>
    <w:p w:rsidR="00000000" w:rsidRDefault="00BD0CAC" w:rsidP="00BD0CAC">
      <w:pPr>
        <w:pStyle w:val="a6"/>
        <w:numPr>
          <w:ilvl w:val="0"/>
          <w:numId w:val="1"/>
        </w:numPr>
      </w:pPr>
      <w:r>
        <w:rPr>
          <w:rFonts w:hint="eastAsia"/>
        </w:rPr>
        <w:t>关于最低年龄</w:t>
      </w:r>
      <w:r>
        <w:t>(</w:t>
      </w:r>
      <w:r>
        <w:rPr>
          <w:rFonts w:hint="eastAsia"/>
        </w:rPr>
        <w:t>运煤工和司炉工</w:t>
      </w:r>
      <w:r>
        <w:t>)</w:t>
      </w:r>
      <w:r>
        <w:rPr>
          <w:rFonts w:hint="eastAsia"/>
        </w:rPr>
        <w:t>的第</w:t>
      </w:r>
      <w:r>
        <w:t>15</w:t>
      </w:r>
      <w:r>
        <w:rPr>
          <w:rFonts w:hint="eastAsia"/>
        </w:rPr>
        <w:t>号公约</w:t>
      </w:r>
    </w:p>
    <w:p w:rsidR="00000000" w:rsidRDefault="00BD0CAC" w:rsidP="00BD0CAC">
      <w:pPr>
        <w:pStyle w:val="a6"/>
        <w:numPr>
          <w:ilvl w:val="0"/>
          <w:numId w:val="1"/>
        </w:numPr>
      </w:pPr>
      <w:r>
        <w:rPr>
          <w:rFonts w:hint="eastAsia"/>
        </w:rPr>
        <w:t>关于青年</w:t>
      </w:r>
      <w:r>
        <w:t>(</w:t>
      </w:r>
      <w:r>
        <w:rPr>
          <w:rFonts w:hint="eastAsia"/>
        </w:rPr>
        <w:t>海运工作</w:t>
      </w:r>
      <w:r>
        <w:t>)</w:t>
      </w:r>
      <w:r>
        <w:rPr>
          <w:rFonts w:hint="eastAsia"/>
        </w:rPr>
        <w:t>体检的第</w:t>
      </w:r>
      <w:r>
        <w:t>16</w:t>
      </w:r>
      <w:r>
        <w:rPr>
          <w:rFonts w:hint="eastAsia"/>
        </w:rPr>
        <w:t>号公约</w:t>
      </w:r>
    </w:p>
    <w:p w:rsidR="00000000" w:rsidRDefault="00BD0CAC" w:rsidP="00BD0CAC">
      <w:pPr>
        <w:pStyle w:val="a6"/>
        <w:numPr>
          <w:ilvl w:val="0"/>
          <w:numId w:val="1"/>
        </w:numPr>
      </w:pPr>
      <w:r>
        <w:rPr>
          <w:rFonts w:hint="eastAsia"/>
        </w:rPr>
        <w:t>关于最低年龄</w:t>
      </w:r>
      <w:r>
        <w:t>(</w:t>
      </w:r>
      <w:r>
        <w:rPr>
          <w:rFonts w:hint="eastAsia"/>
        </w:rPr>
        <w:t>非</w:t>
      </w:r>
      <w:r>
        <w:rPr>
          <w:rFonts w:hint="eastAsia"/>
        </w:rPr>
        <w:t>产业工作</w:t>
      </w:r>
      <w:r>
        <w:t>)</w:t>
      </w:r>
      <w:r>
        <w:rPr>
          <w:rFonts w:hint="eastAsia"/>
        </w:rPr>
        <w:t>的第</w:t>
      </w:r>
      <w:r>
        <w:t>33</w:t>
      </w:r>
      <w:r>
        <w:rPr>
          <w:rFonts w:hint="eastAsia"/>
        </w:rPr>
        <w:t>号公约</w:t>
      </w:r>
    </w:p>
    <w:p w:rsidR="00000000" w:rsidRDefault="00BD0CAC" w:rsidP="00BD0CAC">
      <w:pPr>
        <w:pStyle w:val="a6"/>
        <w:numPr>
          <w:ilvl w:val="0"/>
          <w:numId w:val="1"/>
        </w:numPr>
      </w:pPr>
      <w:r>
        <w:rPr>
          <w:rFonts w:hint="eastAsia"/>
        </w:rPr>
        <w:t>关于少年</w:t>
      </w:r>
      <w:r>
        <w:t>(</w:t>
      </w:r>
      <w:r>
        <w:rPr>
          <w:rFonts w:hint="eastAsia"/>
        </w:rPr>
        <w:t>工业</w:t>
      </w:r>
      <w:r>
        <w:t>)</w:t>
      </w:r>
      <w:r>
        <w:rPr>
          <w:rFonts w:hint="eastAsia"/>
        </w:rPr>
        <w:t>体检的第</w:t>
      </w:r>
      <w:r>
        <w:t>77</w:t>
      </w:r>
      <w:r>
        <w:rPr>
          <w:rFonts w:hint="eastAsia"/>
        </w:rPr>
        <w:t>号公约</w:t>
      </w:r>
    </w:p>
    <w:p w:rsidR="00000000" w:rsidRDefault="00BD0CAC" w:rsidP="00BD0CAC">
      <w:pPr>
        <w:pStyle w:val="a6"/>
        <w:numPr>
          <w:ilvl w:val="0"/>
          <w:numId w:val="1"/>
        </w:numPr>
      </w:pPr>
      <w:r>
        <w:rPr>
          <w:rFonts w:hint="eastAsia"/>
        </w:rPr>
        <w:t>关于少年</w:t>
      </w:r>
      <w:r>
        <w:t>(</w:t>
      </w:r>
      <w:r>
        <w:rPr>
          <w:rFonts w:hint="eastAsia"/>
        </w:rPr>
        <w:t>非工业工作</w:t>
      </w:r>
      <w:r>
        <w:t>)</w:t>
      </w:r>
      <w:r>
        <w:rPr>
          <w:rFonts w:hint="eastAsia"/>
        </w:rPr>
        <w:t>体检的第</w:t>
      </w:r>
      <w:r>
        <w:t>78</w:t>
      </w:r>
      <w:r>
        <w:rPr>
          <w:rFonts w:hint="eastAsia"/>
        </w:rPr>
        <w:t>号公约</w:t>
      </w:r>
    </w:p>
    <w:p w:rsidR="00000000" w:rsidRDefault="00BD0CAC" w:rsidP="00BD0CAC">
      <w:pPr>
        <w:pStyle w:val="a6"/>
        <w:numPr>
          <w:ilvl w:val="0"/>
          <w:numId w:val="1"/>
        </w:numPr>
      </w:pPr>
      <w:r>
        <w:rPr>
          <w:rFonts w:hint="eastAsia"/>
        </w:rPr>
        <w:t>关于儿童</w:t>
      </w:r>
      <w:r>
        <w:t>(</w:t>
      </w:r>
      <w:r>
        <w:rPr>
          <w:rFonts w:hint="eastAsia"/>
        </w:rPr>
        <w:t>工业</w:t>
      </w:r>
      <w:r>
        <w:t>)</w:t>
      </w:r>
      <w:r>
        <w:rPr>
          <w:rFonts w:hint="eastAsia"/>
        </w:rPr>
        <w:t>夜间劳动的第</w:t>
      </w:r>
      <w:r>
        <w:t>90</w:t>
      </w:r>
      <w:r>
        <w:rPr>
          <w:rFonts w:hint="eastAsia"/>
        </w:rPr>
        <w:t>号公约</w:t>
      </w:r>
    </w:p>
    <w:p w:rsidR="00000000" w:rsidRDefault="00BD0CAC" w:rsidP="00BD0CAC">
      <w:pPr>
        <w:pStyle w:val="a6"/>
        <w:numPr>
          <w:ilvl w:val="0"/>
          <w:numId w:val="1"/>
        </w:numPr>
      </w:pPr>
      <w:r>
        <w:rPr>
          <w:rFonts w:hint="eastAsia"/>
        </w:rPr>
        <w:t>关于最低年龄</w:t>
      </w:r>
      <w:r>
        <w:t>(</w:t>
      </w:r>
      <w:r>
        <w:rPr>
          <w:rFonts w:hint="eastAsia"/>
        </w:rPr>
        <w:t>地下工作</w:t>
      </w:r>
      <w:r>
        <w:t>)</w:t>
      </w:r>
      <w:r>
        <w:rPr>
          <w:rFonts w:hint="eastAsia"/>
        </w:rPr>
        <w:t>的第</w:t>
      </w:r>
      <w:r>
        <w:t>123</w:t>
      </w:r>
      <w:r>
        <w:rPr>
          <w:rFonts w:hint="eastAsia"/>
        </w:rPr>
        <w:t>号公约</w:t>
      </w:r>
    </w:p>
    <w:p w:rsidR="00000000" w:rsidRDefault="00BD0CAC" w:rsidP="00BD0CAC">
      <w:pPr>
        <w:pStyle w:val="a6"/>
        <w:numPr>
          <w:ilvl w:val="0"/>
          <w:numId w:val="1"/>
        </w:numPr>
        <w:spacing w:after="320"/>
        <w:textAlignment w:val="center"/>
      </w:pPr>
      <w:r>
        <w:rPr>
          <w:rFonts w:hint="eastAsia"/>
        </w:rPr>
        <w:t>关于最低年龄</w:t>
      </w:r>
      <w:r>
        <w:t>(</w:t>
      </w:r>
      <w:r>
        <w:rPr>
          <w:rFonts w:hint="eastAsia"/>
        </w:rPr>
        <w:t>海员</w:t>
      </w:r>
      <w:r>
        <w:t>)</w:t>
      </w:r>
      <w:r>
        <w:rPr>
          <w:rFonts w:hint="eastAsia"/>
        </w:rPr>
        <w:t>的第</w:t>
      </w:r>
      <w:r>
        <w:t>138</w:t>
      </w:r>
      <w:r>
        <w:rPr>
          <w:rFonts w:hint="eastAsia"/>
        </w:rPr>
        <w:t>号公约。</w:t>
      </w:r>
    </w:p>
    <w:p w:rsidR="00000000" w:rsidRDefault="00BD0CAC">
      <w:pPr>
        <w:pStyle w:val="Heading4"/>
      </w:pPr>
      <w:r>
        <w:t>10.5 (a)(</w:t>
      </w:r>
      <w:r>
        <w:rPr>
          <w:rFonts w:hint="eastAsia"/>
        </w:rPr>
        <w:t>二</w:t>
      </w:r>
      <w:r>
        <w:t>)</w:t>
      </w:r>
    </w:p>
    <w:p w:rsidR="00000000" w:rsidRDefault="00BD0CAC">
      <w:pPr>
        <w:spacing w:after="320"/>
        <w:textAlignment w:val="center"/>
      </w:pPr>
      <w:r>
        <w:tab/>
        <w:t xml:space="preserve">114.  </w:t>
      </w:r>
      <w:r>
        <w:rPr>
          <w:rFonts w:hint="eastAsia"/>
        </w:rPr>
        <w:t>参阅</w:t>
      </w:r>
      <w:r>
        <w:t>1992</w:t>
      </w:r>
      <w:r>
        <w:rPr>
          <w:rFonts w:hint="eastAsia"/>
        </w:rPr>
        <w:t>年</w:t>
      </w:r>
      <w:r>
        <w:t>8</w:t>
      </w:r>
      <w:r>
        <w:rPr>
          <w:rFonts w:hint="eastAsia"/>
        </w:rPr>
        <w:t>月</w:t>
      </w:r>
      <w:r>
        <w:t>14</w:t>
      </w:r>
      <w:r>
        <w:rPr>
          <w:rFonts w:hint="eastAsia"/>
        </w:rPr>
        <w:t>日有关《劳动法》的第</w:t>
      </w:r>
      <w:r>
        <w:t>92/007</w:t>
      </w:r>
      <w:r>
        <w:rPr>
          <w:rFonts w:hint="eastAsia"/>
        </w:rPr>
        <w:t>号法令第</w:t>
      </w:r>
      <w:r>
        <w:t>84</w:t>
      </w:r>
      <w:r>
        <w:rPr>
          <w:rFonts w:hint="eastAsia"/>
        </w:rPr>
        <w:t>、</w:t>
      </w:r>
      <w:r>
        <w:t>85</w:t>
      </w:r>
      <w:r>
        <w:rPr>
          <w:rFonts w:hint="eastAsia"/>
        </w:rPr>
        <w:t>条。</w:t>
      </w:r>
    </w:p>
    <w:p w:rsidR="00000000" w:rsidRDefault="00BD0CAC">
      <w:pPr>
        <w:pStyle w:val="Heading4"/>
      </w:pPr>
      <w:r>
        <w:t>10.5 (a)(</w:t>
      </w:r>
      <w:r>
        <w:rPr>
          <w:rFonts w:hint="eastAsia"/>
        </w:rPr>
        <w:t>三</w:t>
      </w:r>
      <w:r>
        <w:t>)</w:t>
      </w:r>
    </w:p>
    <w:p w:rsidR="00000000" w:rsidRDefault="00BD0CAC">
      <w:pPr>
        <w:spacing w:after="320"/>
        <w:textAlignment w:val="center"/>
      </w:pPr>
      <w:r>
        <w:tab/>
        <w:t xml:space="preserve">115.  </w:t>
      </w:r>
      <w:r>
        <w:rPr>
          <w:rFonts w:hint="eastAsia"/>
        </w:rPr>
        <w:t>参阅</w:t>
      </w:r>
      <w:r>
        <w:t>9.2</w:t>
      </w:r>
      <w:r>
        <w:rPr>
          <w:rFonts w:hint="eastAsia"/>
        </w:rPr>
        <w:t>。</w:t>
      </w:r>
    </w:p>
    <w:p w:rsidR="00000000" w:rsidRDefault="00BD0CAC">
      <w:pPr>
        <w:pStyle w:val="Heading3"/>
        <w:rPr>
          <w:u w:val="none"/>
        </w:rPr>
      </w:pPr>
      <w:r>
        <w:rPr>
          <w:rFonts w:hint="eastAsia"/>
        </w:rPr>
        <w:t>第</w:t>
      </w:r>
      <w:r>
        <w:t>11</w:t>
      </w:r>
      <w:r>
        <w:rPr>
          <w:rFonts w:hint="eastAsia"/>
        </w:rPr>
        <w:t>及第</w:t>
      </w:r>
      <w:r>
        <w:t>12</w:t>
      </w:r>
      <w:r>
        <w:rPr>
          <w:rFonts w:hint="eastAsia"/>
        </w:rPr>
        <w:t>条</w:t>
      </w:r>
      <w:r>
        <w:br/>
      </w:r>
      <w:r>
        <w:rPr>
          <w:u w:val="none"/>
        </w:rPr>
        <w:t>(</w:t>
      </w:r>
      <w:r>
        <w:rPr>
          <w:rFonts w:hint="eastAsia"/>
          <w:u w:val="none"/>
        </w:rPr>
        <w:t>见附件</w:t>
      </w:r>
      <w:r>
        <w:rPr>
          <w:u w:val="none"/>
        </w:rPr>
        <w:t>)</w:t>
      </w:r>
    </w:p>
    <w:p w:rsidR="00000000" w:rsidRDefault="00BD0CAC">
      <w:pPr>
        <w:pStyle w:val="Heading3"/>
      </w:pPr>
      <w:r>
        <w:rPr>
          <w:rFonts w:hint="eastAsia"/>
        </w:rPr>
        <w:t>第</w:t>
      </w:r>
      <w:r>
        <w:t xml:space="preserve"> 13 </w:t>
      </w:r>
      <w:r>
        <w:rPr>
          <w:rFonts w:hint="eastAsia"/>
        </w:rPr>
        <w:t>条</w:t>
      </w:r>
    </w:p>
    <w:p w:rsidR="00000000" w:rsidRDefault="00BD0CAC">
      <w:r>
        <w:tab/>
        <w:t xml:space="preserve">116.  </w:t>
      </w:r>
      <w:r>
        <w:rPr>
          <w:rFonts w:hint="eastAsia"/>
        </w:rPr>
        <w:t>根据宪法，国家保障儿童受教育的权利。公立初等教育为世俗性质，</w:t>
      </w:r>
      <w:r>
        <w:rPr>
          <w:rFonts w:hint="eastAsia"/>
        </w:rPr>
        <w:t>不分性别、宗教信仰或部族向人人开放。组织和监督各级教育是国家不可推卸的责任。为确保充分实施人人受教育的权利，喀麦隆政府在全国各地为居民安排了初等、中等和高等学校；它还授权法人或私人创建和开设私立学校。</w:t>
      </w:r>
    </w:p>
    <w:p w:rsidR="00000000" w:rsidRDefault="00BD0CAC">
      <w:pPr>
        <w:spacing w:after="320"/>
        <w:textAlignment w:val="center"/>
      </w:pPr>
      <w:r>
        <w:tab/>
        <w:t xml:space="preserve">117.  </w:t>
      </w:r>
      <w:r>
        <w:rPr>
          <w:rFonts w:hint="eastAsia"/>
        </w:rPr>
        <w:t>后文所附图表显示</w:t>
      </w:r>
      <w:r>
        <w:t>1985-1995</w:t>
      </w:r>
      <w:r>
        <w:rPr>
          <w:rFonts w:hint="eastAsia"/>
        </w:rPr>
        <w:t>年间各级各类学校学生的发展变化，并突出表明使教育向群众普及方面所作的努力。</w:t>
      </w:r>
    </w:p>
    <w:p w:rsidR="00000000" w:rsidRDefault="00BD0CAC">
      <w:pPr>
        <w:pStyle w:val="Heading4"/>
        <w:rPr>
          <w:u w:val="none"/>
        </w:rPr>
      </w:pPr>
      <w:r>
        <w:rPr>
          <w:u w:val="none"/>
        </w:rPr>
        <w:t xml:space="preserve">(a) </w:t>
      </w:r>
      <w:r>
        <w:rPr>
          <w:rFonts w:hint="eastAsia"/>
        </w:rPr>
        <w:t>初等教育</w:t>
      </w:r>
      <w:r>
        <w:rPr>
          <w:u w:val="none"/>
        </w:rPr>
        <w:t>(</w:t>
      </w:r>
      <w:r>
        <w:rPr>
          <w:rFonts w:hint="eastAsia"/>
          <w:u w:val="none"/>
        </w:rPr>
        <w:t>第</w:t>
      </w:r>
      <w:r>
        <w:rPr>
          <w:u w:val="none"/>
        </w:rPr>
        <w:t>13</w:t>
      </w:r>
      <w:r>
        <w:rPr>
          <w:rFonts w:hint="eastAsia"/>
          <w:u w:val="none"/>
        </w:rPr>
        <w:t>、</w:t>
      </w:r>
      <w:r>
        <w:rPr>
          <w:u w:val="none"/>
        </w:rPr>
        <w:t>14</w:t>
      </w:r>
      <w:r>
        <w:rPr>
          <w:rFonts w:hint="eastAsia"/>
          <w:u w:val="none"/>
        </w:rPr>
        <w:t>条</w:t>
      </w:r>
      <w:r>
        <w:rPr>
          <w:u w:val="none"/>
        </w:rPr>
        <w:t>)</w:t>
      </w:r>
    </w:p>
    <w:p w:rsidR="00000000" w:rsidRDefault="00BD0CAC">
      <w:r>
        <w:tab/>
        <w:t xml:space="preserve">118.  </w:t>
      </w:r>
      <w:r>
        <w:rPr>
          <w:rFonts w:hint="eastAsia"/>
        </w:rPr>
        <w:t>迄今为止，基础教育在理论上是免费的，却并未实行义务制。但在</w:t>
      </w:r>
      <w:r>
        <w:t>1995</w:t>
      </w:r>
      <w:r>
        <w:rPr>
          <w:rFonts w:hint="eastAsia"/>
        </w:rPr>
        <w:t>年</w:t>
      </w:r>
      <w:r>
        <w:t>5</w:t>
      </w:r>
      <w:r>
        <w:rPr>
          <w:rFonts w:hint="eastAsia"/>
        </w:rPr>
        <w:t>月的教育三级会议上，全国的共识是要求从享受免费、义务制的基础教育。</w:t>
      </w:r>
      <w:r>
        <w:t>1996</w:t>
      </w:r>
      <w:r>
        <w:rPr>
          <w:rFonts w:hint="eastAsia"/>
        </w:rPr>
        <w:t>年</w:t>
      </w:r>
      <w:r>
        <w:t>1</w:t>
      </w:r>
      <w:r>
        <w:rPr>
          <w:rFonts w:hint="eastAsia"/>
        </w:rPr>
        <w:t>月</w:t>
      </w:r>
      <w:r>
        <w:t>18</w:t>
      </w:r>
      <w:r>
        <w:rPr>
          <w:rFonts w:hint="eastAsia"/>
        </w:rPr>
        <w:t>日共和国总统颁布的基本法确认了此种意向。它的实施还没有到位；一些过渡性文件建立了自我筹资和自我管理结构</w:t>
      </w:r>
      <w:r>
        <w:t>(</w:t>
      </w:r>
      <w:r>
        <w:rPr>
          <w:rFonts w:hint="eastAsia"/>
        </w:rPr>
        <w:t>管理委员会</w:t>
      </w:r>
      <w:r>
        <w:t>)</w:t>
      </w:r>
      <w:r>
        <w:rPr>
          <w:rFonts w:hint="eastAsia"/>
        </w:rPr>
        <w:t>，国家为学校运转提供的补助加强了这一结构。可以说，这是一种半自主状态，父母通过提供法定的小额捐款参与办校，但这并不意味着初等教育已实现义务制。</w:t>
      </w:r>
    </w:p>
    <w:p w:rsidR="00000000" w:rsidRDefault="00BD0CAC">
      <w:r>
        <w:tab/>
        <w:t xml:space="preserve">119.  </w:t>
      </w:r>
      <w:r>
        <w:rPr>
          <w:rFonts w:hint="eastAsia"/>
        </w:rPr>
        <w:t>不过，虽然还没有建立免费义务教育的正式计划，却可以通过教育三级会议的决议和新宪法看出：在权力下放的框架内，地方和区域集体可负责因地制宜地制订这类计划。</w:t>
      </w:r>
    </w:p>
    <w:p w:rsidR="00000000" w:rsidRDefault="00BD0CAC">
      <w:r>
        <w:tab/>
      </w:r>
      <w:r>
        <w:rPr>
          <w:rFonts w:hint="eastAsia"/>
        </w:rPr>
        <w:t>此种安排的困难来自多方面：</w:t>
      </w:r>
    </w:p>
    <w:p w:rsidR="00000000" w:rsidRDefault="00BD0CAC" w:rsidP="00BD0CAC">
      <w:pPr>
        <w:pStyle w:val="1"/>
        <w:numPr>
          <w:ilvl w:val="0"/>
          <w:numId w:val="2"/>
        </w:numPr>
      </w:pPr>
      <w:r>
        <w:rPr>
          <w:rFonts w:hint="eastAsia"/>
        </w:rPr>
        <w:t>结构方面：</w:t>
      </w:r>
    </w:p>
    <w:p w:rsidR="00000000" w:rsidRDefault="00BD0CAC" w:rsidP="00BD0CAC">
      <w:pPr>
        <w:pStyle w:val="a6"/>
        <w:numPr>
          <w:ilvl w:val="0"/>
          <w:numId w:val="1"/>
        </w:numPr>
        <w:ind w:left="2064"/>
      </w:pPr>
      <w:r>
        <w:rPr>
          <w:rFonts w:hint="eastAsia"/>
        </w:rPr>
        <w:t>缺少基础设施而又人浮于事。</w:t>
      </w:r>
    </w:p>
    <w:p w:rsidR="00000000" w:rsidRDefault="00BD0CAC">
      <w:pPr>
        <w:ind w:left="1036"/>
      </w:pPr>
      <w:r>
        <w:t>(2)</w:t>
      </w:r>
      <w:r>
        <w:tab/>
      </w:r>
      <w:r>
        <w:rPr>
          <w:rFonts w:hint="eastAsia"/>
        </w:rPr>
        <w:t>人力方面：</w:t>
      </w:r>
    </w:p>
    <w:p w:rsidR="00000000" w:rsidRDefault="00BD0CAC" w:rsidP="00BD0CAC">
      <w:pPr>
        <w:pStyle w:val="a6"/>
        <w:numPr>
          <w:ilvl w:val="0"/>
          <w:numId w:val="1"/>
        </w:numPr>
        <w:ind w:left="2064"/>
      </w:pPr>
      <w:r>
        <w:rPr>
          <w:rFonts w:hint="eastAsia"/>
        </w:rPr>
        <w:t>教师质量数量均感不足；</w:t>
      </w:r>
    </w:p>
    <w:p w:rsidR="00000000" w:rsidRDefault="00BD0CAC" w:rsidP="00BD0CAC">
      <w:pPr>
        <w:pStyle w:val="a6"/>
        <w:numPr>
          <w:ilvl w:val="0"/>
          <w:numId w:val="1"/>
        </w:numPr>
        <w:ind w:left="2064"/>
      </w:pPr>
      <w:r>
        <w:rPr>
          <w:rFonts w:hint="eastAsia"/>
        </w:rPr>
        <w:t>一般公务员、尤其是师范学校也暂停征聘；结构调整使人担心：历来教育后进地区将更加落后。</w:t>
      </w:r>
    </w:p>
    <w:p w:rsidR="00000000" w:rsidRDefault="00BD0CAC">
      <w:pPr>
        <w:ind w:left="1036"/>
      </w:pPr>
      <w:r>
        <w:t>(3)</w:t>
      </w:r>
      <w:r>
        <w:tab/>
      </w:r>
      <w:r>
        <w:rPr>
          <w:rFonts w:hint="eastAsia"/>
        </w:rPr>
        <w:t>财政方面：</w:t>
      </w:r>
    </w:p>
    <w:p w:rsidR="00000000" w:rsidRDefault="00BD0CAC" w:rsidP="00BD0CAC">
      <w:pPr>
        <w:pStyle w:val="a6"/>
        <w:numPr>
          <w:ilvl w:val="0"/>
          <w:numId w:val="1"/>
        </w:numPr>
        <w:ind w:left="2064"/>
      </w:pPr>
      <w:r>
        <w:rPr>
          <w:rFonts w:hint="eastAsia"/>
        </w:rPr>
        <w:t>经济危机造成国家收入遽降；</w:t>
      </w:r>
    </w:p>
    <w:p w:rsidR="00000000" w:rsidRDefault="00BD0CAC" w:rsidP="00BD0CAC">
      <w:pPr>
        <w:pStyle w:val="a6"/>
        <w:numPr>
          <w:ilvl w:val="0"/>
          <w:numId w:val="1"/>
        </w:numPr>
        <w:ind w:left="2064"/>
      </w:pPr>
      <w:r>
        <w:rPr>
          <w:rFonts w:hint="eastAsia"/>
        </w:rPr>
        <w:t>非洲法郎贬值；</w:t>
      </w:r>
    </w:p>
    <w:p w:rsidR="00000000" w:rsidRDefault="00BD0CAC" w:rsidP="00BD0CAC">
      <w:pPr>
        <w:pStyle w:val="a6"/>
        <w:numPr>
          <w:ilvl w:val="0"/>
          <w:numId w:val="1"/>
        </w:numPr>
        <w:ind w:left="2064"/>
      </w:pPr>
      <w:r>
        <w:rPr>
          <w:rFonts w:hint="eastAsia"/>
        </w:rPr>
        <w:t>国内毛产值下降；</w:t>
      </w:r>
    </w:p>
    <w:p w:rsidR="00000000" w:rsidRDefault="00BD0CAC" w:rsidP="00BD0CAC">
      <w:pPr>
        <w:pStyle w:val="a6"/>
        <w:numPr>
          <w:ilvl w:val="0"/>
          <w:numId w:val="1"/>
        </w:numPr>
        <w:ind w:left="2064"/>
      </w:pPr>
      <w:r>
        <w:rPr>
          <w:rFonts w:hint="eastAsia"/>
        </w:rPr>
        <w:t>居民贫困化；</w:t>
      </w:r>
    </w:p>
    <w:p w:rsidR="00000000" w:rsidRDefault="00BD0CAC" w:rsidP="00BD0CAC">
      <w:pPr>
        <w:pStyle w:val="a6"/>
        <w:numPr>
          <w:ilvl w:val="0"/>
          <w:numId w:val="1"/>
        </w:numPr>
        <w:ind w:left="2064"/>
      </w:pPr>
      <w:r>
        <w:rPr>
          <w:rFonts w:hint="eastAsia"/>
        </w:rPr>
        <w:t>国家债台高筑，等等……</w:t>
      </w:r>
    </w:p>
    <w:p w:rsidR="00000000" w:rsidRDefault="00BD0CAC">
      <w:pPr>
        <w:ind w:left="1036"/>
      </w:pPr>
      <w:r>
        <w:t>(4)</w:t>
      </w:r>
      <w:r>
        <w:tab/>
      </w:r>
      <w:r>
        <w:rPr>
          <w:rFonts w:hint="eastAsia"/>
        </w:rPr>
        <w:t>社会文化方面：</w:t>
      </w:r>
    </w:p>
    <w:p w:rsidR="00000000" w:rsidRDefault="00BD0CAC" w:rsidP="00BD0CAC">
      <w:pPr>
        <w:pStyle w:val="a6"/>
        <w:numPr>
          <w:ilvl w:val="0"/>
          <w:numId w:val="1"/>
        </w:numPr>
        <w:ind w:left="2064"/>
      </w:pPr>
      <w:r>
        <w:rPr>
          <w:rFonts w:hint="eastAsia"/>
        </w:rPr>
        <w:t>游牧生活方式；</w:t>
      </w:r>
    </w:p>
    <w:p w:rsidR="00000000" w:rsidRDefault="00BD0CAC" w:rsidP="00BD0CAC">
      <w:pPr>
        <w:pStyle w:val="a6"/>
        <w:numPr>
          <w:ilvl w:val="0"/>
          <w:numId w:val="1"/>
        </w:numPr>
        <w:ind w:left="2064"/>
      </w:pPr>
      <w:r>
        <w:rPr>
          <w:rFonts w:hint="eastAsia"/>
        </w:rPr>
        <w:t>儿童、特别是女孩参与农牧活计及</w:t>
      </w:r>
      <w:r>
        <w:t>/</w:t>
      </w:r>
      <w:r>
        <w:rPr>
          <w:rFonts w:hint="eastAsia"/>
        </w:rPr>
        <w:t>或家务劳动；</w:t>
      </w:r>
    </w:p>
    <w:p w:rsidR="00000000" w:rsidRDefault="00BD0CAC" w:rsidP="00BD0CAC">
      <w:pPr>
        <w:pStyle w:val="a6"/>
        <w:numPr>
          <w:ilvl w:val="0"/>
          <w:numId w:val="1"/>
        </w:numPr>
        <w:ind w:left="2064"/>
      </w:pPr>
      <w:r>
        <w:rPr>
          <w:rFonts w:hint="eastAsia"/>
        </w:rPr>
        <w:t>父母缺乏对现代学校的正确认识；</w:t>
      </w:r>
    </w:p>
    <w:p w:rsidR="00000000" w:rsidRDefault="00BD0CAC" w:rsidP="00BD0CAC">
      <w:pPr>
        <w:pStyle w:val="a6"/>
        <w:numPr>
          <w:ilvl w:val="0"/>
          <w:numId w:val="1"/>
        </w:numPr>
        <w:ind w:left="2064"/>
      </w:pPr>
      <w:r>
        <w:rPr>
          <w:rFonts w:hint="eastAsia"/>
        </w:rPr>
        <w:t>早婚早孕。</w:t>
      </w:r>
    </w:p>
    <w:p w:rsidR="00000000" w:rsidRDefault="00BD0CAC">
      <w:pPr>
        <w:ind w:left="1036"/>
      </w:pPr>
      <w:r>
        <w:t>(5)</w:t>
      </w:r>
      <w:r>
        <w:tab/>
      </w:r>
      <w:r>
        <w:rPr>
          <w:rFonts w:hint="eastAsia"/>
        </w:rPr>
        <w:t>公正不足：</w:t>
      </w:r>
    </w:p>
    <w:p w:rsidR="00000000" w:rsidRDefault="00BD0CAC" w:rsidP="00BD0CAC">
      <w:pPr>
        <w:pStyle w:val="a6"/>
        <w:numPr>
          <w:ilvl w:val="0"/>
          <w:numId w:val="1"/>
        </w:numPr>
        <w:ind w:left="2064"/>
      </w:pPr>
      <w:r>
        <w:rPr>
          <w:rFonts w:hint="eastAsia"/>
        </w:rPr>
        <w:t>体制上厚此薄彼，从而使低收入社会阶层的儿童处境不利；</w:t>
      </w:r>
    </w:p>
    <w:p w:rsidR="00000000" w:rsidRDefault="00BD0CAC" w:rsidP="00BD0CAC">
      <w:pPr>
        <w:pStyle w:val="a6"/>
        <w:numPr>
          <w:ilvl w:val="0"/>
          <w:numId w:val="1"/>
        </w:numPr>
        <w:ind w:left="2064"/>
      </w:pPr>
      <w:r>
        <w:rPr>
          <w:rFonts w:hint="eastAsia"/>
        </w:rPr>
        <w:t>教学方法未按班级内的参差不齐予以区别对待；</w:t>
      </w:r>
    </w:p>
    <w:p w:rsidR="00000000" w:rsidRDefault="00BD0CAC" w:rsidP="00BD0CAC">
      <w:pPr>
        <w:pStyle w:val="a6"/>
        <w:numPr>
          <w:ilvl w:val="0"/>
          <w:numId w:val="1"/>
        </w:numPr>
        <w:ind w:left="2064"/>
      </w:pPr>
      <w:r>
        <w:rPr>
          <w:rFonts w:hint="eastAsia"/>
        </w:rPr>
        <w:t>受某些传统影</w:t>
      </w:r>
      <w:r>
        <w:rPr>
          <w:rFonts w:hint="eastAsia"/>
        </w:rPr>
        <w:t>响，男女儿童入学机会不均；</w:t>
      </w:r>
    </w:p>
    <w:p w:rsidR="00000000" w:rsidRDefault="00BD0CAC" w:rsidP="00BD0CAC">
      <w:pPr>
        <w:pStyle w:val="a6"/>
        <w:numPr>
          <w:ilvl w:val="0"/>
          <w:numId w:val="1"/>
        </w:numPr>
        <w:ind w:left="2064"/>
      </w:pPr>
      <w:r>
        <w:rPr>
          <w:rFonts w:hint="eastAsia"/>
        </w:rPr>
        <w:t>各级教育收费令家长不堪荷负：教材费、附加费、教学费、五花八门的摊款……；</w:t>
      </w:r>
    </w:p>
    <w:p w:rsidR="00000000" w:rsidRDefault="00BD0CAC" w:rsidP="00BD0CAC">
      <w:pPr>
        <w:pStyle w:val="a6"/>
        <w:numPr>
          <w:ilvl w:val="0"/>
          <w:numId w:val="1"/>
        </w:numPr>
        <w:spacing w:after="320"/>
        <w:ind w:left="2064"/>
        <w:textAlignment w:val="center"/>
      </w:pPr>
      <w:r>
        <w:rPr>
          <w:rFonts w:hint="eastAsia"/>
        </w:rPr>
        <w:t>教育培训的信贷发放极不均衡，在我国反而向中、高等教育倾斜。</w:t>
      </w:r>
    </w:p>
    <w:p w:rsidR="00000000" w:rsidRDefault="00BD0CAC">
      <w:pPr>
        <w:pStyle w:val="Heading4"/>
      </w:pPr>
      <w:r>
        <w:rPr>
          <w:u w:val="none"/>
        </w:rPr>
        <w:t xml:space="preserve">(b) </w:t>
      </w:r>
      <w:r>
        <w:rPr>
          <w:rFonts w:hint="eastAsia"/>
        </w:rPr>
        <w:t>中等教育</w:t>
      </w:r>
    </w:p>
    <w:p w:rsidR="00000000" w:rsidRDefault="00BD0CAC">
      <w:r>
        <w:tab/>
        <w:t xml:space="preserve">120.  </w:t>
      </w:r>
      <w:r>
        <w:rPr>
          <w:rFonts w:hint="eastAsia"/>
        </w:rPr>
        <w:t>所有省会、区首府都至少有一所公立中等学校。迄今有普通教育公立中学</w:t>
      </w:r>
      <w:r>
        <w:t>193</w:t>
      </w:r>
      <w:r>
        <w:rPr>
          <w:rFonts w:hint="eastAsia"/>
        </w:rPr>
        <w:t>所、私立中学</w:t>
      </w:r>
      <w:r>
        <w:t>185</w:t>
      </w:r>
      <w:r>
        <w:rPr>
          <w:rFonts w:hint="eastAsia"/>
        </w:rPr>
        <w:t>所；职技教育方面，公立学校</w:t>
      </w:r>
      <w:r>
        <w:t>34</w:t>
      </w:r>
      <w:r>
        <w:rPr>
          <w:rFonts w:hint="eastAsia"/>
        </w:rPr>
        <w:t>所、私立技校</w:t>
      </w:r>
      <w:r>
        <w:t>68</w:t>
      </w:r>
      <w:r>
        <w:rPr>
          <w:rFonts w:hint="eastAsia"/>
        </w:rPr>
        <w:t>所、农村手工业和家政分校</w:t>
      </w:r>
      <w:r>
        <w:t>210</w:t>
      </w:r>
      <w:r>
        <w:rPr>
          <w:rFonts w:hint="eastAsia"/>
        </w:rPr>
        <w:t>所。但不能不看到：中学入学很不公平，因为须经入学考试，而中学教育的结构不能完全吸收小学毕业生。此外，国家财政困难导致政府当局提高了公立学校的学费：普通中学</w:t>
      </w:r>
      <w:r>
        <w:rPr>
          <w:rFonts w:hint="eastAsia"/>
        </w:rPr>
        <w:t>自</w:t>
      </w:r>
      <w:r>
        <w:t>7,500</w:t>
      </w:r>
      <w:r>
        <w:rPr>
          <w:rFonts w:hint="eastAsia"/>
        </w:rPr>
        <w:t>至</w:t>
      </w:r>
      <w:r>
        <w:t>10,000</w:t>
      </w:r>
      <w:r>
        <w:rPr>
          <w:rFonts w:hint="eastAsia"/>
        </w:rPr>
        <w:t>非洲法郎不等；职技中学</w:t>
      </w:r>
      <w:r>
        <w:t>10,000</w:t>
      </w:r>
      <w:r>
        <w:rPr>
          <w:rFonts w:hint="eastAsia"/>
        </w:rPr>
        <w:t>至</w:t>
      </w:r>
      <w:r>
        <w:t>15,000</w:t>
      </w:r>
      <w:r>
        <w:rPr>
          <w:rFonts w:hint="eastAsia"/>
        </w:rPr>
        <w:t>非洲法郎。至于私立学校，家长不得不付出远高于此的食宿费。两种情况均须另行负担书籍、校服以及儿童其他费用。</w:t>
      </w:r>
    </w:p>
    <w:p w:rsidR="00000000" w:rsidRDefault="00BD0CAC">
      <w:pPr>
        <w:spacing w:after="320"/>
        <w:textAlignment w:val="center"/>
      </w:pPr>
      <w:r>
        <w:tab/>
        <w:t xml:space="preserve">121.  </w:t>
      </w:r>
      <w:r>
        <w:rPr>
          <w:rFonts w:hint="eastAsia"/>
        </w:rPr>
        <w:t>由此可见：中等教育既非完全免费，亦未做到向人人普及。</w:t>
      </w:r>
    </w:p>
    <w:p w:rsidR="00000000" w:rsidRDefault="00BD0CAC">
      <w:pPr>
        <w:pStyle w:val="Heading4"/>
      </w:pPr>
      <w:r>
        <w:rPr>
          <w:u w:val="none"/>
        </w:rPr>
        <w:t xml:space="preserve">(c) </w:t>
      </w:r>
      <w:r>
        <w:rPr>
          <w:rFonts w:hint="eastAsia"/>
        </w:rPr>
        <w:t>未受或未完成小学教育者的基础教育体制</w:t>
      </w:r>
    </w:p>
    <w:p w:rsidR="00000000" w:rsidRDefault="00BD0CAC">
      <w:r>
        <w:tab/>
        <w:t xml:space="preserve">122.  </w:t>
      </w:r>
      <w:r>
        <w:rPr>
          <w:rFonts w:hint="eastAsia"/>
        </w:rPr>
        <w:t>这一领域由其他部委主管，特别是：</w:t>
      </w:r>
    </w:p>
    <w:p w:rsidR="00000000" w:rsidRDefault="00BD0CAC">
      <w:r>
        <w:tab/>
        <w:t xml:space="preserve">123.  </w:t>
      </w:r>
      <w:r>
        <w:rPr>
          <w:rFonts w:hint="eastAsia"/>
        </w:rPr>
        <w:t>青年与体育部，下辖青年活动中心、扫盲中心、巡回活动小队、青年运动及协会。</w:t>
      </w:r>
    </w:p>
    <w:p w:rsidR="00000000" w:rsidRDefault="00BD0CAC">
      <w:pPr>
        <w:spacing w:after="320"/>
        <w:textAlignment w:val="center"/>
      </w:pPr>
      <w:r>
        <w:tab/>
        <w:t xml:space="preserve">124.  </w:t>
      </w:r>
      <w:r>
        <w:rPr>
          <w:rFonts w:hint="eastAsia"/>
        </w:rPr>
        <w:t>社会事务及妇女地位部，主管妇女、残疾人、老年人、轻罪犯人和社会上行为</w:t>
      </w:r>
      <w:r>
        <w:rPr>
          <w:rFonts w:hint="eastAsia"/>
        </w:rPr>
        <w:t>不轨的青年。后一类人被收养入贝丹巴喀麦隆儿童基金会、杜阿拉和马鲁阿收容指导中心、布埃阿的博尔斯塔尔学院、纽—贝尔</w:t>
      </w:r>
      <w:r>
        <w:t>(</w:t>
      </w:r>
      <w:r>
        <w:rPr>
          <w:rFonts w:hint="eastAsia"/>
        </w:rPr>
        <w:t>杜阿拉</w:t>
      </w:r>
      <w:r>
        <w:t>)</w:t>
      </w:r>
      <w:r>
        <w:rPr>
          <w:rFonts w:hint="eastAsia"/>
        </w:rPr>
        <w:t>家庭作坊以及开放环境教育中心。</w:t>
      </w:r>
    </w:p>
    <w:p w:rsidR="00000000" w:rsidRDefault="00BD0CAC">
      <w:pPr>
        <w:pStyle w:val="Heading4"/>
      </w:pPr>
      <w:r>
        <w:rPr>
          <w:u w:val="none"/>
        </w:rPr>
        <w:t xml:space="preserve">(a) </w:t>
      </w:r>
      <w:r>
        <w:rPr>
          <w:rFonts w:hint="eastAsia"/>
        </w:rPr>
        <w:t>国家预算用于教育的比例</w:t>
      </w:r>
    </w:p>
    <w:p w:rsidR="00000000" w:rsidRDefault="00BD0CAC">
      <w:pPr>
        <w:spacing w:after="160"/>
        <w:textAlignment w:val="center"/>
      </w:pPr>
      <w:r>
        <w:t>(1)</w:t>
      </w:r>
      <w:r>
        <w:tab/>
      </w:r>
      <w:r>
        <w:rPr>
          <w:rFonts w:hint="eastAsia"/>
          <w:u w:val="single"/>
        </w:rPr>
        <w:t>官方教育支出：总额及占国民生产毛值百分比</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BD0CAC">
            <w:pPr>
              <w:spacing w:before="60"/>
              <w:jc w:val="center"/>
              <w:rPr>
                <w:sz w:val="21"/>
              </w:rPr>
            </w:pPr>
            <w:r>
              <w:rPr>
                <w:rFonts w:hint="eastAsia"/>
                <w:sz w:val="21"/>
              </w:rPr>
              <w:t>财政年度</w:t>
            </w:r>
          </w:p>
        </w:tc>
        <w:tc>
          <w:tcPr>
            <w:tcW w:w="1882" w:type="dxa"/>
          </w:tcPr>
          <w:p w:rsidR="00000000" w:rsidRDefault="00BD0CAC">
            <w:pPr>
              <w:spacing w:before="60"/>
              <w:jc w:val="center"/>
              <w:rPr>
                <w:sz w:val="21"/>
              </w:rPr>
            </w:pPr>
            <w:r>
              <w:rPr>
                <w:rFonts w:hint="eastAsia"/>
                <w:sz w:val="21"/>
              </w:rPr>
              <w:t>部</w:t>
            </w:r>
            <w:r>
              <w:rPr>
                <w:sz w:val="21"/>
              </w:rPr>
              <w:t xml:space="preserve">  </w:t>
            </w:r>
            <w:r>
              <w:rPr>
                <w:rFonts w:hint="eastAsia"/>
                <w:sz w:val="21"/>
              </w:rPr>
              <w:t>门</w:t>
            </w:r>
          </w:p>
        </w:tc>
        <w:tc>
          <w:tcPr>
            <w:tcW w:w="1882" w:type="dxa"/>
          </w:tcPr>
          <w:p w:rsidR="00000000" w:rsidRDefault="00BD0CAC">
            <w:pPr>
              <w:spacing w:before="60"/>
              <w:jc w:val="center"/>
              <w:rPr>
                <w:sz w:val="21"/>
              </w:rPr>
            </w:pPr>
            <w:r>
              <w:rPr>
                <w:rFonts w:hint="eastAsia"/>
                <w:sz w:val="21"/>
              </w:rPr>
              <w:t>拨付预算额</w:t>
            </w:r>
          </w:p>
        </w:tc>
        <w:tc>
          <w:tcPr>
            <w:tcW w:w="1882" w:type="dxa"/>
          </w:tcPr>
          <w:p w:rsidR="00000000" w:rsidRDefault="00BD0CAC">
            <w:pPr>
              <w:spacing w:before="60"/>
              <w:jc w:val="center"/>
              <w:rPr>
                <w:sz w:val="21"/>
              </w:rPr>
            </w:pPr>
            <w:r>
              <w:rPr>
                <w:rFonts w:hint="eastAsia"/>
                <w:sz w:val="21"/>
              </w:rPr>
              <w:t>国家预算</w:t>
            </w:r>
          </w:p>
        </w:tc>
        <w:tc>
          <w:tcPr>
            <w:tcW w:w="1882" w:type="dxa"/>
          </w:tcPr>
          <w:p w:rsidR="00000000" w:rsidRDefault="00BD0CAC">
            <w:pPr>
              <w:spacing w:before="60"/>
              <w:jc w:val="center"/>
              <w:rPr>
                <w:sz w:val="21"/>
              </w:rPr>
            </w:pPr>
            <w:r>
              <w:rPr>
                <w:sz w:val="21"/>
              </w:rPr>
              <w:t>%</w:t>
            </w:r>
          </w:p>
        </w:tc>
      </w:tr>
      <w:tr w:rsidR="00000000">
        <w:tblPrEx>
          <w:tblCellMar>
            <w:top w:w="0" w:type="dxa"/>
            <w:bottom w:w="0" w:type="dxa"/>
          </w:tblCellMar>
        </w:tblPrEx>
        <w:tc>
          <w:tcPr>
            <w:tcW w:w="1882" w:type="dxa"/>
          </w:tcPr>
          <w:p w:rsidR="00000000" w:rsidRDefault="00BD0CAC">
            <w:pPr>
              <w:spacing w:before="60"/>
              <w:ind w:left="57" w:right="57"/>
              <w:jc w:val="center"/>
              <w:rPr>
                <w:sz w:val="21"/>
              </w:rPr>
            </w:pPr>
            <w:r>
              <w:rPr>
                <w:sz w:val="21"/>
              </w:rPr>
              <w:t>1994 - 1995</w:t>
            </w:r>
          </w:p>
        </w:tc>
        <w:tc>
          <w:tcPr>
            <w:tcW w:w="1882" w:type="dxa"/>
          </w:tcPr>
          <w:p w:rsidR="00000000" w:rsidRDefault="00BD0CAC">
            <w:pPr>
              <w:spacing w:before="60"/>
              <w:ind w:left="57" w:right="57"/>
              <w:jc w:val="center"/>
              <w:rPr>
                <w:sz w:val="21"/>
              </w:rPr>
            </w:pPr>
            <w:r>
              <w:rPr>
                <w:rFonts w:hint="eastAsia"/>
                <w:sz w:val="21"/>
              </w:rPr>
              <w:t>教育部</w:t>
            </w:r>
          </w:p>
          <w:p w:rsidR="00000000" w:rsidRDefault="00BD0CAC">
            <w:pPr>
              <w:spacing w:before="60"/>
              <w:ind w:left="57" w:right="57"/>
              <w:jc w:val="center"/>
              <w:rPr>
                <w:sz w:val="21"/>
              </w:rPr>
            </w:pPr>
            <w:r>
              <w:rPr>
                <w:rFonts w:hint="eastAsia"/>
                <w:sz w:val="21"/>
              </w:rPr>
              <w:t>高教部</w:t>
            </w:r>
          </w:p>
        </w:tc>
        <w:tc>
          <w:tcPr>
            <w:tcW w:w="1882" w:type="dxa"/>
          </w:tcPr>
          <w:p w:rsidR="00000000" w:rsidRDefault="00BD0CAC">
            <w:pPr>
              <w:spacing w:before="60"/>
              <w:ind w:left="57" w:right="57"/>
              <w:jc w:val="center"/>
              <w:rPr>
                <w:sz w:val="21"/>
              </w:rPr>
            </w:pPr>
            <w:r>
              <w:rPr>
                <w:sz w:val="21"/>
              </w:rPr>
              <w:t>58 074 000 000</w:t>
            </w:r>
          </w:p>
          <w:p w:rsidR="00000000" w:rsidRDefault="00BD0CAC">
            <w:pPr>
              <w:spacing w:before="60"/>
              <w:ind w:left="57" w:right="57"/>
              <w:jc w:val="center"/>
              <w:rPr>
                <w:sz w:val="21"/>
              </w:rPr>
            </w:pPr>
            <w:r>
              <w:rPr>
                <w:sz w:val="21"/>
              </w:rPr>
              <w:t>14 498 000 000</w:t>
            </w:r>
          </w:p>
        </w:tc>
        <w:tc>
          <w:tcPr>
            <w:tcW w:w="1882" w:type="dxa"/>
          </w:tcPr>
          <w:p w:rsidR="00000000" w:rsidRDefault="00BD0CAC">
            <w:pPr>
              <w:spacing w:before="60"/>
              <w:ind w:left="57" w:right="57"/>
              <w:jc w:val="center"/>
              <w:rPr>
                <w:sz w:val="21"/>
              </w:rPr>
            </w:pPr>
            <w:r>
              <w:rPr>
                <w:sz w:val="21"/>
              </w:rPr>
              <w:t>582 000 000 000</w:t>
            </w:r>
          </w:p>
          <w:p w:rsidR="00000000" w:rsidRDefault="00BD0CAC">
            <w:pPr>
              <w:spacing w:before="60"/>
              <w:ind w:left="57" w:right="57"/>
              <w:jc w:val="center"/>
              <w:rPr>
                <w:sz w:val="21"/>
              </w:rPr>
            </w:pPr>
          </w:p>
        </w:tc>
        <w:tc>
          <w:tcPr>
            <w:tcW w:w="1882" w:type="dxa"/>
          </w:tcPr>
          <w:p w:rsidR="00000000" w:rsidRDefault="00BD0CAC">
            <w:pPr>
              <w:spacing w:before="60"/>
              <w:ind w:left="57" w:right="57"/>
              <w:jc w:val="center"/>
              <w:rPr>
                <w:sz w:val="21"/>
              </w:rPr>
            </w:pPr>
            <w:r>
              <w:rPr>
                <w:sz w:val="21"/>
              </w:rPr>
              <w:t>9.2</w:t>
            </w:r>
          </w:p>
        </w:tc>
      </w:tr>
      <w:tr w:rsidR="00000000">
        <w:tblPrEx>
          <w:tblCellMar>
            <w:top w:w="0" w:type="dxa"/>
            <w:bottom w:w="0" w:type="dxa"/>
          </w:tblCellMar>
        </w:tblPrEx>
        <w:tc>
          <w:tcPr>
            <w:tcW w:w="1882" w:type="dxa"/>
          </w:tcPr>
          <w:p w:rsidR="00000000" w:rsidRDefault="00BD0CAC">
            <w:pPr>
              <w:spacing w:before="60"/>
              <w:jc w:val="center"/>
              <w:rPr>
                <w:sz w:val="21"/>
              </w:rPr>
            </w:pPr>
            <w:r>
              <w:rPr>
                <w:sz w:val="21"/>
              </w:rPr>
              <w:t>1995 - 1996</w:t>
            </w:r>
          </w:p>
        </w:tc>
        <w:tc>
          <w:tcPr>
            <w:tcW w:w="1882" w:type="dxa"/>
          </w:tcPr>
          <w:p w:rsidR="00000000" w:rsidRDefault="00BD0CAC">
            <w:pPr>
              <w:spacing w:before="60"/>
              <w:jc w:val="center"/>
              <w:rPr>
                <w:sz w:val="21"/>
              </w:rPr>
            </w:pPr>
            <w:r>
              <w:rPr>
                <w:rFonts w:hint="eastAsia"/>
                <w:sz w:val="21"/>
              </w:rPr>
              <w:t>教育部</w:t>
            </w:r>
          </w:p>
          <w:p w:rsidR="00000000" w:rsidRDefault="00BD0CAC">
            <w:pPr>
              <w:spacing w:before="60"/>
              <w:jc w:val="center"/>
              <w:rPr>
                <w:sz w:val="21"/>
              </w:rPr>
            </w:pPr>
            <w:r>
              <w:rPr>
                <w:rFonts w:hint="eastAsia"/>
                <w:sz w:val="21"/>
              </w:rPr>
              <w:t>高教部</w:t>
            </w:r>
          </w:p>
        </w:tc>
        <w:tc>
          <w:tcPr>
            <w:tcW w:w="1882" w:type="dxa"/>
          </w:tcPr>
          <w:p w:rsidR="00000000" w:rsidRDefault="00BD0CAC">
            <w:pPr>
              <w:spacing w:before="60"/>
              <w:jc w:val="center"/>
              <w:rPr>
                <w:sz w:val="21"/>
              </w:rPr>
            </w:pPr>
            <w:r>
              <w:rPr>
                <w:sz w:val="21"/>
              </w:rPr>
              <w:t>61 991 000 000</w:t>
            </w:r>
          </w:p>
          <w:p w:rsidR="00000000" w:rsidRDefault="00BD0CAC">
            <w:pPr>
              <w:spacing w:before="60"/>
              <w:jc w:val="center"/>
              <w:rPr>
                <w:sz w:val="21"/>
              </w:rPr>
            </w:pPr>
            <w:r>
              <w:rPr>
                <w:sz w:val="21"/>
              </w:rPr>
              <w:t xml:space="preserve">14 498 </w:t>
            </w:r>
            <w:r>
              <w:rPr>
                <w:sz w:val="21"/>
              </w:rPr>
              <w:t>000 000</w:t>
            </w:r>
          </w:p>
        </w:tc>
        <w:tc>
          <w:tcPr>
            <w:tcW w:w="1882" w:type="dxa"/>
          </w:tcPr>
          <w:p w:rsidR="00000000" w:rsidRDefault="00BD0CAC">
            <w:pPr>
              <w:spacing w:before="60"/>
              <w:jc w:val="center"/>
              <w:rPr>
                <w:sz w:val="21"/>
              </w:rPr>
            </w:pPr>
            <w:r>
              <w:rPr>
                <w:sz w:val="21"/>
              </w:rPr>
              <w:t>682 000 000 000</w:t>
            </w:r>
          </w:p>
        </w:tc>
        <w:tc>
          <w:tcPr>
            <w:tcW w:w="1882" w:type="dxa"/>
          </w:tcPr>
          <w:p w:rsidR="00000000" w:rsidRDefault="00BD0CAC">
            <w:pPr>
              <w:spacing w:before="60"/>
              <w:jc w:val="center"/>
              <w:rPr>
                <w:sz w:val="21"/>
              </w:rPr>
            </w:pPr>
            <w:r>
              <w:rPr>
                <w:sz w:val="21"/>
              </w:rPr>
              <w:t>11.2</w:t>
            </w:r>
          </w:p>
        </w:tc>
      </w:tr>
    </w:tbl>
    <w:p w:rsidR="00000000" w:rsidRDefault="00BD0CAC">
      <w:pPr>
        <w:spacing w:after="240"/>
        <w:textAlignment w:val="center"/>
      </w:pPr>
      <w:r>
        <w:tab/>
      </w:r>
      <w:r>
        <w:rPr>
          <w:rFonts w:hint="eastAsia"/>
        </w:rPr>
        <w:t>拨给教育的预算逐年增长；这表明国家关切使全体公民充分享受教育权。</w:t>
      </w:r>
    </w:p>
    <w:p w:rsidR="00000000" w:rsidRDefault="00BD0CAC">
      <w:pPr>
        <w:spacing w:after="160"/>
        <w:textAlignment w:val="center"/>
      </w:pPr>
      <w:r>
        <w:t xml:space="preserve">(2) </w:t>
      </w:r>
      <w:r>
        <w:rPr>
          <w:rFonts w:hint="eastAsia"/>
          <w:u w:val="single"/>
        </w:rPr>
        <w:t>按教育等级官方支出的分布情况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BD0CAC">
            <w:pPr>
              <w:spacing w:before="60"/>
              <w:jc w:val="center"/>
              <w:rPr>
                <w:sz w:val="21"/>
              </w:rPr>
            </w:pPr>
            <w:r>
              <w:rPr>
                <w:rFonts w:hint="eastAsia"/>
                <w:sz w:val="21"/>
              </w:rPr>
              <w:t>等</w:t>
            </w:r>
            <w:r>
              <w:rPr>
                <w:sz w:val="21"/>
              </w:rPr>
              <w:t xml:space="preserve">  </w:t>
            </w:r>
            <w:r>
              <w:rPr>
                <w:rFonts w:hint="eastAsia"/>
                <w:sz w:val="21"/>
              </w:rPr>
              <w:t>级</w:t>
            </w:r>
          </w:p>
        </w:tc>
        <w:tc>
          <w:tcPr>
            <w:tcW w:w="3137" w:type="dxa"/>
          </w:tcPr>
          <w:p w:rsidR="00000000" w:rsidRDefault="00BD0CAC">
            <w:pPr>
              <w:spacing w:before="60"/>
              <w:jc w:val="center"/>
              <w:rPr>
                <w:sz w:val="21"/>
              </w:rPr>
            </w:pPr>
            <w:r>
              <w:rPr>
                <w:sz w:val="21"/>
              </w:rPr>
              <w:t>1994 - 1995</w:t>
            </w:r>
          </w:p>
        </w:tc>
        <w:tc>
          <w:tcPr>
            <w:tcW w:w="3137" w:type="dxa"/>
          </w:tcPr>
          <w:p w:rsidR="00000000" w:rsidRDefault="00BD0CAC">
            <w:pPr>
              <w:spacing w:before="60"/>
              <w:jc w:val="center"/>
              <w:rPr>
                <w:sz w:val="21"/>
              </w:rPr>
            </w:pPr>
            <w:r>
              <w:rPr>
                <w:sz w:val="21"/>
              </w:rPr>
              <w:t>1995 - 1996</w:t>
            </w:r>
          </w:p>
        </w:tc>
      </w:tr>
      <w:tr w:rsidR="00000000">
        <w:tblPrEx>
          <w:tblCellMar>
            <w:top w:w="0" w:type="dxa"/>
            <w:bottom w:w="0" w:type="dxa"/>
          </w:tblCellMar>
        </w:tblPrEx>
        <w:tc>
          <w:tcPr>
            <w:tcW w:w="3137" w:type="dxa"/>
          </w:tcPr>
          <w:p w:rsidR="00000000" w:rsidRDefault="00BD0CAC">
            <w:pPr>
              <w:spacing w:before="60"/>
              <w:jc w:val="center"/>
              <w:rPr>
                <w:sz w:val="21"/>
              </w:rPr>
            </w:pPr>
            <w:r>
              <w:rPr>
                <w:rFonts w:hint="eastAsia"/>
                <w:sz w:val="21"/>
              </w:rPr>
              <w:t>小</w:t>
            </w:r>
            <w:r>
              <w:rPr>
                <w:sz w:val="21"/>
              </w:rPr>
              <w:t xml:space="preserve">    </w:t>
            </w:r>
            <w:r>
              <w:rPr>
                <w:rFonts w:hint="eastAsia"/>
                <w:sz w:val="21"/>
              </w:rPr>
              <w:t>学</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1 179 000 000</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2 394 000 000</w:t>
            </w:r>
          </w:p>
        </w:tc>
      </w:tr>
      <w:tr w:rsidR="00000000">
        <w:tblPrEx>
          <w:tblCellMar>
            <w:top w:w="0" w:type="dxa"/>
            <w:bottom w:w="0" w:type="dxa"/>
          </w:tblCellMar>
        </w:tblPrEx>
        <w:tc>
          <w:tcPr>
            <w:tcW w:w="3137" w:type="dxa"/>
          </w:tcPr>
          <w:p w:rsidR="00000000" w:rsidRDefault="00BD0CAC">
            <w:pPr>
              <w:spacing w:before="60"/>
              <w:jc w:val="center"/>
              <w:rPr>
                <w:sz w:val="21"/>
              </w:rPr>
            </w:pPr>
            <w:r>
              <w:rPr>
                <w:rFonts w:hint="eastAsia"/>
                <w:sz w:val="21"/>
              </w:rPr>
              <w:t>普通中学</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1 954 000 000</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474 500 000</w:t>
            </w:r>
          </w:p>
        </w:tc>
      </w:tr>
      <w:tr w:rsidR="00000000">
        <w:tblPrEx>
          <w:tblCellMar>
            <w:top w:w="0" w:type="dxa"/>
            <w:bottom w:w="0" w:type="dxa"/>
          </w:tblCellMar>
        </w:tblPrEx>
        <w:tc>
          <w:tcPr>
            <w:tcW w:w="3137" w:type="dxa"/>
          </w:tcPr>
          <w:p w:rsidR="00000000" w:rsidRDefault="00BD0CAC">
            <w:pPr>
              <w:spacing w:before="60"/>
              <w:jc w:val="center"/>
              <w:rPr>
                <w:sz w:val="21"/>
              </w:rPr>
            </w:pPr>
            <w:r>
              <w:rPr>
                <w:rFonts w:hint="eastAsia"/>
                <w:sz w:val="21"/>
              </w:rPr>
              <w:t>技术中学</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448 859 000</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707 000 000</w:t>
            </w:r>
          </w:p>
        </w:tc>
      </w:tr>
      <w:tr w:rsidR="00000000">
        <w:tblPrEx>
          <w:tblCellMar>
            <w:top w:w="0" w:type="dxa"/>
            <w:bottom w:w="0" w:type="dxa"/>
          </w:tblCellMar>
        </w:tblPrEx>
        <w:tc>
          <w:tcPr>
            <w:tcW w:w="3137" w:type="dxa"/>
          </w:tcPr>
          <w:p w:rsidR="00000000" w:rsidRDefault="00BD0CAC">
            <w:pPr>
              <w:spacing w:before="60"/>
              <w:jc w:val="center"/>
              <w:rPr>
                <w:sz w:val="21"/>
              </w:rPr>
            </w:pPr>
            <w:r>
              <w:rPr>
                <w:rFonts w:hint="eastAsia"/>
                <w:sz w:val="21"/>
              </w:rPr>
              <w:t>高等教育</w:t>
            </w:r>
          </w:p>
        </w:tc>
        <w:tc>
          <w:tcPr>
            <w:tcW w:w="3137" w:type="dxa"/>
          </w:tcPr>
          <w:p w:rsidR="00000000" w:rsidRDefault="00BD0CAC">
            <w:pPr>
              <w:tabs>
                <w:tab w:val="clear" w:pos="510"/>
                <w:tab w:val="clear" w:pos="1021"/>
                <w:tab w:val="clear" w:pos="1531"/>
                <w:tab w:val="clear" w:pos="2041"/>
                <w:tab w:val="decimal" w:pos="0"/>
              </w:tabs>
              <w:spacing w:before="60"/>
              <w:ind w:right="907"/>
              <w:jc w:val="right"/>
              <w:rPr>
                <w:sz w:val="21"/>
              </w:rPr>
            </w:pPr>
            <w:r>
              <w:rPr>
                <w:sz w:val="21"/>
              </w:rPr>
              <w:t>14 087 000 000</w:t>
            </w:r>
          </w:p>
        </w:tc>
        <w:tc>
          <w:tcPr>
            <w:tcW w:w="3137" w:type="dxa"/>
          </w:tcPr>
          <w:p w:rsidR="00000000" w:rsidRDefault="00BD0CAC">
            <w:pPr>
              <w:tabs>
                <w:tab w:val="clear" w:pos="510"/>
                <w:tab w:val="clear" w:pos="1021"/>
                <w:tab w:val="clear" w:pos="1531"/>
                <w:tab w:val="clear" w:pos="2041"/>
                <w:tab w:val="decimal" w:pos="0"/>
              </w:tabs>
              <w:spacing w:before="60"/>
              <w:ind w:right="907"/>
              <w:jc w:val="left"/>
              <w:rPr>
                <w:sz w:val="21"/>
              </w:rPr>
            </w:pPr>
          </w:p>
        </w:tc>
      </w:tr>
    </w:tbl>
    <w:p w:rsidR="00000000" w:rsidRDefault="00BD0CAC"/>
    <w:p w:rsidR="00000000" w:rsidRDefault="00BD0CAC">
      <w:pPr>
        <w:spacing w:after="320"/>
        <w:textAlignment w:val="center"/>
      </w:pPr>
      <w:r>
        <w:tab/>
        <w:t xml:space="preserve">125.  </w:t>
      </w:r>
      <w:r>
        <w:rPr>
          <w:rFonts w:hint="eastAsia"/>
        </w:rPr>
        <w:t>用于基础教育的经费更多。这符合</w:t>
      </w:r>
      <w:r>
        <w:t>1990</w:t>
      </w:r>
      <w:r>
        <w:rPr>
          <w:rFonts w:hint="eastAsia"/>
        </w:rPr>
        <w:t>年</w:t>
      </w:r>
      <w:r>
        <w:t>3</w:t>
      </w:r>
      <w:r>
        <w:rPr>
          <w:rFonts w:hint="eastAsia"/>
        </w:rPr>
        <w:t>月</w:t>
      </w:r>
      <w:r>
        <w:t>Jomtien</w:t>
      </w:r>
      <w:r>
        <w:rPr>
          <w:rFonts w:hint="eastAsia"/>
        </w:rPr>
        <w:t>世界教育大会建议的精神，会议要求各国将基础教育作为优先中的优先项目。</w:t>
      </w:r>
    </w:p>
    <w:p w:rsidR="00000000" w:rsidRDefault="00BD0CAC">
      <w:pPr>
        <w:pStyle w:val="Heading4"/>
      </w:pPr>
      <w:r>
        <w:rPr>
          <w:u w:val="none"/>
        </w:rPr>
        <w:tab/>
      </w:r>
      <w:r>
        <w:rPr>
          <w:rFonts w:hint="eastAsia"/>
        </w:rPr>
        <w:t>教学日历</w:t>
      </w:r>
    </w:p>
    <w:p w:rsidR="00000000" w:rsidRDefault="00BD0CAC">
      <w:r>
        <w:tab/>
        <w:t xml:space="preserve">126.  </w:t>
      </w:r>
      <w:r>
        <w:rPr>
          <w:rFonts w:hint="eastAsia"/>
        </w:rPr>
        <w:t>在喀麦隆共和国，每年均有部一级的决定明确停课日期。每一学年有三个季度，自新学期开学日算起，分为</w:t>
      </w:r>
      <w:r>
        <w:t>6</w:t>
      </w:r>
      <w:r>
        <w:rPr>
          <w:rFonts w:hint="eastAsia"/>
        </w:rPr>
        <w:t>个教学和评估段，每段各为</w:t>
      </w:r>
      <w:r>
        <w:t>5</w:t>
      </w:r>
      <w:r>
        <w:rPr>
          <w:rFonts w:hint="eastAsia"/>
        </w:rPr>
        <w:t>至</w:t>
      </w:r>
      <w:r>
        <w:t>6</w:t>
      </w:r>
      <w:r>
        <w:rPr>
          <w:rFonts w:hint="eastAsia"/>
        </w:rPr>
        <w:t>周。第</w:t>
      </w:r>
      <w:r>
        <w:t>1</w:t>
      </w:r>
      <w:r>
        <w:rPr>
          <w:rFonts w:hint="eastAsia"/>
        </w:rPr>
        <w:t>、</w:t>
      </w:r>
      <w:r>
        <w:t>2</w:t>
      </w:r>
      <w:r>
        <w:rPr>
          <w:rFonts w:hint="eastAsia"/>
        </w:rPr>
        <w:t>季度末尾各有一段假期。</w:t>
      </w:r>
      <w:r>
        <w:t>1996-1997</w:t>
      </w:r>
      <w:r>
        <w:rPr>
          <w:rFonts w:hint="eastAsia"/>
        </w:rPr>
        <w:t>学年划分为：</w:t>
      </w:r>
    </w:p>
    <w:tbl>
      <w:tblPr>
        <w:tblW w:w="0" w:type="auto"/>
        <w:tblInd w:w="1082" w:type="dxa"/>
        <w:tblLayout w:type="fixed"/>
        <w:tblCellMar>
          <w:left w:w="28" w:type="dxa"/>
          <w:right w:w="28" w:type="dxa"/>
        </w:tblCellMar>
        <w:tblLook w:val="0000" w:firstRow="0" w:lastRow="0" w:firstColumn="0" w:lastColumn="0" w:noHBand="0" w:noVBand="0"/>
      </w:tblPr>
      <w:tblGrid>
        <w:gridCol w:w="1920"/>
        <w:gridCol w:w="6382"/>
      </w:tblGrid>
      <w:tr w:rsidR="00000000">
        <w:tblPrEx>
          <w:tblCellMar>
            <w:top w:w="0" w:type="dxa"/>
            <w:bottom w:w="0" w:type="dxa"/>
          </w:tblCellMar>
        </w:tblPrEx>
        <w:tc>
          <w:tcPr>
            <w:tcW w:w="1920" w:type="dxa"/>
          </w:tcPr>
          <w:p w:rsidR="00000000" w:rsidRDefault="00BD0CAC">
            <w:r>
              <w:t xml:space="preserve">-   </w:t>
            </w:r>
            <w:r>
              <w:rPr>
                <w:rFonts w:hint="eastAsia"/>
              </w:rPr>
              <w:t>第</w:t>
            </w:r>
            <w:r>
              <w:t>1</w:t>
            </w:r>
            <w:r>
              <w:rPr>
                <w:rFonts w:hint="eastAsia"/>
              </w:rPr>
              <w:t>季度：</w:t>
            </w:r>
          </w:p>
        </w:tc>
        <w:tc>
          <w:tcPr>
            <w:tcW w:w="6382" w:type="dxa"/>
          </w:tcPr>
          <w:p w:rsidR="00000000" w:rsidRDefault="00BD0CAC">
            <w:r>
              <w:rPr>
                <w:rFonts w:hint="eastAsia"/>
              </w:rPr>
              <w:t>自</w:t>
            </w:r>
            <w:r>
              <w:t>1996</w:t>
            </w:r>
            <w:r>
              <w:rPr>
                <w:rFonts w:hint="eastAsia"/>
              </w:rPr>
              <w:t>年</w:t>
            </w:r>
            <w:r>
              <w:t>9</w:t>
            </w:r>
            <w:r>
              <w:rPr>
                <w:rFonts w:hint="eastAsia"/>
              </w:rPr>
              <w:t>月</w:t>
            </w:r>
            <w:r>
              <w:t>12</w:t>
            </w:r>
            <w:r>
              <w:rPr>
                <w:rFonts w:hint="eastAsia"/>
              </w:rPr>
              <w:t>日星期四至</w:t>
            </w:r>
            <w:r>
              <w:t>12</w:t>
            </w:r>
            <w:r>
              <w:rPr>
                <w:rFonts w:hint="eastAsia"/>
              </w:rPr>
              <w:t>月</w:t>
            </w:r>
            <w:r>
              <w:t>20</w:t>
            </w:r>
            <w:r>
              <w:rPr>
                <w:rFonts w:hint="eastAsia"/>
              </w:rPr>
              <w:t>日星期五</w:t>
            </w:r>
          </w:p>
        </w:tc>
      </w:tr>
      <w:tr w:rsidR="00000000">
        <w:tblPrEx>
          <w:tblCellMar>
            <w:top w:w="0" w:type="dxa"/>
            <w:bottom w:w="0" w:type="dxa"/>
          </w:tblCellMar>
        </w:tblPrEx>
        <w:tc>
          <w:tcPr>
            <w:tcW w:w="1920" w:type="dxa"/>
          </w:tcPr>
          <w:p w:rsidR="00000000" w:rsidRDefault="00BD0CAC">
            <w:r>
              <w:t xml:space="preserve">-   </w:t>
            </w:r>
            <w:r>
              <w:rPr>
                <w:rFonts w:hint="eastAsia"/>
              </w:rPr>
              <w:t>第</w:t>
            </w:r>
            <w:r>
              <w:t>2</w:t>
            </w:r>
            <w:r>
              <w:rPr>
                <w:rFonts w:hint="eastAsia"/>
              </w:rPr>
              <w:t>季度：</w:t>
            </w:r>
          </w:p>
        </w:tc>
        <w:tc>
          <w:tcPr>
            <w:tcW w:w="6382" w:type="dxa"/>
          </w:tcPr>
          <w:p w:rsidR="00000000" w:rsidRDefault="00BD0CAC">
            <w:r>
              <w:rPr>
                <w:rFonts w:hint="eastAsia"/>
              </w:rPr>
              <w:t>自</w:t>
            </w:r>
            <w:r>
              <w:t>1997</w:t>
            </w:r>
            <w:r>
              <w:rPr>
                <w:rFonts w:hint="eastAsia"/>
              </w:rPr>
              <w:t>年</w:t>
            </w:r>
            <w:r>
              <w:t>1</w:t>
            </w:r>
            <w:r>
              <w:rPr>
                <w:rFonts w:hint="eastAsia"/>
              </w:rPr>
              <w:t>月</w:t>
            </w:r>
            <w:r>
              <w:t>6</w:t>
            </w:r>
            <w:r>
              <w:rPr>
                <w:rFonts w:hint="eastAsia"/>
              </w:rPr>
              <w:t>日星期一至</w:t>
            </w:r>
            <w:r>
              <w:t>3</w:t>
            </w:r>
            <w:r>
              <w:rPr>
                <w:rFonts w:hint="eastAsia"/>
              </w:rPr>
              <w:t>月</w:t>
            </w:r>
            <w:r>
              <w:t>21</w:t>
            </w:r>
            <w:r>
              <w:rPr>
                <w:rFonts w:hint="eastAsia"/>
              </w:rPr>
              <w:t>日星期五</w:t>
            </w:r>
          </w:p>
        </w:tc>
      </w:tr>
      <w:tr w:rsidR="00000000">
        <w:tblPrEx>
          <w:tblCellMar>
            <w:top w:w="0" w:type="dxa"/>
            <w:bottom w:w="0" w:type="dxa"/>
          </w:tblCellMar>
        </w:tblPrEx>
        <w:tc>
          <w:tcPr>
            <w:tcW w:w="1920" w:type="dxa"/>
          </w:tcPr>
          <w:p w:rsidR="00000000" w:rsidRDefault="00BD0CAC">
            <w:r>
              <w:t xml:space="preserve">-   </w:t>
            </w:r>
            <w:r>
              <w:rPr>
                <w:rFonts w:hint="eastAsia"/>
              </w:rPr>
              <w:t>第</w:t>
            </w:r>
            <w:r>
              <w:t>3</w:t>
            </w:r>
            <w:r>
              <w:rPr>
                <w:rFonts w:hint="eastAsia"/>
              </w:rPr>
              <w:t>季度：</w:t>
            </w:r>
          </w:p>
        </w:tc>
        <w:tc>
          <w:tcPr>
            <w:tcW w:w="6382" w:type="dxa"/>
          </w:tcPr>
          <w:p w:rsidR="00000000" w:rsidRDefault="00BD0CAC">
            <w:r>
              <w:rPr>
                <w:rFonts w:hint="eastAsia"/>
              </w:rPr>
              <w:t>自</w:t>
            </w:r>
            <w:r>
              <w:t>1997</w:t>
            </w:r>
            <w:r>
              <w:rPr>
                <w:rFonts w:hint="eastAsia"/>
              </w:rPr>
              <w:t>年</w:t>
            </w:r>
            <w:r>
              <w:t>4</w:t>
            </w:r>
            <w:r>
              <w:rPr>
                <w:rFonts w:hint="eastAsia"/>
              </w:rPr>
              <w:t>月</w:t>
            </w:r>
            <w:r>
              <w:t>2</w:t>
            </w:r>
            <w:r>
              <w:rPr>
                <w:rFonts w:hint="eastAsia"/>
              </w:rPr>
              <w:t>日星期三至</w:t>
            </w:r>
            <w:r>
              <w:t>6</w:t>
            </w:r>
            <w:r>
              <w:rPr>
                <w:rFonts w:hint="eastAsia"/>
              </w:rPr>
              <w:t>月</w:t>
            </w:r>
            <w:r>
              <w:t>13</w:t>
            </w:r>
            <w:r>
              <w:rPr>
                <w:rFonts w:hint="eastAsia"/>
              </w:rPr>
              <w:t>日星期五。</w:t>
            </w:r>
          </w:p>
        </w:tc>
      </w:tr>
    </w:tbl>
    <w:p w:rsidR="00000000" w:rsidRDefault="00BD0CAC">
      <w:pPr>
        <w:spacing w:after="320"/>
        <w:textAlignment w:val="center"/>
      </w:pPr>
      <w:r>
        <w:rPr>
          <w:rFonts w:hint="eastAsia"/>
        </w:rPr>
        <w:t>国家考试的备用期为</w:t>
      </w:r>
      <w:r>
        <w:t>1997</w:t>
      </w:r>
      <w:r>
        <w:rPr>
          <w:rFonts w:hint="eastAsia"/>
        </w:rPr>
        <w:t>年</w:t>
      </w:r>
      <w:r>
        <w:t>6</w:t>
      </w:r>
      <w:r>
        <w:rPr>
          <w:rFonts w:hint="eastAsia"/>
        </w:rPr>
        <w:t>月</w:t>
      </w:r>
      <w:r>
        <w:t>16</w:t>
      </w:r>
      <w:r>
        <w:rPr>
          <w:rFonts w:hint="eastAsia"/>
        </w:rPr>
        <w:t>日星期一至</w:t>
      </w:r>
      <w:r>
        <w:t>7</w:t>
      </w:r>
      <w:r>
        <w:rPr>
          <w:rFonts w:hint="eastAsia"/>
        </w:rPr>
        <w:t>月</w:t>
      </w:r>
      <w:r>
        <w:t>18</w:t>
      </w:r>
      <w:r>
        <w:rPr>
          <w:rFonts w:hint="eastAsia"/>
        </w:rPr>
        <w:t>日星期五。</w:t>
      </w:r>
    </w:p>
    <w:p w:rsidR="00000000" w:rsidRDefault="00BD0CAC">
      <w:pPr>
        <w:pStyle w:val="Heading4"/>
        <w:spacing w:after="200"/>
      </w:pPr>
      <w:r>
        <w:rPr>
          <w:u w:val="none"/>
        </w:rPr>
        <w:t>(b)</w:t>
      </w:r>
      <w:r>
        <w:rPr>
          <w:u w:val="none"/>
        </w:rPr>
        <w:tab/>
      </w:r>
      <w:r>
        <w:rPr>
          <w:rFonts w:hint="eastAsia"/>
        </w:rPr>
        <w:t>各级教育中的平等入学问题</w:t>
      </w:r>
    </w:p>
    <w:p w:rsidR="00000000" w:rsidRDefault="00BD0CAC">
      <w:pPr>
        <w:spacing w:after="320"/>
        <w:textAlignment w:val="center"/>
      </w:pPr>
      <w:r>
        <w:tab/>
        <w:t xml:space="preserve">127.  </w:t>
      </w:r>
      <w:r>
        <w:rPr>
          <w:rFonts w:hint="eastAsia"/>
        </w:rPr>
        <w:t>各级教育入学与每一公民的生活水平相关。喀麦隆约有</w:t>
      </w:r>
      <w:r>
        <w:t>70%</w:t>
      </w:r>
      <w:r>
        <w:rPr>
          <w:rFonts w:hint="eastAsia"/>
        </w:rPr>
        <w:t>的学生读完小学后因贫困辍学。仅</w:t>
      </w:r>
      <w:r>
        <w:t>30%</w:t>
      </w:r>
      <w:r>
        <w:rPr>
          <w:rFonts w:hint="eastAsia"/>
        </w:rPr>
        <w:t>能入中学，</w:t>
      </w:r>
      <w:r>
        <w:t>3%</w:t>
      </w:r>
      <w:r>
        <w:rPr>
          <w:rFonts w:hint="eastAsia"/>
        </w:rPr>
        <w:t>入高校。</w:t>
      </w:r>
    </w:p>
    <w:p w:rsidR="00000000" w:rsidRDefault="00BD0CAC">
      <w:pPr>
        <w:pStyle w:val="Heading4"/>
        <w:spacing w:after="200"/>
      </w:pPr>
      <w:r>
        <w:rPr>
          <w:u w:val="none"/>
        </w:rPr>
        <w:tab/>
        <w:t>(</w:t>
      </w:r>
      <w:r>
        <w:rPr>
          <w:rFonts w:hint="eastAsia"/>
          <w:u w:val="none"/>
        </w:rPr>
        <w:t>一</w:t>
      </w:r>
      <w:r>
        <w:rPr>
          <w:u w:val="none"/>
        </w:rPr>
        <w:t>)</w:t>
      </w:r>
      <w:r>
        <w:rPr>
          <w:u w:val="none"/>
        </w:rPr>
        <w:tab/>
      </w:r>
      <w:r>
        <w:t>1994-1995</w:t>
      </w:r>
      <w:r>
        <w:rPr>
          <w:rFonts w:hint="eastAsia"/>
        </w:rPr>
        <w:t>年各级学校性别分布：</w:t>
      </w:r>
    </w:p>
    <w:tbl>
      <w:tblPr>
        <w:tblW w:w="0" w:type="auto"/>
        <w:tblInd w:w="962" w:type="dxa"/>
        <w:tblLayout w:type="fixed"/>
        <w:tblCellMar>
          <w:left w:w="28" w:type="dxa"/>
          <w:right w:w="28" w:type="dxa"/>
        </w:tblCellMar>
        <w:tblLook w:val="0000" w:firstRow="0" w:lastRow="0" w:firstColumn="0" w:lastColumn="0" w:noHBand="0" w:noVBand="0"/>
      </w:tblPr>
      <w:tblGrid>
        <w:gridCol w:w="2760"/>
        <w:gridCol w:w="1234"/>
        <w:gridCol w:w="1646"/>
      </w:tblGrid>
      <w:tr w:rsidR="00000000">
        <w:tblPrEx>
          <w:tblCellMar>
            <w:top w:w="0" w:type="dxa"/>
            <w:bottom w:w="0" w:type="dxa"/>
          </w:tblCellMar>
        </w:tblPrEx>
        <w:tc>
          <w:tcPr>
            <w:tcW w:w="2760" w:type="dxa"/>
          </w:tcPr>
          <w:p w:rsidR="00000000" w:rsidRDefault="00BD0CAC">
            <w:pPr>
              <w:spacing w:line="240" w:lineRule="auto"/>
            </w:pPr>
            <w:r>
              <w:t xml:space="preserve">-   </w:t>
            </w:r>
            <w:r>
              <w:rPr>
                <w:rFonts w:hint="eastAsia"/>
              </w:rPr>
              <w:t>幼儿教育：</w:t>
            </w:r>
          </w:p>
        </w:tc>
        <w:tc>
          <w:tcPr>
            <w:tcW w:w="1234" w:type="dxa"/>
          </w:tcPr>
          <w:p w:rsidR="00000000" w:rsidRDefault="00BD0CAC">
            <w:pPr>
              <w:spacing w:line="240" w:lineRule="auto"/>
            </w:pPr>
            <w:r>
              <w:t xml:space="preserve">  </w:t>
            </w:r>
            <w:r>
              <w:rPr>
                <w:rFonts w:hint="eastAsia"/>
              </w:rPr>
              <w:t>男生</w:t>
            </w:r>
          </w:p>
        </w:tc>
        <w:tc>
          <w:tcPr>
            <w:tcW w:w="1646" w:type="dxa"/>
          </w:tcPr>
          <w:p w:rsidR="00000000" w:rsidRDefault="00BD0CAC">
            <w:pPr>
              <w:spacing w:line="240" w:lineRule="auto"/>
              <w:jc w:val="right"/>
            </w:pPr>
            <w:r>
              <w:t>46,036</w:t>
            </w:r>
          </w:p>
        </w:tc>
      </w:tr>
      <w:tr w:rsidR="00000000">
        <w:tblPrEx>
          <w:tblCellMar>
            <w:top w:w="0" w:type="dxa"/>
            <w:bottom w:w="0" w:type="dxa"/>
          </w:tblCellMar>
        </w:tblPrEx>
        <w:tc>
          <w:tcPr>
            <w:tcW w:w="2760" w:type="dxa"/>
          </w:tcPr>
          <w:p w:rsidR="00000000" w:rsidRDefault="00BD0CAC">
            <w:pPr>
              <w:spacing w:line="240" w:lineRule="auto"/>
            </w:pPr>
          </w:p>
        </w:tc>
        <w:tc>
          <w:tcPr>
            <w:tcW w:w="1234" w:type="dxa"/>
          </w:tcPr>
          <w:p w:rsidR="00000000" w:rsidRDefault="00BD0CAC">
            <w:pPr>
              <w:spacing w:line="240" w:lineRule="auto"/>
            </w:pPr>
            <w:r>
              <w:t xml:space="preserve">  </w:t>
            </w:r>
            <w:r>
              <w:rPr>
                <w:rFonts w:hint="eastAsia"/>
              </w:rPr>
              <w:t>女生</w:t>
            </w:r>
          </w:p>
        </w:tc>
        <w:tc>
          <w:tcPr>
            <w:tcW w:w="1646" w:type="dxa"/>
          </w:tcPr>
          <w:p w:rsidR="00000000" w:rsidRDefault="00BD0CAC">
            <w:pPr>
              <w:spacing w:line="240" w:lineRule="auto"/>
              <w:jc w:val="right"/>
            </w:pPr>
            <w:r>
              <w:t>45,206</w:t>
            </w:r>
          </w:p>
        </w:tc>
      </w:tr>
      <w:tr w:rsidR="00000000">
        <w:tblPrEx>
          <w:tblCellMar>
            <w:top w:w="0" w:type="dxa"/>
            <w:bottom w:w="0" w:type="dxa"/>
          </w:tblCellMar>
        </w:tblPrEx>
        <w:tc>
          <w:tcPr>
            <w:tcW w:w="2760" w:type="dxa"/>
          </w:tcPr>
          <w:p w:rsidR="00000000" w:rsidRDefault="00BD0CAC">
            <w:pPr>
              <w:spacing w:line="240" w:lineRule="auto"/>
            </w:pPr>
            <w:r>
              <w:t xml:space="preserve">-   </w:t>
            </w:r>
            <w:r>
              <w:rPr>
                <w:rFonts w:hint="eastAsia"/>
              </w:rPr>
              <w:t>初等教育：</w:t>
            </w:r>
          </w:p>
        </w:tc>
        <w:tc>
          <w:tcPr>
            <w:tcW w:w="1234" w:type="dxa"/>
          </w:tcPr>
          <w:p w:rsidR="00000000" w:rsidRDefault="00BD0CAC">
            <w:pPr>
              <w:spacing w:line="240" w:lineRule="auto"/>
            </w:pPr>
            <w:r>
              <w:t xml:space="preserve">  </w:t>
            </w:r>
            <w:r>
              <w:rPr>
                <w:rFonts w:hint="eastAsia"/>
              </w:rPr>
              <w:t>男生</w:t>
            </w:r>
          </w:p>
        </w:tc>
        <w:tc>
          <w:tcPr>
            <w:tcW w:w="1646" w:type="dxa"/>
          </w:tcPr>
          <w:p w:rsidR="00000000" w:rsidRDefault="00BD0CAC">
            <w:pPr>
              <w:spacing w:line="240" w:lineRule="auto"/>
              <w:jc w:val="right"/>
            </w:pPr>
            <w:r>
              <w:t>003,105</w:t>
            </w:r>
          </w:p>
        </w:tc>
      </w:tr>
      <w:tr w:rsidR="00000000">
        <w:tblPrEx>
          <w:tblCellMar>
            <w:top w:w="0" w:type="dxa"/>
            <w:bottom w:w="0" w:type="dxa"/>
          </w:tblCellMar>
        </w:tblPrEx>
        <w:tc>
          <w:tcPr>
            <w:tcW w:w="2760" w:type="dxa"/>
          </w:tcPr>
          <w:p w:rsidR="00000000" w:rsidRDefault="00BD0CAC">
            <w:pPr>
              <w:spacing w:line="240" w:lineRule="auto"/>
            </w:pPr>
          </w:p>
        </w:tc>
        <w:tc>
          <w:tcPr>
            <w:tcW w:w="1234" w:type="dxa"/>
          </w:tcPr>
          <w:p w:rsidR="00000000" w:rsidRDefault="00BD0CAC">
            <w:pPr>
              <w:spacing w:line="240" w:lineRule="auto"/>
            </w:pPr>
            <w:r>
              <w:t xml:space="preserve">  </w:t>
            </w:r>
            <w:r>
              <w:rPr>
                <w:rFonts w:hint="eastAsia"/>
              </w:rPr>
              <w:t>女生</w:t>
            </w:r>
          </w:p>
        </w:tc>
        <w:tc>
          <w:tcPr>
            <w:tcW w:w="1646" w:type="dxa"/>
          </w:tcPr>
          <w:p w:rsidR="00000000" w:rsidRDefault="00BD0CAC">
            <w:pPr>
              <w:spacing w:line="240" w:lineRule="auto"/>
              <w:jc w:val="right"/>
            </w:pPr>
            <w:r>
              <w:t>893,617</w:t>
            </w:r>
          </w:p>
        </w:tc>
      </w:tr>
      <w:tr w:rsidR="00000000">
        <w:tblPrEx>
          <w:tblCellMar>
            <w:top w:w="0" w:type="dxa"/>
            <w:bottom w:w="0" w:type="dxa"/>
          </w:tblCellMar>
        </w:tblPrEx>
        <w:tc>
          <w:tcPr>
            <w:tcW w:w="2760" w:type="dxa"/>
          </w:tcPr>
          <w:p w:rsidR="00000000" w:rsidRDefault="00BD0CAC">
            <w:pPr>
              <w:spacing w:line="240" w:lineRule="auto"/>
            </w:pPr>
            <w:r>
              <w:t xml:space="preserve">-   </w:t>
            </w:r>
            <w:r>
              <w:rPr>
                <w:rFonts w:hint="eastAsia"/>
              </w:rPr>
              <w:t>普通中等教育：</w:t>
            </w:r>
          </w:p>
        </w:tc>
        <w:tc>
          <w:tcPr>
            <w:tcW w:w="1234" w:type="dxa"/>
          </w:tcPr>
          <w:p w:rsidR="00000000" w:rsidRDefault="00BD0CAC">
            <w:pPr>
              <w:spacing w:line="240" w:lineRule="auto"/>
            </w:pPr>
            <w:r>
              <w:t xml:space="preserve">  </w:t>
            </w:r>
            <w:r>
              <w:rPr>
                <w:rFonts w:hint="eastAsia"/>
              </w:rPr>
              <w:t>男生</w:t>
            </w:r>
          </w:p>
        </w:tc>
        <w:tc>
          <w:tcPr>
            <w:tcW w:w="1646" w:type="dxa"/>
          </w:tcPr>
          <w:p w:rsidR="00000000" w:rsidRDefault="00BD0CAC">
            <w:pPr>
              <w:spacing w:line="240" w:lineRule="auto"/>
              <w:jc w:val="right"/>
            </w:pPr>
            <w:r>
              <w:t>273,820</w:t>
            </w:r>
          </w:p>
        </w:tc>
      </w:tr>
      <w:tr w:rsidR="00000000">
        <w:tblPrEx>
          <w:tblCellMar>
            <w:top w:w="0" w:type="dxa"/>
            <w:bottom w:w="0" w:type="dxa"/>
          </w:tblCellMar>
        </w:tblPrEx>
        <w:tc>
          <w:tcPr>
            <w:tcW w:w="2760" w:type="dxa"/>
          </w:tcPr>
          <w:p w:rsidR="00000000" w:rsidRDefault="00BD0CAC">
            <w:pPr>
              <w:spacing w:line="240" w:lineRule="auto"/>
            </w:pPr>
          </w:p>
        </w:tc>
        <w:tc>
          <w:tcPr>
            <w:tcW w:w="1234" w:type="dxa"/>
          </w:tcPr>
          <w:p w:rsidR="00000000" w:rsidRDefault="00BD0CAC">
            <w:pPr>
              <w:spacing w:line="240" w:lineRule="auto"/>
            </w:pPr>
            <w:r>
              <w:t xml:space="preserve">  </w:t>
            </w:r>
            <w:r>
              <w:rPr>
                <w:rFonts w:hint="eastAsia"/>
              </w:rPr>
              <w:t>女生</w:t>
            </w:r>
          </w:p>
        </w:tc>
        <w:tc>
          <w:tcPr>
            <w:tcW w:w="1646" w:type="dxa"/>
          </w:tcPr>
          <w:p w:rsidR="00000000" w:rsidRDefault="00BD0CAC">
            <w:pPr>
              <w:spacing w:line="240" w:lineRule="auto"/>
              <w:jc w:val="right"/>
            </w:pPr>
            <w:r>
              <w:t>18</w:t>
            </w:r>
            <w:r>
              <w:t>5,248</w:t>
            </w:r>
          </w:p>
        </w:tc>
      </w:tr>
      <w:tr w:rsidR="00000000">
        <w:tblPrEx>
          <w:tblCellMar>
            <w:top w:w="0" w:type="dxa"/>
            <w:bottom w:w="0" w:type="dxa"/>
          </w:tblCellMar>
        </w:tblPrEx>
        <w:tc>
          <w:tcPr>
            <w:tcW w:w="2760" w:type="dxa"/>
          </w:tcPr>
          <w:p w:rsidR="00000000" w:rsidRDefault="00BD0CAC">
            <w:pPr>
              <w:spacing w:line="240" w:lineRule="auto"/>
            </w:pPr>
            <w:r>
              <w:t xml:space="preserve">-   </w:t>
            </w:r>
            <w:r>
              <w:rPr>
                <w:rFonts w:hint="eastAsia"/>
              </w:rPr>
              <w:t>中等技术教育：</w:t>
            </w:r>
          </w:p>
        </w:tc>
        <w:tc>
          <w:tcPr>
            <w:tcW w:w="1234" w:type="dxa"/>
          </w:tcPr>
          <w:p w:rsidR="00000000" w:rsidRDefault="00BD0CAC">
            <w:pPr>
              <w:spacing w:line="240" w:lineRule="auto"/>
            </w:pPr>
            <w:r>
              <w:t xml:space="preserve">  </w:t>
            </w:r>
            <w:r>
              <w:rPr>
                <w:rFonts w:hint="eastAsia"/>
              </w:rPr>
              <w:t>男生</w:t>
            </w:r>
          </w:p>
        </w:tc>
        <w:tc>
          <w:tcPr>
            <w:tcW w:w="1646" w:type="dxa"/>
          </w:tcPr>
          <w:p w:rsidR="00000000" w:rsidRDefault="00BD0CAC">
            <w:pPr>
              <w:spacing w:line="240" w:lineRule="auto"/>
              <w:jc w:val="right"/>
            </w:pPr>
            <w:r>
              <w:t>54,405</w:t>
            </w:r>
          </w:p>
        </w:tc>
      </w:tr>
      <w:tr w:rsidR="00000000">
        <w:tblPrEx>
          <w:tblCellMar>
            <w:top w:w="0" w:type="dxa"/>
            <w:bottom w:w="0" w:type="dxa"/>
          </w:tblCellMar>
        </w:tblPrEx>
        <w:tc>
          <w:tcPr>
            <w:tcW w:w="2760" w:type="dxa"/>
          </w:tcPr>
          <w:p w:rsidR="00000000" w:rsidRDefault="00BD0CAC">
            <w:pPr>
              <w:spacing w:line="240" w:lineRule="auto"/>
            </w:pPr>
          </w:p>
        </w:tc>
        <w:tc>
          <w:tcPr>
            <w:tcW w:w="1234" w:type="dxa"/>
          </w:tcPr>
          <w:p w:rsidR="00000000" w:rsidRDefault="00BD0CAC">
            <w:pPr>
              <w:spacing w:line="240" w:lineRule="auto"/>
            </w:pPr>
            <w:r>
              <w:t xml:space="preserve">  </w:t>
            </w:r>
            <w:r>
              <w:rPr>
                <w:rFonts w:hint="eastAsia"/>
              </w:rPr>
              <w:t>女生</w:t>
            </w:r>
          </w:p>
        </w:tc>
        <w:tc>
          <w:tcPr>
            <w:tcW w:w="1646" w:type="dxa"/>
          </w:tcPr>
          <w:p w:rsidR="00000000" w:rsidRDefault="00BD0CAC">
            <w:pPr>
              <w:spacing w:after="320" w:line="240" w:lineRule="auto"/>
              <w:jc w:val="right"/>
              <w:textAlignment w:val="center"/>
            </w:pPr>
            <w:r>
              <w:t>37,674</w:t>
            </w:r>
          </w:p>
        </w:tc>
      </w:tr>
    </w:tbl>
    <w:p w:rsidR="00000000" w:rsidRDefault="00BD0CAC">
      <w:pPr>
        <w:pStyle w:val="Heading4"/>
      </w:pPr>
      <w:r>
        <w:rPr>
          <w:u w:val="none"/>
        </w:rPr>
        <w:tab/>
        <w:t>(</w:t>
      </w:r>
      <w:r>
        <w:rPr>
          <w:rFonts w:hint="eastAsia"/>
          <w:u w:val="none"/>
        </w:rPr>
        <w:t>二</w:t>
      </w:r>
      <w:r>
        <w:rPr>
          <w:u w:val="none"/>
        </w:rPr>
        <w:t>)</w:t>
      </w:r>
      <w:r>
        <w:rPr>
          <w:u w:val="none"/>
        </w:rPr>
        <w:tab/>
      </w:r>
      <w:r>
        <w:rPr>
          <w:rFonts w:hint="eastAsia"/>
        </w:rPr>
        <w:t>实际享受教育权的状况</w:t>
      </w:r>
    </w:p>
    <w:p w:rsidR="00000000" w:rsidRDefault="00BD0CAC">
      <w:pPr>
        <w:pStyle w:val="Heading5"/>
        <w:spacing w:after="320"/>
        <w:textAlignment w:val="center"/>
        <w:rPr>
          <w:rFonts w:ascii="SimSun" w:eastAsia="SimSun"/>
        </w:rPr>
      </w:pPr>
      <w:r>
        <w:tab/>
        <w:t xml:space="preserve">128.  </w:t>
      </w:r>
      <w:r>
        <w:rPr>
          <w:rFonts w:ascii="SimSun" w:eastAsia="SimSun" w:hint="eastAsia"/>
        </w:rPr>
        <w:t>教育权得到法律承认，但上文已提及的贫困对逾</w:t>
      </w:r>
      <w:r>
        <w:rPr>
          <w:rFonts w:eastAsia="SimSun"/>
        </w:rPr>
        <w:t>70%</w:t>
      </w:r>
      <w:r>
        <w:rPr>
          <w:rFonts w:ascii="SimSun" w:eastAsia="SimSun" w:hint="eastAsia"/>
        </w:rPr>
        <w:t>居民是一种障碍，受影响的主要是贫困阶层</w:t>
      </w:r>
      <w:r>
        <w:rPr>
          <w:rFonts w:ascii="SimSun" w:eastAsia="SimSun"/>
        </w:rPr>
        <w:t>(</w:t>
      </w:r>
      <w:r>
        <w:rPr>
          <w:rFonts w:ascii="SimSun" w:eastAsia="SimSun" w:hint="eastAsia"/>
        </w:rPr>
        <w:t>农村居民、少数群体：俾格米矮人等</w:t>
      </w:r>
      <w:r>
        <w:rPr>
          <w:rFonts w:ascii="SimSun" w:eastAsia="SimSun"/>
        </w:rPr>
        <w:t>)</w:t>
      </w:r>
      <w:r>
        <w:rPr>
          <w:rFonts w:ascii="SimSun" w:eastAsia="SimSun" w:hint="eastAsia"/>
        </w:rPr>
        <w:t>、女青年、边境居民。</w:t>
      </w:r>
    </w:p>
    <w:p w:rsidR="00000000" w:rsidRDefault="00BD0CAC">
      <w:pPr>
        <w:pStyle w:val="Heading4"/>
        <w:spacing w:after="200"/>
      </w:pPr>
      <w:r>
        <w:rPr>
          <w:u w:val="none"/>
        </w:rPr>
        <w:tab/>
        <w:t>(</w:t>
      </w:r>
      <w:r>
        <w:rPr>
          <w:rFonts w:hint="eastAsia"/>
          <w:u w:val="none"/>
        </w:rPr>
        <w:t>三</w:t>
      </w:r>
      <w:r>
        <w:rPr>
          <w:u w:val="none"/>
        </w:rPr>
        <w:t>)</w:t>
      </w:r>
      <w:r>
        <w:rPr>
          <w:u w:val="none"/>
        </w:rPr>
        <w:tab/>
      </w:r>
      <w:r>
        <w:rPr>
          <w:rFonts w:hint="eastAsia"/>
        </w:rPr>
        <w:t>政府采取了哪些措施保证获得各级教育</w:t>
      </w:r>
    </w:p>
    <w:p w:rsidR="00000000" w:rsidRDefault="00BD0CAC">
      <w:pPr>
        <w:spacing w:after="320"/>
        <w:textAlignment w:val="center"/>
      </w:pPr>
      <w:r>
        <w:tab/>
        <w:t xml:space="preserve">129.  </w:t>
      </w:r>
      <w:r>
        <w:rPr>
          <w:rFonts w:hint="eastAsia"/>
        </w:rPr>
        <w:t>政府始终表明愿促成人人受教育</w:t>
      </w:r>
      <w:r>
        <w:t>(</w:t>
      </w:r>
      <w:r>
        <w:rPr>
          <w:rFonts w:hint="eastAsia"/>
        </w:rPr>
        <w:t>创办小学和幼儿园、各类中学和几所大学</w:t>
      </w:r>
      <w:r>
        <w:t>)</w:t>
      </w:r>
      <w:r>
        <w:rPr>
          <w:rFonts w:hint="eastAsia"/>
        </w:rPr>
        <w:t>。但财力不济和人口激增令此种意愿严重受阻。应指出：出资者提出的获取资金条件也有碍于政府的上述努力。</w:t>
      </w:r>
    </w:p>
    <w:p w:rsidR="00000000" w:rsidRDefault="00BD0CAC">
      <w:pPr>
        <w:pStyle w:val="Heading4"/>
        <w:spacing w:after="200"/>
      </w:pPr>
      <w:r>
        <w:rPr>
          <w:u w:val="none"/>
        </w:rPr>
        <w:tab/>
      </w:r>
      <w:r>
        <w:rPr>
          <w:u w:val="none"/>
        </w:rPr>
        <w:t>(</w:t>
      </w:r>
      <w:r>
        <w:rPr>
          <w:rFonts w:hint="eastAsia"/>
          <w:u w:val="none"/>
        </w:rPr>
        <w:t>四</w:t>
      </w:r>
      <w:r>
        <w:rPr>
          <w:u w:val="none"/>
        </w:rPr>
        <w:t>)</w:t>
      </w:r>
      <w:r>
        <w:rPr>
          <w:u w:val="none"/>
        </w:rPr>
        <w:tab/>
      </w:r>
      <w:r>
        <w:rPr>
          <w:rFonts w:hint="eastAsia"/>
        </w:rPr>
        <w:t>语言方面的规定</w:t>
      </w:r>
    </w:p>
    <w:p w:rsidR="00000000" w:rsidRDefault="00BD0CAC">
      <w:r>
        <w:tab/>
        <w:t xml:space="preserve">130.  </w:t>
      </w:r>
      <w:r>
        <w:rPr>
          <w:rFonts w:hint="eastAsia"/>
        </w:rPr>
        <w:t>关于民族语言教学，已为喀麦隆各民族语言编制字母表。就方法而言，已在教会学校以各地区通用的主要语言为基础进行实验性研究。结果良好。从科学决策方面来说，表明有三种倾向：某些人希望每一地区学习一种主要语言；另一些人则认为每一地区有一种以上语言是好事；还有人力主每一族群可以教授本族语言。</w:t>
      </w:r>
    </w:p>
    <w:p w:rsidR="00000000" w:rsidRDefault="00BD0CAC">
      <w:pPr>
        <w:spacing w:after="320"/>
        <w:textAlignment w:val="center"/>
      </w:pPr>
      <w:r>
        <w:tab/>
      </w:r>
      <w:r>
        <w:rPr>
          <w:rFonts w:hint="eastAsia"/>
        </w:rPr>
        <w:t>相关的辩论仍在进行。</w:t>
      </w:r>
    </w:p>
    <w:p w:rsidR="00000000" w:rsidRDefault="00BD0CAC">
      <w:pPr>
        <w:pStyle w:val="Heading4"/>
      </w:pPr>
      <w:r>
        <w:rPr>
          <w:u w:val="none"/>
        </w:rPr>
        <w:t>(c)</w:t>
      </w:r>
      <w:r>
        <w:rPr>
          <w:u w:val="none"/>
        </w:rPr>
        <w:tab/>
      </w:r>
      <w:r>
        <w:rPr>
          <w:rFonts w:hint="eastAsia"/>
        </w:rPr>
        <w:t>教师的物质状况</w:t>
      </w:r>
    </w:p>
    <w:p w:rsidR="00000000" w:rsidRDefault="00BD0CAC">
      <w:r>
        <w:tab/>
        <w:t xml:space="preserve">131.  </w:t>
      </w:r>
      <w:r>
        <w:rPr>
          <w:rFonts w:hint="eastAsia"/>
        </w:rPr>
        <w:t>喀麦隆教师的物质状况相当困难，表现为工作条件差</w:t>
      </w:r>
      <w:r>
        <w:t>(</w:t>
      </w:r>
      <w:r>
        <w:rPr>
          <w:rFonts w:hint="eastAsia"/>
        </w:rPr>
        <w:t>基本物资如办公桌、文件柜、桌椅、教材教具等严重匮乏</w:t>
      </w:r>
      <w:r>
        <w:t>)</w:t>
      </w:r>
      <w:r>
        <w:rPr>
          <w:rFonts w:hint="eastAsia"/>
        </w:rPr>
        <w:t>。此种现实在世俗和教会私立学校</w:t>
      </w:r>
      <w:r>
        <w:rPr>
          <w:rFonts w:hint="eastAsia"/>
        </w:rPr>
        <w:t>以及公立学校均极明显。</w:t>
      </w:r>
    </w:p>
    <w:p w:rsidR="00000000" w:rsidRDefault="00BD0CAC">
      <w:pPr>
        <w:spacing w:after="320"/>
        <w:textAlignment w:val="center"/>
      </w:pPr>
      <w:r>
        <w:tab/>
        <w:t xml:space="preserve">132.  </w:t>
      </w:r>
      <w:r>
        <w:rPr>
          <w:rFonts w:hint="eastAsia"/>
        </w:rPr>
        <w:t>教师的工资始终比照公务员和集体合约劳动者的薪给。工资是教师的全部收入，以致近几年政府收入减少导致工资迭降，使教师几乎陷入乞讨的境地，改进教学效果更沦为空谈。</w:t>
      </w:r>
    </w:p>
    <w:p w:rsidR="00000000" w:rsidRDefault="00BD0CAC">
      <w:pPr>
        <w:pStyle w:val="Heading4"/>
      </w:pPr>
      <w:r>
        <w:rPr>
          <w:u w:val="none"/>
        </w:rPr>
        <w:t>(d)</w:t>
      </w:r>
      <w:r>
        <w:rPr>
          <w:u w:val="none"/>
        </w:rPr>
        <w:tab/>
      </w:r>
      <w:r>
        <w:rPr>
          <w:rFonts w:hint="eastAsia"/>
        </w:rPr>
        <w:t>私立学校比例</w:t>
      </w:r>
    </w:p>
    <w:p w:rsidR="00000000" w:rsidRDefault="00BD0CAC">
      <w:r>
        <w:tab/>
        <w:t xml:space="preserve">133.  </w:t>
      </w:r>
      <w:r>
        <w:rPr>
          <w:rFonts w:hint="eastAsia"/>
        </w:rPr>
        <w:t>最新统计资料来自</w:t>
      </w:r>
      <w:r>
        <w:t>1995-1996</w:t>
      </w:r>
      <w:r>
        <w:rPr>
          <w:rFonts w:hint="eastAsia"/>
        </w:rPr>
        <w:t>学年：</w:t>
      </w:r>
    </w:p>
    <w:p w:rsidR="00000000" w:rsidRDefault="00BD0CAC" w:rsidP="00BD0CAC">
      <w:pPr>
        <w:pStyle w:val="a6"/>
        <w:numPr>
          <w:ilvl w:val="0"/>
          <w:numId w:val="1"/>
        </w:numPr>
      </w:pPr>
      <w:r>
        <w:rPr>
          <w:rFonts w:hint="eastAsia"/>
        </w:rPr>
        <w:t>幼儿教育：</w:t>
      </w:r>
      <w:r>
        <w:tab/>
        <w:t>633</w:t>
      </w:r>
      <w:r>
        <w:rPr>
          <w:rFonts w:hint="eastAsia"/>
        </w:rPr>
        <w:t>所</w:t>
      </w:r>
    </w:p>
    <w:p w:rsidR="00000000" w:rsidRDefault="00BD0CAC" w:rsidP="00BD0CAC">
      <w:pPr>
        <w:pStyle w:val="a6"/>
        <w:numPr>
          <w:ilvl w:val="0"/>
          <w:numId w:val="1"/>
        </w:numPr>
      </w:pPr>
      <w:r>
        <w:rPr>
          <w:rFonts w:hint="eastAsia"/>
        </w:rPr>
        <w:t>小学：</w:t>
      </w:r>
      <w:r>
        <w:tab/>
      </w:r>
      <w:r>
        <w:tab/>
        <w:t>1,736</w:t>
      </w:r>
      <w:r>
        <w:rPr>
          <w:rFonts w:hint="eastAsia"/>
        </w:rPr>
        <w:t>所</w:t>
      </w:r>
    </w:p>
    <w:p w:rsidR="00000000" w:rsidRDefault="00BD0CAC" w:rsidP="00BD0CAC">
      <w:pPr>
        <w:pStyle w:val="a6"/>
        <w:numPr>
          <w:ilvl w:val="0"/>
          <w:numId w:val="1"/>
        </w:numPr>
      </w:pPr>
      <w:r>
        <w:rPr>
          <w:rFonts w:hint="eastAsia"/>
        </w:rPr>
        <w:t>中学：</w:t>
      </w:r>
      <w:r>
        <w:tab/>
      </w:r>
      <w:r>
        <w:tab/>
        <w:t>509</w:t>
      </w:r>
      <w:r>
        <w:rPr>
          <w:rFonts w:hint="eastAsia"/>
        </w:rPr>
        <w:t>所</w:t>
      </w:r>
    </w:p>
    <w:p w:rsidR="00000000" w:rsidRDefault="00BD0CAC">
      <w:pPr>
        <w:spacing w:after="320"/>
        <w:textAlignment w:val="center"/>
      </w:pPr>
      <w:r>
        <w:rPr>
          <w:rFonts w:hint="eastAsia"/>
        </w:rPr>
        <w:t>私立世俗和教会学校并非国家开办及管理，但批准开办及教学督察仍由国家承担。</w:t>
      </w:r>
    </w:p>
    <w:p w:rsidR="00000000" w:rsidRDefault="00BD0CAC">
      <w:pPr>
        <w:pStyle w:val="Heading4"/>
      </w:pPr>
      <w:r>
        <w:rPr>
          <w:u w:val="none"/>
        </w:rPr>
        <w:t>(e)</w:t>
      </w:r>
      <w:r>
        <w:rPr>
          <w:u w:val="none"/>
        </w:rPr>
        <w:tab/>
      </w:r>
      <w:r>
        <w:rPr>
          <w:rFonts w:hint="eastAsia"/>
        </w:rPr>
        <w:t>国家政策、法律及惯例</w:t>
      </w:r>
    </w:p>
    <w:p w:rsidR="00000000" w:rsidRDefault="00BD0CAC">
      <w:pPr>
        <w:spacing w:after="320"/>
        <w:textAlignment w:val="center"/>
      </w:pPr>
      <w:r>
        <w:tab/>
        <w:t xml:space="preserve">134.  </w:t>
      </w:r>
      <w:r>
        <w:rPr>
          <w:rFonts w:hint="eastAsia"/>
        </w:rPr>
        <w:t>不存在损及教育权的法律，却有一些趋向改善现行法规的文件</w:t>
      </w:r>
      <w:r>
        <w:rPr>
          <w:rFonts w:hint="eastAsia"/>
        </w:rPr>
        <w:t>。</w:t>
      </w:r>
    </w:p>
    <w:p w:rsidR="00000000" w:rsidRDefault="00BD0CAC">
      <w:pPr>
        <w:pStyle w:val="Heading4"/>
      </w:pPr>
      <w:r>
        <w:rPr>
          <w:u w:val="none"/>
        </w:rPr>
        <w:t>(f)</w:t>
      </w:r>
      <w:r>
        <w:rPr>
          <w:u w:val="none"/>
        </w:rPr>
        <w:tab/>
      </w:r>
      <w:r>
        <w:rPr>
          <w:rFonts w:hint="eastAsia"/>
        </w:rPr>
        <w:t>国际援助的作用</w:t>
      </w:r>
    </w:p>
    <w:p w:rsidR="00000000" w:rsidRDefault="00BD0CAC">
      <w:pPr>
        <w:textAlignment w:val="center"/>
      </w:pPr>
      <w:r>
        <w:tab/>
        <w:t xml:space="preserve">135.  </w:t>
      </w:r>
      <w:r>
        <w:rPr>
          <w:rFonts w:hint="eastAsia"/>
        </w:rPr>
        <w:t>它包括两方面，即替代性合作</w:t>
      </w:r>
      <w:r>
        <w:t>(</w:t>
      </w:r>
      <w:r>
        <w:rPr>
          <w:rFonts w:hint="eastAsia"/>
        </w:rPr>
        <w:t>人力援助</w:t>
      </w:r>
      <w:r>
        <w:t>)</w:t>
      </w:r>
      <w:r>
        <w:rPr>
          <w:rFonts w:hint="eastAsia"/>
        </w:rPr>
        <w:t>和财政援助。</w:t>
      </w:r>
    </w:p>
    <w:p w:rsidR="00000000" w:rsidRDefault="00BD0CAC">
      <w:pPr>
        <w:textAlignment w:val="center"/>
      </w:pPr>
      <w:r>
        <w:tab/>
        <w:t xml:space="preserve">136  </w:t>
      </w:r>
      <w:r>
        <w:rPr>
          <w:rFonts w:hint="eastAsia"/>
        </w:rPr>
        <w:t>替代性合作正在减少，当前国际援助的主要表现是提供资金。在此范围内，一些项目已启动；有的投入实施，有的在考察或筹备中。可举出：</w:t>
      </w:r>
    </w:p>
    <w:p w:rsidR="00000000" w:rsidRDefault="00BD0CAC" w:rsidP="00BD0CAC">
      <w:pPr>
        <w:pStyle w:val="a6"/>
        <w:numPr>
          <w:ilvl w:val="0"/>
          <w:numId w:val="1"/>
        </w:numPr>
      </w:pPr>
      <w:r>
        <w:rPr>
          <w:rFonts w:hint="eastAsia"/>
        </w:rPr>
        <w:t>欧洲发展基金</w:t>
      </w:r>
      <w:r>
        <w:t>(</w:t>
      </w:r>
      <w:r>
        <w:rPr>
          <w:rFonts w:hint="eastAsia"/>
        </w:rPr>
        <w:t>欧发基金</w:t>
      </w:r>
      <w:r>
        <w:t>)</w:t>
      </w:r>
      <w:r>
        <w:rPr>
          <w:rFonts w:hint="eastAsia"/>
        </w:rPr>
        <w:t>项目，用于小学教育：教学用品及设备，以及恢复</w:t>
      </w:r>
      <w:r>
        <w:t>ENI</w:t>
      </w:r>
      <w:r>
        <w:rPr>
          <w:rFonts w:hint="eastAsia"/>
        </w:rPr>
        <w:t>图书馆。</w:t>
      </w:r>
    </w:p>
    <w:p w:rsidR="00000000" w:rsidRDefault="00BD0CAC" w:rsidP="00BD0CAC">
      <w:pPr>
        <w:pStyle w:val="a6"/>
        <w:numPr>
          <w:ilvl w:val="0"/>
          <w:numId w:val="1"/>
        </w:numPr>
      </w:pPr>
      <w:r>
        <w:rPr>
          <w:rFonts w:hint="eastAsia"/>
        </w:rPr>
        <w:t>非行</w:t>
      </w:r>
      <w:r>
        <w:t>(</w:t>
      </w:r>
      <w:r>
        <w:rPr>
          <w:rFonts w:hint="eastAsia"/>
        </w:rPr>
        <w:t>非洲发展银行</w:t>
      </w:r>
      <w:r>
        <w:t>)</w:t>
      </w:r>
      <w:r>
        <w:rPr>
          <w:rFonts w:hint="eastAsia"/>
        </w:rPr>
        <w:t>项目：其宗旨在提高教学质量</w:t>
      </w:r>
      <w:r>
        <w:t>(</w:t>
      </w:r>
      <w:r>
        <w:rPr>
          <w:rFonts w:hint="eastAsia"/>
        </w:rPr>
        <w:t>培训人员、修建工程及装备</w:t>
      </w:r>
      <w:r>
        <w:t>)</w:t>
      </w:r>
      <w:r>
        <w:rPr>
          <w:rFonts w:hint="eastAsia"/>
        </w:rPr>
        <w:t>。</w:t>
      </w:r>
    </w:p>
    <w:p w:rsidR="00000000" w:rsidRDefault="00BD0CAC" w:rsidP="00BD0CAC">
      <w:pPr>
        <w:pStyle w:val="a6"/>
        <w:numPr>
          <w:ilvl w:val="0"/>
          <w:numId w:val="1"/>
        </w:numPr>
      </w:pPr>
      <w:r>
        <w:rPr>
          <w:rFonts w:hint="eastAsia"/>
        </w:rPr>
        <w:t>伊行</w:t>
      </w:r>
      <w:r>
        <w:t>(</w:t>
      </w:r>
      <w:r>
        <w:rPr>
          <w:rFonts w:hint="eastAsia"/>
        </w:rPr>
        <w:t>伊斯兰发展银行</w:t>
      </w:r>
      <w:r>
        <w:t>)</w:t>
      </w:r>
      <w:r>
        <w:rPr>
          <w:rFonts w:hint="eastAsia"/>
        </w:rPr>
        <w:t>项目：用于在我国北部地区建设</w:t>
      </w:r>
      <w:r>
        <w:t>48</w:t>
      </w:r>
      <w:r>
        <w:rPr>
          <w:rFonts w:hint="eastAsia"/>
        </w:rPr>
        <w:t>个小学。</w:t>
      </w:r>
    </w:p>
    <w:p w:rsidR="00000000" w:rsidRDefault="00BD0CAC" w:rsidP="00BD0CAC">
      <w:pPr>
        <w:pStyle w:val="a6"/>
        <w:numPr>
          <w:ilvl w:val="0"/>
          <w:numId w:val="1"/>
        </w:numPr>
      </w:pPr>
      <w:r>
        <w:rPr>
          <w:rFonts w:hint="eastAsia"/>
        </w:rPr>
        <w:t>日本赠款</w:t>
      </w:r>
      <w:r>
        <w:t>(</w:t>
      </w:r>
      <w:r>
        <w:rPr>
          <w:rFonts w:hint="eastAsia"/>
        </w:rPr>
        <w:t>考察中</w:t>
      </w:r>
      <w:r>
        <w:t>)</w:t>
      </w:r>
      <w:r>
        <w:rPr>
          <w:rFonts w:hint="eastAsia"/>
        </w:rPr>
        <w:t>：用于在雅温德和杜阿拉城建设实验小学</w:t>
      </w:r>
      <w:r>
        <w:rPr>
          <w:rFonts w:hint="eastAsia"/>
        </w:rPr>
        <w:t>。</w:t>
      </w:r>
    </w:p>
    <w:p w:rsidR="00000000" w:rsidRDefault="00BD0CAC" w:rsidP="00BD0CAC">
      <w:pPr>
        <w:pStyle w:val="a6"/>
        <w:numPr>
          <w:ilvl w:val="0"/>
          <w:numId w:val="1"/>
        </w:numPr>
      </w:pPr>
      <w:r>
        <w:rPr>
          <w:rFonts w:hint="eastAsia"/>
        </w:rPr>
        <w:t>世界银行：用于绘制学校分布图，以及教育成本和资助……。</w:t>
      </w:r>
    </w:p>
    <w:p w:rsidR="00000000" w:rsidRDefault="00BD0CAC" w:rsidP="00BD0CAC">
      <w:pPr>
        <w:pStyle w:val="a6"/>
        <w:numPr>
          <w:ilvl w:val="0"/>
          <w:numId w:val="1"/>
        </w:numPr>
      </w:pPr>
      <w:r>
        <w:rPr>
          <w:rFonts w:hint="eastAsia"/>
        </w:rPr>
        <w:t>援助与合作项目，用于改善教学体制；一“学校生活”项目，支助行政管理，以及“支助喀麦隆教育体制项目”。</w:t>
      </w:r>
    </w:p>
    <w:p w:rsidR="00000000" w:rsidRDefault="00BD0CAC" w:rsidP="00BD0CAC">
      <w:pPr>
        <w:pStyle w:val="a6"/>
        <w:numPr>
          <w:ilvl w:val="0"/>
          <w:numId w:val="1"/>
        </w:numPr>
      </w:pPr>
      <w:r>
        <w:rPr>
          <w:rFonts w:hint="eastAsia"/>
        </w:rPr>
        <w:t>英国文化协会支助布埃亚和巴门达教学资源中心。</w:t>
      </w:r>
    </w:p>
    <w:p w:rsidR="00000000" w:rsidRDefault="00BD0CAC" w:rsidP="00BD0CAC">
      <w:pPr>
        <w:pStyle w:val="a6"/>
        <w:numPr>
          <w:ilvl w:val="0"/>
          <w:numId w:val="1"/>
        </w:numPr>
      </w:pPr>
      <w:r>
        <w:rPr>
          <w:rFonts w:hint="eastAsia"/>
        </w:rPr>
        <w:t>德国合作项目，支助培训人员的继续培训。</w:t>
      </w:r>
    </w:p>
    <w:p w:rsidR="00000000" w:rsidRDefault="00BD0CAC" w:rsidP="00BD0CAC">
      <w:pPr>
        <w:pStyle w:val="a6"/>
        <w:numPr>
          <w:ilvl w:val="0"/>
          <w:numId w:val="0"/>
        </w:numPr>
        <w:ind w:left="510" w:hanging="510"/>
      </w:pPr>
    </w:p>
    <w:p w:rsidR="00000000" w:rsidRDefault="00BD0CAC">
      <w:pPr>
        <w:pStyle w:val="Heading3"/>
        <w:spacing w:after="120"/>
        <w:rPr>
          <w:u w:val="none"/>
        </w:rPr>
      </w:pPr>
      <w:r>
        <w:rPr>
          <w:rFonts w:hint="eastAsia"/>
          <w:u w:val="none"/>
        </w:rPr>
        <w:t>综合数据</w:t>
      </w:r>
    </w:p>
    <w:p w:rsidR="00000000" w:rsidRDefault="00BD0CAC">
      <w:pPr>
        <w:pStyle w:val="Heading3"/>
      </w:pPr>
      <w:r>
        <w:rPr>
          <w:rFonts w:hint="eastAsia"/>
        </w:rPr>
        <w:t>按教学等级</w:t>
      </w:r>
      <w:r>
        <w:t>1985-1995</w:t>
      </w:r>
      <w:r>
        <w:rPr>
          <w:rFonts w:hint="eastAsia"/>
        </w:rPr>
        <w:t>年期间学生人数的发展变化</w:t>
      </w:r>
    </w:p>
    <w:tbl>
      <w:tblPr>
        <w:tblW w:w="0" w:type="auto"/>
        <w:tblInd w:w="-26" w:type="dxa"/>
        <w:tblLayout w:type="fixed"/>
        <w:tblCellMar>
          <w:left w:w="28" w:type="dxa"/>
          <w:right w:w="28" w:type="dxa"/>
        </w:tblCellMar>
        <w:tblLook w:val="0000" w:firstRow="0" w:lastRow="0" w:firstColumn="0" w:lastColumn="0" w:noHBand="0" w:noVBand="0"/>
      </w:tblPr>
      <w:tblGrid>
        <w:gridCol w:w="1588"/>
        <w:gridCol w:w="853"/>
        <w:gridCol w:w="1161"/>
        <w:gridCol w:w="1161"/>
        <w:gridCol w:w="1161"/>
        <w:gridCol w:w="1161"/>
        <w:gridCol w:w="1161"/>
        <w:gridCol w:w="1161"/>
      </w:tblGrid>
      <w:tr w:rsidR="00000000">
        <w:tblPrEx>
          <w:tblCellMar>
            <w:top w:w="0" w:type="dxa"/>
            <w:bottom w:w="0" w:type="dxa"/>
          </w:tblCellMar>
        </w:tblPrEx>
        <w:tc>
          <w:tcPr>
            <w:tcW w:w="1588" w:type="dxa"/>
            <w:tcBorders>
              <w:top w:val="single" w:sz="6" w:space="0" w:color="auto"/>
              <w:left w:val="single" w:sz="6" w:space="0" w:color="auto"/>
              <w:bottom w:val="single" w:sz="6" w:space="0" w:color="auto"/>
            </w:tcBorders>
          </w:tcPr>
          <w:p w:rsidR="00000000" w:rsidRDefault="00BD0CAC">
            <w:pPr>
              <w:spacing w:before="120" w:line="240" w:lineRule="auto"/>
              <w:ind w:left="57"/>
              <w:rPr>
                <w:sz w:val="21"/>
              </w:rPr>
            </w:pPr>
          </w:p>
        </w:tc>
        <w:tc>
          <w:tcPr>
            <w:tcW w:w="853" w:type="dxa"/>
            <w:tcBorders>
              <w:top w:val="single" w:sz="6" w:space="0" w:color="auto"/>
              <w:bottom w:val="single" w:sz="6" w:space="0" w:color="auto"/>
            </w:tcBorders>
          </w:tcPr>
          <w:p w:rsidR="00000000" w:rsidRDefault="00BD0CAC">
            <w:pPr>
              <w:spacing w:before="120" w:line="240" w:lineRule="auto"/>
              <w:rPr>
                <w:sz w:val="21"/>
              </w:rPr>
            </w:pPr>
          </w:p>
        </w:tc>
        <w:tc>
          <w:tcPr>
            <w:tcW w:w="1161" w:type="dxa"/>
            <w:tcBorders>
              <w:top w:val="single" w:sz="6" w:space="0" w:color="auto"/>
              <w:left w:val="single" w:sz="6" w:space="0" w:color="auto"/>
            </w:tcBorders>
          </w:tcPr>
          <w:p w:rsidR="00000000" w:rsidRDefault="00BD0CAC">
            <w:pPr>
              <w:spacing w:before="120" w:line="240" w:lineRule="auto"/>
              <w:rPr>
                <w:sz w:val="21"/>
              </w:rPr>
            </w:pPr>
            <w:r>
              <w:rPr>
                <w:sz w:val="21"/>
              </w:rPr>
              <w:t>1985-1986</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rPr>
                <w:sz w:val="21"/>
              </w:rPr>
            </w:pPr>
            <w:r>
              <w:rPr>
                <w:sz w:val="21"/>
              </w:rPr>
              <w:t>1987-1988</w:t>
            </w:r>
          </w:p>
        </w:tc>
        <w:tc>
          <w:tcPr>
            <w:tcW w:w="1161" w:type="dxa"/>
            <w:tcBorders>
              <w:top w:val="single" w:sz="6" w:space="0" w:color="auto"/>
              <w:left w:val="nil"/>
            </w:tcBorders>
          </w:tcPr>
          <w:p w:rsidR="00000000" w:rsidRDefault="00BD0CAC">
            <w:pPr>
              <w:spacing w:before="120" w:line="240" w:lineRule="auto"/>
              <w:rPr>
                <w:sz w:val="21"/>
              </w:rPr>
            </w:pPr>
            <w:r>
              <w:rPr>
                <w:sz w:val="21"/>
              </w:rPr>
              <w:t>1989-1990</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rPr>
                <w:sz w:val="21"/>
              </w:rPr>
            </w:pPr>
            <w:r>
              <w:rPr>
                <w:sz w:val="21"/>
              </w:rPr>
              <w:t>1991-1992</w:t>
            </w:r>
          </w:p>
        </w:tc>
        <w:tc>
          <w:tcPr>
            <w:tcW w:w="1161" w:type="dxa"/>
            <w:tcBorders>
              <w:top w:val="single" w:sz="6" w:space="0" w:color="auto"/>
              <w:left w:val="nil"/>
            </w:tcBorders>
          </w:tcPr>
          <w:p w:rsidR="00000000" w:rsidRDefault="00BD0CAC">
            <w:pPr>
              <w:spacing w:before="120" w:line="240" w:lineRule="auto"/>
              <w:rPr>
                <w:sz w:val="21"/>
              </w:rPr>
            </w:pPr>
            <w:r>
              <w:rPr>
                <w:sz w:val="21"/>
              </w:rPr>
              <w:t>1993-1994</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rPr>
                <w:sz w:val="21"/>
              </w:rPr>
            </w:pPr>
            <w:r>
              <w:rPr>
                <w:sz w:val="21"/>
              </w:rPr>
              <w:t>1994-1995</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公立</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39,528</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53,967</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57,793</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58,452</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54,9</w:t>
            </w:r>
            <w:r>
              <w:rPr>
                <w:sz w:val="21"/>
              </w:rPr>
              <w:t>20</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54,977</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r>
              <w:rPr>
                <w:rFonts w:hint="eastAsia"/>
                <w:sz w:val="21"/>
              </w:rPr>
              <w:t>幼儿教育</w:t>
            </w: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私立</w:t>
            </w:r>
          </w:p>
        </w:tc>
        <w:tc>
          <w:tcPr>
            <w:tcW w:w="1161" w:type="dxa"/>
            <w:tcBorders>
              <w:left w:val="nil"/>
            </w:tcBorders>
          </w:tcPr>
          <w:p w:rsidR="00000000" w:rsidRDefault="00BD0CAC">
            <w:pPr>
              <w:spacing w:before="120" w:line="240" w:lineRule="auto"/>
              <w:ind w:right="57"/>
              <w:jc w:val="right"/>
              <w:rPr>
                <w:sz w:val="21"/>
              </w:rPr>
            </w:pPr>
            <w:r>
              <w:rPr>
                <w:sz w:val="21"/>
              </w:rPr>
              <w:t>34,043</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36,160</w:t>
            </w:r>
          </w:p>
        </w:tc>
        <w:tc>
          <w:tcPr>
            <w:tcW w:w="1161" w:type="dxa"/>
            <w:tcBorders>
              <w:left w:val="nil"/>
            </w:tcBorders>
          </w:tcPr>
          <w:p w:rsidR="00000000" w:rsidRDefault="00BD0CAC">
            <w:pPr>
              <w:spacing w:before="120" w:line="240" w:lineRule="auto"/>
              <w:ind w:right="57"/>
              <w:jc w:val="right"/>
              <w:rPr>
                <w:sz w:val="21"/>
              </w:rPr>
            </w:pPr>
            <w:r>
              <w:rPr>
                <w:sz w:val="21"/>
              </w:rPr>
              <w:t>35,173</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36,152</w:t>
            </w:r>
          </w:p>
        </w:tc>
        <w:tc>
          <w:tcPr>
            <w:tcW w:w="1161" w:type="dxa"/>
            <w:tcBorders>
              <w:left w:val="nil"/>
            </w:tcBorders>
          </w:tcPr>
          <w:p w:rsidR="00000000" w:rsidRDefault="00BD0CAC">
            <w:pPr>
              <w:spacing w:before="120" w:line="240" w:lineRule="auto"/>
              <w:ind w:right="57"/>
              <w:jc w:val="right"/>
              <w:rPr>
                <w:sz w:val="21"/>
              </w:rPr>
            </w:pPr>
            <w:r>
              <w:rPr>
                <w:sz w:val="21"/>
              </w:rPr>
              <w:t>37,009</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37,015</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合计</w:t>
            </w:r>
          </w:p>
        </w:tc>
        <w:tc>
          <w:tcPr>
            <w:tcW w:w="1161" w:type="dxa"/>
            <w:tcBorders>
              <w:left w:val="nil"/>
            </w:tcBorders>
          </w:tcPr>
          <w:p w:rsidR="00000000" w:rsidRDefault="00BD0CAC">
            <w:pPr>
              <w:spacing w:before="120" w:line="240" w:lineRule="auto"/>
              <w:ind w:right="57"/>
              <w:jc w:val="right"/>
              <w:rPr>
                <w:sz w:val="21"/>
              </w:rPr>
            </w:pPr>
            <w:r>
              <w:rPr>
                <w:sz w:val="21"/>
              </w:rPr>
              <w:t>73,571</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90,127</w:t>
            </w:r>
          </w:p>
        </w:tc>
        <w:tc>
          <w:tcPr>
            <w:tcW w:w="1161" w:type="dxa"/>
            <w:tcBorders>
              <w:left w:val="nil"/>
            </w:tcBorders>
          </w:tcPr>
          <w:p w:rsidR="00000000" w:rsidRDefault="00BD0CAC">
            <w:pPr>
              <w:spacing w:before="120" w:line="240" w:lineRule="auto"/>
              <w:ind w:right="57"/>
              <w:jc w:val="right"/>
              <w:rPr>
                <w:sz w:val="21"/>
              </w:rPr>
            </w:pPr>
            <w:r>
              <w:rPr>
                <w:sz w:val="21"/>
              </w:rPr>
              <w:t>92,966</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94,604</w:t>
            </w:r>
          </w:p>
        </w:tc>
        <w:tc>
          <w:tcPr>
            <w:tcW w:w="1161" w:type="dxa"/>
            <w:tcBorders>
              <w:left w:val="nil"/>
            </w:tcBorders>
          </w:tcPr>
          <w:p w:rsidR="00000000" w:rsidRDefault="00BD0CAC">
            <w:pPr>
              <w:spacing w:before="120" w:line="240" w:lineRule="auto"/>
              <w:ind w:right="57"/>
              <w:jc w:val="right"/>
              <w:rPr>
                <w:sz w:val="21"/>
              </w:rPr>
            </w:pPr>
            <w:r>
              <w:rPr>
                <w:sz w:val="21"/>
              </w:rPr>
              <w:t>91,929</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91,992</w:t>
            </w:r>
          </w:p>
        </w:tc>
      </w:tr>
      <w:tr w:rsidR="00000000">
        <w:tblPrEx>
          <w:tblCellMar>
            <w:top w:w="0" w:type="dxa"/>
            <w:bottom w:w="0" w:type="dxa"/>
          </w:tblCellMar>
        </w:tblPrEx>
        <w:tc>
          <w:tcPr>
            <w:tcW w:w="1588" w:type="dxa"/>
            <w:tcBorders>
              <w:top w:val="single" w:sz="6" w:space="0" w:color="auto"/>
              <w:left w:val="single" w:sz="6" w:space="0" w:color="auto"/>
            </w:tcBorders>
          </w:tcPr>
          <w:p w:rsidR="00000000" w:rsidRDefault="00BD0CAC">
            <w:pPr>
              <w:spacing w:before="120" w:line="240" w:lineRule="auto"/>
              <w:ind w:left="57"/>
              <w:rPr>
                <w:sz w:val="21"/>
              </w:rPr>
            </w:pPr>
          </w:p>
        </w:tc>
        <w:tc>
          <w:tcPr>
            <w:tcW w:w="853" w:type="dxa"/>
            <w:tcBorders>
              <w:top w:val="single" w:sz="6" w:space="0" w:color="auto"/>
              <w:left w:val="single" w:sz="6" w:space="0" w:color="auto"/>
              <w:right w:val="single" w:sz="6" w:space="0" w:color="auto"/>
            </w:tcBorders>
          </w:tcPr>
          <w:p w:rsidR="00000000" w:rsidRDefault="00BD0CAC">
            <w:pPr>
              <w:spacing w:before="120" w:line="240" w:lineRule="auto"/>
              <w:jc w:val="center"/>
              <w:rPr>
                <w:sz w:val="21"/>
              </w:rPr>
            </w:pPr>
            <w:r>
              <w:rPr>
                <w:rFonts w:hint="eastAsia"/>
                <w:sz w:val="21"/>
              </w:rPr>
              <w:t>公立</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1,128,559</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1,269,674</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1,417,745</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1,439,027</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1,430,696</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1,432,196</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r>
              <w:rPr>
                <w:rFonts w:hint="eastAsia"/>
                <w:sz w:val="21"/>
              </w:rPr>
              <w:t>小</w:t>
            </w:r>
            <w:r>
              <w:rPr>
                <w:sz w:val="21"/>
              </w:rPr>
              <w:t xml:space="preserve">  </w:t>
            </w:r>
            <w:r>
              <w:rPr>
                <w:rFonts w:hint="eastAsia"/>
                <w:sz w:val="21"/>
              </w:rPr>
              <w:t>学</w:t>
            </w: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私立</w:t>
            </w:r>
          </w:p>
        </w:tc>
        <w:tc>
          <w:tcPr>
            <w:tcW w:w="1161" w:type="dxa"/>
            <w:tcBorders>
              <w:left w:val="nil"/>
            </w:tcBorders>
          </w:tcPr>
          <w:p w:rsidR="00000000" w:rsidRDefault="00BD0CAC">
            <w:pPr>
              <w:spacing w:before="120" w:line="240" w:lineRule="auto"/>
              <w:ind w:right="57"/>
              <w:jc w:val="right"/>
              <w:rPr>
                <w:sz w:val="21"/>
              </w:rPr>
            </w:pPr>
            <w:r>
              <w:rPr>
                <w:sz w:val="21"/>
              </w:rPr>
              <w:t>576,791</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604,815</w:t>
            </w:r>
          </w:p>
        </w:tc>
        <w:tc>
          <w:tcPr>
            <w:tcW w:w="1161" w:type="dxa"/>
            <w:tcBorders>
              <w:left w:val="nil"/>
            </w:tcBorders>
          </w:tcPr>
          <w:p w:rsidR="00000000" w:rsidRDefault="00BD0CAC">
            <w:pPr>
              <w:spacing w:before="120" w:line="240" w:lineRule="auto"/>
              <w:ind w:right="57"/>
              <w:jc w:val="right"/>
              <w:rPr>
                <w:sz w:val="21"/>
              </w:rPr>
            </w:pPr>
            <w:r>
              <w:rPr>
                <w:sz w:val="21"/>
              </w:rPr>
              <w:t>528,556</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476,121</w:t>
            </w:r>
          </w:p>
        </w:tc>
        <w:tc>
          <w:tcPr>
            <w:tcW w:w="1161" w:type="dxa"/>
            <w:tcBorders>
              <w:left w:val="nil"/>
            </w:tcBorders>
          </w:tcPr>
          <w:p w:rsidR="00000000" w:rsidRDefault="00BD0CAC">
            <w:pPr>
              <w:spacing w:before="120" w:line="240" w:lineRule="auto"/>
              <w:ind w:right="57"/>
              <w:jc w:val="right"/>
              <w:rPr>
                <w:sz w:val="21"/>
              </w:rPr>
            </w:pPr>
            <w:r>
              <w:rPr>
                <w:sz w:val="21"/>
              </w:rPr>
              <w:t>502,818</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505,262</w:t>
            </w:r>
          </w:p>
        </w:tc>
      </w:tr>
      <w:tr w:rsidR="00000000">
        <w:tblPrEx>
          <w:tblCellMar>
            <w:top w:w="0" w:type="dxa"/>
            <w:bottom w:w="0" w:type="dxa"/>
          </w:tblCellMar>
        </w:tblPrEx>
        <w:tc>
          <w:tcPr>
            <w:tcW w:w="1588" w:type="dxa"/>
            <w:tcBorders>
              <w:left w:val="single" w:sz="6" w:space="0" w:color="auto"/>
              <w:bottom w:val="single" w:sz="6" w:space="0" w:color="auto"/>
            </w:tcBorders>
          </w:tcPr>
          <w:p w:rsidR="00000000" w:rsidRDefault="00BD0CAC">
            <w:pPr>
              <w:spacing w:before="120" w:line="240" w:lineRule="auto"/>
              <w:ind w:left="57"/>
              <w:rPr>
                <w:sz w:val="21"/>
              </w:rPr>
            </w:pPr>
          </w:p>
        </w:tc>
        <w:tc>
          <w:tcPr>
            <w:tcW w:w="853" w:type="dxa"/>
            <w:tcBorders>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rFonts w:hint="eastAsia"/>
                <w:sz w:val="21"/>
              </w:rPr>
              <w:t>合计</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1,705,350</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1,874,489</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1</w:t>
            </w:r>
            <w:r>
              <w:rPr>
                <w:sz w:val="21"/>
              </w:rPr>
              <w:t>,946,301</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1,915,148</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1,933,514</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1,937,458</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公立</w:t>
            </w:r>
          </w:p>
        </w:tc>
        <w:tc>
          <w:tcPr>
            <w:tcW w:w="1161" w:type="dxa"/>
            <w:tcBorders>
              <w:left w:val="nil"/>
            </w:tcBorders>
          </w:tcPr>
          <w:p w:rsidR="00000000" w:rsidRDefault="00BD0CAC">
            <w:pPr>
              <w:spacing w:before="120" w:line="240" w:lineRule="auto"/>
              <w:ind w:right="57"/>
              <w:jc w:val="right"/>
              <w:rPr>
                <w:sz w:val="21"/>
              </w:rPr>
            </w:pPr>
            <w:r>
              <w:rPr>
                <w:sz w:val="21"/>
              </w:rPr>
              <w:t>9,142</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8,931</w:t>
            </w:r>
          </w:p>
        </w:tc>
        <w:tc>
          <w:tcPr>
            <w:tcW w:w="1161" w:type="dxa"/>
            <w:tcBorders>
              <w:left w:val="nil"/>
            </w:tcBorders>
          </w:tcPr>
          <w:p w:rsidR="00000000" w:rsidRDefault="00BD0CAC">
            <w:pPr>
              <w:spacing w:before="120" w:line="240" w:lineRule="auto"/>
              <w:ind w:right="57"/>
              <w:jc w:val="right"/>
              <w:rPr>
                <w:sz w:val="21"/>
              </w:rPr>
            </w:pPr>
            <w:r>
              <w:rPr>
                <w:sz w:val="21"/>
              </w:rPr>
              <w:t>11,815</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13,713</w:t>
            </w:r>
          </w:p>
        </w:tc>
        <w:tc>
          <w:tcPr>
            <w:tcW w:w="1161" w:type="dxa"/>
            <w:tcBorders>
              <w:left w:val="nil"/>
            </w:tcBorders>
          </w:tcPr>
          <w:p w:rsidR="00000000" w:rsidRDefault="00BD0CAC">
            <w:pPr>
              <w:spacing w:before="120" w:line="240" w:lineRule="auto"/>
              <w:ind w:right="57"/>
              <w:jc w:val="right"/>
              <w:rPr>
                <w:sz w:val="21"/>
              </w:rPr>
            </w:pPr>
            <w:r>
              <w:rPr>
                <w:sz w:val="21"/>
              </w:rPr>
              <w:t>11,157</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11,157</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r>
              <w:rPr>
                <w:rFonts w:hint="eastAsia"/>
                <w:sz w:val="21"/>
              </w:rPr>
              <w:t>小学后</w:t>
            </w: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私立</w:t>
            </w:r>
          </w:p>
        </w:tc>
        <w:tc>
          <w:tcPr>
            <w:tcW w:w="1161" w:type="dxa"/>
            <w:tcBorders>
              <w:left w:val="nil"/>
            </w:tcBorders>
          </w:tcPr>
          <w:p w:rsidR="00000000" w:rsidRDefault="00BD0CAC">
            <w:pPr>
              <w:spacing w:before="120" w:line="240" w:lineRule="auto"/>
              <w:ind w:right="57"/>
              <w:jc w:val="right"/>
              <w:rPr>
                <w:sz w:val="21"/>
              </w:rPr>
            </w:pPr>
            <w:r>
              <w:rPr>
                <w:sz w:val="21"/>
              </w:rPr>
              <w:t>0</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0</w:t>
            </w:r>
          </w:p>
        </w:tc>
        <w:tc>
          <w:tcPr>
            <w:tcW w:w="1161" w:type="dxa"/>
            <w:tcBorders>
              <w:left w:val="nil"/>
            </w:tcBorders>
          </w:tcPr>
          <w:p w:rsidR="00000000" w:rsidRDefault="00BD0CAC">
            <w:pPr>
              <w:spacing w:before="120" w:line="240" w:lineRule="auto"/>
              <w:ind w:right="57"/>
              <w:jc w:val="right"/>
              <w:rPr>
                <w:sz w:val="21"/>
              </w:rPr>
            </w:pPr>
            <w:r>
              <w:rPr>
                <w:sz w:val="21"/>
              </w:rPr>
              <w:t>0</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0</w:t>
            </w:r>
          </w:p>
        </w:tc>
        <w:tc>
          <w:tcPr>
            <w:tcW w:w="1161" w:type="dxa"/>
            <w:tcBorders>
              <w:left w:val="nil"/>
            </w:tcBorders>
          </w:tcPr>
          <w:p w:rsidR="00000000" w:rsidRDefault="00BD0CAC">
            <w:pPr>
              <w:spacing w:before="120" w:line="240" w:lineRule="auto"/>
              <w:ind w:right="57"/>
              <w:jc w:val="right"/>
              <w:rPr>
                <w:sz w:val="21"/>
              </w:rPr>
            </w:pPr>
            <w:r>
              <w:rPr>
                <w:sz w:val="21"/>
              </w:rPr>
              <w:t>0</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0</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合计</w:t>
            </w:r>
          </w:p>
        </w:tc>
        <w:tc>
          <w:tcPr>
            <w:tcW w:w="1161" w:type="dxa"/>
            <w:tcBorders>
              <w:left w:val="nil"/>
            </w:tcBorders>
          </w:tcPr>
          <w:p w:rsidR="00000000" w:rsidRDefault="00BD0CAC">
            <w:pPr>
              <w:spacing w:before="120" w:line="240" w:lineRule="auto"/>
              <w:ind w:right="57"/>
              <w:jc w:val="right"/>
              <w:rPr>
                <w:sz w:val="21"/>
              </w:rPr>
            </w:pPr>
            <w:r>
              <w:rPr>
                <w:sz w:val="21"/>
              </w:rPr>
              <w:t>9,142</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8,931</w:t>
            </w:r>
          </w:p>
        </w:tc>
        <w:tc>
          <w:tcPr>
            <w:tcW w:w="1161" w:type="dxa"/>
            <w:tcBorders>
              <w:left w:val="nil"/>
            </w:tcBorders>
          </w:tcPr>
          <w:p w:rsidR="00000000" w:rsidRDefault="00BD0CAC">
            <w:pPr>
              <w:spacing w:before="120" w:line="240" w:lineRule="auto"/>
              <w:ind w:right="57"/>
              <w:jc w:val="right"/>
              <w:rPr>
                <w:sz w:val="21"/>
              </w:rPr>
            </w:pPr>
            <w:r>
              <w:rPr>
                <w:sz w:val="21"/>
              </w:rPr>
              <w:t>11,815</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13,713</w:t>
            </w:r>
          </w:p>
        </w:tc>
        <w:tc>
          <w:tcPr>
            <w:tcW w:w="1161" w:type="dxa"/>
            <w:tcBorders>
              <w:left w:val="nil"/>
            </w:tcBorders>
          </w:tcPr>
          <w:p w:rsidR="00000000" w:rsidRDefault="00BD0CAC">
            <w:pPr>
              <w:spacing w:before="120" w:line="240" w:lineRule="auto"/>
              <w:ind w:right="57"/>
              <w:jc w:val="right"/>
              <w:rPr>
                <w:sz w:val="21"/>
              </w:rPr>
            </w:pPr>
            <w:r>
              <w:rPr>
                <w:sz w:val="21"/>
              </w:rPr>
              <w:t>11,157</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11,157</w:t>
            </w:r>
          </w:p>
        </w:tc>
      </w:tr>
      <w:tr w:rsidR="00000000">
        <w:tblPrEx>
          <w:tblCellMar>
            <w:top w:w="0" w:type="dxa"/>
            <w:bottom w:w="0" w:type="dxa"/>
          </w:tblCellMar>
        </w:tblPrEx>
        <w:tc>
          <w:tcPr>
            <w:tcW w:w="1588" w:type="dxa"/>
            <w:tcBorders>
              <w:top w:val="single" w:sz="6" w:space="0" w:color="auto"/>
              <w:left w:val="single" w:sz="6" w:space="0" w:color="auto"/>
            </w:tcBorders>
          </w:tcPr>
          <w:p w:rsidR="00000000" w:rsidRDefault="00BD0CAC">
            <w:pPr>
              <w:spacing w:before="120" w:line="240" w:lineRule="auto"/>
              <w:ind w:left="57"/>
              <w:rPr>
                <w:sz w:val="21"/>
              </w:rPr>
            </w:pPr>
          </w:p>
        </w:tc>
        <w:tc>
          <w:tcPr>
            <w:tcW w:w="853" w:type="dxa"/>
            <w:tcBorders>
              <w:top w:val="single" w:sz="6" w:space="0" w:color="auto"/>
              <w:left w:val="single" w:sz="6" w:space="0" w:color="auto"/>
              <w:right w:val="single" w:sz="6" w:space="0" w:color="auto"/>
            </w:tcBorders>
          </w:tcPr>
          <w:p w:rsidR="00000000" w:rsidRDefault="00BD0CAC">
            <w:pPr>
              <w:spacing w:before="120" w:line="240" w:lineRule="auto"/>
              <w:jc w:val="center"/>
              <w:rPr>
                <w:sz w:val="21"/>
              </w:rPr>
            </w:pPr>
            <w:r>
              <w:rPr>
                <w:rFonts w:hint="eastAsia"/>
                <w:sz w:val="21"/>
              </w:rPr>
              <w:t>公立</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134,783</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170,728</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209,837</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276,131</w:t>
            </w:r>
          </w:p>
        </w:tc>
        <w:tc>
          <w:tcPr>
            <w:tcW w:w="1161" w:type="dxa"/>
            <w:tcBorders>
              <w:top w:val="single" w:sz="6" w:space="0" w:color="auto"/>
              <w:left w:val="nil"/>
            </w:tcBorders>
          </w:tcPr>
          <w:p w:rsidR="00000000" w:rsidRDefault="00BD0CAC">
            <w:pPr>
              <w:spacing w:before="120" w:line="240" w:lineRule="auto"/>
              <w:ind w:right="57"/>
              <w:jc w:val="right"/>
              <w:rPr>
                <w:sz w:val="21"/>
              </w:rPr>
            </w:pPr>
            <w:r>
              <w:rPr>
                <w:sz w:val="21"/>
              </w:rPr>
              <w:t>294,441</w:t>
            </w:r>
          </w:p>
        </w:tc>
        <w:tc>
          <w:tcPr>
            <w:tcW w:w="1161" w:type="dxa"/>
            <w:tcBorders>
              <w:top w:val="single" w:sz="6" w:space="0" w:color="auto"/>
              <w:left w:val="single" w:sz="6" w:space="0" w:color="auto"/>
              <w:right w:val="single" w:sz="6" w:space="0" w:color="auto"/>
            </w:tcBorders>
          </w:tcPr>
          <w:p w:rsidR="00000000" w:rsidRDefault="00BD0CAC">
            <w:pPr>
              <w:spacing w:before="120" w:line="240" w:lineRule="auto"/>
              <w:ind w:right="57"/>
              <w:jc w:val="right"/>
              <w:rPr>
                <w:sz w:val="21"/>
              </w:rPr>
            </w:pPr>
            <w:r>
              <w:rPr>
                <w:sz w:val="21"/>
              </w:rPr>
              <w:t>295,916</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r>
              <w:rPr>
                <w:rFonts w:hint="eastAsia"/>
                <w:sz w:val="21"/>
              </w:rPr>
              <w:t>普通教育中学</w:t>
            </w: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私立</w:t>
            </w:r>
          </w:p>
        </w:tc>
        <w:tc>
          <w:tcPr>
            <w:tcW w:w="1161" w:type="dxa"/>
            <w:tcBorders>
              <w:left w:val="nil"/>
            </w:tcBorders>
          </w:tcPr>
          <w:p w:rsidR="00000000" w:rsidRDefault="00BD0CAC">
            <w:pPr>
              <w:spacing w:before="120" w:line="240" w:lineRule="auto"/>
              <w:ind w:right="57"/>
              <w:jc w:val="right"/>
              <w:rPr>
                <w:sz w:val="21"/>
              </w:rPr>
            </w:pPr>
            <w:r>
              <w:rPr>
                <w:sz w:val="21"/>
              </w:rPr>
              <w:t>128,375</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155,016</w:t>
            </w:r>
          </w:p>
        </w:tc>
        <w:tc>
          <w:tcPr>
            <w:tcW w:w="1161" w:type="dxa"/>
            <w:tcBorders>
              <w:left w:val="nil"/>
            </w:tcBorders>
          </w:tcPr>
          <w:p w:rsidR="00000000" w:rsidRDefault="00BD0CAC">
            <w:pPr>
              <w:spacing w:before="120" w:line="240" w:lineRule="auto"/>
              <w:ind w:right="57"/>
              <w:jc w:val="right"/>
              <w:rPr>
                <w:sz w:val="21"/>
              </w:rPr>
            </w:pPr>
            <w:r>
              <w:rPr>
                <w:sz w:val="21"/>
              </w:rPr>
              <w:t>157,152</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167,209</w:t>
            </w:r>
          </w:p>
        </w:tc>
        <w:tc>
          <w:tcPr>
            <w:tcW w:w="1161" w:type="dxa"/>
            <w:tcBorders>
              <w:left w:val="nil"/>
            </w:tcBorders>
          </w:tcPr>
          <w:p w:rsidR="00000000" w:rsidRDefault="00BD0CAC">
            <w:pPr>
              <w:spacing w:before="120" w:line="240" w:lineRule="auto"/>
              <w:ind w:right="57"/>
              <w:jc w:val="right"/>
              <w:rPr>
                <w:sz w:val="21"/>
              </w:rPr>
            </w:pPr>
            <w:r>
              <w:rPr>
                <w:sz w:val="21"/>
              </w:rPr>
              <w:t>163,700</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163</w:t>
            </w:r>
            <w:r>
              <w:rPr>
                <w:sz w:val="21"/>
              </w:rPr>
              <w:t>,734</w:t>
            </w:r>
          </w:p>
        </w:tc>
      </w:tr>
      <w:tr w:rsidR="00000000">
        <w:tblPrEx>
          <w:tblCellMar>
            <w:top w:w="0" w:type="dxa"/>
            <w:bottom w:w="0" w:type="dxa"/>
          </w:tblCellMar>
        </w:tblPrEx>
        <w:tc>
          <w:tcPr>
            <w:tcW w:w="1588" w:type="dxa"/>
            <w:tcBorders>
              <w:left w:val="single" w:sz="6" w:space="0" w:color="auto"/>
              <w:bottom w:val="single" w:sz="6" w:space="0" w:color="auto"/>
            </w:tcBorders>
          </w:tcPr>
          <w:p w:rsidR="00000000" w:rsidRDefault="00BD0CAC">
            <w:pPr>
              <w:spacing w:before="120" w:line="240" w:lineRule="auto"/>
              <w:ind w:left="57"/>
              <w:rPr>
                <w:sz w:val="21"/>
              </w:rPr>
            </w:pPr>
          </w:p>
        </w:tc>
        <w:tc>
          <w:tcPr>
            <w:tcW w:w="853" w:type="dxa"/>
            <w:tcBorders>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rFonts w:hint="eastAsia"/>
                <w:sz w:val="21"/>
              </w:rPr>
              <w:t>合计</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260,158</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325,744</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366,989</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443,340</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458,141</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459,650</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公立</w:t>
            </w:r>
          </w:p>
        </w:tc>
        <w:tc>
          <w:tcPr>
            <w:tcW w:w="1161" w:type="dxa"/>
            <w:tcBorders>
              <w:left w:val="nil"/>
            </w:tcBorders>
          </w:tcPr>
          <w:p w:rsidR="00000000" w:rsidRDefault="00BD0CAC">
            <w:pPr>
              <w:spacing w:before="120" w:line="240" w:lineRule="auto"/>
              <w:ind w:right="57"/>
              <w:jc w:val="right"/>
              <w:rPr>
                <w:sz w:val="21"/>
              </w:rPr>
            </w:pPr>
            <w:r>
              <w:rPr>
                <w:sz w:val="21"/>
              </w:rPr>
              <w:t>22,287</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23,787</w:t>
            </w:r>
          </w:p>
        </w:tc>
        <w:tc>
          <w:tcPr>
            <w:tcW w:w="1161" w:type="dxa"/>
            <w:tcBorders>
              <w:left w:val="nil"/>
            </w:tcBorders>
          </w:tcPr>
          <w:p w:rsidR="00000000" w:rsidRDefault="00BD0CAC">
            <w:pPr>
              <w:spacing w:before="120" w:line="240" w:lineRule="auto"/>
              <w:ind w:right="57"/>
              <w:jc w:val="right"/>
              <w:rPr>
                <w:sz w:val="21"/>
              </w:rPr>
            </w:pPr>
            <w:r>
              <w:rPr>
                <w:sz w:val="21"/>
              </w:rPr>
              <w:t>31,793</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39,507</w:t>
            </w:r>
          </w:p>
        </w:tc>
        <w:tc>
          <w:tcPr>
            <w:tcW w:w="1161" w:type="dxa"/>
            <w:tcBorders>
              <w:left w:val="nil"/>
            </w:tcBorders>
          </w:tcPr>
          <w:p w:rsidR="00000000" w:rsidRDefault="00BD0CAC">
            <w:pPr>
              <w:spacing w:before="120" w:line="240" w:lineRule="auto"/>
              <w:ind w:right="57"/>
              <w:jc w:val="right"/>
              <w:rPr>
                <w:sz w:val="21"/>
              </w:rPr>
            </w:pPr>
            <w:r>
              <w:rPr>
                <w:sz w:val="21"/>
              </w:rPr>
              <w:t>47,015</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47,015</w:t>
            </w:r>
          </w:p>
        </w:tc>
      </w:tr>
      <w:tr w:rsidR="00000000">
        <w:tblPrEx>
          <w:tblCellMar>
            <w:top w:w="0" w:type="dxa"/>
            <w:bottom w:w="0" w:type="dxa"/>
          </w:tblCellMar>
        </w:tblPrEx>
        <w:tc>
          <w:tcPr>
            <w:tcW w:w="1588" w:type="dxa"/>
            <w:tcBorders>
              <w:left w:val="single" w:sz="6" w:space="0" w:color="auto"/>
            </w:tcBorders>
          </w:tcPr>
          <w:p w:rsidR="00000000" w:rsidRDefault="00BD0CAC">
            <w:pPr>
              <w:spacing w:before="120" w:line="240" w:lineRule="auto"/>
              <w:ind w:left="57"/>
              <w:rPr>
                <w:sz w:val="21"/>
              </w:rPr>
            </w:pPr>
            <w:r>
              <w:rPr>
                <w:rFonts w:hint="eastAsia"/>
                <w:sz w:val="21"/>
              </w:rPr>
              <w:t>中等技校</w:t>
            </w:r>
          </w:p>
        </w:tc>
        <w:tc>
          <w:tcPr>
            <w:tcW w:w="853" w:type="dxa"/>
            <w:tcBorders>
              <w:left w:val="single" w:sz="6" w:space="0" w:color="auto"/>
              <w:right w:val="single" w:sz="6" w:space="0" w:color="auto"/>
            </w:tcBorders>
          </w:tcPr>
          <w:p w:rsidR="00000000" w:rsidRDefault="00BD0CAC">
            <w:pPr>
              <w:spacing w:before="120" w:line="240" w:lineRule="auto"/>
              <w:jc w:val="center"/>
              <w:rPr>
                <w:sz w:val="21"/>
              </w:rPr>
            </w:pPr>
            <w:r>
              <w:rPr>
                <w:rFonts w:hint="eastAsia"/>
                <w:sz w:val="21"/>
              </w:rPr>
              <w:t>私立</w:t>
            </w:r>
          </w:p>
        </w:tc>
        <w:tc>
          <w:tcPr>
            <w:tcW w:w="1161" w:type="dxa"/>
            <w:tcBorders>
              <w:left w:val="nil"/>
            </w:tcBorders>
          </w:tcPr>
          <w:p w:rsidR="00000000" w:rsidRDefault="00BD0CAC">
            <w:pPr>
              <w:spacing w:before="120" w:line="240" w:lineRule="auto"/>
              <w:ind w:right="57"/>
              <w:jc w:val="right"/>
              <w:rPr>
                <w:sz w:val="21"/>
              </w:rPr>
            </w:pPr>
            <w:r>
              <w:rPr>
                <w:sz w:val="21"/>
              </w:rPr>
              <w:t>60,932</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70,454</w:t>
            </w:r>
          </w:p>
        </w:tc>
        <w:tc>
          <w:tcPr>
            <w:tcW w:w="1161" w:type="dxa"/>
            <w:tcBorders>
              <w:left w:val="nil"/>
            </w:tcBorders>
          </w:tcPr>
          <w:p w:rsidR="00000000" w:rsidRDefault="00BD0CAC">
            <w:pPr>
              <w:spacing w:before="120" w:line="240" w:lineRule="auto"/>
              <w:ind w:right="57"/>
              <w:jc w:val="right"/>
              <w:rPr>
                <w:sz w:val="21"/>
              </w:rPr>
            </w:pPr>
            <w:r>
              <w:rPr>
                <w:sz w:val="21"/>
              </w:rPr>
              <w:t>57,396</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50,870</w:t>
            </w:r>
          </w:p>
        </w:tc>
        <w:tc>
          <w:tcPr>
            <w:tcW w:w="1161" w:type="dxa"/>
            <w:tcBorders>
              <w:left w:val="nil"/>
            </w:tcBorders>
          </w:tcPr>
          <w:p w:rsidR="00000000" w:rsidRDefault="00BD0CAC">
            <w:pPr>
              <w:spacing w:before="120" w:line="240" w:lineRule="auto"/>
              <w:ind w:right="57"/>
              <w:jc w:val="right"/>
              <w:rPr>
                <w:sz w:val="21"/>
              </w:rPr>
            </w:pPr>
            <w:r>
              <w:rPr>
                <w:sz w:val="21"/>
              </w:rPr>
              <w:t>43,983</w:t>
            </w:r>
          </w:p>
        </w:tc>
        <w:tc>
          <w:tcPr>
            <w:tcW w:w="1161" w:type="dxa"/>
            <w:tcBorders>
              <w:left w:val="single" w:sz="6" w:space="0" w:color="auto"/>
              <w:right w:val="single" w:sz="6" w:space="0" w:color="auto"/>
            </w:tcBorders>
          </w:tcPr>
          <w:p w:rsidR="00000000" w:rsidRDefault="00BD0CAC">
            <w:pPr>
              <w:spacing w:before="120" w:line="240" w:lineRule="auto"/>
              <w:ind w:right="57"/>
              <w:jc w:val="right"/>
              <w:rPr>
                <w:sz w:val="21"/>
              </w:rPr>
            </w:pPr>
            <w:r>
              <w:rPr>
                <w:sz w:val="21"/>
              </w:rPr>
              <w:t>43,983</w:t>
            </w:r>
          </w:p>
        </w:tc>
      </w:tr>
      <w:tr w:rsidR="00000000">
        <w:tblPrEx>
          <w:tblCellMar>
            <w:top w:w="0" w:type="dxa"/>
            <w:bottom w:w="0" w:type="dxa"/>
          </w:tblCellMar>
        </w:tblPrEx>
        <w:tc>
          <w:tcPr>
            <w:tcW w:w="1588" w:type="dxa"/>
            <w:tcBorders>
              <w:left w:val="single" w:sz="6" w:space="0" w:color="auto"/>
              <w:bottom w:val="single" w:sz="6" w:space="0" w:color="auto"/>
            </w:tcBorders>
          </w:tcPr>
          <w:p w:rsidR="00000000" w:rsidRDefault="00BD0CAC">
            <w:pPr>
              <w:spacing w:before="120" w:line="240" w:lineRule="auto"/>
              <w:ind w:left="57"/>
              <w:rPr>
                <w:sz w:val="21"/>
              </w:rPr>
            </w:pPr>
          </w:p>
        </w:tc>
        <w:tc>
          <w:tcPr>
            <w:tcW w:w="853" w:type="dxa"/>
            <w:tcBorders>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rFonts w:hint="eastAsia"/>
                <w:sz w:val="21"/>
              </w:rPr>
              <w:t>合计</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83,219</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94,241</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89,189</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90,377</w:t>
            </w:r>
          </w:p>
        </w:tc>
        <w:tc>
          <w:tcPr>
            <w:tcW w:w="1161" w:type="dxa"/>
            <w:tcBorders>
              <w:left w:val="nil"/>
              <w:bottom w:val="single" w:sz="6" w:space="0" w:color="auto"/>
            </w:tcBorders>
          </w:tcPr>
          <w:p w:rsidR="00000000" w:rsidRDefault="00BD0CAC">
            <w:pPr>
              <w:spacing w:before="120" w:line="240" w:lineRule="auto"/>
              <w:ind w:right="57"/>
              <w:jc w:val="right"/>
              <w:rPr>
                <w:sz w:val="21"/>
              </w:rPr>
            </w:pPr>
            <w:r>
              <w:rPr>
                <w:sz w:val="21"/>
              </w:rPr>
              <w:t>90,998</w:t>
            </w:r>
          </w:p>
        </w:tc>
        <w:tc>
          <w:tcPr>
            <w:tcW w:w="1161" w:type="dxa"/>
            <w:tcBorders>
              <w:left w:val="single" w:sz="6" w:space="0" w:color="auto"/>
              <w:bottom w:val="single" w:sz="6" w:space="0" w:color="auto"/>
              <w:right w:val="single" w:sz="6" w:space="0" w:color="auto"/>
            </w:tcBorders>
          </w:tcPr>
          <w:p w:rsidR="00000000" w:rsidRDefault="00BD0CAC">
            <w:pPr>
              <w:spacing w:before="120" w:line="240" w:lineRule="auto"/>
              <w:ind w:right="57"/>
              <w:jc w:val="right"/>
              <w:rPr>
                <w:sz w:val="21"/>
              </w:rPr>
            </w:pPr>
            <w:r>
              <w:rPr>
                <w:sz w:val="21"/>
              </w:rPr>
              <w:t>90,998</w:t>
            </w:r>
          </w:p>
        </w:tc>
      </w:tr>
    </w:tbl>
    <w:p w:rsidR="00000000" w:rsidRDefault="00BD0CAC">
      <w:pPr>
        <w:pStyle w:val="Heading3"/>
      </w:pPr>
      <w:r>
        <w:br w:type="page"/>
      </w:r>
      <w:r>
        <w:rPr>
          <w:rFonts w:hint="eastAsia"/>
        </w:rPr>
        <w:t>按教学等级学校数目的发展变化</w:t>
      </w:r>
    </w:p>
    <w:tbl>
      <w:tblPr>
        <w:tblW w:w="0" w:type="auto"/>
        <w:tblInd w:w="-26" w:type="dxa"/>
        <w:tblLayout w:type="fixed"/>
        <w:tblCellMar>
          <w:left w:w="28" w:type="dxa"/>
          <w:right w:w="28" w:type="dxa"/>
        </w:tblCellMar>
        <w:tblLook w:val="0000" w:firstRow="0" w:lastRow="0" w:firstColumn="0" w:lastColumn="0" w:noHBand="0" w:noVBand="0"/>
      </w:tblPr>
      <w:tblGrid>
        <w:gridCol w:w="1348"/>
        <w:gridCol w:w="600"/>
        <w:gridCol w:w="1080"/>
        <w:gridCol w:w="1080"/>
        <w:gridCol w:w="1080"/>
        <w:gridCol w:w="1080"/>
        <w:gridCol w:w="1080"/>
        <w:gridCol w:w="1080"/>
        <w:gridCol w:w="1080"/>
      </w:tblGrid>
      <w:tr w:rsidR="00000000">
        <w:tblPrEx>
          <w:tblCellMar>
            <w:top w:w="0" w:type="dxa"/>
            <w:bottom w:w="0" w:type="dxa"/>
          </w:tblCellMar>
        </w:tblPrEx>
        <w:tc>
          <w:tcPr>
            <w:tcW w:w="1348" w:type="dxa"/>
            <w:tcBorders>
              <w:top w:val="single" w:sz="6" w:space="0" w:color="auto"/>
              <w:left w:val="single" w:sz="6" w:space="0" w:color="auto"/>
              <w:bottom w:val="single" w:sz="6" w:space="0" w:color="auto"/>
            </w:tcBorders>
          </w:tcPr>
          <w:p w:rsidR="00000000" w:rsidRDefault="00BD0CAC">
            <w:pPr>
              <w:spacing w:before="120" w:line="240" w:lineRule="auto"/>
              <w:rPr>
                <w:spacing w:val="0"/>
                <w:sz w:val="21"/>
              </w:rPr>
            </w:pPr>
          </w:p>
        </w:tc>
        <w:tc>
          <w:tcPr>
            <w:tcW w:w="600" w:type="dxa"/>
            <w:tcBorders>
              <w:top w:val="single" w:sz="6" w:space="0" w:color="auto"/>
              <w:bottom w:val="single" w:sz="6" w:space="0" w:color="auto"/>
            </w:tcBorders>
          </w:tcPr>
          <w:p w:rsidR="00000000" w:rsidRDefault="00BD0CAC">
            <w:pPr>
              <w:spacing w:before="120" w:line="240" w:lineRule="auto"/>
              <w:jc w:val="left"/>
              <w:rPr>
                <w:sz w:val="21"/>
              </w:rPr>
            </w:pPr>
          </w:p>
        </w:tc>
        <w:tc>
          <w:tcPr>
            <w:tcW w:w="1080" w:type="dxa"/>
            <w:tcBorders>
              <w:top w:val="single" w:sz="6" w:space="0" w:color="auto"/>
              <w:left w:val="single" w:sz="6" w:space="0" w:color="auto"/>
              <w:bottom w:val="single" w:sz="6" w:space="0" w:color="auto"/>
            </w:tcBorders>
          </w:tcPr>
          <w:p w:rsidR="00000000" w:rsidRDefault="00BD0CAC">
            <w:pPr>
              <w:spacing w:before="120" w:line="240" w:lineRule="auto"/>
              <w:rPr>
                <w:sz w:val="21"/>
              </w:rPr>
            </w:pPr>
            <w:r>
              <w:rPr>
                <w:sz w:val="21"/>
              </w:rPr>
              <w:t>1988-1989</w:t>
            </w:r>
          </w:p>
        </w:tc>
        <w:tc>
          <w:tcPr>
            <w:tcW w:w="1080"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rPr>
                <w:sz w:val="21"/>
              </w:rPr>
            </w:pPr>
            <w:r>
              <w:rPr>
                <w:sz w:val="21"/>
              </w:rPr>
              <w:t>1989-1990</w:t>
            </w:r>
          </w:p>
        </w:tc>
        <w:tc>
          <w:tcPr>
            <w:tcW w:w="1080" w:type="dxa"/>
            <w:tcBorders>
              <w:top w:val="single" w:sz="6" w:space="0" w:color="auto"/>
              <w:left w:val="nil"/>
              <w:bottom w:val="single" w:sz="6" w:space="0" w:color="auto"/>
            </w:tcBorders>
          </w:tcPr>
          <w:p w:rsidR="00000000" w:rsidRDefault="00BD0CAC">
            <w:pPr>
              <w:spacing w:before="120" w:line="240" w:lineRule="auto"/>
              <w:rPr>
                <w:sz w:val="21"/>
              </w:rPr>
            </w:pPr>
            <w:r>
              <w:rPr>
                <w:sz w:val="21"/>
              </w:rPr>
              <w:t>1990-1991</w:t>
            </w:r>
          </w:p>
        </w:tc>
        <w:tc>
          <w:tcPr>
            <w:tcW w:w="1080"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rPr>
                <w:sz w:val="21"/>
              </w:rPr>
            </w:pPr>
            <w:r>
              <w:rPr>
                <w:sz w:val="21"/>
              </w:rPr>
              <w:t>1991</w:t>
            </w:r>
            <w:r>
              <w:rPr>
                <w:sz w:val="21"/>
              </w:rPr>
              <w:t>-1992</w:t>
            </w:r>
          </w:p>
        </w:tc>
        <w:tc>
          <w:tcPr>
            <w:tcW w:w="1080" w:type="dxa"/>
            <w:tcBorders>
              <w:top w:val="single" w:sz="6" w:space="0" w:color="auto"/>
              <w:left w:val="nil"/>
              <w:bottom w:val="single" w:sz="6" w:space="0" w:color="auto"/>
              <w:right w:val="single" w:sz="6" w:space="0" w:color="auto"/>
            </w:tcBorders>
          </w:tcPr>
          <w:p w:rsidR="00000000" w:rsidRDefault="00BD0CAC">
            <w:pPr>
              <w:spacing w:before="120" w:line="240" w:lineRule="auto"/>
              <w:rPr>
                <w:sz w:val="21"/>
              </w:rPr>
            </w:pPr>
            <w:r>
              <w:rPr>
                <w:sz w:val="21"/>
              </w:rPr>
              <w:t>1992-1993</w:t>
            </w:r>
          </w:p>
        </w:tc>
        <w:tc>
          <w:tcPr>
            <w:tcW w:w="1080" w:type="dxa"/>
            <w:tcBorders>
              <w:top w:val="single" w:sz="6" w:space="0" w:color="auto"/>
              <w:left w:val="nil"/>
              <w:bottom w:val="single" w:sz="6" w:space="0" w:color="auto"/>
            </w:tcBorders>
          </w:tcPr>
          <w:p w:rsidR="00000000" w:rsidRDefault="00BD0CAC">
            <w:pPr>
              <w:spacing w:before="120" w:line="240" w:lineRule="auto"/>
              <w:rPr>
                <w:sz w:val="21"/>
              </w:rPr>
            </w:pPr>
            <w:r>
              <w:rPr>
                <w:sz w:val="21"/>
              </w:rPr>
              <w:t>1993-1994</w:t>
            </w:r>
          </w:p>
        </w:tc>
        <w:tc>
          <w:tcPr>
            <w:tcW w:w="1080"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rPr>
                <w:sz w:val="21"/>
              </w:rPr>
            </w:pPr>
            <w:r>
              <w:rPr>
                <w:sz w:val="21"/>
              </w:rPr>
              <w:t>1994-1995</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left w:val="nil"/>
            </w:tcBorders>
          </w:tcPr>
          <w:p w:rsidR="00000000" w:rsidRDefault="00BD0CAC">
            <w:pPr>
              <w:spacing w:before="120" w:line="240" w:lineRule="auto"/>
              <w:ind w:right="284"/>
              <w:jc w:val="right"/>
              <w:rPr>
                <w:sz w:val="21"/>
              </w:rPr>
            </w:pPr>
            <w:r>
              <w:rPr>
                <w:sz w:val="21"/>
              </w:rPr>
              <w:t>301</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368</w:t>
            </w:r>
          </w:p>
        </w:tc>
        <w:tc>
          <w:tcPr>
            <w:tcW w:w="1080" w:type="dxa"/>
            <w:tcBorders>
              <w:left w:val="nil"/>
            </w:tcBorders>
          </w:tcPr>
          <w:p w:rsidR="00000000" w:rsidRDefault="00BD0CAC">
            <w:pPr>
              <w:spacing w:before="120" w:line="240" w:lineRule="auto"/>
              <w:ind w:right="284"/>
              <w:jc w:val="right"/>
              <w:rPr>
                <w:sz w:val="21"/>
              </w:rPr>
            </w:pPr>
            <w:r>
              <w:rPr>
                <w:sz w:val="21"/>
              </w:rPr>
              <w:t>423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517</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531</w:t>
            </w:r>
          </w:p>
        </w:tc>
        <w:tc>
          <w:tcPr>
            <w:tcW w:w="1080" w:type="dxa"/>
            <w:tcBorders>
              <w:left w:val="nil"/>
            </w:tcBorders>
          </w:tcPr>
          <w:p w:rsidR="00000000" w:rsidRDefault="00BD0CAC">
            <w:pPr>
              <w:spacing w:before="120" w:line="240" w:lineRule="auto"/>
              <w:ind w:right="284"/>
              <w:jc w:val="right"/>
              <w:rPr>
                <w:sz w:val="21"/>
              </w:rPr>
            </w:pPr>
            <w:r>
              <w:rPr>
                <w:sz w:val="21"/>
              </w:rPr>
              <w:t>568</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611</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幼儿教育</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私立</w:t>
            </w:r>
          </w:p>
        </w:tc>
        <w:tc>
          <w:tcPr>
            <w:tcW w:w="1080" w:type="dxa"/>
            <w:tcBorders>
              <w:left w:val="nil"/>
            </w:tcBorders>
          </w:tcPr>
          <w:p w:rsidR="00000000" w:rsidRDefault="00BD0CAC">
            <w:pPr>
              <w:spacing w:before="120" w:line="240" w:lineRule="auto"/>
              <w:ind w:right="284"/>
              <w:jc w:val="right"/>
              <w:rPr>
                <w:sz w:val="21"/>
              </w:rPr>
            </w:pPr>
            <w:r>
              <w:rPr>
                <w:sz w:val="21"/>
              </w:rPr>
              <w:t>418</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448</w:t>
            </w:r>
          </w:p>
        </w:tc>
        <w:tc>
          <w:tcPr>
            <w:tcW w:w="1080" w:type="dxa"/>
            <w:tcBorders>
              <w:left w:val="nil"/>
            </w:tcBorders>
          </w:tcPr>
          <w:p w:rsidR="00000000" w:rsidRDefault="00BD0CAC">
            <w:pPr>
              <w:spacing w:before="120" w:line="240" w:lineRule="auto"/>
              <w:ind w:right="284"/>
              <w:jc w:val="right"/>
              <w:rPr>
                <w:sz w:val="21"/>
              </w:rPr>
            </w:pPr>
            <w:r>
              <w:rPr>
                <w:sz w:val="21"/>
              </w:rPr>
              <w:t>426</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418</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450</w:t>
            </w:r>
          </w:p>
        </w:tc>
        <w:tc>
          <w:tcPr>
            <w:tcW w:w="1080" w:type="dxa"/>
            <w:tcBorders>
              <w:left w:val="nil"/>
            </w:tcBorders>
          </w:tcPr>
          <w:p w:rsidR="00000000" w:rsidRDefault="00BD0CAC">
            <w:pPr>
              <w:spacing w:before="120" w:line="240" w:lineRule="auto"/>
              <w:ind w:right="284"/>
              <w:jc w:val="right"/>
              <w:rPr>
                <w:sz w:val="21"/>
              </w:rPr>
            </w:pPr>
            <w:r>
              <w:rPr>
                <w:sz w:val="21"/>
              </w:rPr>
              <w:t>450</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450</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tcBorders>
          </w:tcPr>
          <w:p w:rsidR="00000000" w:rsidRDefault="00BD0CAC">
            <w:pPr>
              <w:spacing w:before="120" w:line="240" w:lineRule="auto"/>
              <w:ind w:right="284"/>
              <w:jc w:val="right"/>
              <w:rPr>
                <w:sz w:val="21"/>
              </w:rPr>
            </w:pPr>
            <w:r>
              <w:rPr>
                <w:sz w:val="21"/>
              </w:rPr>
              <w:t>719</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816</w:t>
            </w:r>
          </w:p>
        </w:tc>
        <w:tc>
          <w:tcPr>
            <w:tcW w:w="1080" w:type="dxa"/>
            <w:tcBorders>
              <w:left w:val="nil"/>
            </w:tcBorders>
          </w:tcPr>
          <w:p w:rsidR="00000000" w:rsidRDefault="00BD0CAC">
            <w:pPr>
              <w:spacing w:before="120" w:line="240" w:lineRule="auto"/>
              <w:ind w:right="284"/>
              <w:jc w:val="right"/>
              <w:rPr>
                <w:sz w:val="21"/>
              </w:rPr>
            </w:pPr>
            <w:r>
              <w:rPr>
                <w:sz w:val="21"/>
              </w:rPr>
              <w:t>849</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935</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981</w:t>
            </w:r>
          </w:p>
        </w:tc>
        <w:tc>
          <w:tcPr>
            <w:tcW w:w="1080" w:type="dxa"/>
            <w:tcBorders>
              <w:left w:val="nil"/>
            </w:tcBorders>
          </w:tcPr>
          <w:p w:rsidR="00000000" w:rsidRDefault="00BD0CAC">
            <w:pPr>
              <w:spacing w:before="120" w:line="240" w:lineRule="auto"/>
              <w:ind w:right="284"/>
              <w:jc w:val="right"/>
              <w:rPr>
                <w:sz w:val="21"/>
              </w:rPr>
            </w:pPr>
            <w:r>
              <w:rPr>
                <w:sz w:val="21"/>
              </w:rPr>
              <w:t>1,018</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1,061</w:t>
            </w:r>
          </w:p>
        </w:tc>
      </w:tr>
      <w:tr w:rsidR="00000000">
        <w:tblPrEx>
          <w:tblCellMar>
            <w:top w:w="0" w:type="dxa"/>
            <w:bottom w:w="0" w:type="dxa"/>
          </w:tblCellMar>
        </w:tblPrEx>
        <w:tc>
          <w:tcPr>
            <w:tcW w:w="1348" w:type="dxa"/>
            <w:tcBorders>
              <w:top w:val="single" w:sz="6" w:space="0" w:color="auto"/>
              <w:left w:val="single" w:sz="6" w:space="0" w:color="auto"/>
            </w:tcBorders>
          </w:tcPr>
          <w:p w:rsidR="00000000" w:rsidRDefault="00BD0CAC">
            <w:pPr>
              <w:spacing w:before="120" w:line="240" w:lineRule="auto"/>
              <w:rPr>
                <w:spacing w:val="0"/>
                <w:sz w:val="21"/>
              </w:rPr>
            </w:pPr>
          </w:p>
        </w:tc>
        <w:tc>
          <w:tcPr>
            <w:tcW w:w="600" w:type="dxa"/>
            <w:tcBorders>
              <w:top w:val="single" w:sz="6" w:space="0" w:color="auto"/>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4,445</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4,705</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4,892</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5,107</w:t>
            </w:r>
          </w:p>
        </w:tc>
        <w:tc>
          <w:tcPr>
            <w:tcW w:w="1080" w:type="dxa"/>
            <w:tcBorders>
              <w:top w:val="single" w:sz="6" w:space="0" w:color="auto"/>
              <w:left w:val="nil"/>
              <w:right w:val="single" w:sz="6" w:space="0" w:color="auto"/>
            </w:tcBorders>
          </w:tcPr>
          <w:p w:rsidR="00000000" w:rsidRDefault="00BD0CAC">
            <w:pPr>
              <w:spacing w:before="120" w:line="240" w:lineRule="auto"/>
              <w:ind w:right="284"/>
              <w:jc w:val="right"/>
              <w:rPr>
                <w:sz w:val="21"/>
              </w:rPr>
            </w:pPr>
            <w:r>
              <w:rPr>
                <w:sz w:val="21"/>
              </w:rPr>
              <w:t>517</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5,107</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5,107</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小</w:t>
            </w:r>
            <w:r>
              <w:rPr>
                <w:spacing w:val="0"/>
                <w:sz w:val="21"/>
              </w:rPr>
              <w:t xml:space="preserve">  </w:t>
            </w:r>
            <w:r>
              <w:rPr>
                <w:rFonts w:hint="eastAsia"/>
                <w:spacing w:val="0"/>
                <w:sz w:val="21"/>
              </w:rPr>
              <w:t>学</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私立</w:t>
            </w:r>
          </w:p>
        </w:tc>
        <w:tc>
          <w:tcPr>
            <w:tcW w:w="1080" w:type="dxa"/>
            <w:tcBorders>
              <w:left w:val="nil"/>
            </w:tcBorders>
          </w:tcPr>
          <w:p w:rsidR="00000000" w:rsidRDefault="00BD0CAC">
            <w:pPr>
              <w:spacing w:before="120" w:line="240" w:lineRule="auto"/>
              <w:ind w:right="284"/>
              <w:jc w:val="right"/>
              <w:rPr>
                <w:sz w:val="21"/>
              </w:rPr>
            </w:pPr>
            <w:r>
              <w:rPr>
                <w:sz w:val="21"/>
              </w:rPr>
              <w:t>1,715</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1,844</w:t>
            </w:r>
          </w:p>
        </w:tc>
        <w:tc>
          <w:tcPr>
            <w:tcW w:w="1080" w:type="dxa"/>
            <w:tcBorders>
              <w:left w:val="nil"/>
            </w:tcBorders>
          </w:tcPr>
          <w:p w:rsidR="00000000" w:rsidRDefault="00BD0CAC">
            <w:pPr>
              <w:spacing w:before="120" w:line="240" w:lineRule="auto"/>
              <w:ind w:right="284"/>
              <w:jc w:val="right"/>
              <w:rPr>
                <w:sz w:val="21"/>
              </w:rPr>
            </w:pPr>
            <w:r>
              <w:rPr>
                <w:sz w:val="21"/>
              </w:rPr>
              <w:t>1,817</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1,783</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1,728</w:t>
            </w:r>
          </w:p>
        </w:tc>
        <w:tc>
          <w:tcPr>
            <w:tcW w:w="1080" w:type="dxa"/>
            <w:tcBorders>
              <w:left w:val="nil"/>
            </w:tcBorders>
          </w:tcPr>
          <w:p w:rsidR="00000000" w:rsidRDefault="00BD0CAC">
            <w:pPr>
              <w:spacing w:before="120" w:line="240" w:lineRule="auto"/>
              <w:ind w:right="284"/>
              <w:jc w:val="right"/>
              <w:rPr>
                <w:sz w:val="21"/>
              </w:rPr>
            </w:pPr>
            <w:r>
              <w:rPr>
                <w:sz w:val="21"/>
              </w:rPr>
              <w:t>1,694</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1,694</w:t>
            </w:r>
          </w:p>
        </w:tc>
      </w:tr>
      <w:tr w:rsidR="00000000">
        <w:tblPrEx>
          <w:tblCellMar>
            <w:top w:w="0" w:type="dxa"/>
            <w:bottom w:w="0" w:type="dxa"/>
          </w:tblCellMar>
        </w:tblPrEx>
        <w:tc>
          <w:tcPr>
            <w:tcW w:w="1348" w:type="dxa"/>
            <w:tcBorders>
              <w:left w:val="single" w:sz="6" w:space="0" w:color="auto"/>
              <w:bottom w:val="single" w:sz="6" w:space="0" w:color="auto"/>
            </w:tcBorders>
          </w:tcPr>
          <w:p w:rsidR="00000000" w:rsidRDefault="00BD0CAC">
            <w:pPr>
              <w:spacing w:before="120" w:line="240" w:lineRule="auto"/>
              <w:rPr>
                <w:spacing w:val="0"/>
                <w:sz w:val="21"/>
              </w:rPr>
            </w:pPr>
          </w:p>
        </w:tc>
        <w:tc>
          <w:tcPr>
            <w:tcW w:w="600" w:type="dxa"/>
            <w:tcBorders>
              <w:left w:val="single" w:sz="6" w:space="0" w:color="auto"/>
              <w:bottom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6,160</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6,549</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6,709</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6,890</w:t>
            </w:r>
          </w:p>
        </w:tc>
        <w:tc>
          <w:tcPr>
            <w:tcW w:w="1080" w:type="dxa"/>
            <w:tcBorders>
              <w:left w:val="nil"/>
              <w:bottom w:val="single" w:sz="6" w:space="0" w:color="auto"/>
              <w:right w:val="single" w:sz="6" w:space="0" w:color="auto"/>
            </w:tcBorders>
          </w:tcPr>
          <w:p w:rsidR="00000000" w:rsidRDefault="00BD0CAC">
            <w:pPr>
              <w:spacing w:before="120" w:line="240" w:lineRule="auto"/>
              <w:ind w:right="284"/>
              <w:jc w:val="right"/>
              <w:rPr>
                <w:sz w:val="21"/>
              </w:rPr>
            </w:pPr>
            <w:r>
              <w:rPr>
                <w:sz w:val="21"/>
              </w:rPr>
              <w:t>6,835</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6,801</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6,801</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left w:val="nil"/>
            </w:tcBorders>
          </w:tcPr>
          <w:p w:rsidR="00000000" w:rsidRDefault="00BD0CAC">
            <w:pPr>
              <w:spacing w:before="120" w:line="240" w:lineRule="auto"/>
              <w:ind w:right="284"/>
              <w:jc w:val="right"/>
              <w:rPr>
                <w:sz w:val="21"/>
              </w:rPr>
            </w:pPr>
            <w:r>
              <w:rPr>
                <w:sz w:val="21"/>
              </w:rPr>
              <w:t>124</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123</w:t>
            </w:r>
          </w:p>
        </w:tc>
        <w:tc>
          <w:tcPr>
            <w:tcW w:w="1080" w:type="dxa"/>
            <w:tcBorders>
              <w:left w:val="nil"/>
            </w:tcBorders>
          </w:tcPr>
          <w:p w:rsidR="00000000" w:rsidRDefault="00BD0CAC">
            <w:pPr>
              <w:spacing w:before="120" w:line="240" w:lineRule="auto"/>
              <w:ind w:right="284"/>
              <w:jc w:val="right"/>
              <w:rPr>
                <w:sz w:val="21"/>
              </w:rPr>
            </w:pPr>
            <w:r>
              <w:rPr>
                <w:sz w:val="21"/>
              </w:rPr>
              <w:t>131</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145</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150</w:t>
            </w:r>
          </w:p>
        </w:tc>
        <w:tc>
          <w:tcPr>
            <w:tcW w:w="1080" w:type="dxa"/>
            <w:tcBorders>
              <w:left w:val="nil"/>
            </w:tcBorders>
          </w:tcPr>
          <w:p w:rsidR="00000000" w:rsidRDefault="00BD0CAC">
            <w:pPr>
              <w:spacing w:before="120" w:line="240" w:lineRule="auto"/>
              <w:ind w:right="284"/>
              <w:jc w:val="right"/>
              <w:rPr>
                <w:sz w:val="21"/>
              </w:rPr>
            </w:pPr>
            <w:r>
              <w:rPr>
                <w:sz w:val="21"/>
              </w:rPr>
              <w:t>151</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153</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小学后</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私立</w:t>
            </w:r>
          </w:p>
        </w:tc>
        <w:tc>
          <w:tcPr>
            <w:tcW w:w="1080" w:type="dxa"/>
            <w:tcBorders>
              <w:left w:val="nil"/>
            </w:tcBorders>
          </w:tcPr>
          <w:p w:rsidR="00000000" w:rsidRDefault="00BD0CAC">
            <w:pPr>
              <w:spacing w:before="120" w:line="240" w:lineRule="auto"/>
              <w:ind w:right="284"/>
              <w:jc w:val="right"/>
              <w:rPr>
                <w:sz w:val="21"/>
              </w:rPr>
            </w:pPr>
            <w:r>
              <w:rPr>
                <w:sz w:val="21"/>
              </w:rPr>
              <w:t>0</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0</w:t>
            </w:r>
          </w:p>
        </w:tc>
        <w:tc>
          <w:tcPr>
            <w:tcW w:w="1080" w:type="dxa"/>
            <w:tcBorders>
              <w:left w:val="nil"/>
            </w:tcBorders>
          </w:tcPr>
          <w:p w:rsidR="00000000" w:rsidRDefault="00BD0CAC">
            <w:pPr>
              <w:spacing w:before="120" w:line="240" w:lineRule="auto"/>
              <w:ind w:right="284"/>
              <w:jc w:val="right"/>
              <w:rPr>
                <w:sz w:val="21"/>
              </w:rPr>
            </w:pPr>
            <w:r>
              <w:rPr>
                <w:sz w:val="21"/>
              </w:rPr>
              <w:t>0</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0</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0</w:t>
            </w:r>
          </w:p>
        </w:tc>
        <w:tc>
          <w:tcPr>
            <w:tcW w:w="1080" w:type="dxa"/>
            <w:tcBorders>
              <w:left w:val="nil"/>
            </w:tcBorders>
          </w:tcPr>
          <w:p w:rsidR="00000000" w:rsidRDefault="00BD0CAC">
            <w:pPr>
              <w:spacing w:before="120" w:line="240" w:lineRule="auto"/>
              <w:ind w:right="284"/>
              <w:jc w:val="right"/>
              <w:rPr>
                <w:sz w:val="21"/>
              </w:rPr>
            </w:pPr>
            <w:r>
              <w:rPr>
                <w:sz w:val="21"/>
              </w:rPr>
              <w:t>0</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0</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tcBorders>
          </w:tcPr>
          <w:p w:rsidR="00000000" w:rsidRDefault="00BD0CAC">
            <w:pPr>
              <w:spacing w:before="120" w:line="240" w:lineRule="auto"/>
              <w:ind w:right="284"/>
              <w:jc w:val="right"/>
              <w:rPr>
                <w:sz w:val="21"/>
              </w:rPr>
            </w:pPr>
            <w:r>
              <w:rPr>
                <w:sz w:val="21"/>
              </w:rPr>
              <w:t>124</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123</w:t>
            </w:r>
          </w:p>
        </w:tc>
        <w:tc>
          <w:tcPr>
            <w:tcW w:w="1080" w:type="dxa"/>
            <w:tcBorders>
              <w:left w:val="nil"/>
            </w:tcBorders>
          </w:tcPr>
          <w:p w:rsidR="00000000" w:rsidRDefault="00BD0CAC">
            <w:pPr>
              <w:spacing w:before="120" w:line="240" w:lineRule="auto"/>
              <w:ind w:right="284"/>
              <w:jc w:val="right"/>
              <w:rPr>
                <w:sz w:val="21"/>
              </w:rPr>
            </w:pPr>
            <w:r>
              <w:rPr>
                <w:sz w:val="21"/>
              </w:rPr>
              <w:t>131</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145</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150</w:t>
            </w:r>
          </w:p>
        </w:tc>
        <w:tc>
          <w:tcPr>
            <w:tcW w:w="1080" w:type="dxa"/>
            <w:tcBorders>
              <w:left w:val="nil"/>
            </w:tcBorders>
          </w:tcPr>
          <w:p w:rsidR="00000000" w:rsidRDefault="00BD0CAC">
            <w:pPr>
              <w:spacing w:before="120" w:line="240" w:lineRule="auto"/>
              <w:ind w:right="284"/>
              <w:jc w:val="right"/>
              <w:rPr>
                <w:sz w:val="21"/>
              </w:rPr>
            </w:pPr>
            <w:r>
              <w:rPr>
                <w:sz w:val="21"/>
              </w:rPr>
              <w:t>151</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153</w:t>
            </w:r>
          </w:p>
        </w:tc>
      </w:tr>
      <w:tr w:rsidR="00000000">
        <w:tblPrEx>
          <w:tblCellMar>
            <w:top w:w="0" w:type="dxa"/>
            <w:bottom w:w="0" w:type="dxa"/>
          </w:tblCellMar>
        </w:tblPrEx>
        <w:tc>
          <w:tcPr>
            <w:tcW w:w="1348" w:type="dxa"/>
            <w:tcBorders>
              <w:top w:val="single" w:sz="6" w:space="0" w:color="auto"/>
              <w:left w:val="single" w:sz="6" w:space="0" w:color="auto"/>
            </w:tcBorders>
          </w:tcPr>
          <w:p w:rsidR="00000000" w:rsidRDefault="00BD0CAC">
            <w:pPr>
              <w:spacing w:before="120" w:line="240" w:lineRule="auto"/>
              <w:rPr>
                <w:spacing w:val="0"/>
                <w:sz w:val="21"/>
              </w:rPr>
            </w:pPr>
          </w:p>
        </w:tc>
        <w:tc>
          <w:tcPr>
            <w:tcW w:w="600" w:type="dxa"/>
            <w:tcBorders>
              <w:top w:val="single" w:sz="6" w:space="0" w:color="auto"/>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215</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227</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242</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268</w:t>
            </w:r>
          </w:p>
        </w:tc>
        <w:tc>
          <w:tcPr>
            <w:tcW w:w="1080" w:type="dxa"/>
            <w:tcBorders>
              <w:top w:val="single" w:sz="6" w:space="0" w:color="auto"/>
              <w:left w:val="nil"/>
              <w:right w:val="single" w:sz="6" w:space="0" w:color="auto"/>
            </w:tcBorders>
          </w:tcPr>
          <w:p w:rsidR="00000000" w:rsidRDefault="00BD0CAC">
            <w:pPr>
              <w:spacing w:before="120" w:line="240" w:lineRule="auto"/>
              <w:ind w:right="284"/>
              <w:jc w:val="right"/>
              <w:rPr>
                <w:sz w:val="21"/>
              </w:rPr>
            </w:pPr>
            <w:r>
              <w:rPr>
                <w:sz w:val="21"/>
              </w:rPr>
              <w:t>293</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321</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340</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普通教育中学</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私立</w:t>
            </w:r>
          </w:p>
        </w:tc>
        <w:tc>
          <w:tcPr>
            <w:tcW w:w="1080" w:type="dxa"/>
            <w:tcBorders>
              <w:left w:val="nil"/>
            </w:tcBorders>
          </w:tcPr>
          <w:p w:rsidR="00000000" w:rsidRDefault="00BD0CAC">
            <w:pPr>
              <w:spacing w:before="120" w:line="240" w:lineRule="auto"/>
              <w:ind w:right="284"/>
              <w:jc w:val="right"/>
              <w:rPr>
                <w:sz w:val="21"/>
              </w:rPr>
            </w:pPr>
            <w:r>
              <w:rPr>
                <w:sz w:val="21"/>
              </w:rPr>
              <w:t>224</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256</w:t>
            </w:r>
          </w:p>
        </w:tc>
        <w:tc>
          <w:tcPr>
            <w:tcW w:w="1080" w:type="dxa"/>
            <w:tcBorders>
              <w:left w:val="nil"/>
            </w:tcBorders>
          </w:tcPr>
          <w:p w:rsidR="00000000" w:rsidRDefault="00BD0CAC">
            <w:pPr>
              <w:spacing w:before="120" w:line="240" w:lineRule="auto"/>
              <w:ind w:right="284"/>
              <w:jc w:val="right"/>
              <w:rPr>
                <w:sz w:val="21"/>
              </w:rPr>
            </w:pPr>
            <w:r>
              <w:rPr>
                <w:sz w:val="21"/>
              </w:rPr>
              <w:t>304</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320</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305</w:t>
            </w:r>
          </w:p>
        </w:tc>
        <w:tc>
          <w:tcPr>
            <w:tcW w:w="1080" w:type="dxa"/>
            <w:tcBorders>
              <w:left w:val="nil"/>
            </w:tcBorders>
          </w:tcPr>
          <w:p w:rsidR="00000000" w:rsidRDefault="00BD0CAC">
            <w:pPr>
              <w:spacing w:before="120" w:line="240" w:lineRule="auto"/>
              <w:ind w:right="284"/>
              <w:jc w:val="right"/>
              <w:rPr>
                <w:sz w:val="21"/>
              </w:rPr>
            </w:pPr>
            <w:r>
              <w:rPr>
                <w:sz w:val="21"/>
              </w:rPr>
              <w:t>309</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303</w:t>
            </w:r>
          </w:p>
        </w:tc>
      </w:tr>
      <w:tr w:rsidR="00000000">
        <w:tblPrEx>
          <w:tblCellMar>
            <w:top w:w="0" w:type="dxa"/>
            <w:bottom w:w="0" w:type="dxa"/>
          </w:tblCellMar>
        </w:tblPrEx>
        <w:tc>
          <w:tcPr>
            <w:tcW w:w="1348" w:type="dxa"/>
            <w:tcBorders>
              <w:left w:val="single" w:sz="6" w:space="0" w:color="auto"/>
              <w:bottom w:val="single" w:sz="6" w:space="0" w:color="auto"/>
            </w:tcBorders>
          </w:tcPr>
          <w:p w:rsidR="00000000" w:rsidRDefault="00BD0CAC">
            <w:pPr>
              <w:spacing w:before="120" w:line="240" w:lineRule="auto"/>
              <w:rPr>
                <w:spacing w:val="0"/>
                <w:sz w:val="21"/>
              </w:rPr>
            </w:pPr>
          </w:p>
        </w:tc>
        <w:tc>
          <w:tcPr>
            <w:tcW w:w="600" w:type="dxa"/>
            <w:tcBorders>
              <w:left w:val="single" w:sz="6" w:space="0" w:color="auto"/>
              <w:bottom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439</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483</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546</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588</w:t>
            </w:r>
          </w:p>
        </w:tc>
        <w:tc>
          <w:tcPr>
            <w:tcW w:w="1080" w:type="dxa"/>
            <w:tcBorders>
              <w:left w:val="nil"/>
              <w:bottom w:val="single" w:sz="6" w:space="0" w:color="auto"/>
              <w:right w:val="single" w:sz="6" w:space="0" w:color="auto"/>
            </w:tcBorders>
          </w:tcPr>
          <w:p w:rsidR="00000000" w:rsidRDefault="00BD0CAC">
            <w:pPr>
              <w:spacing w:before="120" w:line="240" w:lineRule="auto"/>
              <w:ind w:right="284"/>
              <w:jc w:val="right"/>
              <w:rPr>
                <w:sz w:val="21"/>
              </w:rPr>
            </w:pPr>
            <w:r>
              <w:rPr>
                <w:sz w:val="21"/>
              </w:rPr>
              <w:t>598</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630</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643</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left w:val="nil"/>
            </w:tcBorders>
          </w:tcPr>
          <w:p w:rsidR="00000000" w:rsidRDefault="00BD0CAC">
            <w:pPr>
              <w:spacing w:before="120" w:line="240" w:lineRule="auto"/>
              <w:ind w:right="284"/>
              <w:jc w:val="right"/>
              <w:rPr>
                <w:sz w:val="21"/>
              </w:rPr>
            </w:pPr>
            <w:r>
              <w:rPr>
                <w:sz w:val="21"/>
              </w:rPr>
              <w:t>42</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42</w:t>
            </w:r>
          </w:p>
        </w:tc>
        <w:tc>
          <w:tcPr>
            <w:tcW w:w="1080" w:type="dxa"/>
            <w:tcBorders>
              <w:left w:val="nil"/>
            </w:tcBorders>
          </w:tcPr>
          <w:p w:rsidR="00000000" w:rsidRDefault="00BD0CAC">
            <w:pPr>
              <w:spacing w:before="120" w:line="240" w:lineRule="auto"/>
              <w:ind w:right="284"/>
              <w:jc w:val="right"/>
              <w:rPr>
                <w:sz w:val="21"/>
              </w:rPr>
            </w:pPr>
            <w:r>
              <w:rPr>
                <w:sz w:val="21"/>
              </w:rPr>
              <w:t>53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61</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68</w:t>
            </w:r>
          </w:p>
        </w:tc>
        <w:tc>
          <w:tcPr>
            <w:tcW w:w="1080" w:type="dxa"/>
            <w:tcBorders>
              <w:left w:val="nil"/>
            </w:tcBorders>
          </w:tcPr>
          <w:p w:rsidR="00000000" w:rsidRDefault="00BD0CAC">
            <w:pPr>
              <w:spacing w:before="120" w:line="240" w:lineRule="auto"/>
              <w:ind w:right="284"/>
              <w:jc w:val="right"/>
              <w:rPr>
                <w:sz w:val="21"/>
              </w:rPr>
            </w:pPr>
            <w:r>
              <w:rPr>
                <w:sz w:val="21"/>
              </w:rPr>
              <w:t>75</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81</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中等技校</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w:t>
            </w:r>
            <w:r>
              <w:rPr>
                <w:rFonts w:hint="eastAsia"/>
                <w:sz w:val="21"/>
              </w:rPr>
              <w:t>立</w:t>
            </w:r>
          </w:p>
        </w:tc>
        <w:tc>
          <w:tcPr>
            <w:tcW w:w="1080" w:type="dxa"/>
            <w:tcBorders>
              <w:left w:val="nil"/>
            </w:tcBorders>
          </w:tcPr>
          <w:p w:rsidR="00000000" w:rsidRDefault="00BD0CAC">
            <w:pPr>
              <w:spacing w:before="120" w:line="240" w:lineRule="auto"/>
              <w:ind w:right="284"/>
              <w:jc w:val="right"/>
              <w:rPr>
                <w:sz w:val="21"/>
              </w:rPr>
            </w:pPr>
            <w:r>
              <w:rPr>
                <w:sz w:val="21"/>
              </w:rPr>
              <w:t>165</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175</w:t>
            </w:r>
          </w:p>
        </w:tc>
        <w:tc>
          <w:tcPr>
            <w:tcW w:w="1080" w:type="dxa"/>
            <w:tcBorders>
              <w:left w:val="nil"/>
            </w:tcBorders>
          </w:tcPr>
          <w:p w:rsidR="00000000" w:rsidRDefault="00BD0CAC">
            <w:pPr>
              <w:spacing w:before="120" w:line="240" w:lineRule="auto"/>
              <w:ind w:right="284"/>
              <w:jc w:val="right"/>
              <w:rPr>
                <w:sz w:val="21"/>
              </w:rPr>
            </w:pPr>
            <w:r>
              <w:rPr>
                <w:sz w:val="21"/>
              </w:rPr>
              <w:t>193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190</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190</w:t>
            </w:r>
          </w:p>
        </w:tc>
        <w:tc>
          <w:tcPr>
            <w:tcW w:w="1080" w:type="dxa"/>
            <w:tcBorders>
              <w:left w:val="nil"/>
            </w:tcBorders>
          </w:tcPr>
          <w:p w:rsidR="00000000" w:rsidRDefault="00BD0CAC">
            <w:pPr>
              <w:spacing w:before="120" w:line="240" w:lineRule="auto"/>
              <w:ind w:right="284"/>
              <w:jc w:val="right"/>
              <w:rPr>
                <w:sz w:val="21"/>
              </w:rPr>
            </w:pPr>
            <w:r>
              <w:rPr>
                <w:sz w:val="21"/>
              </w:rPr>
              <w:t>192</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192</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tcBorders>
          </w:tcPr>
          <w:p w:rsidR="00000000" w:rsidRDefault="00BD0CAC">
            <w:pPr>
              <w:spacing w:before="120" w:line="240" w:lineRule="auto"/>
              <w:ind w:right="284"/>
              <w:jc w:val="right"/>
              <w:rPr>
                <w:sz w:val="21"/>
              </w:rPr>
            </w:pPr>
            <w:r>
              <w:rPr>
                <w:sz w:val="21"/>
              </w:rPr>
              <w:t>207</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217</w:t>
            </w:r>
          </w:p>
        </w:tc>
        <w:tc>
          <w:tcPr>
            <w:tcW w:w="1080" w:type="dxa"/>
            <w:tcBorders>
              <w:left w:val="nil"/>
            </w:tcBorders>
          </w:tcPr>
          <w:p w:rsidR="00000000" w:rsidRDefault="00BD0CAC">
            <w:pPr>
              <w:spacing w:before="120" w:line="240" w:lineRule="auto"/>
              <w:ind w:right="284"/>
              <w:jc w:val="right"/>
              <w:rPr>
                <w:sz w:val="21"/>
              </w:rPr>
            </w:pPr>
            <w:r>
              <w:rPr>
                <w:sz w:val="21"/>
              </w:rPr>
              <w:t>250</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251</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258</w:t>
            </w:r>
          </w:p>
        </w:tc>
        <w:tc>
          <w:tcPr>
            <w:tcW w:w="1080" w:type="dxa"/>
            <w:tcBorders>
              <w:left w:val="nil"/>
            </w:tcBorders>
          </w:tcPr>
          <w:p w:rsidR="00000000" w:rsidRDefault="00BD0CAC">
            <w:pPr>
              <w:spacing w:before="120" w:line="240" w:lineRule="auto"/>
              <w:ind w:right="284"/>
              <w:jc w:val="right"/>
              <w:rPr>
                <w:sz w:val="21"/>
              </w:rPr>
            </w:pPr>
            <w:r>
              <w:rPr>
                <w:sz w:val="21"/>
              </w:rPr>
              <w:t>207</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273</w:t>
            </w:r>
          </w:p>
        </w:tc>
      </w:tr>
      <w:tr w:rsidR="00000000">
        <w:tblPrEx>
          <w:tblCellMar>
            <w:top w:w="0" w:type="dxa"/>
            <w:bottom w:w="0" w:type="dxa"/>
          </w:tblCellMar>
        </w:tblPrEx>
        <w:tc>
          <w:tcPr>
            <w:tcW w:w="1348" w:type="dxa"/>
            <w:tcBorders>
              <w:top w:val="single" w:sz="6" w:space="0" w:color="auto"/>
              <w:left w:val="single" w:sz="6" w:space="0" w:color="auto"/>
            </w:tcBorders>
          </w:tcPr>
          <w:p w:rsidR="00000000" w:rsidRDefault="00BD0CAC">
            <w:pPr>
              <w:spacing w:before="120" w:line="240" w:lineRule="auto"/>
              <w:rPr>
                <w:spacing w:val="0"/>
                <w:sz w:val="21"/>
              </w:rPr>
            </w:pPr>
          </w:p>
        </w:tc>
        <w:tc>
          <w:tcPr>
            <w:tcW w:w="600" w:type="dxa"/>
            <w:tcBorders>
              <w:top w:val="single" w:sz="6" w:space="0" w:color="auto"/>
              <w:left w:val="single" w:sz="6" w:space="0" w:color="auto"/>
              <w:right w:val="single" w:sz="6" w:space="0" w:color="auto"/>
            </w:tcBorders>
          </w:tcPr>
          <w:p w:rsidR="00000000" w:rsidRDefault="00BD0CAC">
            <w:pPr>
              <w:spacing w:before="120" w:line="240" w:lineRule="auto"/>
              <w:jc w:val="left"/>
              <w:rPr>
                <w:sz w:val="21"/>
              </w:rPr>
            </w:pPr>
            <w:r>
              <w:rPr>
                <w:rFonts w:hint="eastAsia"/>
                <w:sz w:val="21"/>
              </w:rPr>
              <w:t>公立</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nil"/>
              <w:right w:val="single" w:sz="6" w:space="0" w:color="auto"/>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nil"/>
            </w:tcBorders>
          </w:tcPr>
          <w:p w:rsidR="00000000" w:rsidRDefault="00BD0CAC">
            <w:pPr>
              <w:spacing w:before="120" w:line="240" w:lineRule="auto"/>
              <w:ind w:right="284"/>
              <w:jc w:val="right"/>
              <w:rPr>
                <w:sz w:val="21"/>
              </w:rPr>
            </w:pPr>
            <w:r>
              <w:rPr>
                <w:sz w:val="21"/>
              </w:rPr>
              <w:t>30</w:t>
            </w:r>
          </w:p>
        </w:tc>
        <w:tc>
          <w:tcPr>
            <w:tcW w:w="1080" w:type="dxa"/>
            <w:tcBorders>
              <w:top w:val="single" w:sz="6" w:space="0" w:color="auto"/>
              <w:left w:val="single" w:sz="6" w:space="0" w:color="auto"/>
              <w:right w:val="single" w:sz="6" w:space="0" w:color="auto"/>
            </w:tcBorders>
          </w:tcPr>
          <w:p w:rsidR="00000000" w:rsidRDefault="00BD0CAC">
            <w:pPr>
              <w:spacing w:before="120" w:line="240" w:lineRule="auto"/>
              <w:ind w:right="284"/>
              <w:jc w:val="right"/>
              <w:rPr>
                <w:sz w:val="21"/>
              </w:rPr>
            </w:pPr>
            <w:r>
              <w:rPr>
                <w:sz w:val="21"/>
              </w:rPr>
              <w:t>30</w:t>
            </w:r>
          </w:p>
        </w:tc>
      </w:tr>
      <w:tr w:rsidR="00000000">
        <w:tblPrEx>
          <w:tblCellMar>
            <w:top w:w="0" w:type="dxa"/>
            <w:bottom w:w="0" w:type="dxa"/>
          </w:tblCellMar>
        </w:tblPrEx>
        <w:tc>
          <w:tcPr>
            <w:tcW w:w="1348" w:type="dxa"/>
            <w:tcBorders>
              <w:left w:val="single" w:sz="6" w:space="0" w:color="auto"/>
            </w:tcBorders>
          </w:tcPr>
          <w:p w:rsidR="00000000" w:rsidRDefault="00BD0CAC">
            <w:pPr>
              <w:spacing w:before="120" w:line="240" w:lineRule="auto"/>
              <w:rPr>
                <w:spacing w:val="0"/>
                <w:sz w:val="21"/>
              </w:rPr>
            </w:pPr>
            <w:r>
              <w:rPr>
                <w:rFonts w:hint="eastAsia"/>
                <w:spacing w:val="0"/>
                <w:sz w:val="21"/>
              </w:rPr>
              <w:t>师范教育</w:t>
            </w:r>
          </w:p>
        </w:tc>
        <w:tc>
          <w:tcPr>
            <w:tcW w:w="600" w:type="dxa"/>
            <w:tcBorders>
              <w:left w:val="single" w:sz="6" w:space="0" w:color="auto"/>
              <w:right w:val="single" w:sz="6" w:space="0" w:color="auto"/>
            </w:tcBorders>
          </w:tcPr>
          <w:p w:rsidR="00000000" w:rsidRDefault="00BD0CAC">
            <w:pPr>
              <w:spacing w:before="120" w:line="240" w:lineRule="auto"/>
              <w:jc w:val="left"/>
              <w:rPr>
                <w:sz w:val="21"/>
              </w:rPr>
            </w:pPr>
            <w:r>
              <w:rPr>
                <w:rFonts w:hint="eastAsia"/>
                <w:sz w:val="21"/>
              </w:rPr>
              <w:t>私立</w:t>
            </w:r>
          </w:p>
        </w:tc>
        <w:tc>
          <w:tcPr>
            <w:tcW w:w="1080" w:type="dxa"/>
            <w:tcBorders>
              <w:left w:val="nil"/>
            </w:tcBorders>
          </w:tcPr>
          <w:p w:rsidR="00000000" w:rsidRDefault="00BD0CAC">
            <w:pPr>
              <w:spacing w:before="120" w:line="240" w:lineRule="auto"/>
              <w:ind w:right="284"/>
              <w:jc w:val="right"/>
              <w:rPr>
                <w:sz w:val="21"/>
              </w:rPr>
            </w:pPr>
            <w:r>
              <w:rPr>
                <w:sz w:val="21"/>
              </w:rPr>
              <w:t>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w:t>
            </w:r>
          </w:p>
        </w:tc>
        <w:tc>
          <w:tcPr>
            <w:tcW w:w="1080" w:type="dxa"/>
            <w:tcBorders>
              <w:left w:val="nil"/>
            </w:tcBorders>
          </w:tcPr>
          <w:p w:rsidR="00000000" w:rsidRDefault="00BD0CAC">
            <w:pPr>
              <w:spacing w:before="120" w:line="240" w:lineRule="auto"/>
              <w:ind w:right="284"/>
              <w:jc w:val="right"/>
              <w:rPr>
                <w:sz w:val="21"/>
              </w:rPr>
            </w:pPr>
            <w:r>
              <w:rPr>
                <w:sz w:val="21"/>
              </w:rPr>
              <w:t>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w:t>
            </w:r>
          </w:p>
        </w:tc>
        <w:tc>
          <w:tcPr>
            <w:tcW w:w="1080" w:type="dxa"/>
            <w:tcBorders>
              <w:left w:val="nil"/>
              <w:right w:val="single" w:sz="6" w:space="0" w:color="auto"/>
            </w:tcBorders>
          </w:tcPr>
          <w:p w:rsidR="00000000" w:rsidRDefault="00BD0CAC">
            <w:pPr>
              <w:spacing w:before="120" w:line="240" w:lineRule="auto"/>
              <w:ind w:right="284"/>
              <w:jc w:val="right"/>
              <w:rPr>
                <w:sz w:val="21"/>
              </w:rPr>
            </w:pPr>
            <w:r>
              <w:rPr>
                <w:sz w:val="21"/>
              </w:rPr>
              <w:t>3</w:t>
            </w:r>
          </w:p>
        </w:tc>
        <w:tc>
          <w:tcPr>
            <w:tcW w:w="1080" w:type="dxa"/>
            <w:tcBorders>
              <w:left w:val="nil"/>
            </w:tcBorders>
          </w:tcPr>
          <w:p w:rsidR="00000000" w:rsidRDefault="00BD0CAC">
            <w:pPr>
              <w:spacing w:before="120" w:line="240" w:lineRule="auto"/>
              <w:ind w:right="284"/>
              <w:jc w:val="right"/>
              <w:rPr>
                <w:sz w:val="21"/>
              </w:rPr>
            </w:pPr>
            <w:r>
              <w:rPr>
                <w:sz w:val="21"/>
              </w:rPr>
              <w:t>3</w:t>
            </w:r>
          </w:p>
        </w:tc>
        <w:tc>
          <w:tcPr>
            <w:tcW w:w="1080" w:type="dxa"/>
            <w:tcBorders>
              <w:left w:val="single" w:sz="6" w:space="0" w:color="auto"/>
              <w:right w:val="single" w:sz="6" w:space="0" w:color="auto"/>
            </w:tcBorders>
          </w:tcPr>
          <w:p w:rsidR="00000000" w:rsidRDefault="00BD0CAC">
            <w:pPr>
              <w:spacing w:before="120" w:line="240" w:lineRule="auto"/>
              <w:ind w:right="284"/>
              <w:jc w:val="right"/>
              <w:rPr>
                <w:sz w:val="21"/>
              </w:rPr>
            </w:pPr>
            <w:r>
              <w:rPr>
                <w:sz w:val="21"/>
              </w:rPr>
              <w:t>3</w:t>
            </w:r>
          </w:p>
        </w:tc>
      </w:tr>
      <w:tr w:rsidR="00000000">
        <w:tblPrEx>
          <w:tblCellMar>
            <w:top w:w="0" w:type="dxa"/>
            <w:bottom w:w="0" w:type="dxa"/>
          </w:tblCellMar>
        </w:tblPrEx>
        <w:tc>
          <w:tcPr>
            <w:tcW w:w="1348" w:type="dxa"/>
            <w:tcBorders>
              <w:left w:val="single" w:sz="6" w:space="0" w:color="auto"/>
              <w:bottom w:val="single" w:sz="6" w:space="0" w:color="auto"/>
            </w:tcBorders>
          </w:tcPr>
          <w:p w:rsidR="00000000" w:rsidRDefault="00BD0CAC">
            <w:pPr>
              <w:spacing w:before="120" w:line="240" w:lineRule="auto"/>
              <w:rPr>
                <w:spacing w:val="0"/>
                <w:sz w:val="21"/>
              </w:rPr>
            </w:pPr>
          </w:p>
        </w:tc>
        <w:tc>
          <w:tcPr>
            <w:tcW w:w="600" w:type="dxa"/>
            <w:tcBorders>
              <w:left w:val="single" w:sz="6" w:space="0" w:color="auto"/>
              <w:bottom w:val="single" w:sz="6" w:space="0" w:color="auto"/>
              <w:right w:val="single" w:sz="6" w:space="0" w:color="auto"/>
            </w:tcBorders>
          </w:tcPr>
          <w:p w:rsidR="00000000" w:rsidRDefault="00BD0CAC">
            <w:pPr>
              <w:spacing w:before="120" w:line="240" w:lineRule="auto"/>
              <w:jc w:val="left"/>
              <w:rPr>
                <w:sz w:val="21"/>
              </w:rPr>
            </w:pPr>
            <w:r>
              <w:rPr>
                <w:rFonts w:hint="eastAsia"/>
                <w:sz w:val="21"/>
              </w:rPr>
              <w:t>合计</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nil"/>
              <w:bottom w:val="single" w:sz="6" w:space="0" w:color="auto"/>
              <w:right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nil"/>
              <w:bottom w:val="single" w:sz="6" w:space="0" w:color="auto"/>
            </w:tcBorders>
          </w:tcPr>
          <w:p w:rsidR="00000000" w:rsidRDefault="00BD0CAC">
            <w:pPr>
              <w:spacing w:before="120" w:line="240" w:lineRule="auto"/>
              <w:ind w:right="284"/>
              <w:jc w:val="right"/>
              <w:rPr>
                <w:sz w:val="21"/>
              </w:rPr>
            </w:pPr>
            <w:r>
              <w:rPr>
                <w:sz w:val="21"/>
              </w:rPr>
              <w:t>33</w:t>
            </w:r>
          </w:p>
        </w:tc>
        <w:tc>
          <w:tcPr>
            <w:tcW w:w="1080" w:type="dxa"/>
            <w:tcBorders>
              <w:left w:val="single" w:sz="6" w:space="0" w:color="auto"/>
              <w:bottom w:val="single" w:sz="6" w:space="0" w:color="auto"/>
              <w:right w:val="single" w:sz="6" w:space="0" w:color="auto"/>
            </w:tcBorders>
          </w:tcPr>
          <w:p w:rsidR="00000000" w:rsidRDefault="00BD0CAC">
            <w:pPr>
              <w:spacing w:before="120" w:line="240" w:lineRule="auto"/>
              <w:ind w:right="284"/>
              <w:jc w:val="right"/>
              <w:rPr>
                <w:sz w:val="21"/>
              </w:rPr>
            </w:pPr>
            <w:r>
              <w:rPr>
                <w:sz w:val="21"/>
              </w:rPr>
              <w:t>33</w:t>
            </w:r>
          </w:p>
        </w:tc>
      </w:tr>
    </w:tbl>
    <w:p w:rsidR="00000000" w:rsidRDefault="00BD0CAC">
      <w:pPr>
        <w:spacing w:before="120"/>
      </w:pPr>
    </w:p>
    <w:p w:rsidR="00000000" w:rsidRDefault="00BD0CAC">
      <w:pPr>
        <w:pStyle w:val="Heading3"/>
      </w:pPr>
      <w:r>
        <w:rPr>
          <w:rFonts w:hint="eastAsia"/>
        </w:rPr>
        <w:t>按教学等级教室数目的发展变化</w:t>
      </w:r>
    </w:p>
    <w:tbl>
      <w:tblPr>
        <w:tblW w:w="0" w:type="auto"/>
        <w:tblInd w:w="-26" w:type="dxa"/>
        <w:tblLayout w:type="fixed"/>
        <w:tblCellMar>
          <w:left w:w="28" w:type="dxa"/>
          <w:right w:w="28" w:type="dxa"/>
        </w:tblCellMar>
        <w:tblLook w:val="0000" w:firstRow="0" w:lastRow="0" w:firstColumn="0" w:lastColumn="0" w:noHBand="0" w:noVBand="0"/>
      </w:tblPr>
      <w:tblGrid>
        <w:gridCol w:w="1108"/>
        <w:gridCol w:w="922"/>
        <w:gridCol w:w="922"/>
        <w:gridCol w:w="922"/>
        <w:gridCol w:w="922"/>
        <w:gridCol w:w="922"/>
        <w:gridCol w:w="922"/>
        <w:gridCol w:w="922"/>
        <w:gridCol w:w="922"/>
        <w:gridCol w:w="922"/>
      </w:tblGrid>
      <w:tr w:rsidR="00000000">
        <w:tblPrEx>
          <w:tblCellMar>
            <w:top w:w="0" w:type="dxa"/>
            <w:bottom w:w="0" w:type="dxa"/>
          </w:tblCellMar>
        </w:tblPrEx>
        <w:tc>
          <w:tcPr>
            <w:tcW w:w="1108" w:type="dxa"/>
            <w:tcBorders>
              <w:top w:val="single" w:sz="6" w:space="0" w:color="auto"/>
              <w:left w:val="single" w:sz="6" w:space="0" w:color="auto"/>
              <w:bottom w:val="single" w:sz="6" w:space="0" w:color="auto"/>
            </w:tcBorders>
          </w:tcPr>
          <w:p w:rsidR="00000000" w:rsidRDefault="00BD0CAC">
            <w:pPr>
              <w:spacing w:before="120" w:line="240" w:lineRule="auto"/>
              <w:jc w:val="center"/>
              <w:rPr>
                <w:sz w:val="21"/>
              </w:rPr>
            </w:pPr>
          </w:p>
        </w:tc>
        <w:tc>
          <w:tcPr>
            <w:tcW w:w="922"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sz w:val="21"/>
              </w:rPr>
              <w:t>1985-86</w:t>
            </w:r>
          </w:p>
        </w:tc>
        <w:tc>
          <w:tcPr>
            <w:tcW w:w="922" w:type="dxa"/>
            <w:tcBorders>
              <w:top w:val="single" w:sz="6" w:space="0" w:color="auto"/>
              <w:left w:val="nil"/>
              <w:bottom w:val="single" w:sz="6" w:space="0" w:color="auto"/>
            </w:tcBorders>
          </w:tcPr>
          <w:p w:rsidR="00000000" w:rsidRDefault="00BD0CAC">
            <w:pPr>
              <w:spacing w:before="120" w:line="240" w:lineRule="auto"/>
              <w:jc w:val="center"/>
              <w:rPr>
                <w:sz w:val="21"/>
              </w:rPr>
            </w:pPr>
            <w:r>
              <w:rPr>
                <w:sz w:val="21"/>
              </w:rPr>
              <w:t>1986-87</w:t>
            </w:r>
          </w:p>
        </w:tc>
        <w:tc>
          <w:tcPr>
            <w:tcW w:w="922"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sz w:val="21"/>
              </w:rPr>
              <w:t>1987-88</w:t>
            </w:r>
          </w:p>
        </w:tc>
        <w:tc>
          <w:tcPr>
            <w:tcW w:w="922" w:type="dxa"/>
            <w:tcBorders>
              <w:top w:val="single" w:sz="6" w:space="0" w:color="auto"/>
              <w:left w:val="nil"/>
              <w:bottom w:val="single" w:sz="6" w:space="0" w:color="auto"/>
            </w:tcBorders>
          </w:tcPr>
          <w:p w:rsidR="00000000" w:rsidRDefault="00BD0CAC">
            <w:pPr>
              <w:spacing w:before="120" w:line="240" w:lineRule="auto"/>
              <w:jc w:val="center"/>
              <w:rPr>
                <w:sz w:val="21"/>
              </w:rPr>
            </w:pPr>
            <w:r>
              <w:rPr>
                <w:sz w:val="21"/>
              </w:rPr>
              <w:t>1988-89</w:t>
            </w:r>
          </w:p>
        </w:tc>
        <w:tc>
          <w:tcPr>
            <w:tcW w:w="922"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sz w:val="21"/>
              </w:rPr>
              <w:t>1989-90</w:t>
            </w:r>
          </w:p>
        </w:tc>
        <w:tc>
          <w:tcPr>
            <w:tcW w:w="922" w:type="dxa"/>
            <w:tcBorders>
              <w:top w:val="single" w:sz="6" w:space="0" w:color="auto"/>
              <w:left w:val="nil"/>
              <w:bottom w:val="single" w:sz="6" w:space="0" w:color="auto"/>
            </w:tcBorders>
          </w:tcPr>
          <w:p w:rsidR="00000000" w:rsidRDefault="00BD0CAC">
            <w:pPr>
              <w:spacing w:before="120" w:line="240" w:lineRule="auto"/>
              <w:jc w:val="center"/>
              <w:rPr>
                <w:sz w:val="21"/>
              </w:rPr>
            </w:pPr>
            <w:r>
              <w:rPr>
                <w:sz w:val="21"/>
              </w:rPr>
              <w:t>1990-91</w:t>
            </w:r>
          </w:p>
        </w:tc>
        <w:tc>
          <w:tcPr>
            <w:tcW w:w="922"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sz w:val="21"/>
              </w:rPr>
              <w:t>1991-92</w:t>
            </w:r>
          </w:p>
        </w:tc>
        <w:tc>
          <w:tcPr>
            <w:tcW w:w="922" w:type="dxa"/>
            <w:tcBorders>
              <w:top w:val="single" w:sz="6" w:space="0" w:color="auto"/>
              <w:left w:val="nil"/>
              <w:bottom w:val="single" w:sz="6" w:space="0" w:color="auto"/>
            </w:tcBorders>
          </w:tcPr>
          <w:p w:rsidR="00000000" w:rsidRDefault="00BD0CAC">
            <w:pPr>
              <w:spacing w:before="120" w:line="240" w:lineRule="auto"/>
              <w:jc w:val="center"/>
              <w:rPr>
                <w:sz w:val="21"/>
              </w:rPr>
            </w:pPr>
            <w:r>
              <w:rPr>
                <w:sz w:val="21"/>
              </w:rPr>
              <w:t>1992-93</w:t>
            </w:r>
          </w:p>
        </w:tc>
        <w:tc>
          <w:tcPr>
            <w:tcW w:w="922" w:type="dxa"/>
            <w:tcBorders>
              <w:top w:val="single" w:sz="6" w:space="0" w:color="auto"/>
              <w:left w:val="single" w:sz="6" w:space="0" w:color="auto"/>
              <w:bottom w:val="single" w:sz="6" w:space="0" w:color="auto"/>
              <w:right w:val="single" w:sz="6" w:space="0" w:color="auto"/>
            </w:tcBorders>
          </w:tcPr>
          <w:p w:rsidR="00000000" w:rsidRDefault="00BD0CAC">
            <w:pPr>
              <w:spacing w:before="120" w:line="240" w:lineRule="auto"/>
              <w:jc w:val="center"/>
              <w:rPr>
                <w:sz w:val="21"/>
              </w:rPr>
            </w:pPr>
            <w:r>
              <w:rPr>
                <w:sz w:val="21"/>
              </w:rPr>
              <w:t>1993-94</w:t>
            </w:r>
          </w:p>
        </w:tc>
      </w:tr>
      <w:tr w:rsidR="00000000">
        <w:tblPrEx>
          <w:tblCellMar>
            <w:top w:w="0" w:type="dxa"/>
            <w:bottom w:w="0" w:type="dxa"/>
          </w:tblCellMar>
        </w:tblPrEx>
        <w:tc>
          <w:tcPr>
            <w:tcW w:w="1108" w:type="dxa"/>
            <w:tcBorders>
              <w:left w:val="single" w:sz="6" w:space="0" w:color="auto"/>
            </w:tcBorders>
          </w:tcPr>
          <w:p w:rsidR="00000000" w:rsidRDefault="00BD0CAC">
            <w:pPr>
              <w:spacing w:before="120" w:line="240" w:lineRule="auto"/>
              <w:ind w:left="57"/>
              <w:jc w:val="left"/>
              <w:rPr>
                <w:sz w:val="21"/>
              </w:rPr>
            </w:pPr>
            <w:r>
              <w:rPr>
                <w:rFonts w:hint="eastAsia"/>
                <w:sz w:val="21"/>
              </w:rPr>
              <w:t>幼儿教育</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1,092</w:t>
            </w:r>
          </w:p>
        </w:tc>
        <w:tc>
          <w:tcPr>
            <w:tcW w:w="922" w:type="dxa"/>
            <w:tcBorders>
              <w:left w:val="nil"/>
            </w:tcBorders>
          </w:tcPr>
          <w:p w:rsidR="00000000" w:rsidRDefault="00BD0CAC">
            <w:pPr>
              <w:spacing w:before="120" w:line="240" w:lineRule="auto"/>
              <w:ind w:right="113"/>
              <w:jc w:val="right"/>
              <w:rPr>
                <w:sz w:val="21"/>
              </w:rPr>
            </w:pPr>
            <w:r>
              <w:rPr>
                <w:sz w:val="21"/>
              </w:rPr>
              <w:t>1,257</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1,290</w:t>
            </w:r>
          </w:p>
        </w:tc>
        <w:tc>
          <w:tcPr>
            <w:tcW w:w="922" w:type="dxa"/>
            <w:tcBorders>
              <w:left w:val="nil"/>
            </w:tcBorders>
          </w:tcPr>
          <w:p w:rsidR="00000000" w:rsidRDefault="00BD0CAC">
            <w:pPr>
              <w:spacing w:before="120" w:line="240" w:lineRule="auto"/>
              <w:ind w:right="113"/>
              <w:jc w:val="right"/>
              <w:rPr>
                <w:sz w:val="21"/>
              </w:rPr>
            </w:pPr>
            <w:r>
              <w:rPr>
                <w:sz w:val="21"/>
              </w:rPr>
              <w:t>1,47</w:t>
            </w:r>
            <w:r>
              <w:rPr>
                <w:sz w:val="21"/>
              </w:rPr>
              <w:t>0</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1,622</w:t>
            </w:r>
          </w:p>
        </w:tc>
        <w:tc>
          <w:tcPr>
            <w:tcW w:w="922" w:type="dxa"/>
            <w:tcBorders>
              <w:left w:val="nil"/>
            </w:tcBorders>
          </w:tcPr>
          <w:p w:rsidR="00000000" w:rsidRDefault="00BD0CAC">
            <w:pPr>
              <w:spacing w:before="120" w:line="240" w:lineRule="auto"/>
              <w:ind w:right="113"/>
              <w:jc w:val="right"/>
              <w:rPr>
                <w:sz w:val="21"/>
              </w:rPr>
            </w:pPr>
            <w:r>
              <w:rPr>
                <w:sz w:val="21"/>
              </w:rPr>
              <w:t>1,714</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1,760</w:t>
            </w:r>
          </w:p>
        </w:tc>
        <w:tc>
          <w:tcPr>
            <w:tcW w:w="922" w:type="dxa"/>
            <w:tcBorders>
              <w:left w:val="nil"/>
            </w:tcBorders>
          </w:tcPr>
          <w:p w:rsidR="00000000" w:rsidRDefault="00BD0CAC">
            <w:pPr>
              <w:spacing w:before="120" w:line="240" w:lineRule="auto"/>
              <w:ind w:right="113"/>
              <w:jc w:val="right"/>
              <w:rPr>
                <w:sz w:val="21"/>
              </w:rPr>
            </w:pPr>
            <w:r>
              <w:rPr>
                <w:sz w:val="21"/>
              </w:rPr>
              <w:t>1,780</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1,797</w:t>
            </w:r>
          </w:p>
        </w:tc>
      </w:tr>
      <w:tr w:rsidR="00000000">
        <w:tblPrEx>
          <w:tblCellMar>
            <w:top w:w="0" w:type="dxa"/>
            <w:bottom w:w="0" w:type="dxa"/>
          </w:tblCellMar>
        </w:tblPrEx>
        <w:tc>
          <w:tcPr>
            <w:tcW w:w="1108" w:type="dxa"/>
            <w:tcBorders>
              <w:left w:val="single" w:sz="6" w:space="0" w:color="auto"/>
            </w:tcBorders>
          </w:tcPr>
          <w:p w:rsidR="00000000" w:rsidRDefault="00BD0CAC">
            <w:pPr>
              <w:spacing w:before="120" w:line="240" w:lineRule="auto"/>
              <w:ind w:left="57"/>
              <w:jc w:val="left"/>
              <w:rPr>
                <w:sz w:val="21"/>
              </w:rPr>
            </w:pPr>
            <w:r>
              <w:rPr>
                <w:rFonts w:hint="eastAsia"/>
                <w:sz w:val="21"/>
              </w:rPr>
              <w:t>小</w:t>
            </w:r>
            <w:r>
              <w:rPr>
                <w:sz w:val="21"/>
              </w:rPr>
              <w:t xml:space="preserve">  </w:t>
            </w:r>
            <w:r>
              <w:rPr>
                <w:rFonts w:hint="eastAsia"/>
                <w:sz w:val="21"/>
              </w:rPr>
              <w:t>学</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32,909</w:t>
            </w:r>
          </w:p>
        </w:tc>
        <w:tc>
          <w:tcPr>
            <w:tcW w:w="922" w:type="dxa"/>
            <w:tcBorders>
              <w:left w:val="nil"/>
            </w:tcBorders>
          </w:tcPr>
          <w:p w:rsidR="00000000" w:rsidRDefault="00BD0CAC">
            <w:pPr>
              <w:spacing w:before="120" w:line="240" w:lineRule="auto"/>
              <w:ind w:right="113"/>
              <w:jc w:val="right"/>
              <w:rPr>
                <w:sz w:val="21"/>
              </w:rPr>
            </w:pPr>
            <w:r>
              <w:rPr>
                <w:sz w:val="21"/>
              </w:rPr>
              <w:t>33,754</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34,768</w:t>
            </w:r>
          </w:p>
        </w:tc>
        <w:tc>
          <w:tcPr>
            <w:tcW w:w="922" w:type="dxa"/>
            <w:tcBorders>
              <w:left w:val="nil"/>
            </w:tcBorders>
          </w:tcPr>
          <w:p w:rsidR="00000000" w:rsidRDefault="00BD0CAC">
            <w:pPr>
              <w:spacing w:before="120" w:line="240" w:lineRule="auto"/>
              <w:ind w:right="113"/>
              <w:jc w:val="right"/>
              <w:rPr>
                <w:sz w:val="21"/>
              </w:rPr>
            </w:pPr>
            <w:r>
              <w:rPr>
                <w:sz w:val="21"/>
              </w:rPr>
              <w:t>37,155</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p>
        </w:tc>
        <w:tc>
          <w:tcPr>
            <w:tcW w:w="922" w:type="dxa"/>
            <w:tcBorders>
              <w:left w:val="nil"/>
            </w:tcBorders>
          </w:tcPr>
          <w:p w:rsidR="00000000" w:rsidRDefault="00BD0CAC">
            <w:pPr>
              <w:spacing w:before="120" w:line="240" w:lineRule="auto"/>
              <w:ind w:right="113"/>
              <w:jc w:val="right"/>
              <w:rPr>
                <w:sz w:val="21"/>
              </w:rPr>
            </w:pPr>
            <w:r>
              <w:rPr>
                <w:sz w:val="21"/>
              </w:rPr>
              <w:t>38,712</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38,899</w:t>
            </w:r>
          </w:p>
        </w:tc>
        <w:tc>
          <w:tcPr>
            <w:tcW w:w="922" w:type="dxa"/>
            <w:tcBorders>
              <w:left w:val="nil"/>
            </w:tcBorders>
          </w:tcPr>
          <w:p w:rsidR="00000000" w:rsidRDefault="00BD0CAC">
            <w:pPr>
              <w:spacing w:before="120" w:line="240" w:lineRule="auto"/>
              <w:ind w:right="113"/>
              <w:jc w:val="right"/>
              <w:rPr>
                <w:sz w:val="21"/>
              </w:rPr>
            </w:pPr>
            <w:r>
              <w:rPr>
                <w:sz w:val="21"/>
              </w:rPr>
              <w:t>38,952</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38,979</w:t>
            </w:r>
          </w:p>
        </w:tc>
      </w:tr>
      <w:tr w:rsidR="00000000">
        <w:tblPrEx>
          <w:tblCellMar>
            <w:top w:w="0" w:type="dxa"/>
            <w:bottom w:w="0" w:type="dxa"/>
          </w:tblCellMar>
        </w:tblPrEx>
        <w:tc>
          <w:tcPr>
            <w:tcW w:w="1108" w:type="dxa"/>
            <w:tcBorders>
              <w:left w:val="single" w:sz="6" w:space="0" w:color="auto"/>
            </w:tcBorders>
          </w:tcPr>
          <w:p w:rsidR="00000000" w:rsidRDefault="00BD0CAC">
            <w:pPr>
              <w:spacing w:before="120" w:line="240" w:lineRule="auto"/>
              <w:ind w:left="57"/>
              <w:jc w:val="left"/>
              <w:rPr>
                <w:sz w:val="21"/>
              </w:rPr>
            </w:pPr>
            <w:r>
              <w:rPr>
                <w:rFonts w:hint="eastAsia"/>
                <w:sz w:val="21"/>
              </w:rPr>
              <w:t>小学后</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325</w:t>
            </w:r>
          </w:p>
        </w:tc>
        <w:tc>
          <w:tcPr>
            <w:tcW w:w="922" w:type="dxa"/>
            <w:tcBorders>
              <w:left w:val="nil"/>
            </w:tcBorders>
          </w:tcPr>
          <w:p w:rsidR="00000000" w:rsidRDefault="00BD0CAC">
            <w:pPr>
              <w:spacing w:before="120" w:line="240" w:lineRule="auto"/>
              <w:ind w:right="113"/>
              <w:jc w:val="right"/>
              <w:rPr>
                <w:sz w:val="21"/>
              </w:rPr>
            </w:pPr>
            <w:r>
              <w:rPr>
                <w:sz w:val="21"/>
              </w:rPr>
              <w:t>334</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406</w:t>
            </w:r>
          </w:p>
        </w:tc>
        <w:tc>
          <w:tcPr>
            <w:tcW w:w="922" w:type="dxa"/>
            <w:tcBorders>
              <w:left w:val="nil"/>
            </w:tcBorders>
          </w:tcPr>
          <w:p w:rsidR="00000000" w:rsidRDefault="00BD0CAC">
            <w:pPr>
              <w:spacing w:before="120" w:line="240" w:lineRule="auto"/>
              <w:ind w:right="113"/>
              <w:jc w:val="right"/>
              <w:rPr>
                <w:sz w:val="21"/>
              </w:rPr>
            </w:pPr>
            <w:r>
              <w:rPr>
                <w:sz w:val="21"/>
              </w:rPr>
              <w:t>464</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510</w:t>
            </w:r>
          </w:p>
        </w:tc>
        <w:tc>
          <w:tcPr>
            <w:tcW w:w="922" w:type="dxa"/>
            <w:tcBorders>
              <w:left w:val="nil"/>
            </w:tcBorders>
          </w:tcPr>
          <w:p w:rsidR="00000000" w:rsidRDefault="00BD0CAC">
            <w:pPr>
              <w:spacing w:before="120" w:line="240" w:lineRule="auto"/>
              <w:ind w:right="113"/>
              <w:jc w:val="right"/>
              <w:rPr>
                <w:sz w:val="21"/>
              </w:rPr>
            </w:pPr>
            <w:r>
              <w:rPr>
                <w:sz w:val="21"/>
              </w:rPr>
              <w:t>445</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445</w:t>
            </w:r>
          </w:p>
        </w:tc>
        <w:tc>
          <w:tcPr>
            <w:tcW w:w="922" w:type="dxa"/>
            <w:tcBorders>
              <w:left w:val="nil"/>
            </w:tcBorders>
          </w:tcPr>
          <w:p w:rsidR="00000000" w:rsidRDefault="00BD0CAC">
            <w:pPr>
              <w:spacing w:before="120" w:line="240" w:lineRule="auto"/>
              <w:ind w:right="113"/>
              <w:jc w:val="right"/>
              <w:rPr>
                <w:sz w:val="21"/>
              </w:rPr>
            </w:pPr>
            <w:r>
              <w:rPr>
                <w:sz w:val="21"/>
              </w:rPr>
              <w:t>448</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448</w:t>
            </w:r>
          </w:p>
        </w:tc>
      </w:tr>
      <w:tr w:rsidR="00000000">
        <w:tblPrEx>
          <w:tblCellMar>
            <w:top w:w="0" w:type="dxa"/>
            <w:bottom w:w="0" w:type="dxa"/>
          </w:tblCellMar>
        </w:tblPrEx>
        <w:tc>
          <w:tcPr>
            <w:tcW w:w="1108" w:type="dxa"/>
            <w:tcBorders>
              <w:left w:val="single" w:sz="6" w:space="0" w:color="auto"/>
            </w:tcBorders>
          </w:tcPr>
          <w:p w:rsidR="00000000" w:rsidRDefault="00BD0CAC">
            <w:pPr>
              <w:spacing w:before="120" w:line="240" w:lineRule="auto"/>
              <w:ind w:left="57"/>
              <w:jc w:val="left"/>
              <w:rPr>
                <w:sz w:val="21"/>
              </w:rPr>
            </w:pPr>
            <w:r>
              <w:rPr>
                <w:rFonts w:hint="eastAsia"/>
                <w:sz w:val="21"/>
              </w:rPr>
              <w:t>普通中学</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5,307</w:t>
            </w:r>
          </w:p>
        </w:tc>
        <w:tc>
          <w:tcPr>
            <w:tcW w:w="922" w:type="dxa"/>
            <w:tcBorders>
              <w:left w:val="nil"/>
            </w:tcBorders>
          </w:tcPr>
          <w:p w:rsidR="00000000" w:rsidRDefault="00BD0CAC">
            <w:pPr>
              <w:spacing w:before="120" w:line="240" w:lineRule="auto"/>
              <w:ind w:right="113"/>
              <w:jc w:val="right"/>
              <w:rPr>
                <w:sz w:val="21"/>
              </w:rPr>
            </w:pPr>
            <w:r>
              <w:rPr>
                <w:sz w:val="21"/>
              </w:rPr>
              <w:t>6,016</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6,045</w:t>
            </w:r>
          </w:p>
        </w:tc>
        <w:tc>
          <w:tcPr>
            <w:tcW w:w="922" w:type="dxa"/>
            <w:tcBorders>
              <w:left w:val="nil"/>
            </w:tcBorders>
          </w:tcPr>
          <w:p w:rsidR="00000000" w:rsidRDefault="00BD0CAC">
            <w:pPr>
              <w:spacing w:before="120" w:line="240" w:lineRule="auto"/>
              <w:ind w:right="113"/>
              <w:jc w:val="right"/>
              <w:rPr>
                <w:sz w:val="21"/>
              </w:rPr>
            </w:pPr>
            <w:r>
              <w:rPr>
                <w:sz w:val="21"/>
              </w:rPr>
              <w:t>6,055</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6,361</w:t>
            </w:r>
          </w:p>
        </w:tc>
        <w:tc>
          <w:tcPr>
            <w:tcW w:w="922" w:type="dxa"/>
            <w:tcBorders>
              <w:left w:val="nil"/>
            </w:tcBorders>
          </w:tcPr>
          <w:p w:rsidR="00000000" w:rsidRDefault="00BD0CAC">
            <w:pPr>
              <w:spacing w:before="120" w:line="240" w:lineRule="auto"/>
              <w:ind w:right="113"/>
              <w:jc w:val="right"/>
              <w:rPr>
                <w:sz w:val="21"/>
              </w:rPr>
            </w:pPr>
            <w:r>
              <w:rPr>
                <w:sz w:val="21"/>
              </w:rPr>
              <w:t>7,885</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7,915</w:t>
            </w:r>
          </w:p>
        </w:tc>
        <w:tc>
          <w:tcPr>
            <w:tcW w:w="922" w:type="dxa"/>
            <w:tcBorders>
              <w:left w:val="nil"/>
            </w:tcBorders>
          </w:tcPr>
          <w:p w:rsidR="00000000" w:rsidRDefault="00BD0CAC">
            <w:pPr>
              <w:spacing w:before="120" w:line="240" w:lineRule="auto"/>
              <w:ind w:right="113"/>
              <w:jc w:val="right"/>
              <w:rPr>
                <w:sz w:val="21"/>
              </w:rPr>
            </w:pPr>
            <w:r>
              <w:rPr>
                <w:sz w:val="21"/>
              </w:rPr>
              <w:t>7,931</w:t>
            </w:r>
          </w:p>
        </w:tc>
        <w:tc>
          <w:tcPr>
            <w:tcW w:w="922" w:type="dxa"/>
            <w:tcBorders>
              <w:left w:val="single" w:sz="6" w:space="0" w:color="auto"/>
              <w:right w:val="single" w:sz="6" w:space="0" w:color="auto"/>
            </w:tcBorders>
          </w:tcPr>
          <w:p w:rsidR="00000000" w:rsidRDefault="00BD0CAC">
            <w:pPr>
              <w:spacing w:before="120" w:line="240" w:lineRule="auto"/>
              <w:ind w:right="113"/>
              <w:jc w:val="right"/>
              <w:rPr>
                <w:sz w:val="21"/>
              </w:rPr>
            </w:pPr>
            <w:r>
              <w:rPr>
                <w:sz w:val="21"/>
              </w:rPr>
              <w:t>8,729</w:t>
            </w:r>
          </w:p>
        </w:tc>
      </w:tr>
      <w:tr w:rsidR="00000000">
        <w:tblPrEx>
          <w:tblCellMar>
            <w:top w:w="0" w:type="dxa"/>
            <w:bottom w:w="0" w:type="dxa"/>
          </w:tblCellMar>
        </w:tblPrEx>
        <w:tc>
          <w:tcPr>
            <w:tcW w:w="1108" w:type="dxa"/>
            <w:tcBorders>
              <w:left w:val="single" w:sz="6" w:space="0" w:color="auto"/>
              <w:bottom w:val="single" w:sz="6" w:space="0" w:color="auto"/>
            </w:tcBorders>
          </w:tcPr>
          <w:p w:rsidR="00000000" w:rsidRDefault="00BD0CAC">
            <w:pPr>
              <w:spacing w:before="120" w:line="240" w:lineRule="auto"/>
              <w:ind w:left="57"/>
              <w:jc w:val="left"/>
              <w:rPr>
                <w:sz w:val="21"/>
              </w:rPr>
            </w:pPr>
            <w:r>
              <w:rPr>
                <w:rFonts w:hint="eastAsia"/>
                <w:sz w:val="21"/>
              </w:rPr>
              <w:t>中等技校</w:t>
            </w:r>
          </w:p>
        </w:tc>
        <w:tc>
          <w:tcPr>
            <w:tcW w:w="922" w:type="dxa"/>
            <w:tcBorders>
              <w:left w:val="single" w:sz="6" w:space="0" w:color="auto"/>
              <w:bottom w:val="single" w:sz="6" w:space="0" w:color="auto"/>
              <w:right w:val="single" w:sz="6" w:space="0" w:color="auto"/>
            </w:tcBorders>
          </w:tcPr>
          <w:p w:rsidR="00000000" w:rsidRDefault="00BD0CAC">
            <w:pPr>
              <w:spacing w:before="120" w:line="240" w:lineRule="auto"/>
              <w:ind w:right="113"/>
              <w:jc w:val="right"/>
              <w:rPr>
                <w:sz w:val="21"/>
              </w:rPr>
            </w:pPr>
            <w:r>
              <w:rPr>
                <w:sz w:val="21"/>
              </w:rPr>
              <w:t>1,961</w:t>
            </w:r>
          </w:p>
        </w:tc>
        <w:tc>
          <w:tcPr>
            <w:tcW w:w="922" w:type="dxa"/>
            <w:tcBorders>
              <w:left w:val="nil"/>
              <w:bottom w:val="single" w:sz="6" w:space="0" w:color="auto"/>
            </w:tcBorders>
          </w:tcPr>
          <w:p w:rsidR="00000000" w:rsidRDefault="00BD0CAC">
            <w:pPr>
              <w:spacing w:before="120" w:line="240" w:lineRule="auto"/>
              <w:ind w:right="113"/>
              <w:jc w:val="right"/>
              <w:rPr>
                <w:sz w:val="21"/>
              </w:rPr>
            </w:pPr>
            <w:r>
              <w:rPr>
                <w:sz w:val="21"/>
              </w:rPr>
              <w:t>2,215</w:t>
            </w:r>
          </w:p>
        </w:tc>
        <w:tc>
          <w:tcPr>
            <w:tcW w:w="922" w:type="dxa"/>
            <w:tcBorders>
              <w:left w:val="single" w:sz="6" w:space="0" w:color="auto"/>
              <w:bottom w:val="single" w:sz="6" w:space="0" w:color="auto"/>
              <w:right w:val="single" w:sz="6" w:space="0" w:color="auto"/>
            </w:tcBorders>
          </w:tcPr>
          <w:p w:rsidR="00000000" w:rsidRDefault="00BD0CAC">
            <w:pPr>
              <w:spacing w:before="120" w:line="240" w:lineRule="auto"/>
              <w:ind w:right="113"/>
              <w:jc w:val="right"/>
              <w:rPr>
                <w:sz w:val="21"/>
              </w:rPr>
            </w:pPr>
            <w:r>
              <w:rPr>
                <w:sz w:val="21"/>
              </w:rPr>
              <w:t>2,247</w:t>
            </w:r>
          </w:p>
        </w:tc>
        <w:tc>
          <w:tcPr>
            <w:tcW w:w="922" w:type="dxa"/>
            <w:tcBorders>
              <w:left w:val="nil"/>
              <w:bottom w:val="single" w:sz="6" w:space="0" w:color="auto"/>
            </w:tcBorders>
          </w:tcPr>
          <w:p w:rsidR="00000000" w:rsidRDefault="00BD0CAC">
            <w:pPr>
              <w:spacing w:before="120" w:line="240" w:lineRule="auto"/>
              <w:ind w:right="113"/>
              <w:jc w:val="right"/>
              <w:rPr>
                <w:sz w:val="21"/>
              </w:rPr>
            </w:pPr>
            <w:r>
              <w:rPr>
                <w:sz w:val="21"/>
              </w:rPr>
              <w:t>2,211</w:t>
            </w:r>
          </w:p>
        </w:tc>
        <w:tc>
          <w:tcPr>
            <w:tcW w:w="922" w:type="dxa"/>
            <w:tcBorders>
              <w:left w:val="single" w:sz="6" w:space="0" w:color="auto"/>
              <w:bottom w:val="single" w:sz="6" w:space="0" w:color="auto"/>
              <w:right w:val="single" w:sz="6" w:space="0" w:color="auto"/>
            </w:tcBorders>
          </w:tcPr>
          <w:p w:rsidR="00000000" w:rsidRDefault="00BD0CAC">
            <w:pPr>
              <w:spacing w:before="120" w:line="240" w:lineRule="auto"/>
              <w:ind w:right="113"/>
              <w:jc w:val="right"/>
              <w:rPr>
                <w:sz w:val="21"/>
              </w:rPr>
            </w:pPr>
            <w:r>
              <w:rPr>
                <w:sz w:val="21"/>
              </w:rPr>
              <w:t>2,314</w:t>
            </w:r>
          </w:p>
        </w:tc>
        <w:tc>
          <w:tcPr>
            <w:tcW w:w="922" w:type="dxa"/>
            <w:tcBorders>
              <w:left w:val="nil"/>
              <w:bottom w:val="single" w:sz="6" w:space="0" w:color="auto"/>
            </w:tcBorders>
          </w:tcPr>
          <w:p w:rsidR="00000000" w:rsidRDefault="00BD0CAC">
            <w:pPr>
              <w:spacing w:before="120" w:line="240" w:lineRule="auto"/>
              <w:ind w:right="113"/>
              <w:jc w:val="right"/>
              <w:rPr>
                <w:sz w:val="21"/>
              </w:rPr>
            </w:pPr>
            <w:r>
              <w:rPr>
                <w:sz w:val="21"/>
              </w:rPr>
              <w:t>2,603</w:t>
            </w:r>
          </w:p>
        </w:tc>
        <w:tc>
          <w:tcPr>
            <w:tcW w:w="922" w:type="dxa"/>
            <w:tcBorders>
              <w:left w:val="single" w:sz="6" w:space="0" w:color="auto"/>
              <w:bottom w:val="single" w:sz="6" w:space="0" w:color="auto"/>
              <w:right w:val="single" w:sz="6" w:space="0" w:color="auto"/>
            </w:tcBorders>
          </w:tcPr>
          <w:p w:rsidR="00000000" w:rsidRDefault="00BD0CAC">
            <w:pPr>
              <w:spacing w:before="120" w:line="240" w:lineRule="auto"/>
              <w:ind w:right="113"/>
              <w:jc w:val="right"/>
              <w:rPr>
                <w:sz w:val="21"/>
              </w:rPr>
            </w:pPr>
            <w:r>
              <w:rPr>
                <w:sz w:val="21"/>
              </w:rPr>
              <w:t>2,675</w:t>
            </w:r>
          </w:p>
        </w:tc>
        <w:tc>
          <w:tcPr>
            <w:tcW w:w="922" w:type="dxa"/>
            <w:tcBorders>
              <w:left w:val="nil"/>
              <w:bottom w:val="single" w:sz="6" w:space="0" w:color="auto"/>
            </w:tcBorders>
          </w:tcPr>
          <w:p w:rsidR="00000000" w:rsidRDefault="00BD0CAC">
            <w:pPr>
              <w:spacing w:before="120" w:line="240" w:lineRule="auto"/>
              <w:ind w:right="113"/>
              <w:jc w:val="right"/>
              <w:rPr>
                <w:sz w:val="21"/>
              </w:rPr>
            </w:pPr>
            <w:r>
              <w:rPr>
                <w:sz w:val="21"/>
              </w:rPr>
              <w:t>2,690</w:t>
            </w:r>
          </w:p>
        </w:tc>
        <w:tc>
          <w:tcPr>
            <w:tcW w:w="922" w:type="dxa"/>
            <w:tcBorders>
              <w:left w:val="single" w:sz="6" w:space="0" w:color="auto"/>
              <w:bottom w:val="single" w:sz="6" w:space="0" w:color="auto"/>
              <w:right w:val="single" w:sz="6" w:space="0" w:color="auto"/>
            </w:tcBorders>
          </w:tcPr>
          <w:p w:rsidR="00000000" w:rsidRDefault="00BD0CAC">
            <w:pPr>
              <w:spacing w:before="120" w:line="240" w:lineRule="auto"/>
              <w:ind w:right="113"/>
              <w:jc w:val="right"/>
              <w:rPr>
                <w:sz w:val="21"/>
              </w:rPr>
            </w:pPr>
            <w:r>
              <w:rPr>
                <w:sz w:val="21"/>
              </w:rPr>
              <w:t>2,756</w:t>
            </w:r>
          </w:p>
        </w:tc>
      </w:tr>
    </w:tbl>
    <w:p w:rsidR="00000000" w:rsidRDefault="00BD0CAC">
      <w:pPr>
        <w:ind w:right="113"/>
        <w:jc w:val="right"/>
      </w:pPr>
    </w:p>
    <w:p w:rsidR="00000000" w:rsidRDefault="00BD0CAC">
      <w:pPr>
        <w:pStyle w:val="Heading3"/>
      </w:pPr>
      <w:r>
        <w:rPr>
          <w:rFonts w:hint="eastAsia"/>
        </w:rPr>
        <w:t>第</w:t>
      </w:r>
      <w:r>
        <w:t xml:space="preserve"> 15 </w:t>
      </w:r>
      <w:r>
        <w:rPr>
          <w:rFonts w:hint="eastAsia"/>
        </w:rPr>
        <w:t>条</w:t>
      </w:r>
    </w:p>
    <w:p w:rsidR="00000000" w:rsidRDefault="00BD0CAC">
      <w:pPr>
        <w:pStyle w:val="Heading4"/>
      </w:pPr>
      <w:r>
        <w:t>15.3</w:t>
      </w:r>
    </w:p>
    <w:p w:rsidR="00000000" w:rsidRDefault="00BD0CAC">
      <w:r>
        <w:tab/>
        <w:t xml:space="preserve">137.  </w:t>
      </w:r>
      <w:r>
        <w:rPr>
          <w:rFonts w:hint="eastAsia"/>
        </w:rPr>
        <w:t>为确立对知识产权的保护，喀麦隆成为</w:t>
      </w:r>
      <w:r>
        <w:t>1977</w:t>
      </w:r>
      <w:r>
        <w:rPr>
          <w:rFonts w:hint="eastAsia"/>
        </w:rPr>
        <w:t>年</w:t>
      </w:r>
      <w:r>
        <w:t>3</w:t>
      </w:r>
      <w:r>
        <w:rPr>
          <w:rFonts w:hint="eastAsia"/>
        </w:rPr>
        <w:t>月</w:t>
      </w:r>
      <w:r>
        <w:t>2</w:t>
      </w:r>
      <w:r>
        <w:rPr>
          <w:rFonts w:hint="eastAsia"/>
        </w:rPr>
        <w:t>日关于成立非洲知识产权组织的班吉协定的签字国之一。这一机构旨在十四个成员国内保护知识产权。</w:t>
      </w:r>
    </w:p>
    <w:p w:rsidR="00000000" w:rsidRDefault="00BD0CAC">
      <w:r>
        <w:tab/>
        <w:t xml:space="preserve">138.  </w:t>
      </w:r>
      <w:r>
        <w:rPr>
          <w:rFonts w:hint="eastAsia"/>
        </w:rPr>
        <w:t>应当指出：班吉协定的所有签字国也是</w:t>
      </w:r>
      <w:r>
        <w:t>1883</w:t>
      </w:r>
      <w:r>
        <w:rPr>
          <w:rFonts w:hint="eastAsia"/>
        </w:rPr>
        <w:t>年</w:t>
      </w:r>
      <w:r>
        <w:t>3</w:t>
      </w:r>
      <w:r>
        <w:rPr>
          <w:rFonts w:hint="eastAsia"/>
        </w:rPr>
        <w:t>月</w:t>
      </w:r>
      <w:r>
        <w:t>20</w:t>
      </w:r>
      <w:r>
        <w:rPr>
          <w:rFonts w:hint="eastAsia"/>
        </w:rPr>
        <w:t>日巴黎公约及其各种修订文书的成员国，该公约承担管理世界知识产权的一切法律文书。</w:t>
      </w:r>
    </w:p>
    <w:p w:rsidR="00000000" w:rsidRDefault="00BD0CAC">
      <w:r>
        <w:tab/>
        <w:t xml:space="preserve">139.  </w:t>
      </w:r>
      <w:r>
        <w:rPr>
          <w:rFonts w:hint="eastAsia"/>
        </w:rPr>
        <w:t>喀麦隆最近签署了涉及贸易的知识产权协定，这是有关成立世界贸易组织</w:t>
      </w:r>
      <w:r>
        <w:t>(</w:t>
      </w:r>
      <w:r>
        <w:rPr>
          <w:rFonts w:hint="eastAsia"/>
        </w:rPr>
        <w:t>世贸组织</w:t>
      </w:r>
      <w:r>
        <w:t>)</w:t>
      </w:r>
      <w:r>
        <w:rPr>
          <w:rFonts w:hint="eastAsia"/>
        </w:rPr>
        <w:t>的马拉喀什协议的后续协定。</w:t>
      </w:r>
    </w:p>
    <w:p w:rsidR="00000000" w:rsidRDefault="00BD0CAC">
      <w:pPr>
        <w:spacing w:after="320"/>
        <w:textAlignment w:val="center"/>
      </w:pPr>
      <w:r>
        <w:tab/>
        <w:t xml:space="preserve">140.  </w:t>
      </w:r>
      <w:r>
        <w:rPr>
          <w:rFonts w:hint="eastAsia"/>
        </w:rPr>
        <w:t>换言之，喀麦隆政府通过这些多边合作机构切实保护其领</w:t>
      </w:r>
      <w:r>
        <w:rPr>
          <w:rFonts w:hint="eastAsia"/>
        </w:rPr>
        <w:t>土上的知识产权。</w:t>
      </w:r>
    </w:p>
    <w:p w:rsidR="00000000" w:rsidRDefault="00BD0CAC">
      <w:pPr>
        <w:pStyle w:val="Heading3"/>
      </w:pPr>
      <w:r>
        <w:rPr>
          <w:rFonts w:hint="eastAsia"/>
        </w:rPr>
        <w:t>结</w:t>
      </w:r>
      <w:r>
        <w:t xml:space="preserve">  </w:t>
      </w:r>
      <w:r>
        <w:rPr>
          <w:rFonts w:hint="eastAsia"/>
        </w:rPr>
        <w:t>论</w:t>
      </w:r>
    </w:p>
    <w:p w:rsidR="00000000" w:rsidRDefault="00BD0CAC">
      <w:r>
        <w:tab/>
        <w:t xml:space="preserve">141.  </w:t>
      </w:r>
      <w:r>
        <w:rPr>
          <w:rFonts w:hint="eastAsia"/>
        </w:rPr>
        <w:t>《经济、社会、文化权利国际盟约》承认劳动权、享受公正有利劳动条件的权利、组织和加入工会的权利、家庭获得尽可能广泛的保护和协助的权利、社会保险权利、适足生活水平权利、教育权以及参与文化生活的权利。所有这些权利都在喀麦隆法律框架内得到确认，并本着尊重国际法和国际公约的精神予以行使。</w:t>
      </w:r>
    </w:p>
    <w:p w:rsidR="00000000" w:rsidRDefault="00BD0CAC">
      <w:r>
        <w:tab/>
        <w:t xml:space="preserve">142.  </w:t>
      </w:r>
      <w:r>
        <w:rPr>
          <w:rFonts w:hint="eastAsia"/>
        </w:rPr>
        <w:t>不过在行使上述权利过程中也出现了种种情况；因为实际上，享受这些权利并不仅取决于发展中国家的意愿。它们在债台高筑下如牛负重，加之经济危机困扰、贸易条件日益恶化，从而不得不面对某些</w:t>
      </w:r>
      <w:r>
        <w:rPr>
          <w:rFonts w:hint="eastAsia"/>
        </w:rPr>
        <w:t>现实。为克服现实困难，国家不得不迫使人们作出牺牲，这种牺牲与国家达到尊重人的尊严的生活原意相悖。正是在这方面，为实现地球村内各国人民的平等，理应发挥国际声援的作用。</w:t>
      </w:r>
    </w:p>
    <w:p w:rsidR="00000000" w:rsidRDefault="00BD0CAC">
      <w:r>
        <w:tab/>
        <w:t xml:space="preserve">143.  </w:t>
      </w:r>
      <w:r>
        <w:rPr>
          <w:rFonts w:hint="eastAsia"/>
        </w:rPr>
        <w:t>无论如何，就喀麦隆而言，它重申对人权和各国人民权利的承诺以及它与联合国及其专门机构合作的愿望，以促进人人行使《盟约》所承认的一切权利。</w:t>
      </w:r>
    </w:p>
    <w:p w:rsidR="00000000" w:rsidRDefault="00BD0CAC"/>
    <w:p w:rsidR="00000000" w:rsidRDefault="00BD0CAC">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D0CAC">
      <w:pPr>
        <w:keepNext/>
        <w:spacing w:before="320" w:after="240"/>
        <w:jc w:val="center"/>
      </w:pPr>
      <w:r>
        <w:rPr>
          <w:rFonts w:hint="eastAsia"/>
          <w:u w:val="single"/>
        </w:rPr>
        <w:t>注</w:t>
      </w:r>
    </w:p>
  </w:endnote>
  <w:endnote w:type="continuationSeparator" w:id="0">
    <w:p w:rsidR="00000000" w:rsidRDefault="00BD0CA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CAC">
    <w:pPr>
      <w:pStyle w:val="Footer"/>
      <w:rPr>
        <w:rFonts w:ascii="Courier" w:hAnsi="Courier"/>
      </w:rPr>
    </w:pPr>
    <w:r>
      <w:rPr>
        <w:rFonts w:ascii="Courier" w:hAnsi="Courier"/>
      </w:rPr>
      <w:t xml:space="preserve">GE. 98-15125 </w:t>
    </w:r>
    <w:r>
      <w:rPr>
        <w:rFonts w:ascii="Courier" w:hAnsi="Courier"/>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D0CAC">
      <w:pPr>
        <w:spacing w:line="240" w:lineRule="auto"/>
      </w:pPr>
      <w:r>
        <w:separator/>
      </w:r>
    </w:p>
  </w:footnote>
  <w:footnote w:type="continuationSeparator" w:id="0">
    <w:p w:rsidR="00000000" w:rsidRDefault="00BD0CAC">
      <w:pPr>
        <w:spacing w:line="240" w:lineRule="auto"/>
      </w:pPr>
      <w:r>
        <w:continuationSeparator/>
      </w:r>
    </w:p>
  </w:footnote>
  <w:footnote w:id="1">
    <w:p w:rsidR="00000000" w:rsidRDefault="00BD0CAC">
      <w:pPr>
        <w:pStyle w:val="FootnoteText"/>
        <w:rPr>
          <w:rFonts w:ascii="长城楷体"/>
        </w:rPr>
      </w:pPr>
      <w:r>
        <w:rPr>
          <w:rStyle w:val="FootnoteReference"/>
          <w:vertAlign w:val="baseline"/>
        </w:rPr>
        <w:t>*</w:t>
      </w:r>
      <w:r>
        <w:tab/>
      </w:r>
      <w:r>
        <w:rPr>
          <w:rFonts w:hint="eastAsia"/>
        </w:rPr>
        <w:t>喀麦隆政府就第</w:t>
      </w:r>
      <w:r>
        <w:t>10</w:t>
      </w:r>
      <w:r>
        <w:rPr>
          <w:rFonts w:hint="eastAsia"/>
        </w:rPr>
        <w:t>至</w:t>
      </w:r>
      <w:r>
        <w:t>12</w:t>
      </w:r>
      <w:r>
        <w:rPr>
          <w:rFonts w:hint="eastAsia"/>
        </w:rPr>
        <w:t>条提出的初次报告</w:t>
      </w:r>
      <w:r>
        <w:t>(E/1986/3/Add.8)</w:t>
      </w:r>
      <w:r>
        <w:rPr>
          <w:rFonts w:hint="eastAsia"/>
        </w:rPr>
        <w:t>已由经济</w:t>
      </w:r>
      <w:r>
        <w:rPr>
          <w:rFonts w:eastAsia="SimSun" w:hint="eastAsia"/>
        </w:rPr>
        <w:t>、</w:t>
      </w:r>
      <w:r>
        <w:rPr>
          <w:rFonts w:hint="eastAsia"/>
        </w:rPr>
        <w:t>社会</w:t>
      </w:r>
      <w:r>
        <w:rPr>
          <w:rFonts w:eastAsia="SimSun" w:hint="eastAsia"/>
        </w:rPr>
        <w:t>、</w:t>
      </w:r>
      <w:r>
        <w:rPr>
          <w:rFonts w:ascii="长城楷体" w:hint="eastAsia"/>
        </w:rPr>
        <w:t>文化权利委员会第三届会议审议</w:t>
      </w:r>
      <w:r>
        <w:t>(</w:t>
      </w:r>
      <w:r>
        <w:rPr>
          <w:rFonts w:hint="eastAsia"/>
        </w:rPr>
        <w:t>见</w:t>
      </w:r>
      <w:r>
        <w:t>E/C.12/1989/SR.6</w:t>
      </w:r>
      <w:r>
        <w:t>-7)</w:t>
      </w:r>
      <w:r>
        <w:rPr>
          <w:rFonts w:hint="eastAsia"/>
        </w:rPr>
        <w:t>。</w:t>
      </w:r>
    </w:p>
  </w:footnote>
  <w:footnote w:id="2">
    <w:p w:rsidR="00000000" w:rsidRDefault="00BD0CAC">
      <w:pPr>
        <w:pStyle w:val="FootnoteText"/>
      </w:pPr>
      <w:r>
        <w:rPr>
          <w:rStyle w:val="FootnoteReference"/>
          <w:vertAlign w:val="baseline"/>
        </w:rPr>
        <w:t>**</w:t>
      </w:r>
      <w:r>
        <w:t xml:space="preserve"> </w:t>
      </w:r>
      <w:r>
        <w:tab/>
      </w:r>
      <w:r>
        <w:rPr>
          <w:rFonts w:hint="eastAsia"/>
        </w:rPr>
        <w:t>本报告的附件可在联合国人权事务高级专员办事处查阅</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CAC">
    <w:pPr>
      <w:pStyle w:val="1R2"/>
      <w:framePr w:w="0" w:hRule="auto" w:hSpace="0" w:wrap="auto" w:vAnchor="margin" w:hAnchor="text" w:xAlign="left" w:yAlign="inline"/>
    </w:pPr>
    <w:r>
      <w:t>E/1990/5/Add.35</w:t>
    </w:r>
  </w:p>
  <w:p w:rsidR="00000000" w:rsidRDefault="00BD0CAC">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CAC">
    <w:pPr>
      <w:pStyle w:val="1R2"/>
      <w:framePr w:w="0" w:hRule="auto" w:hSpace="0" w:wrap="auto" w:vAnchor="margin" w:hAnchor="text" w:xAlign="left" w:yAlign="inline"/>
    </w:pPr>
    <w:r>
      <w:tab/>
    </w:r>
    <w:r>
      <w:tab/>
    </w:r>
    <w:r>
      <w:tab/>
    </w:r>
    <w:r>
      <w:tab/>
      <w:t>E/1990/5/Add.35</w:t>
    </w:r>
  </w:p>
  <w:p w:rsidR="00000000" w:rsidRDefault="00BD0CAC">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0CAC">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BD0CAC">
                <w:pPr>
                  <w:pStyle w:val="1R1"/>
                  <w:rPr>
                    <w:rFonts w:ascii="Univers Bold" w:hAnsi="Univers Bold"/>
                  </w:rPr>
                </w:pPr>
                <w:r>
                  <w:t>E</w:t>
                </w:r>
              </w:p>
            </w:txbxContent>
          </v:textbox>
          <w10:wrap anchorx="page" anchory="page"/>
        </v:rect>
      </w:pict>
    </w:r>
  </w:p>
  <w:p w:rsidR="00000000" w:rsidRDefault="00BD0CAC">
    <w:pPr>
      <w:pStyle w:val="a"/>
      <w:spacing w:after="160"/>
    </w:pPr>
    <w:r>
      <w:fldChar w:fldCharType="begin"/>
    </w:r>
    <w:r>
      <w:instrText xml:space="preserve">PRIVATE </w:instrText>
    </w:r>
    <w:r>
      <w:fldChar w:fldCharType="end"/>
    </w:r>
  </w:p>
  <w:p w:rsidR="00000000" w:rsidRDefault="00BD0CAC">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BD0CAC">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BD0CAC">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BD0CAC">
    <w:pPr>
      <w:pStyle w:val="1R2"/>
      <w:framePr w:wrap="around"/>
    </w:pPr>
    <w:r>
      <w:t>Distr.</w:t>
    </w:r>
  </w:p>
  <w:p w:rsidR="00000000" w:rsidRDefault="00BD0CAC">
    <w:pPr>
      <w:pStyle w:val="1R2"/>
      <w:framePr w:wrap="around"/>
    </w:pPr>
    <w:r>
      <w:t>GENERAL</w:t>
    </w:r>
  </w:p>
  <w:p w:rsidR="00000000" w:rsidRDefault="00BD0CAC">
    <w:pPr>
      <w:pStyle w:val="1R2"/>
      <w:framePr w:wrap="around"/>
    </w:pPr>
  </w:p>
  <w:p w:rsidR="00000000" w:rsidRDefault="00BD0CAC">
    <w:pPr>
      <w:pStyle w:val="1R2"/>
      <w:framePr w:wrap="around"/>
    </w:pPr>
    <w:r>
      <w:t>E/1990/5/Add.35</w:t>
    </w:r>
  </w:p>
  <w:p w:rsidR="00000000" w:rsidRDefault="00BD0CAC">
    <w:pPr>
      <w:pStyle w:val="1R2"/>
      <w:framePr w:wrap="around"/>
    </w:pPr>
    <w:r>
      <w:t>22 January 1998</w:t>
    </w:r>
  </w:p>
  <w:p w:rsidR="00000000" w:rsidRDefault="00BD0CAC">
    <w:pPr>
      <w:pStyle w:val="1R2"/>
      <w:framePr w:wrap="around"/>
    </w:pPr>
    <w:r>
      <w:t>CHINESE</w:t>
    </w:r>
  </w:p>
  <w:p w:rsidR="00000000" w:rsidRDefault="00BD0CAC">
    <w:pPr>
      <w:pStyle w:val="1R2"/>
      <w:framePr w:wrap="around"/>
    </w:pPr>
    <w:r>
      <w:t>Original:</w:t>
    </w:r>
    <w:r>
      <w:tab/>
      <w:t>FRENCH</w:t>
    </w:r>
  </w:p>
  <w:p w:rsidR="00000000" w:rsidRDefault="00BD0CAC">
    <w:pPr>
      <w:pStyle w:val="a"/>
    </w:pPr>
  </w:p>
  <w:p w:rsidR="00000000" w:rsidRDefault="00BD0CAC">
    <w:pPr>
      <w:pStyle w:val="a"/>
    </w:pPr>
  </w:p>
  <w:p w:rsidR="00000000" w:rsidRDefault="00BD0CAC">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BD0CAC">
                <w:pPr>
                  <w:pStyle w:val="1m1"/>
                </w:pPr>
                <w:r>
                  <w:rPr>
                    <w:rFonts w:hint="eastAsia"/>
                  </w:rPr>
                  <w:t>经济及社会理事会</w:t>
                </w:r>
              </w:p>
            </w:txbxContent>
          </v:textbox>
          <w10:wrap anchorx="page" anchory="page"/>
        </v:rect>
      </w:pict>
    </w:r>
  </w:p>
  <w:p w:rsidR="00000000" w:rsidRDefault="00BD0CAC">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BD0CAC">
    <w:pPr>
      <w:pStyle w:val="a"/>
    </w:pPr>
  </w:p>
  <w:p w:rsidR="00000000" w:rsidRDefault="00BD0CAC">
    <w:pPr>
      <w:pStyle w:val="a"/>
    </w:pPr>
  </w:p>
  <w:p w:rsidR="00000000" w:rsidRDefault="00BD0CAC">
    <w:pPr>
      <w:pStyle w:val="a"/>
    </w:pPr>
    <w:r>
      <w:fldChar w:fldCharType="begin"/>
    </w:r>
    <w:r>
      <w:instrText>ADVANCE \Y 252.30</w:instrText>
    </w:r>
    <w:r>
      <w:fldChar w:fldCharType="end"/>
    </w:r>
  </w:p>
  <w:p w:rsidR="00000000" w:rsidRDefault="00BD0CAC">
    <w:pPr>
      <w:pStyle w:val="a"/>
    </w:pPr>
  </w:p>
  <w:p w:rsidR="00000000" w:rsidRDefault="00BD0CAC">
    <w:pPr>
      <w:pStyle w:val="a"/>
    </w:pPr>
  </w:p>
  <w:p w:rsidR="00000000" w:rsidRDefault="00BD0CAC">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18433C8"/>
    <w:lvl w:ilvl="0">
      <w:numFmt w:val="bullet"/>
      <w:lvlText w:val="*"/>
      <w:lvlJc w:val="left"/>
    </w:lvl>
  </w:abstractNum>
  <w:abstractNum w:abstractNumId="1">
    <w:nsid w:val="58EF1AD8"/>
    <w:multiLevelType w:val="singleLevel"/>
    <w:tmpl w:val="FFFFFFFF"/>
    <w:lvl w:ilvl="0">
      <w:start w:val="1"/>
      <w:numFmt w:val="decimal"/>
      <w:lvlText w:val="(%1)"/>
      <w:legacy w:legacy="1" w:legacySpace="0" w:legacyIndent="510"/>
      <w:lvlJc w:val="left"/>
      <w:pPr>
        <w:ind w:left="1531" w:hanging="510"/>
      </w:pPr>
      <w:rPr>
        <w:rFonts w:ascii="Times New Roman" w:hAnsi="Times New Roman" w:cs="Times New Roman" w:hint="default"/>
        <w:b w:val="0"/>
        <w:i w:val="0"/>
        <w:sz w:val="24"/>
      </w:r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0CAC"/>
    <w:rsid w:val="00BD0C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159</TotalTime>
  <Pages>6</Pages>
  <Words>3889</Words>
  <Characters>4342</Characters>
  <Application>Microsoft Office Word</Application>
  <DocSecurity>4</DocSecurity>
  <Lines>145</Lines>
  <Paragraphs>42</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E6016</dc:creator>
  <cp:keywords/>
  <cp:lastModifiedBy>TPS</cp:lastModifiedBy>
  <cp:revision>9</cp:revision>
  <cp:lastPrinted>1998-10-08T13:38:00Z</cp:lastPrinted>
  <dcterms:created xsi:type="dcterms:W3CDTF">1998-10-05T13:56:00Z</dcterms:created>
  <dcterms:modified xsi:type="dcterms:W3CDTF">1998-10-08T13:40:00Z</dcterms:modified>
</cp:coreProperties>
</file>