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66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70"/>
        <w:rPr>
          <w:lang w:val="es-ES_tradnl"/>
        </w:rPr>
      </w:pPr>
      <w:r>
        <w:rPr>
          <w:lang w:val="es-ES_tradnl"/>
        </w:rPr>
        <w:t>Distr.</w:t>
      </w:r>
      <w:r>
        <w:rPr>
          <w:lang w:val="es-ES_tradnl"/>
        </w:rPr>
        <w:br/>
        <w:t>GENERAL</w:t>
      </w:r>
    </w:p>
    <w:p w:rsidR="00000000" w:rsidRDefault="00000000">
      <w:pPr>
        <w:spacing w:after="240"/>
        <w:ind w:left="7470"/>
        <w:rPr>
          <w:lang w:val="es-ES_tradnl"/>
        </w:rPr>
      </w:pPr>
      <w:r>
        <w:rPr>
          <w:lang w:val="es-ES_tradnl"/>
        </w:rPr>
        <w:t>CRC/C/141</w:t>
      </w:r>
      <w:r>
        <w:rPr>
          <w:lang w:val="es-ES_tradnl"/>
        </w:rPr>
        <w:br/>
        <w:t>28 de julio de 2004</w:t>
      </w:r>
    </w:p>
    <w:p w:rsidR="00000000" w:rsidRDefault="00000000">
      <w:pPr>
        <w:spacing w:after="640"/>
        <w:ind w:left="7467"/>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r>
        <w:rPr>
          <w:lang w:val="es-ES_tradnl"/>
        </w:rPr>
        <w:br/>
        <w:t>37º período de sesiones</w:t>
      </w:r>
      <w:r>
        <w:rPr>
          <w:lang w:val="es-ES_tradnl"/>
        </w:rPr>
        <w:br/>
        <w:t>Ginebra, 13 de septiembre a 1º de octubre de 2004</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PROGRAMA PROVISIONAL Y ANOTACIONES</w:t>
      </w:r>
    </w:p>
    <w:p w:rsidR="00000000" w:rsidRDefault="00000000">
      <w:pPr>
        <w:spacing w:after="360"/>
        <w:jc w:val="center"/>
        <w:rPr>
          <w:b/>
          <w:bCs/>
          <w:lang w:val="es-ES_tradnl"/>
        </w:rPr>
      </w:pPr>
      <w:r>
        <w:rPr>
          <w:b/>
          <w:bCs/>
          <w:lang w:val="es-ES_tradnl"/>
        </w:rPr>
        <w:t>Nota del Secretario General</w:t>
      </w:r>
    </w:p>
    <w:p w:rsidR="00000000" w:rsidRDefault="00000000">
      <w:pPr>
        <w:spacing w:after="240"/>
        <w:rPr>
          <w:lang w:val="es-ES_tradnl"/>
        </w:rPr>
      </w:pPr>
      <w:r>
        <w:rPr>
          <w:lang w:val="es-ES_tradnl"/>
        </w:rPr>
        <w:t>1.</w:t>
      </w:r>
      <w:r>
        <w:rPr>
          <w:lang w:val="es-ES_tradnl"/>
        </w:rPr>
        <w:tab/>
        <w:t>El 37º período de sesiones del Comité de los Derechos del Niño tendrá lugar en la Oficina de las Naciones Unidas en Ginebra del 13 de septiembre al 1º de octubre de 2004.  La primera sesión se celebrará el lunes 13 de septiembre de 2004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37º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37º período de sesiones.</w:t>
      </w:r>
    </w:p>
    <w:p w:rsidR="00000000" w:rsidRDefault="00000000">
      <w:pPr>
        <w:spacing w:after="240"/>
        <w:rPr>
          <w:lang w:val="es-ES_tradnl"/>
        </w:rPr>
      </w:pPr>
      <w:r>
        <w:rPr>
          <w:lang w:val="es-ES_tradnl"/>
        </w:rPr>
        <w:t>5.</w:t>
      </w:r>
      <w:r>
        <w:rPr>
          <w:lang w:val="es-ES_tradnl"/>
        </w:rPr>
        <w:tab/>
        <w:t>Del</w:t>
      </w:r>
      <w:r>
        <w:rPr>
          <w:bCs/>
          <w:lang w:val="es-ES_tradnl"/>
        </w:rPr>
        <w:t xml:space="preserve"> 7 al 11 de junio de 2004</w:t>
      </w:r>
      <w:r>
        <w:rPr>
          <w:lang w:val="es-ES_tradnl"/>
        </w:rPr>
        <w:t xml:space="preserve"> se reunió en la Oficina de las Naciones Unidas en Ginebra un Grupo de Trabajo previo al período de sesiones establecido de conformidad con el artículo 63 del reglamento provisional.</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GE.04-43001  (S)  090804    110804</w:t>
      </w:r>
    </w:p>
    <w:p w:rsidR="00000000" w:rsidRDefault="00000000">
      <w:pPr>
        <w:spacing w:after="240"/>
        <w:jc w:val="center"/>
        <w:rPr>
          <w:b/>
          <w:bCs/>
          <w:lang w:val="es-ES_tradnl"/>
        </w:rPr>
      </w:pPr>
      <w:r>
        <w:rPr>
          <w:b/>
          <w:bCs/>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Métodos de trabajo del Comité.</w:t>
      </w:r>
    </w:p>
    <w:p w:rsidR="00000000" w:rsidRDefault="00000000">
      <w:pPr>
        <w:spacing w:after="240"/>
        <w:ind w:left="567" w:hanging="567"/>
        <w:rPr>
          <w:lang w:val="es-ES_tradnl"/>
        </w:rPr>
      </w:pPr>
      <w:r>
        <w:rPr>
          <w:lang w:val="es-ES_tradnl"/>
        </w:rPr>
        <w:t>7.</w:t>
      </w:r>
      <w:r>
        <w:rPr>
          <w:lang w:val="es-ES_tradnl"/>
        </w:rPr>
        <w:tab/>
        <w:t>Observaciones generales.</w:t>
      </w:r>
    </w:p>
    <w:p w:rsidR="00000000" w:rsidRDefault="00000000">
      <w:pPr>
        <w:spacing w:after="240"/>
        <w:rPr>
          <w:lang w:val="es-ES_tradnl"/>
        </w:rPr>
      </w:pPr>
      <w:r>
        <w:rPr>
          <w:lang w:val="es-ES_tradnl"/>
        </w:rPr>
        <w:t>8.</w:t>
      </w:r>
      <w:r>
        <w:rPr>
          <w:lang w:val="es-ES_tradnl"/>
        </w:rPr>
        <w:tab/>
        <w:t>Día de debate general.</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240"/>
        <w:rPr>
          <w:lang w:val="es-ES_tradnl"/>
        </w:rPr>
      </w:pPr>
      <w:r>
        <w:rPr>
          <w:lang w:val="es-ES_tradnl"/>
        </w:rPr>
        <w:t>10.</w:t>
      </w:r>
      <w:r>
        <w:rPr>
          <w:lang w:val="es-ES_tradnl"/>
        </w:rPr>
        <w:tab/>
        <w:t>Otros asuntos.</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bCs/>
          <w:lang w:val="es-ES_tradnl"/>
        </w:rPr>
        <w:t>ANOTACIONES</w:t>
      </w:r>
    </w:p>
    <w:p w:rsidR="00000000" w:rsidRDefault="00000000">
      <w:pPr>
        <w:spacing w:after="240"/>
        <w:rPr>
          <w:b/>
          <w:bCs/>
          <w:lang w:val="es-ES_tradnl"/>
        </w:rPr>
      </w:pPr>
      <w:r>
        <w:rPr>
          <w:b/>
          <w:bCs/>
          <w:lang w:val="es-ES_tradnl"/>
        </w:rPr>
        <w:t>Tema 1 - Aprobación del programa</w:t>
      </w:r>
    </w:p>
    <w:p w:rsidR="00000000" w:rsidRDefault="00000000">
      <w:pPr>
        <w:spacing w:after="240"/>
        <w:rPr>
          <w:lang w:val="es-ES_tradnl"/>
        </w:rPr>
      </w:pPr>
      <w:r>
        <w:rPr>
          <w:lang w:val="es-ES_tradnl"/>
        </w:rPr>
        <w:t>1.</w:t>
      </w:r>
      <w:r>
        <w:rPr>
          <w:lang w:val="es-ES_tradnl"/>
        </w:rP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lang w:val="es-ES_tradnl"/>
        </w:rPr>
      </w:pPr>
      <w:r>
        <w:rPr>
          <w:b/>
          <w:bCs/>
          <w:lang w:val="es-ES_tradnl"/>
        </w:rPr>
        <w:t>Tema 2 - 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lang w:val="es-ES_tradnl"/>
        </w:rPr>
      </w:pPr>
      <w:r>
        <w:rPr>
          <w:b/>
          <w:bCs/>
          <w:lang w:val="es-ES_tradnl"/>
        </w:rPr>
        <w:t>Tema 3 - Presentación de informes por los Estados Partes</w:t>
      </w:r>
    </w:p>
    <w:p w:rsidR="00000000" w:rsidRDefault="00000000">
      <w:pPr>
        <w:spacing w:after="240"/>
        <w:ind w:firstLine="567"/>
        <w:rPr>
          <w:b/>
          <w:bCs/>
          <w:lang w:val="es-ES_tradnl"/>
        </w:rPr>
      </w:pPr>
      <w:r>
        <w:rPr>
          <w:b/>
          <w:bCs/>
          <w:lang w:val="es-ES_tradnl"/>
        </w:rPr>
        <w:t>Informes recibidos</w:t>
      </w:r>
    </w:p>
    <w:p w:rsidR="00000000" w:rsidRDefault="00000000">
      <w:pPr>
        <w:spacing w:after="240"/>
        <w:rPr>
          <w:lang w:val="es-ES_tradnl"/>
        </w:rPr>
      </w:pPr>
      <w:r>
        <w:rPr>
          <w:lang w:val="es-ES_tradnl"/>
        </w:rPr>
        <w:t>3.</w:t>
      </w:r>
      <w:r>
        <w:rPr>
          <w:lang w:val="es-ES_tradnl"/>
        </w:rPr>
        <w:tab/>
        <w:t>Además de los informes que está previsto que el Comité examine en su 37º período de sesiones (véase el calendario de examen de los informes en el tema 4), el Secretario General ha recibido los siguientes informes iniciales: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jc w:val="center"/>
              <w:rPr>
                <w:b/>
                <w:bCs/>
                <w:lang w:val="es-ES_tradnl"/>
              </w:rPr>
            </w:pPr>
            <w:r>
              <w:rPr>
                <w:lang w:val="es-ES_tradnl"/>
              </w:rPr>
              <w:br w:type="page"/>
            </w:r>
            <w:r>
              <w:rPr>
                <w:b/>
                <w:bCs/>
                <w:lang w:val="es-ES_tradnl"/>
              </w:rPr>
              <w:t>Estado Parte</w:t>
            </w:r>
          </w:p>
        </w:tc>
        <w:tc>
          <w:tcPr>
            <w:tcW w:w="2693" w:type="dxa"/>
            <w:tcBorders>
              <w:bottom w:val="single" w:sz="4" w:space="0" w:color="auto"/>
            </w:tcBorders>
            <w:vAlign w:val="center"/>
          </w:tcPr>
          <w:p w:rsidR="00000000" w:rsidRDefault="00000000">
            <w:pPr>
              <w:keepNext/>
              <w:keepLines/>
              <w:jc w:val="center"/>
              <w:rPr>
                <w:b/>
                <w:bCs/>
                <w:lang w:val="es-ES_tradnl"/>
              </w:rPr>
            </w:pPr>
            <w:r>
              <w:rPr>
                <w:b/>
                <w:bCs/>
                <w:lang w:val="es-ES_tradnl"/>
              </w:rPr>
              <w:t>Fecha en que debía</w:t>
            </w:r>
            <w:r>
              <w:rPr>
                <w:b/>
                <w:bCs/>
                <w:lang w:val="es-ES_tradnl"/>
              </w:rPr>
              <w:br/>
              <w:t>presentarse</w:t>
            </w:r>
          </w:p>
        </w:tc>
        <w:tc>
          <w:tcPr>
            <w:tcW w:w="2693" w:type="dxa"/>
            <w:tcBorders>
              <w:bottom w:val="single" w:sz="4" w:space="0" w:color="auto"/>
            </w:tcBorders>
            <w:vAlign w:val="bottom"/>
          </w:tcPr>
          <w:p w:rsidR="00000000" w:rsidRDefault="00000000">
            <w:pPr>
              <w:keepNext/>
              <w:keepLines/>
              <w:jc w:val="center"/>
              <w:rPr>
                <w:b/>
                <w:bCs/>
                <w:lang w:val="es-ES_tradnl"/>
              </w:rPr>
            </w:pPr>
            <w:r>
              <w:rPr>
                <w:b/>
                <w:bCs/>
                <w:lang w:val="es-ES_tradnl"/>
              </w:rPr>
              <w:t>Signatura</w:t>
            </w:r>
          </w:p>
        </w:tc>
      </w:tr>
      <w:tr w:rsidR="00000000">
        <w:tblPrEx>
          <w:tblCellMar>
            <w:top w:w="0" w:type="dxa"/>
            <w:left w:w="0" w:type="dxa"/>
            <w:bottom w:w="0" w:type="dxa"/>
            <w:right w:w="0" w:type="dxa"/>
          </w:tblCellMar>
        </w:tblPrEx>
        <w:trPr>
          <w:trHeight w:val="292"/>
        </w:trPr>
        <w:tc>
          <w:tcPr>
            <w:tcW w:w="3056" w:type="dxa"/>
          </w:tcPr>
          <w:p w:rsidR="00000000" w:rsidRDefault="00000000">
            <w:pPr>
              <w:keepNext/>
              <w:keepLines/>
              <w:spacing w:before="120"/>
              <w:rPr>
                <w:lang w:val="es-ES_tradnl"/>
              </w:rPr>
            </w:pPr>
            <w:r>
              <w:rPr>
                <w:lang w:val="es-ES_tradnl"/>
              </w:rPr>
              <w:t>Albania</w:t>
            </w:r>
          </w:p>
        </w:tc>
        <w:tc>
          <w:tcPr>
            <w:tcW w:w="2693" w:type="dxa"/>
            <w:vAlign w:val="center"/>
          </w:tcPr>
          <w:p w:rsidR="00000000" w:rsidRDefault="00000000">
            <w:pPr>
              <w:keepNext/>
              <w:keepLines/>
              <w:spacing w:before="120"/>
              <w:jc w:val="center"/>
              <w:rPr>
                <w:lang w:val="es-ES_tradnl"/>
              </w:rPr>
            </w:pPr>
            <w:r>
              <w:rPr>
                <w:lang w:val="es-ES_tradnl"/>
              </w:rPr>
              <w:t>1994</w:t>
            </w:r>
          </w:p>
        </w:tc>
        <w:tc>
          <w:tcPr>
            <w:tcW w:w="2693" w:type="dxa"/>
          </w:tcPr>
          <w:p w:rsidR="00000000" w:rsidRDefault="00000000">
            <w:pPr>
              <w:keepNext/>
              <w:keepLines/>
              <w:spacing w:before="120"/>
              <w:rPr>
                <w:lang w:val="es-ES_tradnl"/>
              </w:rPr>
            </w:pPr>
            <w:r>
              <w:rPr>
                <w:lang w:val="es-ES_tradnl"/>
              </w:rPr>
              <w:t>CRC/C/11/Add.27</w:t>
            </w:r>
          </w:p>
        </w:tc>
      </w:tr>
      <w:tr w:rsidR="00000000">
        <w:tblPrEx>
          <w:tblCellMar>
            <w:top w:w="0" w:type="dxa"/>
            <w:left w:w="0" w:type="dxa"/>
            <w:bottom w:w="0" w:type="dxa"/>
            <w:right w:w="0" w:type="dxa"/>
          </w:tblCellMar>
        </w:tblPrEx>
        <w:tc>
          <w:tcPr>
            <w:tcW w:w="3056" w:type="dxa"/>
          </w:tcPr>
          <w:p w:rsidR="00000000" w:rsidRDefault="00000000">
            <w:pPr>
              <w:pStyle w:val="Heading1"/>
              <w:rPr>
                <w:i w:val="0"/>
                <w:iCs w:val="0"/>
              </w:rPr>
            </w:pPr>
            <w:r>
              <w:rPr>
                <w:i w:val="0"/>
                <w:iCs w:val="0"/>
              </w:rPr>
              <w:t>Bosnia y Herzegovina</w:t>
            </w:r>
          </w:p>
        </w:tc>
        <w:tc>
          <w:tcPr>
            <w:tcW w:w="2693" w:type="dxa"/>
            <w:vAlign w:val="center"/>
          </w:tcPr>
          <w:p w:rsidR="00000000" w:rsidRDefault="00000000">
            <w:pPr>
              <w:keepNext/>
              <w:keepLines/>
              <w:jc w:val="center"/>
              <w:rPr>
                <w:lang w:val="en-GB"/>
              </w:rPr>
            </w:pPr>
            <w:r>
              <w:rPr>
                <w:lang w:val="en-GB"/>
              </w:rPr>
              <w:t>1994</w:t>
            </w:r>
          </w:p>
        </w:tc>
        <w:tc>
          <w:tcPr>
            <w:tcW w:w="2693" w:type="dxa"/>
          </w:tcPr>
          <w:p w:rsidR="00000000" w:rsidRDefault="00000000">
            <w:pPr>
              <w:keepNext/>
              <w:keepLines/>
              <w:rPr>
                <w:lang w:val="en-GB"/>
              </w:rPr>
            </w:pPr>
            <w:r>
              <w:rPr>
                <w:lang w:val="en-GB"/>
              </w:rPr>
              <w:t>CRC/C/11/</w:t>
            </w:r>
            <w:proofErr w:type="spellStart"/>
            <w:r>
              <w:rPr>
                <w:lang w:val="en-GB"/>
              </w:rPr>
              <w:t>Add.28</w:t>
            </w:r>
            <w:proofErr w:type="spellEnd"/>
          </w:p>
        </w:tc>
      </w:tr>
    </w:tbl>
    <w:p w:rsidR="00000000" w:rsidRDefault="00000000">
      <w:pPr>
        <w:spacing w:before="480" w:after="240"/>
        <w:rPr>
          <w:lang w:val="es-ES_tradnl"/>
        </w:rPr>
      </w:pPr>
      <w:r>
        <w:rPr>
          <w:lang w:val="es-ES_tradnl"/>
        </w:rPr>
        <w:t>4.</w:t>
      </w:r>
      <w:r>
        <w:rPr>
          <w:lang w:val="es-ES_tradnl"/>
        </w:rPr>
        <w:tab/>
        <w:t>El Secretario General ha recibido también los siguientes segundos informes periódicos, además de los que está previsto examinar en el 37º período de sesiones: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spacing w:before="120"/>
              <w:rPr>
                <w:lang w:val="es-ES_tradnl"/>
              </w:rPr>
            </w:pPr>
            <w:r>
              <w:rPr>
                <w:lang w:val="es-ES_tradnl"/>
              </w:rPr>
              <w:t>Belice</w:t>
            </w:r>
          </w:p>
        </w:tc>
        <w:tc>
          <w:tcPr>
            <w:tcW w:w="2693" w:type="dxa"/>
            <w:vAlign w:val="center"/>
          </w:tcPr>
          <w:p w:rsidR="00000000" w:rsidRDefault="00000000">
            <w:pPr>
              <w:spacing w:before="120"/>
              <w:jc w:val="center"/>
              <w:rPr>
                <w:lang w:val="es-ES_tradnl"/>
              </w:rPr>
            </w:pPr>
            <w:r>
              <w:rPr>
                <w:lang w:val="es-ES_tradnl"/>
              </w:rPr>
              <w:t>1997</w:t>
            </w:r>
          </w:p>
        </w:tc>
        <w:tc>
          <w:tcPr>
            <w:tcW w:w="2693" w:type="dxa"/>
          </w:tcPr>
          <w:p w:rsidR="00000000" w:rsidRDefault="00000000">
            <w:pPr>
              <w:spacing w:before="120"/>
              <w:rPr>
                <w:lang w:val="es-ES_tradnl"/>
              </w:rPr>
            </w:pPr>
            <w:r>
              <w:rPr>
                <w:lang w:val="es-ES_tradnl"/>
              </w:rPr>
              <w:t>CRC/C/65/Add.29</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Ecuador</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Add.28</w:t>
            </w:r>
            <w:proofErr w:type="spellEnd"/>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Filipinas</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CRC/C/65/Add.31</w:t>
            </w:r>
          </w:p>
        </w:tc>
      </w:tr>
      <w:tr w:rsidR="00000000">
        <w:tblPrEx>
          <w:tblCellMar>
            <w:top w:w="0" w:type="dxa"/>
            <w:left w:w="0" w:type="dxa"/>
            <w:bottom w:w="0" w:type="dxa"/>
            <w:right w:w="0" w:type="dxa"/>
          </w:tblCellMar>
        </w:tblPrEx>
        <w:tc>
          <w:tcPr>
            <w:tcW w:w="3056" w:type="dxa"/>
          </w:tcPr>
          <w:p w:rsidR="00000000" w:rsidRDefault="00000000">
            <w:pPr>
              <w:rPr>
                <w:lang w:val="es-ES_tradnl"/>
              </w:rPr>
            </w:pPr>
            <w:r>
              <w:t>Mauricio</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CRC/C/65/Add.35</w:t>
            </w:r>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Mongolia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Add.32</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Nepal</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Add.30</w:t>
            </w:r>
            <w:proofErr w:type="spellEnd"/>
          </w:p>
        </w:tc>
      </w:tr>
      <w:tr w:rsidR="00000000">
        <w:tblPrEx>
          <w:tblCellMar>
            <w:top w:w="0" w:type="dxa"/>
            <w:left w:w="0" w:type="dxa"/>
            <w:bottom w:w="0" w:type="dxa"/>
            <w:right w:w="0" w:type="dxa"/>
          </w:tblCellMar>
        </w:tblPrEx>
        <w:tc>
          <w:tcPr>
            <w:tcW w:w="3056" w:type="dxa"/>
          </w:tcPr>
          <w:p w:rsidR="00000000" w:rsidRDefault="00000000">
            <w:pPr>
              <w:keepNext/>
              <w:keepLines/>
              <w:rPr>
                <w:lang w:val="es-ES_tradnl"/>
              </w:rPr>
            </w:pPr>
            <w:r>
              <w:rPr>
                <w:lang w:val="es-ES_tradnl"/>
              </w:rPr>
              <w:t>Togo</w:t>
            </w:r>
          </w:p>
        </w:tc>
        <w:tc>
          <w:tcPr>
            <w:tcW w:w="2693" w:type="dxa"/>
            <w:vAlign w:val="center"/>
          </w:tcPr>
          <w:p w:rsidR="00000000" w:rsidRDefault="00000000">
            <w:pPr>
              <w:keepNext/>
              <w:keepLines/>
              <w:jc w:val="center"/>
              <w:rPr>
                <w:lang w:val="es-ES_tradnl"/>
              </w:rPr>
            </w:pPr>
            <w:r>
              <w:rPr>
                <w:lang w:val="es-ES_tradnl"/>
              </w:rPr>
              <w:t>1997</w:t>
            </w:r>
          </w:p>
        </w:tc>
        <w:tc>
          <w:tcPr>
            <w:tcW w:w="2693" w:type="dxa"/>
          </w:tcPr>
          <w:p w:rsidR="00000000" w:rsidRDefault="00000000">
            <w:pPr>
              <w:keepNext/>
              <w:keepLines/>
              <w:rPr>
                <w:lang w:val="es-ES_tradnl"/>
              </w:rPr>
            </w:pPr>
            <w:r>
              <w:rPr>
                <w:lang w:val="es-ES_tradnl"/>
              </w:rPr>
              <w:t>CRC/C/65/Add.27</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Uganda</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r>
              <w:rPr>
                <w:lang w:val="es-ES_tradnl"/>
              </w:rPr>
              <w:t>CRC/C/65/Add.33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Ghana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Add.34</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proofErr w:type="spellStart"/>
            <w:r>
              <w:rPr>
                <w:lang w:val="en-GB"/>
              </w:rPr>
              <w:t>Hungría</w:t>
            </w:r>
            <w:proofErr w:type="spellEnd"/>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w:t>
            </w:r>
            <w:proofErr w:type="spellStart"/>
            <w:r>
              <w:rPr>
                <w:lang w:val="en-GB"/>
              </w:rPr>
              <w:t>Add.25</w:t>
            </w:r>
            <w:proofErr w:type="spellEnd"/>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Austria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r>
              <w:rPr>
                <w:lang w:val="es-ES_tradnl"/>
              </w:rPr>
              <w:t>CRC/C/83/Add.8</w:t>
            </w:r>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spacing w:before="120"/>
              <w:rPr>
                <w:lang w:val="en-GB"/>
              </w:rPr>
            </w:pPr>
            <w:proofErr w:type="spellStart"/>
            <w:r>
              <w:rPr>
                <w:lang w:val="en-GB"/>
              </w:rPr>
              <w:t>Azerbaiyán</w:t>
            </w:r>
            <w:proofErr w:type="spellEnd"/>
          </w:p>
        </w:tc>
        <w:tc>
          <w:tcPr>
            <w:tcW w:w="2693" w:type="dxa"/>
            <w:vAlign w:val="center"/>
          </w:tcPr>
          <w:p w:rsidR="00000000" w:rsidRDefault="00000000">
            <w:pPr>
              <w:keepNext/>
              <w:keepLines/>
              <w:spacing w:before="120"/>
              <w:jc w:val="center"/>
              <w:rPr>
                <w:lang w:val="en-GB"/>
              </w:rPr>
            </w:pPr>
            <w:r>
              <w:rPr>
                <w:lang w:val="en-GB"/>
              </w:rPr>
              <w:t>1999</w:t>
            </w:r>
          </w:p>
        </w:tc>
        <w:tc>
          <w:tcPr>
            <w:tcW w:w="2693" w:type="dxa"/>
          </w:tcPr>
          <w:p w:rsidR="00000000" w:rsidRDefault="00000000">
            <w:pPr>
              <w:keepNext/>
              <w:keepLines/>
              <w:spacing w:before="120"/>
              <w:rPr>
                <w:lang w:val="en-GB"/>
              </w:rPr>
            </w:pPr>
            <w:r>
              <w:rPr>
                <w:lang w:val="en-GB"/>
              </w:rPr>
              <w:t>CRC/C/83/</w:t>
            </w:r>
            <w:proofErr w:type="spellStart"/>
            <w:r>
              <w:rPr>
                <w:lang w:val="en-GB"/>
              </w:rPr>
              <w:t>Add.13</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keepNext/>
              <w:keepLines/>
              <w:rPr>
                <w:lang w:val="en-GB"/>
              </w:rPr>
            </w:pPr>
            <w:proofErr w:type="spellStart"/>
            <w:r>
              <w:rPr>
                <w:lang w:val="en-GB"/>
              </w:rPr>
              <w:t>Lituania</w:t>
            </w:r>
            <w:proofErr w:type="spellEnd"/>
          </w:p>
        </w:tc>
        <w:tc>
          <w:tcPr>
            <w:tcW w:w="2693" w:type="dxa"/>
            <w:vAlign w:val="center"/>
          </w:tcPr>
          <w:p w:rsidR="00000000" w:rsidRDefault="00000000">
            <w:pPr>
              <w:keepNext/>
              <w:keepLines/>
              <w:jc w:val="center"/>
              <w:rPr>
                <w:lang w:val="en-GB"/>
              </w:rPr>
            </w:pPr>
            <w:r>
              <w:rPr>
                <w:lang w:val="en-GB"/>
              </w:rPr>
              <w:t>1999</w:t>
            </w:r>
          </w:p>
        </w:tc>
        <w:tc>
          <w:tcPr>
            <w:tcW w:w="2693" w:type="dxa"/>
          </w:tcPr>
          <w:p w:rsidR="00000000" w:rsidRDefault="00000000">
            <w:pPr>
              <w:keepNext/>
              <w:keepLines/>
              <w:rPr>
                <w:lang w:val="en-GB"/>
              </w:rPr>
            </w:pPr>
            <w:r>
              <w:rPr>
                <w:lang w:val="en-GB"/>
              </w:rPr>
              <w:t>CRC/C/83/</w:t>
            </w:r>
            <w:proofErr w:type="spellStart"/>
            <w:r>
              <w:rPr>
                <w:lang w:val="en-GB"/>
              </w:rPr>
              <w:t>Add.14</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China</w:t>
            </w:r>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w:t>
            </w:r>
            <w:proofErr w:type="spellStart"/>
            <w:r>
              <w:rPr>
                <w:lang w:val="en-GB"/>
              </w:rPr>
              <w:t>Add.9</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rPr>
                <w:i w:val="0"/>
                <w:iCs w:val="0"/>
                <w:lang w:val="en-GB"/>
              </w:rPr>
            </w:pPr>
            <w:proofErr w:type="spellStart"/>
            <w:r>
              <w:rPr>
                <w:i w:val="0"/>
                <w:iCs w:val="0"/>
                <w:lang w:val="en-GB"/>
              </w:rPr>
              <w:t>Tailandia</w:t>
            </w:r>
            <w:proofErr w:type="spellEnd"/>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w:t>
            </w:r>
            <w:proofErr w:type="spellStart"/>
            <w:r>
              <w:rPr>
                <w:lang w:val="en-GB"/>
              </w:rPr>
              <w:t>Add.15</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 xml:space="preserve">Trinidad y </w:t>
            </w:r>
            <w:proofErr w:type="spellStart"/>
            <w:r>
              <w:rPr>
                <w:lang w:val="es-ES_tradnl"/>
              </w:rPr>
              <w:t>Tabago</w:t>
            </w:r>
            <w:proofErr w:type="spellEnd"/>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w:t>
            </w:r>
            <w:proofErr w:type="spellStart"/>
            <w:r>
              <w:rPr>
                <w:lang w:val="en-GB"/>
              </w:rPr>
              <w:t>Add.12</w:t>
            </w:r>
            <w:proofErr w:type="spellEnd"/>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Argelia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r>
              <w:rPr>
                <w:lang w:val="es-ES_tradnl"/>
              </w:rPr>
              <w:t>CRC/C/93/Add.7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Luxemburgo</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w:t>
            </w:r>
            <w:proofErr w:type="spellStart"/>
            <w:r>
              <w:rPr>
                <w:lang w:val="en-GB"/>
              </w:rPr>
              <w:t>Add.4</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 xml:space="preserve">Arabia </w:t>
            </w:r>
            <w:proofErr w:type="spellStart"/>
            <w:r>
              <w:rPr>
                <w:lang w:val="en-GB"/>
              </w:rPr>
              <w:t>Saudita</w:t>
            </w:r>
            <w:proofErr w:type="spellEnd"/>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w:t>
            </w:r>
            <w:proofErr w:type="spellStart"/>
            <w:r>
              <w:rPr>
                <w:lang w:val="en-GB"/>
              </w:rPr>
              <w:t>Add.1</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Liechtenstein</w:t>
            </w:r>
          </w:p>
        </w:tc>
        <w:tc>
          <w:tcPr>
            <w:tcW w:w="2693" w:type="dxa"/>
            <w:vAlign w:val="center"/>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CRC/C/136/</w:t>
            </w:r>
            <w:proofErr w:type="spellStart"/>
            <w:r>
              <w:rPr>
                <w:lang w:val="en-GB"/>
              </w:rPr>
              <w:t>Add.2</w:t>
            </w:r>
            <w:proofErr w:type="spellEnd"/>
          </w:p>
        </w:tc>
      </w:tr>
    </w:tbl>
    <w:p w:rsidR="00000000" w:rsidRDefault="00000000">
      <w:pPr>
        <w:spacing w:before="480" w:after="240"/>
        <w:rPr>
          <w:lang w:val="es-ES_tradnl"/>
        </w:rPr>
      </w:pPr>
      <w:r>
        <w:rPr>
          <w:lang w:val="es-ES_tradnl"/>
        </w:rPr>
        <w:t>5.</w:t>
      </w:r>
      <w:r>
        <w:rPr>
          <w:lang w:val="es-ES_tradnl"/>
        </w:rPr>
        <w:tab/>
        <w:t>El Secretario General ha recibido también el tercer informe periódico de los siguientes Estados:</w:t>
      </w:r>
    </w:p>
    <w:tbl>
      <w:tblPr>
        <w:tblW w:w="0" w:type="auto"/>
        <w:tblInd w:w="567"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Signatura</w:t>
            </w:r>
          </w:p>
        </w:tc>
      </w:tr>
      <w:tr w:rsidR="00000000">
        <w:tblPrEx>
          <w:tblCellMar>
            <w:top w:w="0" w:type="dxa"/>
            <w:left w:w="0" w:type="dxa"/>
            <w:bottom w:w="0" w:type="dxa"/>
            <w:right w:w="0" w:type="dxa"/>
          </w:tblCellMar>
        </w:tblPrEx>
        <w:tc>
          <w:tcPr>
            <w:tcW w:w="3056" w:type="dxa"/>
          </w:tcPr>
          <w:p w:rsidR="00000000" w:rsidRDefault="00000000">
            <w:pPr>
              <w:spacing w:before="120"/>
              <w:rPr>
                <w:lang w:val="es-ES_tradnl"/>
              </w:rPr>
            </w:pPr>
            <w:r>
              <w:rPr>
                <w:lang w:val="es-ES_tradnl"/>
              </w:rPr>
              <w:t>Bolivia</w:t>
            </w:r>
          </w:p>
        </w:tc>
        <w:tc>
          <w:tcPr>
            <w:tcW w:w="2693" w:type="dxa"/>
          </w:tcPr>
          <w:p w:rsidR="00000000" w:rsidRDefault="00000000">
            <w:pPr>
              <w:tabs>
                <w:tab w:val="left" w:pos="185"/>
              </w:tabs>
              <w:spacing w:before="120"/>
              <w:jc w:val="center"/>
              <w:rPr>
                <w:lang w:val="es-ES_tradnl"/>
              </w:rPr>
            </w:pPr>
            <w:r>
              <w:rPr>
                <w:lang w:val="es-ES_tradnl"/>
              </w:rPr>
              <w:t>2002</w:t>
            </w:r>
          </w:p>
        </w:tc>
        <w:tc>
          <w:tcPr>
            <w:tcW w:w="2693" w:type="dxa"/>
          </w:tcPr>
          <w:p w:rsidR="00000000" w:rsidRDefault="00000000">
            <w:pPr>
              <w:spacing w:before="120"/>
              <w:rPr>
                <w:lang w:val="en-GB"/>
              </w:rPr>
            </w:pPr>
            <w:r>
              <w:rPr>
                <w:lang w:val="en-GB"/>
              </w:rPr>
              <w:t>CRC/C/125/</w:t>
            </w:r>
            <w:proofErr w:type="spellStart"/>
            <w:r>
              <w:rPr>
                <w:lang w:val="en-GB"/>
              </w:rPr>
              <w:t>Add.2</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Costa Rica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CRC/C/125/Add.4</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Federación de Rusia</w:t>
            </w:r>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w:t>
            </w:r>
            <w:proofErr w:type="spellStart"/>
            <w:r>
              <w:rPr>
                <w:lang w:val="en-GB"/>
              </w:rPr>
              <w:t>Add.5</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Nicaragua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proofErr w:type="spellStart"/>
            <w:r>
              <w:rPr>
                <w:lang w:val="en-GB"/>
              </w:rPr>
              <w:t>Perú</w:t>
            </w:r>
            <w:proofErr w:type="spellEnd"/>
          </w:p>
        </w:tc>
        <w:tc>
          <w:tcPr>
            <w:tcW w:w="2693" w:type="dxa"/>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CRC/C/125/</w:t>
            </w:r>
            <w:proofErr w:type="spellStart"/>
            <w:r>
              <w:rPr>
                <w:lang w:val="en-GB"/>
              </w:rPr>
              <w:t>Add.6</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Suecia</w:t>
            </w:r>
          </w:p>
        </w:tc>
        <w:tc>
          <w:tcPr>
            <w:tcW w:w="2693" w:type="dxa"/>
          </w:tcPr>
          <w:p w:rsidR="00000000" w:rsidRDefault="00000000">
            <w:pPr>
              <w:jc w:val="center"/>
              <w:rPr>
                <w:lang w:val="es-ES_tradnl"/>
              </w:rPr>
            </w:pPr>
            <w:r>
              <w:rPr>
                <w:lang w:val="es-ES_tradnl"/>
              </w:rPr>
              <w:t>2002</w:t>
            </w:r>
          </w:p>
        </w:tc>
        <w:tc>
          <w:tcPr>
            <w:tcW w:w="2693" w:type="dxa"/>
          </w:tcPr>
          <w:p w:rsidR="00000000" w:rsidRDefault="00000000">
            <w:pPr>
              <w:rPr>
                <w:lang w:val="es-ES_tradnl"/>
              </w:rPr>
            </w:pPr>
            <w:r>
              <w:rPr>
                <w:lang w:val="es-ES_tradnl"/>
              </w:rPr>
              <w:t>CRC/C/125/Add.1</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Australia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CRC/C/129/Add.4</w:t>
            </w:r>
          </w:p>
        </w:tc>
      </w:tr>
      <w:tr w:rsidR="00000000">
        <w:tblPrEx>
          <w:tblCellMar>
            <w:top w:w="0" w:type="dxa"/>
            <w:left w:w="0" w:type="dxa"/>
            <w:bottom w:w="0" w:type="dxa"/>
            <w:right w:w="0" w:type="dxa"/>
          </w:tblCellMar>
        </w:tblPrEx>
        <w:trPr>
          <w:trHeight w:val="200"/>
        </w:trPr>
        <w:tc>
          <w:tcPr>
            <w:tcW w:w="3056" w:type="dxa"/>
          </w:tcPr>
          <w:p w:rsidR="00000000" w:rsidRDefault="00000000">
            <w:pPr>
              <w:pStyle w:val="Heading1"/>
              <w:keepLines w:val="0"/>
            </w:pPr>
            <w:r>
              <w:rPr>
                <w:i w:val="0"/>
                <w:iCs w:val="0"/>
              </w:rPr>
              <w:t>Colombia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CRC/C/129/Add.6</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Dinamarca</w:t>
            </w:r>
          </w:p>
        </w:tc>
        <w:tc>
          <w:tcPr>
            <w:tcW w:w="2693" w:type="dxa"/>
          </w:tcPr>
          <w:p w:rsidR="00000000" w:rsidRDefault="00000000">
            <w:pPr>
              <w:jc w:val="center"/>
              <w:rPr>
                <w:lang w:val="es-ES_tradnl"/>
              </w:rPr>
            </w:pPr>
            <w:r>
              <w:rPr>
                <w:lang w:val="es-ES_tradnl"/>
              </w:rPr>
              <w:t>2003</w:t>
            </w:r>
          </w:p>
        </w:tc>
        <w:tc>
          <w:tcPr>
            <w:tcW w:w="2693" w:type="dxa"/>
          </w:tcPr>
          <w:p w:rsidR="00000000" w:rsidRDefault="00000000">
            <w:pPr>
              <w:rPr>
                <w:lang w:val="es-ES_tradnl"/>
              </w:rPr>
            </w:pPr>
            <w:r>
              <w:rPr>
                <w:lang w:val="es-ES_tradnl"/>
              </w:rPr>
              <w:t>CRC/C/129/Add.3</w:t>
            </w:r>
          </w:p>
        </w:tc>
      </w:tr>
      <w:tr w:rsidR="00000000">
        <w:tblPrEx>
          <w:tblCellMar>
            <w:top w:w="0" w:type="dxa"/>
            <w:left w:w="0" w:type="dxa"/>
            <w:bottom w:w="0" w:type="dxa"/>
            <w:right w:w="0" w:type="dxa"/>
          </w:tblCellMar>
        </w:tblPrEx>
        <w:trPr>
          <w:trHeight w:val="200"/>
        </w:trPr>
        <w:tc>
          <w:tcPr>
            <w:tcW w:w="3056" w:type="dxa"/>
          </w:tcPr>
          <w:p w:rsidR="00000000" w:rsidRDefault="00000000">
            <w:pPr>
              <w:rPr>
                <w:lang w:val="fr-CH"/>
              </w:rPr>
            </w:pPr>
            <w:proofErr w:type="spellStart"/>
            <w:r>
              <w:rPr>
                <w:lang w:val="fr-CH"/>
              </w:rPr>
              <w:t>Finlandia</w:t>
            </w:r>
            <w:proofErr w:type="spellEnd"/>
          </w:p>
        </w:tc>
        <w:tc>
          <w:tcPr>
            <w:tcW w:w="2693" w:type="dxa"/>
          </w:tcPr>
          <w:p w:rsidR="00000000" w:rsidRDefault="00000000">
            <w:pPr>
              <w:jc w:val="center"/>
              <w:rPr>
                <w:lang w:val="fr-CH"/>
              </w:rPr>
            </w:pPr>
            <w:r>
              <w:rPr>
                <w:lang w:val="fr-CH"/>
              </w:rPr>
              <w:t>2003</w:t>
            </w:r>
          </w:p>
        </w:tc>
        <w:tc>
          <w:tcPr>
            <w:tcW w:w="2693" w:type="dxa"/>
          </w:tcPr>
          <w:p w:rsidR="00000000" w:rsidRDefault="00000000">
            <w:pPr>
              <w:rPr>
                <w:lang w:val="fr-CH"/>
              </w:rPr>
            </w:pPr>
            <w:proofErr w:type="spellStart"/>
            <w:r>
              <w:rPr>
                <w:lang w:val="fr-CH"/>
              </w:rPr>
              <w:t>CRC</w:t>
            </w:r>
            <w:proofErr w:type="spellEnd"/>
            <w:r>
              <w:rPr>
                <w:lang w:val="fr-CH"/>
              </w:rPr>
              <w:t>/C/129/</w:t>
            </w:r>
            <w:proofErr w:type="spellStart"/>
            <w:r>
              <w:rPr>
                <w:lang w:val="fr-CH"/>
              </w:rPr>
              <w:t>Add.5</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s-ES_tradnl"/>
              </w:rPr>
            </w:pPr>
            <w:r>
              <w:rPr>
                <w:lang w:val="es-ES_tradnl"/>
              </w:rPr>
              <w:t>Noruega</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w:t>
            </w:r>
            <w:proofErr w:type="spellStart"/>
            <w:r>
              <w:rPr>
                <w:lang w:val="en-GB"/>
              </w:rPr>
              <w:t>Add.1</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rPr>
                <w:lang w:val="en-GB"/>
              </w:rPr>
            </w:pPr>
            <w:r>
              <w:rPr>
                <w:lang w:val="en-GB"/>
              </w:rPr>
              <w:t>Yemen</w:t>
            </w:r>
          </w:p>
        </w:tc>
        <w:tc>
          <w:tcPr>
            <w:tcW w:w="2693" w:type="dxa"/>
          </w:tcPr>
          <w:p w:rsidR="00000000" w:rsidRDefault="00000000">
            <w:pPr>
              <w:jc w:val="center"/>
              <w:rPr>
                <w:lang w:val="en-GB"/>
              </w:rPr>
            </w:pPr>
            <w:r>
              <w:rPr>
                <w:lang w:val="en-GB"/>
              </w:rPr>
              <w:t>2003</w:t>
            </w:r>
          </w:p>
        </w:tc>
        <w:tc>
          <w:tcPr>
            <w:tcW w:w="2693" w:type="dxa"/>
          </w:tcPr>
          <w:p w:rsidR="00000000" w:rsidRDefault="00000000">
            <w:pPr>
              <w:rPr>
                <w:lang w:val="en-GB"/>
              </w:rPr>
            </w:pPr>
            <w:r>
              <w:rPr>
                <w:lang w:val="en-GB"/>
              </w:rPr>
              <w:t>CRC/C/129/</w:t>
            </w:r>
            <w:proofErr w:type="spellStart"/>
            <w:r>
              <w:rPr>
                <w:lang w:val="en-GB"/>
              </w:rPr>
              <w:t>Add.2</w:t>
            </w:r>
            <w:proofErr w:type="spellEnd"/>
          </w:p>
        </w:tc>
      </w:tr>
    </w:tbl>
    <w:p w:rsidR="00000000" w:rsidRDefault="00000000">
      <w:pPr>
        <w:pStyle w:val="BodyTextIndent"/>
        <w:ind w:firstLine="0"/>
      </w:pPr>
      <w:r>
        <w:t>6.</w:t>
      </w:r>
      <w:r>
        <w:tab/>
        <w:t>El Secretario General también ha recibido los siguientes informes iniciales correspondientes a los Protocolos Facultativos de la Convención, además de aquellos cuyo examen está previsto en el 37º período de sesiones.</w:t>
      </w:r>
    </w:p>
    <w:p w:rsidR="00000000" w:rsidRDefault="00000000">
      <w:pPr>
        <w:pStyle w:val="BodyTextIndent"/>
        <w:ind w:firstLine="0"/>
        <w:jc w:val="center"/>
        <w:rPr>
          <w:b/>
          <w:bCs/>
        </w:rPr>
      </w:pPr>
      <w:r>
        <w:rPr>
          <w:b/>
          <w:bCs/>
        </w:rPr>
        <w:t>Protocolo Facultativo relativo a la participación de niños</w:t>
      </w:r>
      <w:r>
        <w:rPr>
          <w:b/>
          <w:bCs/>
        </w:rPr>
        <w:br/>
        <w:t>en los conflictos armados</w:t>
      </w:r>
    </w:p>
    <w:tbl>
      <w:tblPr>
        <w:tblW w:w="0" w:type="auto"/>
        <w:tblInd w:w="670" w:type="dxa"/>
        <w:tblCellMar>
          <w:left w:w="70" w:type="dxa"/>
          <w:right w:w="70" w:type="dxa"/>
        </w:tblCellMar>
        <w:tblLook w:val="0000" w:firstRow="0" w:lastRow="0" w:firstColumn="0" w:lastColumn="0" w:noHBand="0" w:noVBand="0"/>
      </w:tblPr>
      <w:tblGrid>
        <w:gridCol w:w="2495"/>
        <w:gridCol w:w="3165"/>
        <w:gridCol w:w="2740"/>
      </w:tblGrid>
      <w:tr w:rsidR="00000000">
        <w:tblPrEx>
          <w:tblCellMar>
            <w:top w:w="0" w:type="dxa"/>
            <w:bottom w:w="0" w:type="dxa"/>
          </w:tblCellMar>
        </w:tblPrEx>
        <w:tc>
          <w:tcPr>
            <w:tcW w:w="2495" w:type="dxa"/>
            <w:tcBorders>
              <w:bottom w:val="single" w:sz="4" w:space="0" w:color="auto"/>
            </w:tcBorders>
            <w:vAlign w:val="bottom"/>
          </w:tcPr>
          <w:p w:rsidR="00000000" w:rsidRDefault="00000000">
            <w:pPr>
              <w:pStyle w:val="Heading2"/>
              <w:spacing w:before="0" w:after="0"/>
            </w:pPr>
            <w:r>
              <w:t>Estado Parte</w:t>
            </w:r>
          </w:p>
        </w:tc>
        <w:tc>
          <w:tcPr>
            <w:tcW w:w="3165" w:type="dxa"/>
            <w:tcBorders>
              <w:bottom w:val="single" w:sz="4" w:space="0" w:color="auto"/>
            </w:tcBorders>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740" w:type="dxa"/>
            <w:tcBorders>
              <w:bottom w:val="single" w:sz="4" w:space="0" w:color="auto"/>
            </w:tcBorders>
            <w:vAlign w:val="bottom"/>
          </w:tcPr>
          <w:p w:rsidR="00000000" w:rsidRDefault="00000000">
            <w:pPr>
              <w:pStyle w:val="Heading2"/>
              <w:spacing w:before="0" w:after="0"/>
            </w:pPr>
            <w:r>
              <w:t>Signatura</w:t>
            </w:r>
          </w:p>
        </w:tc>
      </w:tr>
      <w:tr w:rsidR="00000000">
        <w:tblPrEx>
          <w:tblCellMar>
            <w:top w:w="0" w:type="dxa"/>
            <w:bottom w:w="0" w:type="dxa"/>
          </w:tblCellMar>
        </w:tblPrEx>
        <w:tc>
          <w:tcPr>
            <w:tcW w:w="2495" w:type="dxa"/>
            <w:tcBorders>
              <w:top w:val="single" w:sz="4" w:space="0" w:color="auto"/>
            </w:tcBorders>
          </w:tcPr>
          <w:p w:rsidR="00000000" w:rsidRDefault="00000000">
            <w:pPr>
              <w:spacing w:before="120"/>
              <w:rPr>
                <w:lang w:val="es-ES_tradnl"/>
              </w:rPr>
            </w:pPr>
            <w:r>
              <w:rPr>
                <w:lang w:val="es-ES_tradnl"/>
              </w:rPr>
              <w:t xml:space="preserve">Nueva </w:t>
            </w:r>
            <w:proofErr w:type="spellStart"/>
            <w:r>
              <w:rPr>
                <w:lang w:val="es-ES_tradnl"/>
              </w:rPr>
              <w:t>Zelandia</w:t>
            </w:r>
            <w:proofErr w:type="spellEnd"/>
          </w:p>
        </w:tc>
        <w:tc>
          <w:tcPr>
            <w:tcW w:w="3165" w:type="dxa"/>
            <w:tcBorders>
              <w:top w:val="single" w:sz="4" w:space="0" w:color="auto"/>
            </w:tcBorders>
          </w:tcPr>
          <w:p w:rsidR="00000000" w:rsidRDefault="00000000">
            <w:pPr>
              <w:spacing w:before="120"/>
              <w:jc w:val="center"/>
              <w:rPr>
                <w:lang w:val="en-GB"/>
              </w:rPr>
            </w:pPr>
            <w:r>
              <w:rPr>
                <w:lang w:val="en-GB"/>
              </w:rPr>
              <w:t>2004</w:t>
            </w:r>
          </w:p>
        </w:tc>
        <w:tc>
          <w:tcPr>
            <w:tcW w:w="2740" w:type="dxa"/>
            <w:tcBorders>
              <w:top w:val="single" w:sz="4" w:space="0" w:color="auto"/>
            </w:tcBorders>
          </w:tcPr>
          <w:p w:rsidR="00000000" w:rsidRDefault="00000000">
            <w:pPr>
              <w:spacing w:before="120"/>
              <w:rPr>
                <w:lang w:val="en-GB"/>
              </w:rPr>
            </w:pPr>
            <w:proofErr w:type="spellStart"/>
            <w:r>
              <w:rPr>
                <w:lang w:val="en-GB"/>
              </w:rPr>
              <w:t>CRD/C/OPAC/NZL/1</w:t>
            </w:r>
            <w:proofErr w:type="spellEnd"/>
          </w:p>
        </w:tc>
      </w:tr>
      <w:tr w:rsidR="00000000">
        <w:tblPrEx>
          <w:tblCellMar>
            <w:top w:w="0" w:type="dxa"/>
            <w:bottom w:w="0" w:type="dxa"/>
          </w:tblCellMar>
        </w:tblPrEx>
        <w:tc>
          <w:tcPr>
            <w:tcW w:w="2495" w:type="dxa"/>
          </w:tcPr>
          <w:p w:rsidR="00000000" w:rsidRDefault="00000000">
            <w:pPr>
              <w:rPr>
                <w:lang w:val="es-ES_tradnl"/>
              </w:rPr>
            </w:pPr>
            <w:r>
              <w:rPr>
                <w:lang w:val="es-ES_tradnl"/>
              </w:rPr>
              <w:t>Finlandia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proofErr w:type="spellStart"/>
            <w:r>
              <w:rPr>
                <w:lang w:val="es-ES_tradnl"/>
              </w:rPr>
              <w:t>CRC/C/OPAC/FIN</w:t>
            </w:r>
            <w:proofErr w:type="spellEnd"/>
            <w:r>
              <w:rPr>
                <w:lang w:val="es-ES_tradnl"/>
              </w:rPr>
              <w:t>/1</w:t>
            </w:r>
          </w:p>
        </w:tc>
      </w:tr>
      <w:tr w:rsidR="00000000">
        <w:tblPrEx>
          <w:tblCellMar>
            <w:top w:w="0" w:type="dxa"/>
            <w:bottom w:w="0" w:type="dxa"/>
          </w:tblCellMar>
        </w:tblPrEx>
        <w:tc>
          <w:tcPr>
            <w:tcW w:w="2495" w:type="dxa"/>
          </w:tcPr>
          <w:p w:rsidR="00000000" w:rsidRDefault="00000000">
            <w:pPr>
              <w:rPr>
                <w:lang w:val="es-ES_tradnl"/>
              </w:rPr>
            </w:pPr>
            <w:r>
              <w:rPr>
                <w:lang w:val="es-ES_tradnl"/>
              </w:rPr>
              <w:t>Austria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proofErr w:type="spellStart"/>
            <w:r>
              <w:rPr>
                <w:lang w:val="es-ES_tradnl"/>
              </w:rPr>
              <w:t>CRC/C/OPAC/AU</w:t>
            </w:r>
            <w:proofErr w:type="spellEnd"/>
            <w:r>
              <w:rPr>
                <w:lang w:val="es-ES_tradnl"/>
              </w:rPr>
              <w:t>/1</w:t>
            </w:r>
          </w:p>
        </w:tc>
      </w:tr>
      <w:tr w:rsidR="00000000">
        <w:tblPrEx>
          <w:tblCellMar>
            <w:top w:w="0" w:type="dxa"/>
            <w:bottom w:w="0" w:type="dxa"/>
          </w:tblCellMar>
        </w:tblPrEx>
        <w:tc>
          <w:tcPr>
            <w:tcW w:w="2495" w:type="dxa"/>
          </w:tcPr>
          <w:p w:rsidR="00000000" w:rsidRDefault="00000000">
            <w:pPr>
              <w:rPr>
                <w:lang w:val="es-ES_tradnl"/>
              </w:rPr>
            </w:pPr>
            <w:r>
              <w:rPr>
                <w:lang w:val="es-ES_tradnl"/>
              </w:rPr>
              <w:t>Italia</w:t>
            </w:r>
          </w:p>
        </w:tc>
        <w:tc>
          <w:tcPr>
            <w:tcW w:w="3165" w:type="dxa"/>
          </w:tcPr>
          <w:p w:rsidR="00000000" w:rsidRDefault="00000000">
            <w:pPr>
              <w:jc w:val="center"/>
              <w:rPr>
                <w:lang w:val="es-ES_tradnl"/>
              </w:rPr>
            </w:pPr>
            <w:r>
              <w:rPr>
                <w:lang w:val="es-ES_tradnl"/>
              </w:rPr>
              <w:t>2004</w:t>
            </w:r>
          </w:p>
        </w:tc>
        <w:tc>
          <w:tcPr>
            <w:tcW w:w="2740" w:type="dxa"/>
          </w:tcPr>
          <w:p w:rsidR="00000000" w:rsidRDefault="00000000">
            <w:pPr>
              <w:rPr>
                <w:lang w:val="es-ES_tradnl"/>
              </w:rPr>
            </w:pPr>
            <w:proofErr w:type="spellStart"/>
            <w:r>
              <w:rPr>
                <w:lang w:val="es-ES_tradnl"/>
              </w:rPr>
              <w:t>CRC/C/OPAC/ITA</w:t>
            </w:r>
            <w:proofErr w:type="spellEnd"/>
            <w:r>
              <w:rPr>
                <w:lang w:val="es-ES_tradnl"/>
              </w:rPr>
              <w:t>/1</w:t>
            </w:r>
          </w:p>
        </w:tc>
      </w:tr>
    </w:tbl>
    <w:p w:rsidR="00000000" w:rsidRDefault="00000000">
      <w:pPr>
        <w:pStyle w:val="BodyTextIndent2"/>
        <w:ind w:firstLine="0"/>
        <w:jc w:val="center"/>
      </w:pPr>
      <w:r>
        <w:t>Protocolo Facultativo relativo a la venta de niños, la prostitución infantil</w:t>
      </w:r>
      <w:r>
        <w:br/>
        <w:t>y la utilización de niños en la pornografía</w:t>
      </w:r>
    </w:p>
    <w:tbl>
      <w:tblPr>
        <w:tblW w:w="0" w:type="auto"/>
        <w:tblInd w:w="670" w:type="dxa"/>
        <w:tblBorders>
          <w:top w:val="single" w:sz="4" w:space="0" w:color="auto"/>
        </w:tblBorders>
        <w:tblCellMar>
          <w:left w:w="70" w:type="dxa"/>
          <w:right w:w="70" w:type="dxa"/>
        </w:tblCellMar>
        <w:tblLook w:val="0000" w:firstRow="0" w:lastRow="0" w:firstColumn="0" w:lastColumn="0" w:noHBand="0" w:noVBand="0"/>
      </w:tblPr>
      <w:tblGrid>
        <w:gridCol w:w="2386"/>
        <w:gridCol w:w="3056"/>
        <w:gridCol w:w="2958"/>
      </w:tblGrid>
      <w:tr w:rsidR="00000000">
        <w:tblPrEx>
          <w:tblCellMar>
            <w:top w:w="0" w:type="dxa"/>
            <w:bottom w:w="0" w:type="dxa"/>
          </w:tblCellMar>
        </w:tblPrEx>
        <w:tc>
          <w:tcPr>
            <w:tcW w:w="2386" w:type="dxa"/>
            <w:tcBorders>
              <w:top w:val="nil"/>
              <w:bottom w:val="single" w:sz="4" w:space="0" w:color="auto"/>
            </w:tcBorders>
            <w:vAlign w:val="bottom"/>
          </w:tcPr>
          <w:p w:rsidR="00000000" w:rsidRDefault="00000000">
            <w:pPr>
              <w:pStyle w:val="Heading2"/>
              <w:spacing w:before="0" w:after="0"/>
            </w:pPr>
            <w:r>
              <w:t>Estado Parte</w:t>
            </w:r>
          </w:p>
        </w:tc>
        <w:tc>
          <w:tcPr>
            <w:tcW w:w="3056" w:type="dxa"/>
            <w:tcBorders>
              <w:top w:val="nil"/>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958" w:type="dxa"/>
            <w:tcBorders>
              <w:top w:val="nil"/>
              <w:bottom w:val="single" w:sz="4" w:space="0" w:color="auto"/>
            </w:tcBorders>
            <w:vAlign w:val="bottom"/>
          </w:tcPr>
          <w:p w:rsidR="00000000" w:rsidRDefault="00000000">
            <w:pPr>
              <w:pStyle w:val="Heading2"/>
              <w:spacing w:before="0" w:after="0"/>
            </w:pPr>
            <w:r>
              <w:t>Signatura</w:t>
            </w:r>
          </w:p>
        </w:tc>
      </w:tr>
      <w:tr w:rsidR="00000000">
        <w:tblPrEx>
          <w:tblCellMar>
            <w:top w:w="0" w:type="dxa"/>
            <w:bottom w:w="0" w:type="dxa"/>
          </w:tblCellMar>
        </w:tblPrEx>
        <w:tc>
          <w:tcPr>
            <w:tcW w:w="2386" w:type="dxa"/>
            <w:tcBorders>
              <w:top w:val="single" w:sz="4" w:space="0" w:color="auto"/>
            </w:tcBorders>
          </w:tcPr>
          <w:p w:rsidR="00000000" w:rsidRDefault="00000000">
            <w:pPr>
              <w:pStyle w:val="Header"/>
              <w:tabs>
                <w:tab w:val="clear" w:pos="4252"/>
              </w:tabs>
              <w:spacing w:before="120"/>
              <w:rPr>
                <w:lang w:val="es-ES_tradnl"/>
              </w:rPr>
            </w:pPr>
            <w:r>
              <w:rPr>
                <w:lang w:val="es-ES_tradnl"/>
              </w:rPr>
              <w:t>Marruecos</w:t>
            </w:r>
          </w:p>
        </w:tc>
        <w:tc>
          <w:tcPr>
            <w:tcW w:w="3056" w:type="dxa"/>
            <w:tcBorders>
              <w:top w:val="single" w:sz="4" w:space="0" w:color="auto"/>
            </w:tcBorders>
          </w:tcPr>
          <w:p w:rsidR="00000000" w:rsidRDefault="00000000">
            <w:pPr>
              <w:spacing w:before="120"/>
              <w:jc w:val="center"/>
              <w:rPr>
                <w:lang w:val="es-ES_tradnl"/>
              </w:rPr>
            </w:pPr>
            <w:r>
              <w:rPr>
                <w:lang w:val="es-ES_tradnl"/>
              </w:rPr>
              <w:t>2004</w:t>
            </w:r>
          </w:p>
        </w:tc>
        <w:tc>
          <w:tcPr>
            <w:tcW w:w="2958" w:type="dxa"/>
            <w:tcBorders>
              <w:top w:val="single" w:sz="4" w:space="0" w:color="auto"/>
            </w:tcBorders>
          </w:tcPr>
          <w:p w:rsidR="00000000" w:rsidRDefault="00000000">
            <w:pPr>
              <w:spacing w:before="120"/>
              <w:rPr>
                <w:lang w:val="es-ES_tradnl"/>
              </w:rPr>
            </w:pPr>
            <w:proofErr w:type="spellStart"/>
            <w:r>
              <w:rPr>
                <w:lang w:val="es-ES_tradnl"/>
              </w:rPr>
              <w:t>CRC/C/OPSA/MOR</w:t>
            </w:r>
            <w:proofErr w:type="spellEnd"/>
            <w:r>
              <w:rPr>
                <w:lang w:val="es-ES_tradnl"/>
              </w:rPr>
              <w:t>/1</w:t>
            </w:r>
          </w:p>
        </w:tc>
      </w:tr>
      <w:tr w:rsidR="00000000">
        <w:tblPrEx>
          <w:tblCellMar>
            <w:top w:w="0" w:type="dxa"/>
            <w:bottom w:w="0" w:type="dxa"/>
          </w:tblCellMar>
        </w:tblPrEx>
        <w:tc>
          <w:tcPr>
            <w:tcW w:w="2386" w:type="dxa"/>
          </w:tcPr>
          <w:p w:rsidR="00000000" w:rsidRDefault="00000000">
            <w:pPr>
              <w:rPr>
                <w:b/>
                <w:bCs/>
                <w:lang w:val="es-ES_tradnl"/>
              </w:rPr>
            </w:pPr>
            <w:r>
              <w:rPr>
                <w:lang w:val="es-ES_tradnl"/>
              </w:rPr>
              <w:t>Italia</w:t>
            </w:r>
          </w:p>
        </w:tc>
        <w:tc>
          <w:tcPr>
            <w:tcW w:w="3056" w:type="dxa"/>
          </w:tcPr>
          <w:p w:rsidR="00000000" w:rsidRDefault="00000000">
            <w:pPr>
              <w:jc w:val="center"/>
              <w:rPr>
                <w:lang w:val="es-ES_tradnl"/>
              </w:rPr>
            </w:pPr>
            <w:r>
              <w:rPr>
                <w:lang w:val="es-ES_tradnl"/>
              </w:rPr>
              <w:t>2004</w:t>
            </w:r>
          </w:p>
        </w:tc>
        <w:tc>
          <w:tcPr>
            <w:tcW w:w="2958" w:type="dxa"/>
          </w:tcPr>
          <w:p w:rsidR="00000000" w:rsidRDefault="00000000">
            <w:pPr>
              <w:pStyle w:val="Header"/>
              <w:tabs>
                <w:tab w:val="clear" w:pos="4252"/>
              </w:tabs>
              <w:rPr>
                <w:lang w:val="es-ES_tradnl"/>
              </w:rPr>
            </w:pPr>
            <w:proofErr w:type="spellStart"/>
            <w:r>
              <w:rPr>
                <w:lang w:val="es-ES_tradnl"/>
              </w:rPr>
              <w:t>CRC/C/OPSA/ITA</w:t>
            </w:r>
            <w:proofErr w:type="spellEnd"/>
            <w:r>
              <w:rPr>
                <w:lang w:val="es-ES_tradnl"/>
              </w:rPr>
              <w:t>/1</w:t>
            </w:r>
          </w:p>
        </w:tc>
      </w:tr>
    </w:tbl>
    <w:p w:rsidR="00000000" w:rsidRDefault="00000000">
      <w:pPr>
        <w:spacing w:before="480" w:after="240"/>
        <w:ind w:firstLine="567"/>
        <w:rPr>
          <w:b/>
          <w:bCs/>
          <w:lang w:val="es-ES_tradnl"/>
        </w:rPr>
      </w:pPr>
      <w:r>
        <w:rPr>
          <w:b/>
          <w:bCs/>
          <w:lang w:val="es-ES_tradnl"/>
        </w:rPr>
        <w:t>Informes pendientes</w:t>
      </w:r>
    </w:p>
    <w:p w:rsidR="00000000" w:rsidRDefault="00000000">
      <w:pPr>
        <w:spacing w:after="240"/>
        <w:rPr>
          <w:lang w:val="es-ES_tradnl"/>
        </w:rPr>
      </w:pPr>
      <w:r>
        <w:rPr>
          <w:lang w:val="es-ES_tradnl"/>
        </w:rPr>
        <w:t>7.</w:t>
      </w:r>
      <w:r>
        <w:rPr>
          <w:lang w:val="es-ES_tradnl"/>
        </w:rPr>
        <w:tab/>
        <w:t>Según el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al 19 de marzo de 2004, pero que aún no se han recibido:</w:t>
      </w:r>
    </w:p>
    <w:tbl>
      <w:tblPr>
        <w:tblW w:w="0" w:type="auto"/>
        <w:tblInd w:w="567"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jc w:val="center"/>
              <w:rPr>
                <w:b/>
                <w:bCs/>
                <w:lang w:val="es-ES_tradnl"/>
              </w:rPr>
            </w:pPr>
            <w:r>
              <w:rPr>
                <w:b/>
                <w:bCs/>
                <w:lang w:val="es-ES_tradnl"/>
              </w:rPr>
              <w:t>Estado Parte</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Fecha en que debió</w:t>
            </w:r>
            <w:r>
              <w:rPr>
                <w:b/>
                <w:bCs/>
                <w:lang w:val="es-ES_tradnl"/>
              </w:rPr>
              <w:br/>
              <w:t>haberse presentado</w:t>
            </w:r>
          </w:p>
        </w:tc>
        <w:tc>
          <w:tcPr>
            <w:tcW w:w="2693" w:type="dxa"/>
            <w:tcBorders>
              <w:bottom w:val="single" w:sz="4" w:space="0" w:color="auto"/>
            </w:tcBorders>
            <w:vAlign w:val="bottom"/>
          </w:tcPr>
          <w:p w:rsidR="00000000" w:rsidRDefault="00000000">
            <w:pPr>
              <w:jc w:val="center"/>
              <w:rPr>
                <w:b/>
                <w:bCs/>
                <w:lang w:val="es-ES_tradnl"/>
              </w:rPr>
            </w:pPr>
            <w:r>
              <w:rPr>
                <w:b/>
                <w:bCs/>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20"/>
              <w:rPr>
                <w:lang w:val="es-ES_tradnl"/>
              </w:rPr>
            </w:pPr>
            <w:r>
              <w:rPr>
                <w:lang w:val="es-ES_tradnl"/>
              </w:rPr>
              <w:t>Turkmenistán</w:t>
            </w:r>
          </w:p>
        </w:tc>
        <w:tc>
          <w:tcPr>
            <w:tcW w:w="2693" w:type="dxa"/>
          </w:tcPr>
          <w:p w:rsidR="00000000" w:rsidRDefault="00000000">
            <w:pPr>
              <w:spacing w:before="120"/>
              <w:rPr>
                <w:lang w:val="es-ES_tradnl"/>
              </w:rPr>
            </w:pPr>
            <w:r>
              <w:rPr>
                <w:lang w:val="es-ES_tradnl"/>
              </w:rPr>
              <w:t>19 de octubre de 1995</w:t>
            </w:r>
          </w:p>
        </w:tc>
        <w:tc>
          <w:tcPr>
            <w:tcW w:w="2693" w:type="dxa"/>
            <w:vAlign w:val="center"/>
          </w:tcPr>
          <w:p w:rsidR="00000000" w:rsidRDefault="00000000">
            <w:pPr>
              <w:spacing w:before="120"/>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Tuvalu</w:t>
            </w:r>
            <w:proofErr w:type="spellEnd"/>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Kiribati</w:t>
            </w:r>
            <w:proofErr w:type="spellEnd"/>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Niue</w:t>
            </w:r>
            <w:proofErr w:type="spellEnd"/>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 xml:space="preserve">Islas </w:t>
            </w:r>
            <w:proofErr w:type="spellStart"/>
            <w:r>
              <w:rPr>
                <w:lang w:val="es-ES_tradnl"/>
              </w:rPr>
              <w:t>Cook</w:t>
            </w:r>
            <w:proofErr w:type="spellEnd"/>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3</w:t>
            </w:r>
          </w:p>
        </w:tc>
      </w:tr>
    </w:tbl>
    <w:p w:rsidR="00000000" w:rsidRDefault="00000000">
      <w:pPr>
        <w:spacing w:before="480" w:after="240"/>
        <w:rPr>
          <w:lang w:val="es-ES_tradnl"/>
        </w:rPr>
      </w:pPr>
      <w:r>
        <w:rPr>
          <w:lang w:val="es-ES_tradnl"/>
        </w:rPr>
        <w:t>8.</w:t>
      </w:r>
      <w:r>
        <w:rPr>
          <w:lang w:val="es-ES_tradnl"/>
        </w:rPr>
        <w:tab/>
        <w:t>En su 29º período de sesiones (véase CRC/C/114, párr. 561), el Comité decidió enviar una carta a todos los Estados Partes cuyos informes iniciales debían presentarse en 1992 y 1993, pidiéndoles que presentaran su informe en el plazo de un año.  El Comité decidió, además, comunicarles en la misma carta que si no lo presentaban en el plazo de un año procedería al examen de la situación de los derechos del niño en el país sin el informe inicial, según lo previsto en el "Panorama general del procedimiento de elaboración de informes" del Comité (CRC/C/33, párrs. 29 a 32) y a la luz del artículo 67 del reglamento provisional del Comité (CRC/C/4).  A este respecto, al 1º de noviembre de 2003, el Comité había recibido el informe inicial de Dominica, Guyana, Santo Tomé y Príncipe y las Bahamas.  En cartas enviadas el 30 de junio de 2003 a los Gobiernos de Angola y el Brasil, el Comité volvió a pedirles que presentaran su informe inicial antes del 15 de noviembre de 2003.  En esas cartas reiteró que en 2004 examinaría la situación de los derechos del niño en el Estado en cuestión aunque no dispusiera del informe inicial.  Al 19 de marzo de 2004, el Comité había recibido el informe inicial del Brasil.</w:t>
      </w:r>
    </w:p>
    <w:p w:rsidR="00000000" w:rsidRDefault="00000000">
      <w:pPr>
        <w:spacing w:after="240"/>
        <w:rPr>
          <w:lang w:val="es-ES_tradnl"/>
        </w:rPr>
      </w:pPr>
      <w:r>
        <w:rPr>
          <w:lang w:val="es-ES_tradnl"/>
        </w:rPr>
        <w:t>9.</w:t>
      </w:r>
      <w:r>
        <w:rPr>
          <w:lang w:val="es-ES_tradnl"/>
        </w:rPr>
        <w:tab/>
        <w:t>En su 33º período de sesiones, el Comité decidió enviar una carta a todos los Estados Partes cuyos informes iniciales debían presentarse en 1994 (Albania, Bosnia y Herzegovina y Guinea Ecuatorial), pidiéndoles que los presentaran en el plazo de un año.  En esa misma carta les informó de que, si no presentaban el informe en el plazo de un año, procedería al examen de la situación de los derechos del niño en su país sin el informe inicial.  Al 15 de julio de 2004, el Comité había recibido el informe inicial de Albania y de la Guinea Ecuatorial.</w:t>
      </w:r>
    </w:p>
    <w:p w:rsidR="00000000" w:rsidRDefault="00000000">
      <w:pPr>
        <w:spacing w:after="360"/>
        <w:rPr>
          <w:lang w:val="es-ES_tradnl"/>
        </w:rPr>
      </w:pPr>
      <w:r>
        <w:rPr>
          <w:lang w:val="es-ES_tradnl"/>
        </w:rPr>
        <w:t>10.</w:t>
      </w:r>
      <w:r>
        <w:rPr>
          <w:lang w:val="es-ES_tradnl"/>
        </w:rPr>
        <w:tab/>
        <w:t>Se enumeran a continuación los Estados Partes que debían haber presentado su segundo informe periódico al</w:t>
      </w:r>
      <w:r>
        <w:rPr>
          <w:b/>
          <w:lang w:val="es-ES_tradnl"/>
        </w:rPr>
        <w:t xml:space="preserve"> </w:t>
      </w:r>
      <w:r>
        <w:rPr>
          <w:lang w:val="es-ES_tradnl"/>
        </w:rPr>
        <w:t>15 de julio de 2004, pero que aún no lo han hecho:</w:t>
      </w:r>
    </w:p>
    <w:tbl>
      <w:tblPr>
        <w:tblW w:w="0" w:type="auto"/>
        <w:tblInd w:w="567"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trPr>
        <w:tc>
          <w:tcPr>
            <w:tcW w:w="4962" w:type="dxa"/>
            <w:tcBorders>
              <w:bottom w:val="single" w:sz="4" w:space="0" w:color="auto"/>
            </w:tcBorders>
            <w:vAlign w:val="bottom"/>
          </w:tcPr>
          <w:p w:rsidR="00000000" w:rsidRDefault="00000000">
            <w:pPr>
              <w:keepNext/>
              <w:keepLines/>
              <w:jc w:val="center"/>
              <w:rPr>
                <w:b/>
                <w:bCs/>
                <w:lang w:val="es-ES_tradnl"/>
              </w:rPr>
            </w:pPr>
            <w:r>
              <w:rPr>
                <w:b/>
                <w:bCs/>
                <w:lang w:val="es-ES_tradnl"/>
              </w:rPr>
              <w:t>Estado Parte</w:t>
            </w:r>
          </w:p>
        </w:tc>
        <w:tc>
          <w:tcPr>
            <w:tcW w:w="3118" w:type="dxa"/>
            <w:tcBorders>
              <w:bottom w:val="single" w:sz="4" w:space="0" w:color="auto"/>
            </w:tcBorders>
          </w:tcPr>
          <w:p w:rsidR="00000000" w:rsidRDefault="00000000">
            <w:pPr>
              <w:keepNext/>
              <w:keepLines/>
              <w:jc w:val="center"/>
              <w:rPr>
                <w:b/>
                <w:bCs/>
                <w:lang w:val="es-ES_tradnl"/>
              </w:rPr>
            </w:pPr>
            <w:r>
              <w:rPr>
                <w:b/>
                <w:bCs/>
                <w:lang w:val="es-ES_tradnl"/>
              </w:rPr>
              <w:t xml:space="preserve">Fecha en que debió </w:t>
            </w:r>
            <w:r>
              <w:rPr>
                <w:b/>
                <w:bCs/>
                <w:lang w:val="es-ES_tradnl"/>
              </w:rPr>
              <w:br/>
              <w:t>haberse presentado</w:t>
            </w:r>
          </w:p>
        </w:tc>
      </w:tr>
      <w:tr w:rsidR="00000000">
        <w:tblPrEx>
          <w:tblCellMar>
            <w:top w:w="0" w:type="dxa"/>
            <w:left w:w="0" w:type="dxa"/>
            <w:bottom w:w="0" w:type="dxa"/>
            <w:right w:w="0" w:type="dxa"/>
          </w:tblCellMar>
        </w:tblPrEx>
        <w:tc>
          <w:tcPr>
            <w:tcW w:w="4962" w:type="dxa"/>
          </w:tcPr>
          <w:p w:rsidR="00000000" w:rsidRDefault="00000000">
            <w:pPr>
              <w:spacing w:before="120"/>
              <w:rPr>
                <w:lang w:val="es-ES_tradnl"/>
              </w:rPr>
            </w:pPr>
            <w:r>
              <w:rPr>
                <w:lang w:val="es-ES_tradnl"/>
              </w:rPr>
              <w:t>Benin</w:t>
            </w:r>
          </w:p>
        </w:tc>
        <w:tc>
          <w:tcPr>
            <w:tcW w:w="3118" w:type="dxa"/>
          </w:tcPr>
          <w:p w:rsidR="00000000" w:rsidRDefault="00000000">
            <w:pPr>
              <w:spacing w:before="120"/>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proofErr w:type="spellStart"/>
            <w:r>
              <w:rPr>
                <w:lang w:val="es-ES_tradnl"/>
              </w:rPr>
              <w:t>Seychelles</w:t>
            </w:r>
            <w:proofErr w:type="spellEnd"/>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Djibouti</w:t>
            </w:r>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Serbia y Montenegro</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 xml:space="preserve">5 de </w:t>
            </w:r>
            <w:proofErr w:type="spellStart"/>
            <w:r>
              <w:rPr>
                <w:lang w:val="fr-CH"/>
              </w:rPr>
              <w:t>marzo</w:t>
            </w:r>
            <w:proofErr w:type="spellEnd"/>
            <w:r>
              <w:rPr>
                <w:lang w:val="fr-CH"/>
              </w:rPr>
              <w:t xml:space="preserve">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República Democrática Popular </w:t>
            </w:r>
            <w:proofErr w:type="spellStart"/>
            <w:r>
              <w:rPr>
                <w:lang w:val="es-ES_tradnl"/>
              </w:rPr>
              <w:t>Lao</w:t>
            </w:r>
            <w:proofErr w:type="spellEnd"/>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c>
          <w:tcPr>
            <w:tcW w:w="4962" w:type="dxa"/>
          </w:tcPr>
          <w:p w:rsidR="00000000" w:rsidRDefault="00000000">
            <w:pPr>
              <w:spacing w:before="120" w:line="235" w:lineRule="auto"/>
              <w:rPr>
                <w:lang w:val="es-ES_tradnl"/>
              </w:rPr>
            </w:pPr>
            <w:r>
              <w:rPr>
                <w:lang w:val="es-ES_tradnl"/>
              </w:rPr>
              <w:t>Mauritania</w:t>
            </w:r>
          </w:p>
        </w:tc>
        <w:tc>
          <w:tcPr>
            <w:tcW w:w="3118" w:type="dxa"/>
          </w:tcPr>
          <w:p w:rsidR="00000000" w:rsidRDefault="00000000">
            <w:pPr>
              <w:spacing w:before="120" w:line="235" w:lineRule="auto"/>
              <w:rPr>
                <w:lang w:val="es-ES_tradnl"/>
              </w:rPr>
            </w:pPr>
            <w:r>
              <w:rPr>
                <w:lang w:val="es-ES_tradnl"/>
              </w:rPr>
              <w:t>14 de junio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Bulgaria</w:t>
            </w:r>
          </w:p>
        </w:tc>
        <w:tc>
          <w:tcPr>
            <w:tcW w:w="3118" w:type="dxa"/>
          </w:tcPr>
          <w:p w:rsidR="00000000" w:rsidRDefault="00000000">
            <w:pPr>
              <w:spacing w:line="235" w:lineRule="auto"/>
              <w:rPr>
                <w:lang w:val="es-ES_tradnl"/>
              </w:rPr>
            </w:pPr>
            <w:r>
              <w:rPr>
                <w:lang w:val="es-ES_tradnl"/>
              </w:rPr>
              <w:t>2 de julio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 xml:space="preserve">República Unida de </w:t>
            </w:r>
            <w:proofErr w:type="spellStart"/>
            <w:r>
              <w:rPr>
                <w:lang w:val="es-ES_tradnl"/>
              </w:rPr>
              <w:t>Tanzanía</w:t>
            </w:r>
            <w:proofErr w:type="spellEnd"/>
          </w:p>
        </w:tc>
        <w:tc>
          <w:tcPr>
            <w:tcW w:w="3118" w:type="dxa"/>
          </w:tcPr>
          <w:p w:rsidR="00000000" w:rsidRDefault="00000000">
            <w:pPr>
              <w:spacing w:line="235" w:lineRule="auto"/>
              <w:rPr>
                <w:lang w:val="es-ES_tradnl"/>
              </w:rPr>
            </w:pPr>
            <w:r>
              <w:rPr>
                <w:lang w:val="es-ES_tradnl"/>
              </w:rPr>
              <w:t>9 de julio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República Dominicana</w:t>
            </w:r>
          </w:p>
        </w:tc>
        <w:tc>
          <w:tcPr>
            <w:tcW w:w="3118" w:type="dxa"/>
          </w:tcPr>
          <w:p w:rsidR="00000000" w:rsidRDefault="00000000">
            <w:pPr>
              <w:spacing w:line="235" w:lineRule="auto"/>
              <w:rPr>
                <w:lang w:val="es-ES_tradnl"/>
              </w:rPr>
            </w:pPr>
            <w:r>
              <w:rPr>
                <w:lang w:val="es-ES_tradnl"/>
              </w:rPr>
              <w:t>10 de julio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la ex República Yugoslava de Macedonia</w:t>
            </w:r>
          </w:p>
        </w:tc>
        <w:tc>
          <w:tcPr>
            <w:tcW w:w="3118" w:type="dxa"/>
            <w:vAlign w:val="bottom"/>
          </w:tcPr>
          <w:p w:rsidR="00000000" w:rsidRDefault="00000000">
            <w:pPr>
              <w:spacing w:line="235" w:lineRule="auto"/>
              <w:rPr>
                <w:lang w:val="es-ES_tradnl"/>
              </w:rPr>
            </w:pPr>
            <w:r>
              <w:rPr>
                <w:lang w:val="es-ES_tradnl"/>
              </w:rPr>
              <w:t>16 de septiembre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Cuba</w:t>
            </w:r>
          </w:p>
        </w:tc>
        <w:tc>
          <w:tcPr>
            <w:tcW w:w="3118" w:type="dxa"/>
          </w:tcPr>
          <w:p w:rsidR="00000000" w:rsidRDefault="00000000">
            <w:pPr>
              <w:spacing w:line="235" w:lineRule="auto"/>
              <w:rPr>
                <w:lang w:val="es-ES_tradnl"/>
              </w:rPr>
            </w:pPr>
            <w:r>
              <w:rPr>
                <w:lang w:val="es-ES_tradnl"/>
              </w:rPr>
              <w:t>19 de septiembre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Israel</w:t>
            </w:r>
          </w:p>
        </w:tc>
        <w:tc>
          <w:tcPr>
            <w:tcW w:w="3118" w:type="dxa"/>
          </w:tcPr>
          <w:p w:rsidR="00000000" w:rsidRDefault="00000000">
            <w:pPr>
              <w:spacing w:line="235" w:lineRule="auto"/>
              <w:rPr>
                <w:lang w:val="es-ES_tradnl"/>
              </w:rPr>
            </w:pPr>
            <w:r>
              <w:rPr>
                <w:lang w:val="es-ES_tradnl"/>
              </w:rPr>
              <w:t>1º de noviembre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Estonia</w:t>
            </w:r>
          </w:p>
        </w:tc>
        <w:tc>
          <w:tcPr>
            <w:tcW w:w="3118" w:type="dxa"/>
          </w:tcPr>
          <w:p w:rsidR="00000000" w:rsidRDefault="00000000">
            <w:pPr>
              <w:spacing w:line="235" w:lineRule="auto"/>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Kuwait</w:t>
            </w:r>
          </w:p>
        </w:tc>
        <w:tc>
          <w:tcPr>
            <w:tcW w:w="3118" w:type="dxa"/>
          </w:tcPr>
          <w:p w:rsidR="00000000" w:rsidRDefault="00000000">
            <w:pPr>
              <w:spacing w:line="235" w:lineRule="auto"/>
              <w:rPr>
                <w:lang w:val="es-ES_tradnl"/>
              </w:rPr>
            </w:pPr>
            <w:r>
              <w:rPr>
                <w:lang w:val="es-ES_tradnl"/>
              </w:rPr>
              <w:t>19 de noviembre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San Marino</w:t>
            </w:r>
          </w:p>
        </w:tc>
        <w:tc>
          <w:tcPr>
            <w:tcW w:w="3118" w:type="dxa"/>
          </w:tcPr>
          <w:p w:rsidR="00000000" w:rsidRDefault="00000000">
            <w:pPr>
              <w:spacing w:line="235" w:lineRule="auto"/>
              <w:rPr>
                <w:lang w:val="es-ES_tradnl"/>
              </w:rPr>
            </w:pPr>
            <w:r>
              <w:rPr>
                <w:lang w:val="es-ES_tradnl"/>
              </w:rPr>
              <w:t>24 de diciembre de 1998</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 xml:space="preserve">Trinidad y </w:t>
            </w:r>
            <w:proofErr w:type="spellStart"/>
            <w:r>
              <w:rPr>
                <w:lang w:val="es-ES_tradnl"/>
              </w:rPr>
              <w:t>Tabago</w:t>
            </w:r>
            <w:proofErr w:type="spellEnd"/>
          </w:p>
        </w:tc>
        <w:tc>
          <w:tcPr>
            <w:tcW w:w="3118" w:type="dxa"/>
          </w:tcPr>
          <w:p w:rsidR="00000000" w:rsidRDefault="00000000">
            <w:pPr>
              <w:spacing w:line="235" w:lineRule="auto"/>
              <w:rPr>
                <w:lang w:val="es-ES_tradnl"/>
              </w:rPr>
            </w:pPr>
            <w:r>
              <w:rPr>
                <w:lang w:val="es-ES_tradnl"/>
              </w:rPr>
              <w:t>3 de enero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Zambia</w:t>
            </w:r>
          </w:p>
        </w:tc>
        <w:tc>
          <w:tcPr>
            <w:tcW w:w="3118" w:type="dxa"/>
          </w:tcPr>
          <w:p w:rsidR="00000000" w:rsidRDefault="00000000">
            <w:pPr>
              <w:spacing w:line="235" w:lineRule="auto"/>
              <w:rPr>
                <w:lang w:val="es-ES_tradnl"/>
              </w:rPr>
            </w:pPr>
            <w:r>
              <w:rPr>
                <w:lang w:val="es-ES_tradnl"/>
              </w:rPr>
              <w:t>4 de enero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Bosnia y Herzegovina</w:t>
            </w:r>
          </w:p>
        </w:tc>
        <w:tc>
          <w:tcPr>
            <w:tcW w:w="3118" w:type="dxa"/>
          </w:tcPr>
          <w:p w:rsidR="00000000" w:rsidRDefault="00000000">
            <w:pPr>
              <w:spacing w:line="235" w:lineRule="auto"/>
              <w:rPr>
                <w:lang w:val="es-ES_tradnl"/>
              </w:rPr>
            </w:pPr>
            <w:r>
              <w:rPr>
                <w:lang w:val="es-ES_tradnl"/>
              </w:rPr>
              <w:t>5 de marzo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Bahrein</w:t>
            </w:r>
          </w:p>
        </w:tc>
        <w:tc>
          <w:tcPr>
            <w:tcW w:w="3118" w:type="dxa"/>
          </w:tcPr>
          <w:p w:rsidR="00000000" w:rsidRDefault="00000000">
            <w:pPr>
              <w:spacing w:line="235" w:lineRule="auto"/>
              <w:rPr>
                <w:lang w:val="es-ES_tradnl"/>
              </w:rPr>
            </w:pPr>
            <w:r>
              <w:rPr>
                <w:lang w:val="es-ES_tradnl"/>
              </w:rPr>
              <w:t>14 de marzo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Albania</w:t>
            </w:r>
          </w:p>
        </w:tc>
        <w:tc>
          <w:tcPr>
            <w:tcW w:w="3118" w:type="dxa"/>
          </w:tcPr>
          <w:p w:rsidR="00000000" w:rsidRDefault="00000000">
            <w:pPr>
              <w:spacing w:line="235" w:lineRule="auto"/>
              <w:rPr>
                <w:lang w:val="es-ES_tradnl"/>
              </w:rPr>
            </w:pPr>
            <w:r>
              <w:rPr>
                <w:lang w:val="es-ES_tradnl"/>
              </w:rPr>
              <w:t>27 de marzo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Lesotho</w:t>
            </w:r>
          </w:p>
        </w:tc>
        <w:tc>
          <w:tcPr>
            <w:tcW w:w="3118" w:type="dxa"/>
          </w:tcPr>
          <w:p w:rsidR="00000000" w:rsidRDefault="00000000">
            <w:pPr>
              <w:spacing w:line="235" w:lineRule="auto"/>
              <w:rPr>
                <w:lang w:val="es-ES_tradnl"/>
              </w:rPr>
            </w:pPr>
            <w:r>
              <w:rPr>
                <w:lang w:val="es-ES_tradnl"/>
              </w:rPr>
              <w:t>8 de abril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Letonia</w:t>
            </w:r>
          </w:p>
        </w:tc>
        <w:tc>
          <w:tcPr>
            <w:tcW w:w="3118" w:type="dxa"/>
          </w:tcPr>
          <w:p w:rsidR="00000000" w:rsidRDefault="00000000">
            <w:pPr>
              <w:spacing w:line="235" w:lineRule="auto"/>
              <w:rPr>
                <w:lang w:val="es-ES_tradnl"/>
              </w:rPr>
            </w:pPr>
            <w:r>
              <w:rPr>
                <w:lang w:val="es-ES_tradnl"/>
              </w:rPr>
              <w:t>13 de mayo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República Centroafricana</w:t>
            </w:r>
          </w:p>
        </w:tc>
        <w:tc>
          <w:tcPr>
            <w:tcW w:w="3118" w:type="dxa"/>
          </w:tcPr>
          <w:p w:rsidR="00000000" w:rsidRDefault="00000000">
            <w:pPr>
              <w:spacing w:line="235" w:lineRule="auto"/>
              <w:rPr>
                <w:lang w:val="es-ES_tradnl"/>
              </w:rPr>
            </w:pPr>
            <w:r>
              <w:rPr>
                <w:lang w:val="es-ES_tradnl"/>
              </w:rPr>
              <w:t>23 de mayo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Cabo Verde</w:t>
            </w:r>
          </w:p>
        </w:tc>
        <w:tc>
          <w:tcPr>
            <w:tcW w:w="3118" w:type="dxa"/>
          </w:tcPr>
          <w:p w:rsidR="00000000" w:rsidRDefault="00000000">
            <w:pPr>
              <w:spacing w:line="235" w:lineRule="auto"/>
              <w:rPr>
                <w:lang w:val="es-ES_tradnl"/>
              </w:rPr>
            </w:pPr>
            <w:r>
              <w:rPr>
                <w:lang w:val="es-ES_tradnl"/>
              </w:rPr>
              <w:t>3 de julio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Guinea Ecuatorial</w:t>
            </w:r>
          </w:p>
        </w:tc>
        <w:tc>
          <w:tcPr>
            <w:tcW w:w="3118" w:type="dxa"/>
          </w:tcPr>
          <w:p w:rsidR="00000000" w:rsidRDefault="00000000">
            <w:pPr>
              <w:spacing w:line="235" w:lineRule="auto"/>
              <w:rPr>
                <w:lang w:val="es-ES_tradnl"/>
              </w:rPr>
            </w:pPr>
            <w:r>
              <w:rPr>
                <w:lang w:val="es-ES_tradnl"/>
              </w:rPr>
              <w:t>14 de julio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Irlanda</w:t>
            </w:r>
          </w:p>
        </w:tc>
        <w:tc>
          <w:tcPr>
            <w:tcW w:w="3118" w:type="dxa"/>
          </w:tcPr>
          <w:p w:rsidR="00000000" w:rsidRDefault="00000000">
            <w:pPr>
              <w:spacing w:line="235" w:lineRule="auto"/>
              <w:rPr>
                <w:lang w:val="es-ES_tradnl"/>
              </w:rPr>
            </w:pPr>
            <w:r>
              <w:rPr>
                <w:lang w:val="es-ES_tradnl"/>
              </w:rPr>
              <w:t>27 de octubre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Camboya</w:t>
            </w:r>
          </w:p>
        </w:tc>
        <w:tc>
          <w:tcPr>
            <w:tcW w:w="3118" w:type="dxa"/>
          </w:tcPr>
          <w:p w:rsidR="00000000" w:rsidRDefault="00000000">
            <w:pPr>
              <w:spacing w:line="235" w:lineRule="auto"/>
              <w:rPr>
                <w:lang w:val="es-ES_tradnl"/>
              </w:rPr>
            </w:pPr>
            <w:r>
              <w:rPr>
                <w:lang w:val="es-ES_tradnl"/>
              </w:rPr>
              <w:t>13 de noviembre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Eslovaquia</w:t>
            </w:r>
          </w:p>
        </w:tc>
        <w:tc>
          <w:tcPr>
            <w:tcW w:w="3118" w:type="dxa"/>
          </w:tcPr>
          <w:p w:rsidR="00000000" w:rsidRDefault="00000000">
            <w:pPr>
              <w:spacing w:line="235" w:lineRule="auto"/>
              <w:rPr>
                <w:lang w:val="es-ES_tradnl"/>
              </w:rPr>
            </w:pPr>
            <w:r>
              <w:rPr>
                <w:lang w:val="es-ES_tradnl"/>
              </w:rPr>
              <w:t>31 de diciembre de 1999</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Camerún</w:t>
            </w:r>
          </w:p>
        </w:tc>
        <w:tc>
          <w:tcPr>
            <w:tcW w:w="3118" w:type="dxa"/>
          </w:tcPr>
          <w:p w:rsidR="00000000" w:rsidRDefault="00000000">
            <w:pPr>
              <w:spacing w:line="235" w:lineRule="auto"/>
              <w:rPr>
                <w:lang w:val="es-ES_tradnl"/>
              </w:rPr>
            </w:pPr>
            <w:r>
              <w:rPr>
                <w:lang w:val="es-ES_tradnl"/>
              </w:rPr>
              <w:t>9 de febrero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 xml:space="preserve">República de </w:t>
            </w:r>
            <w:proofErr w:type="spellStart"/>
            <w:r>
              <w:rPr>
                <w:lang w:val="es-ES_tradnl"/>
              </w:rPr>
              <w:t>Moldova</w:t>
            </w:r>
            <w:proofErr w:type="spellEnd"/>
          </w:p>
        </w:tc>
        <w:tc>
          <w:tcPr>
            <w:tcW w:w="3118" w:type="dxa"/>
          </w:tcPr>
          <w:p w:rsidR="00000000" w:rsidRDefault="00000000">
            <w:pPr>
              <w:spacing w:line="235" w:lineRule="auto"/>
              <w:rPr>
                <w:lang w:val="es-ES_tradnl"/>
              </w:rPr>
            </w:pPr>
            <w:r>
              <w:rPr>
                <w:lang w:val="es-ES_tradnl"/>
              </w:rPr>
              <w:t>24 de febrero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Papua Nueva Guinea</w:t>
            </w:r>
          </w:p>
        </w:tc>
        <w:tc>
          <w:tcPr>
            <w:tcW w:w="3118" w:type="dxa"/>
          </w:tcPr>
          <w:p w:rsidR="00000000" w:rsidRDefault="00000000">
            <w:pPr>
              <w:spacing w:line="235" w:lineRule="auto"/>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Suriname</w:t>
            </w:r>
          </w:p>
        </w:tc>
        <w:tc>
          <w:tcPr>
            <w:tcW w:w="3118" w:type="dxa"/>
          </w:tcPr>
          <w:p w:rsidR="00000000" w:rsidRDefault="00000000">
            <w:pPr>
              <w:spacing w:line="235" w:lineRule="auto"/>
              <w:rPr>
                <w:lang w:val="es-ES_tradnl"/>
              </w:rPr>
            </w:pPr>
            <w:r>
              <w:rPr>
                <w:lang w:val="es-ES_tradnl"/>
              </w:rPr>
              <w:t>31 de marzo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proofErr w:type="spellStart"/>
            <w:r>
              <w:rPr>
                <w:lang w:val="es-ES_tradnl"/>
              </w:rPr>
              <w:t>Micronesia</w:t>
            </w:r>
            <w:proofErr w:type="spellEnd"/>
            <w:r>
              <w:rPr>
                <w:lang w:val="es-ES_tradnl"/>
              </w:rPr>
              <w:t xml:space="preserve"> (Estados Federados de)</w:t>
            </w:r>
          </w:p>
        </w:tc>
        <w:tc>
          <w:tcPr>
            <w:tcW w:w="3118" w:type="dxa"/>
          </w:tcPr>
          <w:p w:rsidR="00000000" w:rsidRDefault="00000000">
            <w:pPr>
              <w:spacing w:line="235" w:lineRule="auto"/>
              <w:rPr>
                <w:lang w:val="es-ES_tradnl"/>
              </w:rPr>
            </w:pPr>
            <w:r>
              <w:rPr>
                <w:lang w:val="es-ES_tradnl"/>
              </w:rPr>
              <w:t>3 de junio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Grecia</w:t>
            </w:r>
          </w:p>
        </w:tc>
        <w:tc>
          <w:tcPr>
            <w:tcW w:w="3118" w:type="dxa"/>
          </w:tcPr>
          <w:p w:rsidR="00000000" w:rsidRDefault="00000000">
            <w:pPr>
              <w:spacing w:line="235" w:lineRule="auto"/>
              <w:rPr>
                <w:lang w:val="es-ES_tradnl"/>
              </w:rPr>
            </w:pPr>
            <w:r>
              <w:rPr>
                <w:lang w:val="es-ES_tradnl"/>
              </w:rPr>
              <w:t>9 de junio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Liberia</w:t>
            </w:r>
          </w:p>
        </w:tc>
        <w:tc>
          <w:tcPr>
            <w:tcW w:w="3118" w:type="dxa"/>
          </w:tcPr>
          <w:p w:rsidR="00000000" w:rsidRDefault="00000000">
            <w:pPr>
              <w:spacing w:line="235" w:lineRule="auto"/>
              <w:rPr>
                <w:lang w:val="es-ES_tradnl"/>
              </w:rPr>
            </w:pPr>
            <w:r>
              <w:rPr>
                <w:lang w:val="es-ES_tradnl"/>
              </w:rPr>
              <w:t>3 de julio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Santa Lucía</w:t>
            </w:r>
          </w:p>
        </w:tc>
        <w:tc>
          <w:tcPr>
            <w:tcW w:w="3118" w:type="dxa"/>
          </w:tcPr>
          <w:p w:rsidR="00000000" w:rsidRDefault="00000000">
            <w:pPr>
              <w:spacing w:line="235" w:lineRule="auto"/>
              <w:rPr>
                <w:lang w:val="es-ES_tradnl"/>
              </w:rPr>
            </w:pPr>
            <w:r>
              <w:rPr>
                <w:lang w:val="es-ES_tradnl"/>
              </w:rPr>
              <w:t>15 de julio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Mónaco</w:t>
            </w:r>
          </w:p>
        </w:tc>
        <w:tc>
          <w:tcPr>
            <w:tcW w:w="3118" w:type="dxa"/>
          </w:tcPr>
          <w:p w:rsidR="00000000" w:rsidRDefault="00000000">
            <w:pPr>
              <w:spacing w:line="235" w:lineRule="auto"/>
              <w:rPr>
                <w:lang w:val="es-ES_tradnl"/>
              </w:rPr>
            </w:pPr>
            <w:r>
              <w:rPr>
                <w:lang w:val="es-ES_tradnl"/>
              </w:rPr>
              <w:t>20 de julio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proofErr w:type="spellStart"/>
            <w:r>
              <w:rPr>
                <w:lang w:val="es-ES_tradnl"/>
              </w:rPr>
              <w:t>Comoras</w:t>
            </w:r>
            <w:proofErr w:type="spellEnd"/>
          </w:p>
        </w:tc>
        <w:tc>
          <w:tcPr>
            <w:tcW w:w="3118" w:type="dxa"/>
          </w:tcPr>
          <w:p w:rsidR="00000000" w:rsidRDefault="00000000">
            <w:pPr>
              <w:spacing w:line="235" w:lineRule="auto"/>
              <w:rPr>
                <w:lang w:val="es-ES_tradnl"/>
              </w:rPr>
            </w:pPr>
            <w:r>
              <w:rPr>
                <w:lang w:val="es-ES_tradnl"/>
              </w:rPr>
              <w:t>21 de julio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Armenia</w:t>
            </w:r>
          </w:p>
        </w:tc>
        <w:tc>
          <w:tcPr>
            <w:tcW w:w="3118" w:type="dxa"/>
          </w:tcPr>
          <w:p w:rsidR="00000000" w:rsidRDefault="00000000">
            <w:pPr>
              <w:spacing w:line="235" w:lineRule="auto"/>
              <w:rPr>
                <w:lang w:val="es-ES_tradnl"/>
              </w:rPr>
            </w:pPr>
            <w:r>
              <w:rPr>
                <w:lang w:val="es-ES_tradnl"/>
              </w:rPr>
              <w:t>5 de agosto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Vanuatu</w:t>
            </w:r>
          </w:p>
        </w:tc>
        <w:tc>
          <w:tcPr>
            <w:tcW w:w="3118" w:type="dxa"/>
          </w:tcPr>
          <w:p w:rsidR="00000000" w:rsidRDefault="00000000">
            <w:pPr>
              <w:spacing w:line="235" w:lineRule="auto"/>
              <w:rPr>
                <w:lang w:val="es-ES_tradnl"/>
              </w:rPr>
            </w:pPr>
            <w:r>
              <w:rPr>
                <w:lang w:val="es-ES_tradnl"/>
              </w:rPr>
              <w:t>5 de agosto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proofErr w:type="spellStart"/>
            <w:r>
              <w:rPr>
                <w:lang w:val="es-ES_tradnl"/>
              </w:rPr>
              <w:t>Fiji</w:t>
            </w:r>
            <w:proofErr w:type="spellEnd"/>
          </w:p>
        </w:tc>
        <w:tc>
          <w:tcPr>
            <w:tcW w:w="3118" w:type="dxa"/>
          </w:tcPr>
          <w:p w:rsidR="00000000" w:rsidRDefault="00000000">
            <w:pPr>
              <w:spacing w:line="235" w:lineRule="auto"/>
              <w:rPr>
                <w:lang w:val="es-ES_tradnl"/>
              </w:rPr>
            </w:pPr>
            <w:r>
              <w:rPr>
                <w:lang w:val="es-ES_tradnl"/>
              </w:rPr>
              <w:t>11 de septiembre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Turkmenistán</w:t>
            </w:r>
          </w:p>
        </w:tc>
        <w:tc>
          <w:tcPr>
            <w:tcW w:w="3118" w:type="dxa"/>
          </w:tcPr>
          <w:p w:rsidR="00000000" w:rsidRDefault="00000000">
            <w:pPr>
              <w:spacing w:line="235" w:lineRule="auto"/>
              <w:rPr>
                <w:lang w:val="es-ES_tradnl"/>
              </w:rPr>
            </w:pPr>
            <w:r>
              <w:rPr>
                <w:lang w:val="es-ES_tradnl"/>
              </w:rPr>
              <w:t>19 de octubre de 2000</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Gabón</w:t>
            </w:r>
          </w:p>
        </w:tc>
        <w:tc>
          <w:tcPr>
            <w:tcW w:w="3118" w:type="dxa"/>
          </w:tcPr>
          <w:p w:rsidR="00000000" w:rsidRDefault="00000000">
            <w:pPr>
              <w:spacing w:line="235" w:lineRule="auto"/>
              <w:rPr>
                <w:lang w:val="es-ES_tradnl"/>
              </w:rPr>
            </w:pPr>
            <w:r>
              <w:rPr>
                <w:lang w:val="es-ES_tradnl"/>
              </w:rPr>
              <w:t>10 de marzo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Afganistán</w:t>
            </w:r>
          </w:p>
        </w:tc>
        <w:tc>
          <w:tcPr>
            <w:tcW w:w="3118" w:type="dxa"/>
          </w:tcPr>
          <w:p w:rsidR="00000000" w:rsidRDefault="00000000">
            <w:pPr>
              <w:spacing w:line="235" w:lineRule="auto"/>
              <w:rPr>
                <w:lang w:val="es-ES_tradnl"/>
              </w:rPr>
            </w:pPr>
            <w:r>
              <w:rPr>
                <w:lang w:val="es-ES_tradnl"/>
              </w:rPr>
              <w:t>26 de abril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Mozambique</w:t>
            </w:r>
          </w:p>
        </w:tc>
        <w:tc>
          <w:tcPr>
            <w:tcW w:w="3118" w:type="dxa"/>
          </w:tcPr>
          <w:p w:rsidR="00000000" w:rsidRDefault="00000000">
            <w:pPr>
              <w:spacing w:line="235" w:lineRule="auto"/>
              <w:rPr>
                <w:lang w:val="es-ES_tradnl"/>
              </w:rPr>
            </w:pPr>
            <w:r>
              <w:rPr>
                <w:lang w:val="es-ES_tradnl"/>
              </w:rPr>
              <w:t>25 de mayo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proofErr w:type="spellStart"/>
            <w:r>
              <w:rPr>
                <w:lang w:val="es-ES_tradnl"/>
              </w:rPr>
              <w:t>Iraq</w:t>
            </w:r>
            <w:proofErr w:type="spellEnd"/>
          </w:p>
        </w:tc>
        <w:tc>
          <w:tcPr>
            <w:tcW w:w="3118" w:type="dxa"/>
          </w:tcPr>
          <w:p w:rsidR="00000000" w:rsidRDefault="00000000">
            <w:pPr>
              <w:spacing w:line="235" w:lineRule="auto"/>
              <w:rPr>
                <w:lang w:val="es-ES_tradnl"/>
              </w:rPr>
            </w:pPr>
            <w:r>
              <w:rPr>
                <w:lang w:val="es-ES_tradnl"/>
              </w:rPr>
              <w:t>14 de julio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Uzbekistán</w:t>
            </w:r>
          </w:p>
        </w:tc>
        <w:tc>
          <w:tcPr>
            <w:tcW w:w="3118" w:type="dxa"/>
          </w:tcPr>
          <w:p w:rsidR="00000000" w:rsidRDefault="00000000">
            <w:pPr>
              <w:spacing w:line="235" w:lineRule="auto"/>
              <w:rPr>
                <w:lang w:val="es-ES_tradnl"/>
              </w:rPr>
            </w:pPr>
            <w:r>
              <w:rPr>
                <w:lang w:val="es-ES_tradnl"/>
              </w:rPr>
              <w:t>28 de julio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Nauru</w:t>
            </w:r>
          </w:p>
        </w:tc>
        <w:tc>
          <w:tcPr>
            <w:tcW w:w="3118" w:type="dxa"/>
          </w:tcPr>
          <w:p w:rsidR="00000000" w:rsidRDefault="00000000">
            <w:pPr>
              <w:spacing w:line="235" w:lineRule="auto"/>
              <w:rPr>
                <w:lang w:val="es-ES_tradnl"/>
              </w:rPr>
            </w:pPr>
            <w:r>
              <w:rPr>
                <w:lang w:val="es-ES_tradnl"/>
              </w:rPr>
              <w:t>25 de agosto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Eritrea</w:t>
            </w:r>
          </w:p>
        </w:tc>
        <w:tc>
          <w:tcPr>
            <w:tcW w:w="3118" w:type="dxa"/>
          </w:tcPr>
          <w:p w:rsidR="00000000" w:rsidRDefault="00000000">
            <w:pPr>
              <w:spacing w:line="235" w:lineRule="auto"/>
              <w:rPr>
                <w:lang w:val="es-ES_tradnl"/>
              </w:rPr>
            </w:pPr>
            <w:r>
              <w:rPr>
                <w:lang w:val="es-ES_tradnl"/>
              </w:rPr>
              <w:t>1º de septiembre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Kazajstán</w:t>
            </w:r>
          </w:p>
        </w:tc>
        <w:tc>
          <w:tcPr>
            <w:tcW w:w="3118" w:type="dxa"/>
          </w:tcPr>
          <w:p w:rsidR="00000000" w:rsidRDefault="00000000">
            <w:pPr>
              <w:spacing w:line="235" w:lineRule="auto"/>
              <w:rPr>
                <w:lang w:val="es-ES_tradnl"/>
              </w:rPr>
            </w:pPr>
            <w:r>
              <w:rPr>
                <w:lang w:val="es-ES_tradnl"/>
              </w:rPr>
              <w:t>10 de septiembre de 2001</w:t>
            </w:r>
          </w:p>
        </w:tc>
      </w:tr>
      <w:tr w:rsidR="00000000">
        <w:tblPrEx>
          <w:tblCellMar>
            <w:top w:w="0" w:type="dxa"/>
            <w:left w:w="0" w:type="dxa"/>
            <w:bottom w:w="0" w:type="dxa"/>
            <w:right w:w="0" w:type="dxa"/>
          </w:tblCellMar>
        </w:tblPrEx>
        <w:tc>
          <w:tcPr>
            <w:tcW w:w="4962" w:type="dxa"/>
          </w:tcPr>
          <w:p w:rsidR="00000000" w:rsidRDefault="00000000">
            <w:pPr>
              <w:spacing w:line="235" w:lineRule="auto"/>
              <w:rPr>
                <w:lang w:val="es-ES_tradnl"/>
              </w:rPr>
            </w:pPr>
            <w:r>
              <w:rPr>
                <w:lang w:val="es-ES_tradnl"/>
              </w:rPr>
              <w:t>Samoa</w:t>
            </w:r>
          </w:p>
        </w:tc>
        <w:tc>
          <w:tcPr>
            <w:tcW w:w="3118" w:type="dxa"/>
          </w:tcPr>
          <w:p w:rsidR="00000000" w:rsidRDefault="00000000">
            <w:pPr>
              <w:spacing w:line="235" w:lineRule="auto"/>
              <w:rPr>
                <w:lang w:val="es-ES_tradnl"/>
              </w:rPr>
            </w:pPr>
            <w:r>
              <w:rPr>
                <w:lang w:val="es-ES_tradnl"/>
              </w:rPr>
              <w:t>28 de diciembre de 2001</w:t>
            </w:r>
          </w:p>
        </w:tc>
      </w:tr>
    </w:tbl>
    <w:p w:rsidR="00000000" w:rsidRDefault="00000000">
      <w:pPr>
        <w:spacing w:before="480" w:after="240"/>
        <w:rPr>
          <w:lang w:val="es-ES_tradnl"/>
        </w:rPr>
      </w:pPr>
      <w:r>
        <w:rPr>
          <w:lang w:val="es-ES_tradnl"/>
        </w:rPr>
        <w:t>11.</w:t>
      </w:r>
      <w:r>
        <w:rPr>
          <w:lang w:val="es-ES_tradnl"/>
        </w:rPr>
        <w:tab/>
        <w:t>En relación con este tema, el Comité tendrá ante sí notas del Secretario General referentes a la lista de Estados que debieron presentar su informe inicial en virtud del artículo 44 de la Convención en 1992 (CRC/C/3), 1993 (CRC/C/8), 1994 (CRC/C/11), 1995 (CRC/C/28), 1996 (CRC/C/41), 1997 (CRC/C/51), 1998 (CRC/C/61) y 1999 (CRC/C/78) (en 2000 no debía presentarse ningún informe inicial).  El Comité también tendrá ante sí una nota del Secretario General relativa a la lista de los Estados que debían presentar su segundo informe periódico en 1997 (CRC/C/65), 1998 (CRC/C/70), 1999 (CRC/C/83), 2000 (CRC/C/93), 2001 (CRC/C/104) ó 2002 (CRC/C/117).</w:t>
      </w:r>
    </w:p>
    <w:p w:rsidR="00000000" w:rsidRDefault="00000000">
      <w:pPr>
        <w:spacing w:after="240"/>
        <w:rPr>
          <w:lang w:val="es-ES_tradnl"/>
        </w:rPr>
      </w:pPr>
      <w:r>
        <w:rPr>
          <w:lang w:val="es-ES_tradnl"/>
        </w:rPr>
        <w:t>12.</w:t>
      </w:r>
      <w:r>
        <w:rPr>
          <w:lang w:val="es-ES_tradnl"/>
        </w:rPr>
        <w:tab/>
        <w:t>Además, el Comité tendrá ante sí un informe sobre la situación de la presentación de los informes de conformidad con la Convención y sus dos protocolos facultativos (CRC/C/142) en el que también se indicarán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lang w:val="es-ES_tradnl"/>
        </w:rPr>
      </w:pPr>
      <w:r>
        <w:rPr>
          <w:lang w:val="es-ES_tradnl"/>
        </w:rPr>
        <w:t>13.</w:t>
      </w:r>
      <w:r>
        <w:rPr>
          <w:lang w:val="es-ES_tradnl"/>
        </w:rPr>
        <w:tab/>
        <w:t>En relación con este tema el Comité también tendrá  ante sí una nota del Secretario General sobre el seguimiento del examen de los informes iniciales presentados por los Estados Partes en la Convención (CRC/C/27/Rev.11).</w:t>
      </w:r>
    </w:p>
    <w:p w:rsidR="00000000" w:rsidRDefault="00000000">
      <w:pPr>
        <w:keepNext/>
        <w:spacing w:after="240"/>
        <w:rPr>
          <w:b/>
          <w:bCs/>
          <w:lang w:val="es-ES_tradnl"/>
        </w:rPr>
      </w:pPr>
      <w:r>
        <w:rPr>
          <w:b/>
          <w:bCs/>
          <w:lang w:val="es-ES_tradnl"/>
        </w:rPr>
        <w:t>Tema 4 - Examen de los informes presentados por los Estados Partes</w:t>
      </w:r>
    </w:p>
    <w:p w:rsidR="00000000" w:rsidRDefault="00000000">
      <w:pPr>
        <w:spacing w:after="240"/>
        <w:rPr>
          <w:lang w:val="es-ES_tradnl"/>
        </w:rPr>
      </w:pPr>
      <w:r>
        <w:rPr>
          <w:lang w:val="es-ES_tradnl"/>
        </w:rPr>
        <w:t>14.</w:t>
      </w:r>
      <w:r>
        <w:rPr>
          <w:lang w:val="es-ES_tradnl"/>
        </w:rPr>
        <w:tab/>
        <w:t>A continuación figura un calendario provisional para el examen de los informes en el 37º período de sesiones preparado por el Secretario General en consulta con el Presidente y sujeto a la aprobación del Comité.</w:t>
      </w:r>
    </w:p>
    <w:p w:rsidR="00000000" w:rsidRDefault="00000000">
      <w:pPr>
        <w:keepNext/>
        <w:keepLines/>
        <w:spacing w:after="240"/>
        <w:jc w:val="center"/>
        <w:rPr>
          <w:b/>
          <w:bCs/>
          <w:lang w:val="es-ES_tradnl"/>
        </w:rPr>
      </w:pPr>
      <w:r>
        <w:rPr>
          <w:b/>
          <w:bCs/>
          <w:lang w:val="es-ES_tradnl"/>
        </w:rPr>
        <w:t>Calendario provisional para el examen de los informes</w:t>
      </w:r>
      <w:r>
        <w:rPr>
          <w:b/>
          <w:bCs/>
          <w:lang w:val="es-ES_tradnl"/>
        </w:rPr>
        <w:br/>
        <w:t>presentados por los Estados Partes</w:t>
      </w:r>
    </w:p>
    <w:tbl>
      <w:tblPr>
        <w:tblW w:w="0" w:type="auto"/>
        <w:jc w:val="center"/>
        <w:tblInd w:w="90" w:type="dxa"/>
        <w:tblLayout w:type="fixed"/>
        <w:tblCellMar>
          <w:left w:w="70" w:type="dxa"/>
          <w:right w:w="70" w:type="dxa"/>
        </w:tblCellMar>
        <w:tblLook w:val="0000" w:firstRow="0" w:lastRow="0" w:firstColumn="0" w:lastColumn="0" w:noHBand="0" w:noVBand="0"/>
      </w:tblPr>
      <w:tblGrid>
        <w:gridCol w:w="2410"/>
        <w:gridCol w:w="2340"/>
        <w:gridCol w:w="2520"/>
        <w:gridCol w:w="2105"/>
      </w:tblGrid>
      <w:tr w:rsidR="00000000">
        <w:tblPrEx>
          <w:tblCellMar>
            <w:top w:w="0" w:type="dxa"/>
            <w:bottom w:w="0" w:type="dxa"/>
          </w:tblCellMar>
        </w:tblPrEx>
        <w:trPr>
          <w:jc w:val="center"/>
        </w:trPr>
        <w:tc>
          <w:tcPr>
            <w:tcW w:w="2410" w:type="dxa"/>
          </w:tcPr>
          <w:p w:rsidR="00000000" w:rsidRDefault="00000000">
            <w:pPr>
              <w:keepNext/>
              <w:keepLines/>
              <w:spacing w:after="240"/>
              <w:rPr>
                <w:lang w:val="es-ES_tradnl"/>
              </w:rPr>
            </w:pPr>
            <w:r>
              <w:rPr>
                <w:lang w:val="es-ES_tradnl"/>
              </w:rPr>
              <w:t>Martes 14 de septiembre</w:t>
            </w:r>
          </w:p>
        </w:tc>
        <w:tc>
          <w:tcPr>
            <w:tcW w:w="2340" w:type="dxa"/>
          </w:tcPr>
          <w:p w:rsidR="00000000" w:rsidRDefault="00000000">
            <w:pPr>
              <w:keepNext/>
              <w:keepLines/>
              <w:spacing w:after="240"/>
              <w:rPr>
                <w:lang w:val="es-ES_tradnl"/>
              </w:rPr>
            </w:pPr>
            <w:r>
              <w:rPr>
                <w:lang w:val="es-ES_tradnl"/>
              </w:rPr>
              <w:t>10.00 a 13.00 horas</w:t>
            </w:r>
            <w:r>
              <w:rPr>
                <w:lang w:val="es-ES_tradnl"/>
              </w:rPr>
              <w:br/>
              <w:t>15.00 a 18.00 horas</w:t>
            </w:r>
          </w:p>
        </w:tc>
        <w:tc>
          <w:tcPr>
            <w:tcW w:w="2520" w:type="dxa"/>
          </w:tcPr>
          <w:p w:rsidR="00000000" w:rsidRDefault="00000000">
            <w:pPr>
              <w:pStyle w:val="Header"/>
              <w:keepNext/>
              <w:keepLines/>
              <w:tabs>
                <w:tab w:val="clear" w:pos="4252"/>
              </w:tabs>
              <w:spacing w:after="240"/>
            </w:pPr>
            <w:r>
              <w:t>Brasil</w:t>
            </w:r>
          </w:p>
        </w:tc>
        <w:tc>
          <w:tcPr>
            <w:tcW w:w="2105" w:type="dxa"/>
          </w:tcPr>
          <w:p w:rsidR="00000000" w:rsidRDefault="00000000">
            <w:pPr>
              <w:pStyle w:val="Header"/>
              <w:keepNext/>
              <w:keepLines/>
              <w:tabs>
                <w:tab w:val="clear" w:pos="4252"/>
              </w:tabs>
              <w:spacing w:after="240"/>
            </w:pPr>
            <w:r>
              <w:t>CRC/C/3/Add.65</w:t>
            </w:r>
          </w:p>
        </w:tc>
      </w:tr>
      <w:tr w:rsidR="00000000">
        <w:tblPrEx>
          <w:tblCellMar>
            <w:top w:w="0" w:type="dxa"/>
            <w:bottom w:w="0" w:type="dxa"/>
          </w:tblCellMar>
        </w:tblPrEx>
        <w:trPr>
          <w:jc w:val="center"/>
        </w:trPr>
        <w:tc>
          <w:tcPr>
            <w:tcW w:w="2410" w:type="dxa"/>
          </w:tcPr>
          <w:p w:rsidR="00000000" w:rsidRDefault="00000000">
            <w:pPr>
              <w:keepNext/>
              <w:keepLines/>
              <w:spacing w:after="240"/>
              <w:rPr>
                <w:lang w:val="es-ES_tradnl"/>
              </w:rPr>
            </w:pPr>
            <w:r>
              <w:rPr>
                <w:lang w:val="es-ES_tradnl"/>
              </w:rPr>
              <w:t>Miércoles 15 de septiembre</w:t>
            </w:r>
          </w:p>
        </w:tc>
        <w:tc>
          <w:tcPr>
            <w:tcW w:w="2340" w:type="dxa"/>
          </w:tcPr>
          <w:p w:rsidR="00000000" w:rsidRDefault="00000000">
            <w:pPr>
              <w:keepNext/>
              <w:keepLines/>
              <w:spacing w:after="240"/>
            </w:pPr>
            <w:r>
              <w:rPr>
                <w:lang w:val="es-ES_tradnl"/>
              </w:rPr>
              <w:t>10.00 a 13.00 horas</w:t>
            </w:r>
            <w:r>
              <w:rPr>
                <w:lang w:val="es-ES_tradnl"/>
              </w:rPr>
              <w:br/>
              <w:t>15.00 a 18.00 horas</w:t>
            </w:r>
          </w:p>
        </w:tc>
        <w:tc>
          <w:tcPr>
            <w:tcW w:w="2520" w:type="dxa"/>
          </w:tcPr>
          <w:p w:rsidR="00000000" w:rsidRDefault="00000000">
            <w:pPr>
              <w:keepNext/>
              <w:keepLines/>
              <w:spacing w:after="240"/>
            </w:pPr>
            <w:r>
              <w:t>Irán, República</w:t>
            </w:r>
            <w:r>
              <w:br/>
              <w:t>Islámica del</w:t>
            </w:r>
          </w:p>
        </w:tc>
        <w:tc>
          <w:tcPr>
            <w:tcW w:w="2105" w:type="dxa"/>
          </w:tcPr>
          <w:p w:rsidR="00000000" w:rsidRDefault="00000000">
            <w:pPr>
              <w:keepNext/>
              <w:keepLines/>
              <w:spacing w:after="240"/>
              <w:rPr>
                <w:lang w:val="en-GB"/>
              </w:rPr>
            </w:pPr>
            <w:r>
              <w:rPr>
                <w:lang w:val="en-GB"/>
              </w:rPr>
              <w:t>CRC/C/104/</w:t>
            </w:r>
            <w:proofErr w:type="spellStart"/>
            <w:r>
              <w:rPr>
                <w:lang w:val="en-GB"/>
              </w:rPr>
              <w:t>Add.3</w:t>
            </w:r>
            <w:proofErr w:type="spellEnd"/>
          </w:p>
        </w:tc>
      </w:tr>
      <w:tr w:rsidR="00000000">
        <w:tblPrEx>
          <w:tblCellMar>
            <w:top w:w="0" w:type="dxa"/>
            <w:bottom w:w="0" w:type="dxa"/>
          </w:tblCellMar>
        </w:tblPrEx>
        <w:trPr>
          <w:jc w:val="center"/>
        </w:trPr>
        <w:tc>
          <w:tcPr>
            <w:tcW w:w="2410" w:type="dxa"/>
          </w:tcPr>
          <w:p w:rsidR="00000000" w:rsidRDefault="00000000">
            <w:pPr>
              <w:keepNext/>
              <w:keepLines/>
              <w:spacing w:after="240"/>
              <w:rPr>
                <w:lang w:val="es-ES_tradnl"/>
              </w:rPr>
            </w:pPr>
            <w:r>
              <w:rPr>
                <w:lang w:val="es-ES_tradnl"/>
              </w:rPr>
              <w:t>Jueves 17 de septiembre</w:t>
            </w:r>
          </w:p>
        </w:tc>
        <w:tc>
          <w:tcPr>
            <w:tcW w:w="2340" w:type="dxa"/>
          </w:tcPr>
          <w:p w:rsidR="00000000" w:rsidRDefault="00000000">
            <w:pPr>
              <w:keepNext/>
              <w:keepLines/>
              <w:spacing w:after="240"/>
            </w:pPr>
            <w:r>
              <w:rPr>
                <w:lang w:val="es-ES_tradnl"/>
              </w:rPr>
              <w:t>10.00 a 13.00 horas</w:t>
            </w:r>
            <w:r>
              <w:rPr>
                <w:lang w:val="es-ES_tradnl"/>
              </w:rPr>
              <w:br/>
              <w:t>15.00 a 18.00 horas</w:t>
            </w:r>
          </w:p>
        </w:tc>
        <w:tc>
          <w:tcPr>
            <w:tcW w:w="2520" w:type="dxa"/>
          </w:tcPr>
          <w:p w:rsidR="00000000" w:rsidRDefault="00000000">
            <w:pPr>
              <w:keepNext/>
              <w:keepLines/>
              <w:spacing w:after="240"/>
              <w:rPr>
                <w:lang w:val="en-GB"/>
              </w:rPr>
            </w:pPr>
            <w:r>
              <w:rPr>
                <w:lang w:val="en-GB"/>
              </w:rPr>
              <w:t>Botswana</w:t>
            </w:r>
          </w:p>
        </w:tc>
        <w:tc>
          <w:tcPr>
            <w:tcW w:w="2105" w:type="dxa"/>
          </w:tcPr>
          <w:p w:rsidR="00000000" w:rsidRDefault="00000000">
            <w:pPr>
              <w:keepNext/>
              <w:keepLines/>
              <w:spacing w:after="240"/>
              <w:rPr>
                <w:lang w:val="en-GB"/>
              </w:rPr>
            </w:pPr>
            <w:r>
              <w:rPr>
                <w:lang w:val="en-GB"/>
              </w:rPr>
              <w:t>CRC/C/51/</w:t>
            </w:r>
            <w:proofErr w:type="spellStart"/>
            <w:r>
              <w:rPr>
                <w:lang w:val="en-GB"/>
              </w:rPr>
              <w:t>Add.9</w:t>
            </w:r>
            <w:proofErr w:type="spellEnd"/>
          </w:p>
        </w:tc>
      </w:tr>
      <w:tr w:rsidR="00000000">
        <w:tblPrEx>
          <w:tblCellMar>
            <w:top w:w="0" w:type="dxa"/>
            <w:bottom w:w="0" w:type="dxa"/>
          </w:tblCellMar>
        </w:tblPrEx>
        <w:trPr>
          <w:jc w:val="center"/>
        </w:trPr>
        <w:tc>
          <w:tcPr>
            <w:tcW w:w="2410" w:type="dxa"/>
          </w:tcPr>
          <w:p w:rsidR="00000000" w:rsidRDefault="00000000">
            <w:pPr>
              <w:spacing w:after="240"/>
              <w:rPr>
                <w:lang w:val="es-ES_tradnl"/>
              </w:rPr>
            </w:pPr>
            <w:r>
              <w:rPr>
                <w:lang w:val="es-ES_tradnl"/>
              </w:rPr>
              <w:t>Lunes 20 de septiembre</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Croacia</w:t>
            </w:r>
          </w:p>
        </w:tc>
        <w:tc>
          <w:tcPr>
            <w:tcW w:w="2105" w:type="dxa"/>
          </w:tcPr>
          <w:p w:rsidR="00000000" w:rsidRDefault="00000000">
            <w:pPr>
              <w:spacing w:after="240"/>
              <w:rPr>
                <w:lang w:val="es-ES_tradnl"/>
              </w:rPr>
            </w:pPr>
            <w:r>
              <w:rPr>
                <w:lang w:val="es-ES_tradnl"/>
              </w:rPr>
              <w:t>CRC/C/70/Add.23</w:t>
            </w:r>
          </w:p>
        </w:tc>
      </w:tr>
      <w:tr w:rsidR="00000000">
        <w:tblPrEx>
          <w:tblCellMar>
            <w:top w:w="0" w:type="dxa"/>
            <w:bottom w:w="0" w:type="dxa"/>
          </w:tblCellMar>
        </w:tblPrEx>
        <w:trPr>
          <w:jc w:val="center"/>
        </w:trPr>
        <w:tc>
          <w:tcPr>
            <w:tcW w:w="2410" w:type="dxa"/>
          </w:tcPr>
          <w:p w:rsidR="00000000" w:rsidRDefault="00000000">
            <w:pPr>
              <w:spacing w:after="240"/>
              <w:rPr>
                <w:lang w:val="es-ES_tradnl"/>
              </w:rPr>
            </w:pPr>
            <w:r>
              <w:rPr>
                <w:lang w:val="es-ES_tradnl"/>
              </w:rPr>
              <w:t>Martes 21 de septiembre</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Bahamas</w:t>
            </w:r>
          </w:p>
        </w:tc>
        <w:tc>
          <w:tcPr>
            <w:tcW w:w="2105" w:type="dxa"/>
          </w:tcPr>
          <w:p w:rsidR="00000000" w:rsidRDefault="00000000">
            <w:pPr>
              <w:spacing w:after="240"/>
            </w:pPr>
            <w:r>
              <w:t>CRC/C/8/Add.50</w:t>
            </w:r>
          </w:p>
        </w:tc>
      </w:tr>
      <w:tr w:rsidR="00000000">
        <w:tblPrEx>
          <w:tblCellMar>
            <w:top w:w="0" w:type="dxa"/>
            <w:bottom w:w="0" w:type="dxa"/>
          </w:tblCellMar>
        </w:tblPrEx>
        <w:trPr>
          <w:jc w:val="center"/>
        </w:trPr>
        <w:tc>
          <w:tcPr>
            <w:tcW w:w="2410" w:type="dxa"/>
          </w:tcPr>
          <w:p w:rsidR="00000000" w:rsidRDefault="00000000">
            <w:pPr>
              <w:spacing w:after="240"/>
              <w:rPr>
                <w:lang w:val="es-ES_tradnl"/>
              </w:rPr>
            </w:pPr>
            <w:r>
              <w:rPr>
                <w:lang w:val="es-ES_tradnl"/>
              </w:rPr>
              <w:t>Jueves 23 de septiembre</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proofErr w:type="spellStart"/>
            <w:r>
              <w:t>Kirguistán</w:t>
            </w:r>
            <w:proofErr w:type="spellEnd"/>
          </w:p>
        </w:tc>
        <w:tc>
          <w:tcPr>
            <w:tcW w:w="2105" w:type="dxa"/>
          </w:tcPr>
          <w:p w:rsidR="00000000" w:rsidRDefault="00000000">
            <w:pPr>
              <w:spacing w:after="240"/>
            </w:pPr>
            <w:r>
              <w:t>CRC/C/104/Add.4</w:t>
            </w:r>
          </w:p>
        </w:tc>
      </w:tr>
      <w:tr w:rsidR="00000000">
        <w:tblPrEx>
          <w:tblCellMar>
            <w:top w:w="0" w:type="dxa"/>
            <w:bottom w:w="0" w:type="dxa"/>
          </w:tblCellMar>
        </w:tblPrEx>
        <w:trPr>
          <w:jc w:val="center"/>
        </w:trPr>
        <w:tc>
          <w:tcPr>
            <w:tcW w:w="2410" w:type="dxa"/>
          </w:tcPr>
          <w:p w:rsidR="00000000" w:rsidRDefault="00000000">
            <w:pPr>
              <w:spacing w:after="240"/>
              <w:rPr>
                <w:lang w:val="es-ES_tradnl"/>
              </w:rPr>
            </w:pPr>
            <w:r>
              <w:rPr>
                <w:lang w:val="es-ES_tradnl"/>
              </w:rPr>
              <w:t>Viernes 24 de septiembre</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Guinea Ecuatorial</w:t>
            </w:r>
          </w:p>
        </w:tc>
        <w:tc>
          <w:tcPr>
            <w:tcW w:w="2105" w:type="dxa"/>
          </w:tcPr>
          <w:p w:rsidR="00000000" w:rsidRDefault="00000000">
            <w:pPr>
              <w:spacing w:after="240"/>
              <w:rPr>
                <w:lang w:val="es-ES_tradnl"/>
              </w:rPr>
            </w:pPr>
            <w:r>
              <w:rPr>
                <w:lang w:val="es-ES_tradnl"/>
              </w:rPr>
              <w:t>CRC/C/11/Add.26</w:t>
            </w:r>
          </w:p>
        </w:tc>
      </w:tr>
      <w:tr w:rsidR="00000000">
        <w:tblPrEx>
          <w:tblCellMar>
            <w:top w:w="0" w:type="dxa"/>
            <w:bottom w:w="0" w:type="dxa"/>
          </w:tblCellMar>
        </w:tblPrEx>
        <w:trPr>
          <w:jc w:val="center"/>
        </w:trPr>
        <w:tc>
          <w:tcPr>
            <w:tcW w:w="2410" w:type="dxa"/>
          </w:tcPr>
          <w:p w:rsidR="00000000" w:rsidRDefault="00000000">
            <w:pPr>
              <w:spacing w:after="240"/>
              <w:rPr>
                <w:lang w:val="es-ES_tradnl"/>
              </w:rPr>
            </w:pPr>
            <w:r>
              <w:rPr>
                <w:lang w:val="es-ES_tradnl"/>
              </w:rPr>
              <w:t>Lunes 27 de septiembre</w:t>
            </w:r>
          </w:p>
        </w:tc>
        <w:tc>
          <w:tcPr>
            <w:tcW w:w="2340" w:type="dxa"/>
          </w:tcPr>
          <w:p w:rsidR="00000000" w:rsidRDefault="00000000">
            <w:pPr>
              <w:spacing w:after="240"/>
            </w:pPr>
            <w:r>
              <w:rPr>
                <w:lang w:val="es-ES_tradnl"/>
              </w:rPr>
              <w:t>10.00 a 13.00 horas</w:t>
            </w:r>
            <w:r>
              <w:rPr>
                <w:lang w:val="es-ES_tradnl"/>
              </w:rPr>
              <w:br/>
              <w:t>15.00 a 18.00 horas</w:t>
            </w:r>
          </w:p>
        </w:tc>
        <w:tc>
          <w:tcPr>
            <w:tcW w:w="2520" w:type="dxa"/>
          </w:tcPr>
          <w:p w:rsidR="00000000" w:rsidRDefault="00000000">
            <w:pPr>
              <w:spacing w:after="240"/>
            </w:pPr>
            <w:r>
              <w:t>Angola</w:t>
            </w:r>
          </w:p>
        </w:tc>
        <w:tc>
          <w:tcPr>
            <w:tcW w:w="2105" w:type="dxa"/>
          </w:tcPr>
          <w:p w:rsidR="00000000" w:rsidRDefault="00000000">
            <w:pPr>
              <w:spacing w:after="240"/>
              <w:rPr>
                <w:lang w:val="es-ES_tradnl"/>
              </w:rPr>
            </w:pPr>
            <w:r>
              <w:rPr>
                <w:lang w:val="es-ES_tradnl"/>
              </w:rPr>
              <w:t>CRC/C/3/Add.66</w:t>
            </w:r>
          </w:p>
        </w:tc>
      </w:tr>
      <w:tr w:rsidR="00000000">
        <w:tblPrEx>
          <w:tblCellMar>
            <w:top w:w="0" w:type="dxa"/>
            <w:bottom w:w="0" w:type="dxa"/>
          </w:tblCellMar>
        </w:tblPrEx>
        <w:trPr>
          <w:jc w:val="center"/>
        </w:trPr>
        <w:tc>
          <w:tcPr>
            <w:tcW w:w="2410" w:type="dxa"/>
          </w:tcPr>
          <w:p w:rsidR="00000000" w:rsidRDefault="00000000">
            <w:pPr>
              <w:rPr>
                <w:lang w:val="es-ES_tradnl"/>
              </w:rPr>
            </w:pPr>
            <w:r>
              <w:rPr>
                <w:lang w:val="es-ES_tradnl"/>
              </w:rPr>
              <w:t>Martes 28 de septiembre</w:t>
            </w:r>
          </w:p>
        </w:tc>
        <w:tc>
          <w:tcPr>
            <w:tcW w:w="2340" w:type="dxa"/>
          </w:tcPr>
          <w:p w:rsidR="00000000" w:rsidRDefault="00000000">
            <w:r>
              <w:rPr>
                <w:lang w:val="es-ES_tradnl"/>
              </w:rPr>
              <w:t>10.00 a 13.00 horas</w:t>
            </w:r>
            <w:r>
              <w:rPr>
                <w:lang w:val="es-ES_tradnl"/>
              </w:rPr>
              <w:br/>
              <w:t>15.00 a 18.00 horas</w:t>
            </w:r>
          </w:p>
        </w:tc>
        <w:tc>
          <w:tcPr>
            <w:tcW w:w="2520" w:type="dxa"/>
          </w:tcPr>
          <w:p w:rsidR="00000000" w:rsidRDefault="00000000">
            <w:pPr>
              <w:rPr>
                <w:lang w:val="es-ES_tradnl"/>
              </w:rPr>
            </w:pPr>
            <w:r>
              <w:rPr>
                <w:lang w:val="es-ES_tradnl"/>
              </w:rPr>
              <w:t>Antigua y Barbuda</w:t>
            </w:r>
          </w:p>
        </w:tc>
        <w:tc>
          <w:tcPr>
            <w:tcW w:w="2105" w:type="dxa"/>
          </w:tcPr>
          <w:p w:rsidR="00000000" w:rsidRDefault="00000000">
            <w:pPr>
              <w:rPr>
                <w:lang w:val="en-US"/>
              </w:rPr>
            </w:pPr>
            <w:proofErr w:type="spellStart"/>
            <w:r>
              <w:rPr>
                <w:lang w:val="en-US"/>
              </w:rPr>
              <w:t>CRC/C/28/Add.22</w:t>
            </w:r>
            <w:proofErr w:type="spellEnd"/>
          </w:p>
        </w:tc>
      </w:tr>
    </w:tbl>
    <w:p w:rsidR="00000000" w:rsidRDefault="00000000">
      <w:pPr>
        <w:spacing w:before="480"/>
        <w:rPr>
          <w:lang w:val="es-ES_tradnl"/>
        </w:rPr>
      </w:pPr>
      <w:r>
        <w:rPr>
          <w:lang w:val="es-ES_tradnl"/>
        </w:rPr>
        <w:t>15.</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before="240"/>
        <w:rPr>
          <w:lang w:val="es-ES_tradnl"/>
        </w:rPr>
      </w:pPr>
      <w:r>
        <w:rPr>
          <w:lang w:val="es-ES_tradnl"/>
        </w:rPr>
        <w:t>16.</w:t>
      </w:r>
      <w:r>
        <w:rPr>
          <w:lang w:val="es-ES_tradnl"/>
        </w:rPr>
        <w:tab/>
        <w:t>A la luz de los artículos 44 y 45 de la Convención, el Comité adoptará observaciones finales y recomendaciones para todos los Estados Partes cuyos informes haya examinado en su 37º período de sesiones en su última sesión, programada para el 1º de octubre de 2004 en el </w:t>
      </w:r>
      <w:proofErr w:type="spellStart"/>
      <w:r>
        <w:rPr>
          <w:lang w:val="es-ES_tradnl"/>
        </w:rPr>
        <w:t>Palais</w:t>
      </w:r>
      <w:proofErr w:type="spellEnd"/>
      <w:r>
        <w:rPr>
          <w:lang w:val="es-ES_tradnl"/>
        </w:rPr>
        <w:t xml:space="preserve"> Wilson, Ginebra.  Se invita a asistir a esta sesión pública a los representantes de los nueve Estados Partes cuyos informes está previsto examinar en este período de sesiones. También se invita a asistir a esta sesión a los representantes de otros Estados Partes, organismos especializados y órganos de las Naciones Unidas y a todas las demás entidades competentes y observadores.</w:t>
      </w:r>
    </w:p>
    <w:p w:rsidR="00000000" w:rsidRDefault="00000000">
      <w:pPr>
        <w:spacing w:before="240" w:after="240"/>
        <w:rPr>
          <w:lang w:val="es-ES_tradnl"/>
        </w:rPr>
      </w:pPr>
      <w:r>
        <w:rPr>
          <w:lang w:val="es-ES_tradnl"/>
        </w:rPr>
        <w:t>17.</w:t>
      </w:r>
      <w:r>
        <w:rPr>
          <w:lang w:val="es-ES_tradnl"/>
        </w:rPr>
        <w:tab/>
        <w:t>De conformidad con el artículo 68 del reglamento provisional del Comité, el Secretario General ha notificado a los Estados Partes interesados la fecha de apertura, la duración y el lugar de celebración del 37º período de sesiones del Comité durante el cual se examinarán sus respectivos informes, y les ha pedido que envíen sus representantes a las sesiones del Comité en que se examinarán sus informes.</w:t>
      </w:r>
    </w:p>
    <w:p w:rsidR="00000000" w:rsidRDefault="00000000">
      <w:pPr>
        <w:keepNext/>
        <w:tabs>
          <w:tab w:val="left" w:pos="993"/>
        </w:tabs>
        <w:spacing w:after="240"/>
        <w:ind w:left="992" w:hanging="992"/>
        <w:rPr>
          <w:b/>
          <w:bCs/>
          <w:lang w:val="es-ES_tradnl"/>
        </w:rPr>
      </w:pPr>
      <w:r>
        <w:rPr>
          <w:b/>
          <w:bCs/>
          <w:lang w:val="es-ES_tradnl"/>
        </w:rPr>
        <w:t>Tema 5 -</w:t>
      </w:r>
      <w:r>
        <w:rPr>
          <w:b/>
          <w:bCs/>
          <w:lang w:val="es-ES_tradnl"/>
        </w:rPr>
        <w:tab/>
        <w:t>Cooperación con otros órganos, organismos especializados y entidades competentes de las Naciones Unidas</w:t>
      </w:r>
    </w:p>
    <w:p w:rsidR="00000000" w:rsidRDefault="00000000">
      <w:pPr>
        <w:spacing w:after="240"/>
        <w:rPr>
          <w:lang w:val="es-ES_tradnl"/>
        </w:rPr>
      </w:pPr>
      <w:r>
        <w:rPr>
          <w:lang w:val="es-ES_tradnl"/>
        </w:rPr>
        <w:t>18.</w:t>
      </w:r>
      <w:r>
        <w:rPr>
          <w:lang w:val="es-ES_tradnl"/>
        </w:rPr>
        <w:tab/>
        <w:t>En relación con este tema, el Comité tal vez desee proseguir su debate sobre las formas y las esferas en que se podría reforzar la cooperación con diversos órganos competentes para mejorar la promoción y protección de los derechos del niño.</w:t>
      </w:r>
    </w:p>
    <w:p w:rsidR="00000000" w:rsidRDefault="00000000">
      <w:pPr>
        <w:spacing w:after="240"/>
        <w:rPr>
          <w:b/>
          <w:bCs/>
          <w:lang w:val="es-ES_tradnl"/>
        </w:rPr>
      </w:pPr>
      <w:r>
        <w:rPr>
          <w:b/>
          <w:bCs/>
          <w:lang w:val="es-ES_tradnl"/>
        </w:rPr>
        <w:t>Tema 6 - Métodos de trabajo del Comité</w:t>
      </w:r>
    </w:p>
    <w:p w:rsidR="00000000" w:rsidRDefault="00000000">
      <w:pPr>
        <w:spacing w:after="240"/>
        <w:rPr>
          <w:lang w:val="es-ES_tradnl"/>
        </w:rPr>
      </w:pPr>
      <w:r>
        <w:rPr>
          <w:lang w:val="es-ES_tradnl"/>
        </w:rPr>
        <w:t>19.</w:t>
      </w:r>
      <w:r>
        <w:rPr>
          <w:lang w:val="es-ES_tradnl"/>
        </w:rPr>
        <w:tab/>
        <w:t>En relación con este tema, el Comité podría continuar su debate sobre la organización de su labor futura y el procedimiento que habrá de seguirse para examinar los informes de los Estados Partes y su seguimiento, incluida, de ser necesario, la determinación de las esferas en que deba prestarse asistencia técnica.</w:t>
      </w:r>
    </w:p>
    <w:p w:rsidR="00000000" w:rsidRDefault="00000000">
      <w:pPr>
        <w:spacing w:after="240"/>
        <w:rPr>
          <w:lang w:val="es-ES_tradnl"/>
        </w:rPr>
      </w:pPr>
      <w:r>
        <w:rPr>
          <w:lang w:val="es-ES_tradnl"/>
        </w:rPr>
        <w:t>20.</w:t>
      </w:r>
      <w:r>
        <w:rPr>
          <w:lang w:val="es-ES_tradnl"/>
        </w:rPr>
        <w:tab/>
        <w:t>El Comité dispondrá de una nota de la secretaría en que figura la recopilación de las conclusiones y recomendaciones que el Comité ha aprobado desde su primer período de sesiones hasta su 29º período de sesiones (CRC/C/19/Rev.10).</w:t>
      </w:r>
    </w:p>
    <w:p w:rsidR="00000000" w:rsidRDefault="00000000">
      <w:pPr>
        <w:spacing w:after="240"/>
        <w:rPr>
          <w:b/>
          <w:bCs/>
          <w:lang w:val="es-ES_tradnl"/>
        </w:rPr>
      </w:pPr>
      <w:r>
        <w:rPr>
          <w:b/>
          <w:bCs/>
          <w:lang w:val="es-ES_tradnl"/>
        </w:rPr>
        <w:t>Tema 7 - Observaciones generales</w:t>
      </w:r>
    </w:p>
    <w:p w:rsidR="00000000" w:rsidRDefault="00000000">
      <w:pPr>
        <w:spacing w:after="240"/>
        <w:rPr>
          <w:lang w:val="es-ES_tradnl"/>
        </w:rPr>
      </w:pPr>
      <w:r>
        <w:rPr>
          <w:lang w:val="es-ES_tradnl"/>
        </w:rPr>
        <w:t>21.</w:t>
      </w:r>
      <w:r>
        <w:rPr>
          <w:lang w:val="es-ES_tradnl"/>
        </w:rPr>
        <w:tab/>
        <w:t>En relación con este tema, el Comité tal vez desee seguir elaborando observaciones generales sobre la base de los diversos principios y disposiciones de la Convención.</w:t>
      </w:r>
    </w:p>
    <w:p w:rsidR="00000000" w:rsidRDefault="00000000">
      <w:pPr>
        <w:pStyle w:val="Heading3"/>
      </w:pPr>
      <w:r>
        <w:t>Tema 8 – Día de debate general</w:t>
      </w:r>
    </w:p>
    <w:p w:rsidR="00000000" w:rsidRDefault="00000000">
      <w:pPr>
        <w:spacing w:after="240"/>
        <w:rPr>
          <w:lang w:val="es-ES_tradnl"/>
        </w:rPr>
      </w:pPr>
      <w:r>
        <w:rPr>
          <w:lang w:val="es-ES_tradnl"/>
        </w:rPr>
        <w:t>22.</w:t>
      </w:r>
      <w:r>
        <w:rPr>
          <w:lang w:val="es-ES_tradnl"/>
        </w:rPr>
        <w:tab/>
        <w:t>De conformidad con el artículo 75 de su reglamento provisional, en su 33º período de sesiones el Comité decidió consagrar un día de debate general en su 37º período de sesiones a la cuestión de la "Realización de los derechos del niño en la primera infancia" y convino en invitar a los Estados Partes, organizaciones y personas interesados a participar en ese debate, que tendrá lugar el viernes 17 de septiembre de 2004.  En su 35º período de sesiones, el Comité aprobó un esquema para el día de debate (véase CRC/C/137, anexo II).  La secretaría ha enviado las invitaciones a las organizaciones y personas pertinentes.</w:t>
      </w:r>
    </w:p>
    <w:p w:rsidR="00000000" w:rsidRDefault="00000000">
      <w:pPr>
        <w:spacing w:after="240"/>
        <w:rPr>
          <w:b/>
          <w:bCs/>
          <w:lang w:val="es-ES_tradnl"/>
        </w:rPr>
      </w:pPr>
      <w:r>
        <w:rPr>
          <w:b/>
          <w:bCs/>
          <w:lang w:val="es-ES_tradnl"/>
        </w:rPr>
        <w:t>Tema 9 - Reuniones futuras</w:t>
      </w:r>
    </w:p>
    <w:p w:rsidR="00000000" w:rsidRDefault="00000000">
      <w:pPr>
        <w:spacing w:after="240"/>
        <w:rPr>
          <w:lang w:val="es-ES_tradnl"/>
        </w:rPr>
      </w:pPr>
      <w:r>
        <w:rPr>
          <w:lang w:val="es-ES_tradnl"/>
        </w:rPr>
        <w:t>23.</w:t>
      </w:r>
      <w:r>
        <w:rPr>
          <w:lang w:val="es-ES_tradnl"/>
        </w:rPr>
        <w:tab/>
        <w:t>En relación con este tema, se informará al Comité de cualquier novedad en relación con el calendario de sus futuras reuniones.</w:t>
      </w:r>
    </w:p>
    <w:p w:rsidR="00000000" w:rsidRDefault="00000000">
      <w:pPr>
        <w:spacing w:after="240"/>
        <w:rPr>
          <w:b/>
          <w:bCs/>
          <w:lang w:val="es-ES_tradnl"/>
        </w:rPr>
      </w:pPr>
      <w:r>
        <w:rPr>
          <w:b/>
          <w:bCs/>
          <w:lang w:val="es-ES_tradnl"/>
        </w:rPr>
        <w:t>Tema 10 - Otros asuntos</w:t>
      </w:r>
    </w:p>
    <w:p w:rsidR="00000000" w:rsidRDefault="00000000">
      <w:pPr>
        <w:spacing w:after="240"/>
        <w:rPr>
          <w:lang w:val="es-ES_tradnl"/>
        </w:rPr>
      </w:pPr>
      <w:r>
        <w:rPr>
          <w:lang w:val="es-ES_tradnl"/>
        </w:rPr>
        <w:t>24.</w:t>
      </w:r>
      <w:r>
        <w:rPr>
          <w:lang w:val="es-ES_tradnl"/>
        </w:rPr>
        <w:tab/>
        <w:t>En relación con este tema, los miembros del Comité tal vez deseen examinar otros asuntos relativos a la labor de éste, según proceda.</w:t>
      </w:r>
    </w:p>
    <w:p w:rsidR="00000000" w:rsidRDefault="00000000">
      <w:pPr>
        <w:jc w:val="cente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CRC/C/141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60"/>
      </w:tabs>
    </w:pPr>
    <w:r>
      <w:tab/>
      <w:t>CRC/C/141</w:t>
    </w:r>
  </w:p>
  <w:p w:rsidR="00000000" w:rsidRDefault="00000000">
    <w:pPr>
      <w:tabs>
        <w:tab w:val="left" w:pos="816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outlineLvl w:val="0"/>
    </w:pPr>
    <w:rPr>
      <w:i/>
      <w:iCs/>
      <w:lang w:val="es-ES_tradnl"/>
    </w:rPr>
  </w:style>
  <w:style w:type="paragraph" w:styleId="Heading2">
    <w:name w:val="heading 2"/>
    <w:basedOn w:val="Normal"/>
    <w:next w:val="Normal"/>
    <w:qFormat/>
    <w:pPr>
      <w:keepNext/>
      <w:spacing w:before="480" w:after="240"/>
      <w:jc w:val="center"/>
      <w:outlineLvl w:val="1"/>
    </w:pPr>
    <w:rPr>
      <w:b/>
      <w:bCs/>
      <w:lang w:val="es-ES_tradnl"/>
    </w:rPr>
  </w:style>
  <w:style w:type="paragraph" w:styleId="Heading3">
    <w:name w:val="heading 3"/>
    <w:basedOn w:val="Normal"/>
    <w:next w:val="Normal"/>
    <w:qFormat/>
    <w:pPr>
      <w:keepNext/>
      <w:spacing w:after="240"/>
      <w:outlineLvl w:val="2"/>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before="480" w:after="240"/>
      <w:ind w:firstLine="567"/>
    </w:pPr>
    <w:rPr>
      <w:lang w:val="es-ES_tradnl"/>
    </w:rPr>
  </w:style>
  <w:style w:type="paragraph" w:styleId="BodyTextIndent2">
    <w:name w:val="Body Text Indent 2"/>
    <w:basedOn w:val="Normal"/>
    <w:semiHidden/>
    <w:pPr>
      <w:spacing w:before="480" w:after="240"/>
      <w:ind w:firstLine="567"/>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2462</Words>
  <Characters>14036</Characters>
  <Application>Microsoft Office Word</Application>
  <DocSecurity>4</DocSecurity>
  <Lines>116</Lines>
  <Paragraphs>28</Paragraphs>
  <ScaleCrop>false</ScaleCrop>
  <HeadingPairs>
    <vt:vector size="2" baseType="variant">
      <vt:variant>
        <vt:lpstr>Título</vt:lpstr>
      </vt:variant>
      <vt:variant>
        <vt:i4>1</vt:i4>
      </vt:variant>
    </vt:vector>
  </HeadingPairs>
  <TitlesOfParts>
    <vt:vector size="1" baseType="lpstr">
      <vt:lpstr>CRC/C/141  04-43001</vt:lpstr>
    </vt:vector>
  </TitlesOfParts>
  <Company>ONU</Company>
  <LinksUpToDate>false</LinksUpToDate>
  <CharactersWithSpaces>17237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CRC/C/141  04-43001</dc:title>
  <dc:subject>10 </dc:subject>
  <dc:creator>Hortensia Martínez</dc:creator>
  <cp:keywords/>
  <dc:description/>
  <cp:lastModifiedBy>PDF</cp:lastModifiedBy>
  <cp:revision>2</cp:revision>
  <cp:lastPrinted>2004-08-11T11:04:00Z</cp:lastPrinted>
  <dcterms:created xsi:type="dcterms:W3CDTF">2004-08-11T12:27:00Z</dcterms:created>
  <dcterms:modified xsi:type="dcterms:W3CDTF">2004-08-11T12:27:00Z</dcterms:modified>
</cp:coreProperties>
</file>