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714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pStyle w:val="BodyTextIndent3"/>
      </w:pPr>
      <w:r>
        <w:t>CRC/C/42/1</w:t>
      </w:r>
      <w:r>
        <w:br/>
        <w:t>15 de marzo de 2006</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spacing w:after="1100"/>
        <w:rPr>
          <w:lang w:val="es-ES_tradnl"/>
        </w:rPr>
      </w:pPr>
      <w:r>
        <w:rPr>
          <w:lang w:val="es-ES_tradnl"/>
        </w:rPr>
        <w:t>COMITÉ DE LOS DERECHOS DEL NIÑO</w:t>
      </w:r>
      <w:r>
        <w:rPr>
          <w:lang w:val="es-ES_tradnl"/>
        </w:rPr>
        <w:br/>
        <w:t>42º período de sesiones</w:t>
      </w:r>
      <w:r>
        <w:rPr>
          <w:lang w:val="es-ES_tradnl"/>
        </w:rPr>
        <w:br/>
        <w:t>Ginebra, 15 de mayo a 2 de junio de 2006</w:t>
      </w:r>
    </w:p>
    <w:p w:rsidR="00000000" w:rsidRDefault="00000000">
      <w:pPr>
        <w:spacing w:after="360"/>
        <w:jc w:val="center"/>
        <w:rPr>
          <w:b/>
          <w:bCs/>
          <w:lang w:val="es-ES_tradnl"/>
        </w:rPr>
      </w:pPr>
      <w:r>
        <w:rPr>
          <w:b/>
          <w:bCs/>
          <w:lang w:val="es-ES_tradnl"/>
        </w:rPr>
        <w:t>PROGRAMA PROVISIONAL Y ANOTACIONES</w:t>
      </w:r>
    </w:p>
    <w:p w:rsidR="00000000" w:rsidRDefault="00000000">
      <w:pPr>
        <w:spacing w:after="360"/>
        <w:jc w:val="center"/>
        <w:rPr>
          <w:b/>
          <w:bCs/>
          <w:lang w:val="es-ES_tradnl"/>
        </w:rPr>
      </w:pPr>
      <w:r>
        <w:rPr>
          <w:b/>
          <w:bCs/>
          <w:lang w:val="es-ES_tradnl"/>
        </w:rPr>
        <w:t>Nota del Secretario General</w:t>
      </w:r>
    </w:p>
    <w:p w:rsidR="00000000" w:rsidRDefault="00000000">
      <w:pPr>
        <w:spacing w:after="240"/>
        <w:rPr>
          <w:lang w:val="es-ES_tradnl"/>
        </w:rPr>
      </w:pPr>
      <w:r>
        <w:rPr>
          <w:lang w:val="es-ES_tradnl"/>
        </w:rPr>
        <w:t>1.</w:t>
      </w:r>
      <w:r>
        <w:rPr>
          <w:lang w:val="es-ES_tradnl"/>
        </w:rPr>
        <w:tab/>
        <w:t>El 42º período de sesiones del Comité de los Derechos del Niño tendrá lugar en la Oficina de las Naciones Unidas en Ginebra del 15 de mayo al 2 de junio de 2006.  La primera sesión se celebrará el lunes 15 de mayo de 2006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42º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42º período de sesiones.</w:t>
      </w:r>
    </w:p>
    <w:p w:rsidR="00000000" w:rsidRDefault="00000000">
      <w:pPr>
        <w:spacing w:after="240"/>
        <w:rPr>
          <w:lang w:val="es-ES_tradnl"/>
        </w:rPr>
      </w:pPr>
      <w:r>
        <w:rPr>
          <w:lang w:val="es-ES_tradnl"/>
        </w:rPr>
        <w:t>5.</w:t>
      </w:r>
      <w:r>
        <w:rPr>
          <w:lang w:val="es-ES_tradnl"/>
        </w:rPr>
        <w:tab/>
        <w:t>Del</w:t>
      </w:r>
      <w:r>
        <w:rPr>
          <w:bCs/>
          <w:lang w:val="es-ES_tradnl"/>
        </w:rPr>
        <w:t xml:space="preserve"> 30 de enero al 2 de febrero de 2006 se re</w:t>
      </w:r>
      <w:r>
        <w:rPr>
          <w:lang w:val="es-ES_tradnl"/>
        </w:rPr>
        <w:t>unió en la Oficina de las Naciones Unidas en Ginebra un grupo de trabajo previo al período de sesiones establecido de conformidad con el artículo 63 del reglamento provisional.</w:t>
      </w:r>
    </w:p>
    <w:p w:rsidR="00000000" w:rsidRDefault="00000000">
      <w:pPr>
        <w:spacing w:after="240"/>
        <w:rPr>
          <w:lang w:val="es-ES_tradnl"/>
        </w:rPr>
      </w:pPr>
    </w:p>
    <w:p w:rsidR="00000000" w:rsidRDefault="00000000">
      <w:pPr>
        <w:spacing w:after="240"/>
        <w:rPr>
          <w:lang w:val="es-ES_tradnl"/>
        </w:rPr>
      </w:pPr>
    </w:p>
    <w:p w:rsidR="00000000" w:rsidRDefault="00000000">
      <w:pPr>
        <w:rPr>
          <w:lang w:val="es-ES_tradnl"/>
        </w:rPr>
      </w:pPr>
      <w:r>
        <w:rPr>
          <w:lang w:val="en-GB"/>
        </w:rPr>
        <w:t>GE.06-40910  (S)    310306    03</w:t>
      </w:r>
      <w:r>
        <w:rPr>
          <w:lang w:val="es-ES_tradnl"/>
        </w:rPr>
        <w:t>0406</w:t>
      </w:r>
    </w:p>
    <w:p w:rsidR="00000000" w:rsidRDefault="00000000">
      <w:pPr>
        <w:spacing w:after="240"/>
        <w:jc w:val="center"/>
        <w:rPr>
          <w:b/>
          <w:bCs/>
          <w:lang w:val="es-ES_tradnl"/>
        </w:rPr>
      </w:pPr>
      <w:r>
        <w:rPr>
          <w:b/>
          <w:bCs/>
          <w:lang w:val="es-ES_tradnl"/>
        </w:rPr>
        <w:br w:type="page"/>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w:t>
      </w:r>
    </w:p>
    <w:p w:rsidR="00000000" w:rsidRDefault="00000000">
      <w:pPr>
        <w:spacing w:after="240"/>
        <w:rPr>
          <w:lang w:val="es-ES_tradnl"/>
        </w:rPr>
      </w:pPr>
      <w:r>
        <w:rPr>
          <w:lang w:val="es-ES_tradnl"/>
        </w:rPr>
        <w:t>3.</w:t>
      </w:r>
      <w:r>
        <w:rPr>
          <w:lang w:val="es-ES_tradnl"/>
        </w:rPr>
        <w:tab/>
        <w:t>Presentación de informes por los Estados Partes.</w:t>
      </w:r>
    </w:p>
    <w:p w:rsidR="00000000" w:rsidRDefault="00000000">
      <w:pPr>
        <w:spacing w:after="240"/>
        <w:rPr>
          <w:lang w:val="es-ES_tradnl"/>
        </w:rPr>
      </w:pPr>
      <w:r>
        <w:rPr>
          <w:lang w:val="es-ES_tradnl"/>
        </w:rPr>
        <w:t>4.</w:t>
      </w:r>
      <w:r>
        <w:rPr>
          <w:lang w:val="es-ES_tradnl"/>
        </w:rPr>
        <w:tab/>
        <w:t>Examen de los informes presentados por los Estados Partes.</w:t>
      </w:r>
    </w:p>
    <w:p w:rsidR="00000000" w:rsidRDefault="00000000">
      <w:pPr>
        <w:spacing w:after="240"/>
        <w:ind w:left="567"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spacing w:after="240"/>
        <w:ind w:left="567" w:hanging="567"/>
        <w:rPr>
          <w:lang w:val="es-ES_tradnl"/>
        </w:rPr>
      </w:pPr>
      <w:r>
        <w:rPr>
          <w:lang w:val="es-ES_tradnl"/>
        </w:rPr>
        <w:t>6.</w:t>
      </w:r>
      <w:r>
        <w:rPr>
          <w:lang w:val="es-ES_tradnl"/>
        </w:rPr>
        <w:tab/>
        <w:t>Métodos de trabajo del Comité.</w:t>
      </w:r>
    </w:p>
    <w:p w:rsidR="00000000" w:rsidRDefault="00000000">
      <w:pPr>
        <w:spacing w:after="240"/>
        <w:ind w:left="567" w:hanging="567"/>
        <w:rPr>
          <w:lang w:val="es-ES_tradnl"/>
        </w:rPr>
      </w:pPr>
      <w:r>
        <w:rPr>
          <w:lang w:val="es-ES_tradnl"/>
        </w:rPr>
        <w:t>7.</w:t>
      </w:r>
      <w:r>
        <w:rPr>
          <w:lang w:val="es-ES_tradnl"/>
        </w:rPr>
        <w:tab/>
        <w:t>Observaciones generales.</w:t>
      </w:r>
    </w:p>
    <w:p w:rsidR="00000000" w:rsidRDefault="00000000">
      <w:pPr>
        <w:spacing w:after="240"/>
        <w:ind w:left="567" w:hanging="567"/>
        <w:rPr>
          <w:lang w:val="es-ES_tradnl"/>
        </w:rPr>
      </w:pPr>
      <w:r>
        <w:rPr>
          <w:lang w:val="es-ES_tradnl"/>
        </w:rPr>
        <w:t>8.</w:t>
      </w:r>
      <w:r>
        <w:rPr>
          <w:lang w:val="es-ES_tradnl"/>
        </w:rPr>
        <w:tab/>
        <w:t>Reuniones futuras.</w:t>
      </w:r>
    </w:p>
    <w:p w:rsidR="00000000" w:rsidRDefault="00000000">
      <w:pPr>
        <w:spacing w:after="480"/>
        <w:rPr>
          <w:lang w:val="es-ES_tradnl"/>
        </w:rPr>
      </w:pPr>
      <w:r>
        <w:rPr>
          <w:lang w:val="es-ES_tradnl"/>
        </w:rPr>
        <w:t>9.</w:t>
      </w:r>
      <w:r>
        <w:rPr>
          <w:lang w:val="es-ES_tradnl"/>
        </w:rPr>
        <w:tab/>
        <w:t>Otros asuntos.</w:t>
      </w:r>
    </w:p>
    <w:p w:rsidR="00000000" w:rsidRDefault="00000000">
      <w:pPr>
        <w:spacing w:after="240"/>
        <w:jc w:val="center"/>
        <w:rPr>
          <w:lang w:val="es-ES_tradnl"/>
        </w:rPr>
      </w:pPr>
      <w:r>
        <w:rPr>
          <w:b/>
          <w:bCs/>
          <w:lang w:val="es-ES_tradnl"/>
        </w:rPr>
        <w:t>ANOTACIONES</w:t>
      </w:r>
    </w:p>
    <w:p w:rsidR="00000000" w:rsidRDefault="00000000">
      <w:pPr>
        <w:spacing w:after="240"/>
        <w:rPr>
          <w:b/>
          <w:bCs/>
          <w:lang w:val="es-ES_tradnl"/>
        </w:rPr>
      </w:pPr>
      <w:r>
        <w:rPr>
          <w:b/>
          <w:bCs/>
          <w:lang w:val="es-ES_tradnl"/>
        </w:rPr>
        <w:t>Tema 1 - Aprobación del programa</w:t>
      </w:r>
    </w:p>
    <w:p w:rsidR="00000000" w:rsidRDefault="00000000">
      <w:pPr>
        <w:spacing w:after="240"/>
        <w:rPr>
          <w:lang w:val="es-ES_tradnl"/>
        </w:rPr>
      </w:pPr>
      <w:r>
        <w:rPr>
          <w:lang w:val="es-ES_tradnl"/>
        </w:rPr>
        <w:t>1.</w:t>
      </w:r>
      <w:r>
        <w:rPr>
          <w:lang w:val="es-ES_tradnl"/>
        </w:rPr>
        <w:tab/>
        <w:t>Según el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b/>
          <w:bCs/>
          <w:lang w:val="es-ES_tradnl"/>
        </w:rPr>
      </w:pPr>
      <w:r>
        <w:rPr>
          <w:b/>
          <w:bCs/>
          <w:lang w:val="es-ES_tradnl"/>
        </w:rPr>
        <w:t>Tema 2 - Cuestiones de organización</w:t>
      </w:r>
    </w:p>
    <w:p w:rsidR="00000000" w:rsidRDefault="00000000">
      <w:pPr>
        <w:spacing w:after="240"/>
        <w:rPr>
          <w:lang w:val="es-ES_tradnl"/>
        </w:rPr>
      </w:pPr>
      <w:r>
        <w:rPr>
          <w:lang w:val="es-ES_tradnl"/>
        </w:rPr>
        <w:t>2.</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spacing w:after="240"/>
        <w:ind w:left="992" w:hanging="992"/>
        <w:rPr>
          <w:b/>
          <w:bCs/>
          <w:lang w:val="es-ES_tradnl"/>
        </w:rPr>
      </w:pPr>
      <w:r>
        <w:rPr>
          <w:b/>
          <w:bCs/>
          <w:lang w:val="es-ES_tradnl"/>
        </w:rPr>
        <w:t>Tema 3 - Presentación de informes por los Estados Partes</w:t>
      </w:r>
    </w:p>
    <w:p w:rsidR="00000000" w:rsidRDefault="00000000">
      <w:pPr>
        <w:spacing w:after="240"/>
        <w:ind w:firstLine="567"/>
        <w:rPr>
          <w:b/>
          <w:bCs/>
          <w:lang w:val="es-ES_tradnl"/>
        </w:rPr>
      </w:pPr>
      <w:r>
        <w:rPr>
          <w:b/>
          <w:bCs/>
          <w:lang w:val="es-ES_tradnl"/>
        </w:rPr>
        <w:t>Informes recibidos</w:t>
      </w:r>
    </w:p>
    <w:p w:rsidR="00000000" w:rsidRDefault="00000000">
      <w:pPr>
        <w:spacing w:after="240"/>
        <w:rPr>
          <w:lang w:val="es-ES_tradnl"/>
        </w:rPr>
      </w:pPr>
      <w:r>
        <w:rPr>
          <w:lang w:val="es-ES_tradnl"/>
        </w:rPr>
        <w:t>3.</w:t>
      </w:r>
      <w:r>
        <w:rPr>
          <w:lang w:val="es-ES_tradnl"/>
        </w:rPr>
        <w:tab/>
        <w:t>Además de los informes que está previsto que el Comité examine en su 42º período de sesiones (véase el calendario de examen de los informes en el tema 4), y los informes que figuran en el programa provisional del 41º período de sesiones (CRC/C/41/1), el Secretario General ha recibido el siguiente informe inicial:</w:t>
      </w:r>
    </w:p>
    <w:tbl>
      <w:tblPr>
        <w:tblW w:w="4262" w:type="pct"/>
        <w:jc w:val="center"/>
        <w:tblLook w:val="0000" w:firstRow="0" w:lastRow="0" w:firstColumn="0" w:lastColumn="0" w:noHBand="0" w:noVBand="0"/>
      </w:tblPr>
      <w:tblGrid>
        <w:gridCol w:w="2719"/>
        <w:gridCol w:w="2719"/>
        <w:gridCol w:w="2720"/>
      </w:tblGrid>
      <w:tr w:rsidR="00000000">
        <w:tblPrEx>
          <w:tblCellMar>
            <w:top w:w="0" w:type="dxa"/>
            <w:bottom w:w="0" w:type="dxa"/>
          </w:tblCellMar>
        </w:tblPrEx>
        <w:trPr>
          <w:jc w:val="center"/>
        </w:trPr>
        <w:tc>
          <w:tcPr>
            <w:tcW w:w="1666" w:type="pct"/>
            <w:vAlign w:val="bottom"/>
          </w:tcPr>
          <w:p w:rsidR="00000000" w:rsidRDefault="00000000">
            <w:pPr>
              <w:keepNext/>
              <w:keepLines/>
              <w:spacing w:after="240"/>
              <w:jc w:val="center"/>
              <w:rPr>
                <w:u w:val="single"/>
                <w:lang w:val="es-ES_tradnl"/>
              </w:rPr>
            </w:pPr>
            <w:r>
              <w:rPr>
                <w:b/>
                <w:bCs/>
                <w:lang w:val="es-ES_tradnl"/>
              </w:rPr>
              <w:t>Estado Parte</w:t>
            </w:r>
          </w:p>
        </w:tc>
        <w:tc>
          <w:tcPr>
            <w:tcW w:w="1666" w:type="pct"/>
            <w:vAlign w:val="bottom"/>
          </w:tcPr>
          <w:p w:rsidR="00000000" w:rsidRDefault="00000000">
            <w:pPr>
              <w:keepNext/>
              <w:keepLines/>
              <w:spacing w:after="240"/>
              <w:jc w:val="center"/>
              <w:rPr>
                <w:u w:val="single"/>
                <w:lang w:val="es-ES_tradnl"/>
              </w:rPr>
            </w:pPr>
            <w:r>
              <w:rPr>
                <w:b/>
                <w:bCs/>
                <w:lang w:val="es-ES_tradnl"/>
              </w:rPr>
              <w:t xml:space="preserve">Fecha en que </w:t>
            </w:r>
            <w:r>
              <w:rPr>
                <w:b/>
                <w:bCs/>
                <w:lang w:val="es-ES_tradnl"/>
              </w:rPr>
              <w:br/>
              <w:t>debía presentarse</w:t>
            </w:r>
          </w:p>
        </w:tc>
        <w:tc>
          <w:tcPr>
            <w:tcW w:w="1667" w:type="pct"/>
            <w:vAlign w:val="bottom"/>
          </w:tcPr>
          <w:p w:rsidR="00000000" w:rsidRDefault="00000000">
            <w:pPr>
              <w:keepNext/>
              <w:keepLines/>
              <w:spacing w:after="240"/>
              <w:jc w:val="center"/>
              <w:rPr>
                <w:u w:val="single"/>
              </w:rPr>
            </w:pPr>
            <w:r>
              <w:rPr>
                <w:b/>
                <w:bCs/>
                <w:lang w:val="es-ES_tradnl"/>
              </w:rPr>
              <w:t>Signatura</w:t>
            </w:r>
          </w:p>
        </w:tc>
      </w:tr>
      <w:tr w:rsidR="00000000">
        <w:tblPrEx>
          <w:tblCellMar>
            <w:top w:w="0" w:type="dxa"/>
            <w:bottom w:w="0" w:type="dxa"/>
          </w:tblCellMar>
        </w:tblPrEx>
        <w:trPr>
          <w:trHeight w:val="312"/>
          <w:jc w:val="center"/>
        </w:trPr>
        <w:tc>
          <w:tcPr>
            <w:tcW w:w="1666" w:type="pct"/>
          </w:tcPr>
          <w:p w:rsidR="00000000" w:rsidRDefault="00000000">
            <w:r>
              <w:t>Swazilandia</w:t>
            </w:r>
          </w:p>
        </w:tc>
        <w:tc>
          <w:tcPr>
            <w:tcW w:w="1666" w:type="pct"/>
          </w:tcPr>
          <w:p w:rsidR="00000000" w:rsidRDefault="00000000">
            <w:r>
              <w:t>5 de octubre de 1997</w:t>
            </w:r>
          </w:p>
        </w:tc>
        <w:tc>
          <w:tcPr>
            <w:tcW w:w="1667" w:type="pct"/>
          </w:tcPr>
          <w:p w:rsidR="00000000" w:rsidRDefault="00000000">
            <w:pPr>
              <w:rPr>
                <w:lang w:val="en-GB"/>
              </w:rPr>
            </w:pPr>
            <w:r>
              <w:rPr>
                <w:lang w:val="en-GB"/>
              </w:rPr>
              <w:t>CRC/C/SWZ/1</w:t>
            </w:r>
          </w:p>
        </w:tc>
      </w:tr>
    </w:tbl>
    <w:p w:rsidR="00000000" w:rsidRDefault="00000000">
      <w:pPr>
        <w:tabs>
          <w:tab w:val="left" w:pos="600"/>
        </w:tabs>
        <w:spacing w:before="480" w:after="240"/>
        <w:jc w:val="center"/>
        <w:rPr>
          <w:lang w:val="es-ES_tradnl"/>
        </w:rPr>
      </w:pPr>
      <w:r>
        <w:rPr>
          <w:lang w:val="es-ES_tradnl"/>
        </w:rPr>
        <w:t>4.</w:t>
      </w:r>
      <w:r>
        <w:rPr>
          <w:lang w:val="es-ES_tradnl"/>
        </w:rPr>
        <w:tab/>
        <w:t>El Secretario General ha recibido también el siguiente segundo informe periódico, además de los que está previsto examinar en el 42º período de sesiones:</w:t>
      </w:r>
    </w:p>
    <w:tbl>
      <w:tblPr>
        <w:tblW w:w="4280" w:type="pct"/>
        <w:jc w:val="center"/>
        <w:tblInd w:w="1274" w:type="dxa"/>
        <w:tblLook w:val="0000" w:firstRow="0" w:lastRow="0" w:firstColumn="0" w:lastColumn="0" w:noHBand="0" w:noVBand="0"/>
      </w:tblPr>
      <w:tblGrid>
        <w:gridCol w:w="2731"/>
        <w:gridCol w:w="2732"/>
        <w:gridCol w:w="2730"/>
      </w:tblGrid>
      <w:tr w:rsidR="00000000">
        <w:tblPrEx>
          <w:tblCellMar>
            <w:top w:w="0" w:type="dxa"/>
            <w:bottom w:w="0" w:type="dxa"/>
          </w:tblCellMar>
        </w:tblPrEx>
        <w:trPr>
          <w:tblHeader/>
          <w:jc w:val="center"/>
        </w:trPr>
        <w:tc>
          <w:tcPr>
            <w:tcW w:w="1667" w:type="pct"/>
            <w:vAlign w:val="bottom"/>
          </w:tcPr>
          <w:p w:rsidR="00000000" w:rsidRDefault="00000000">
            <w:pPr>
              <w:spacing w:after="240"/>
              <w:jc w:val="center"/>
              <w:rPr>
                <w:u w:val="single"/>
                <w:lang w:val="es-ES_tradnl"/>
              </w:rPr>
            </w:pPr>
            <w:r>
              <w:rPr>
                <w:b/>
                <w:bCs/>
                <w:lang w:val="es-ES_tradnl"/>
              </w:rPr>
              <w:t>Estado Parte</w:t>
            </w:r>
          </w:p>
        </w:tc>
        <w:tc>
          <w:tcPr>
            <w:tcW w:w="1667" w:type="pct"/>
            <w:vAlign w:val="bottom"/>
          </w:tcPr>
          <w:p w:rsidR="00000000" w:rsidRDefault="00000000">
            <w:pPr>
              <w:spacing w:after="240"/>
              <w:jc w:val="center"/>
              <w:rPr>
                <w:u w:val="single"/>
                <w:lang w:val="es-ES_tradnl"/>
              </w:rPr>
            </w:pPr>
            <w:r>
              <w:rPr>
                <w:b/>
                <w:bCs/>
                <w:lang w:val="es-ES_tradnl"/>
              </w:rPr>
              <w:t xml:space="preserve">Fecha en que </w:t>
            </w:r>
            <w:r>
              <w:rPr>
                <w:b/>
                <w:bCs/>
                <w:lang w:val="es-ES_tradnl"/>
              </w:rPr>
              <w:br/>
              <w:t>debía presentarse</w:t>
            </w:r>
          </w:p>
        </w:tc>
        <w:tc>
          <w:tcPr>
            <w:tcW w:w="1667" w:type="pct"/>
            <w:vAlign w:val="bottom"/>
          </w:tcPr>
          <w:p w:rsidR="00000000" w:rsidRDefault="00000000">
            <w:pPr>
              <w:spacing w:after="240"/>
              <w:jc w:val="center"/>
              <w:rPr>
                <w:u w:val="single"/>
              </w:rPr>
            </w:pPr>
            <w:r>
              <w:rPr>
                <w:b/>
                <w:bCs/>
                <w:lang w:val="es-ES_tradnl"/>
              </w:rPr>
              <w:t>Signatura</w:t>
            </w:r>
          </w:p>
        </w:tc>
      </w:tr>
      <w:tr w:rsidR="00000000">
        <w:tblPrEx>
          <w:tblCellMar>
            <w:top w:w="0" w:type="dxa"/>
            <w:bottom w:w="0" w:type="dxa"/>
          </w:tblCellMar>
        </w:tblPrEx>
        <w:trPr>
          <w:jc w:val="center"/>
        </w:trPr>
        <w:tc>
          <w:tcPr>
            <w:tcW w:w="1667" w:type="pct"/>
          </w:tcPr>
          <w:p w:rsidR="00000000" w:rsidRDefault="00000000">
            <w:pPr>
              <w:pStyle w:val="Header"/>
              <w:rPr>
                <w:lang w:val="es-ES_tradnl"/>
              </w:rPr>
            </w:pPr>
            <w:r>
              <w:rPr>
                <w:lang w:val="es-ES_tradnl"/>
              </w:rPr>
              <w:t>Maldivas</w:t>
            </w:r>
          </w:p>
        </w:tc>
        <w:tc>
          <w:tcPr>
            <w:tcW w:w="1667" w:type="pct"/>
          </w:tcPr>
          <w:p w:rsidR="00000000" w:rsidRDefault="00000000">
            <w:pPr>
              <w:rPr>
                <w:lang w:val="es-ES_tradnl"/>
              </w:rPr>
            </w:pPr>
            <w:r>
              <w:rPr>
                <w:lang w:val="es-ES_tradnl"/>
              </w:rPr>
              <w:t>Marzo de 1998</w:t>
            </w:r>
          </w:p>
        </w:tc>
        <w:tc>
          <w:tcPr>
            <w:tcW w:w="1667" w:type="pct"/>
          </w:tcPr>
          <w:p w:rsidR="00000000" w:rsidRDefault="00000000">
            <w:pPr>
              <w:pStyle w:val="Header"/>
              <w:rPr>
                <w:lang w:val="es-ES_tradnl"/>
              </w:rPr>
            </w:pPr>
            <w:r>
              <w:rPr>
                <w:lang w:val="es-ES_tradnl"/>
              </w:rPr>
              <w:t>CRC/C/MDV/2</w:t>
            </w:r>
          </w:p>
        </w:tc>
      </w:tr>
    </w:tbl>
    <w:p w:rsidR="00000000" w:rsidRDefault="00000000">
      <w:pPr>
        <w:spacing w:before="480" w:after="240"/>
        <w:rPr>
          <w:lang w:val="es-ES_tradnl"/>
        </w:rPr>
      </w:pPr>
      <w:r>
        <w:rPr>
          <w:lang w:val="es-ES_tradnl"/>
        </w:rPr>
        <w:t>5.</w:t>
      </w:r>
      <w:r>
        <w:rPr>
          <w:lang w:val="es-ES_tradnl"/>
        </w:rPr>
        <w:tab/>
        <w:t>El Secretario General ha recibido también el tercer informe periódico del siguiente Estado:</w:t>
      </w:r>
    </w:p>
    <w:tbl>
      <w:tblPr>
        <w:tblW w:w="8160" w:type="dxa"/>
        <w:jc w:val="center"/>
        <w:tblInd w:w="708" w:type="dxa"/>
        <w:tblLook w:val="0000" w:firstRow="0" w:lastRow="0" w:firstColumn="0" w:lastColumn="0" w:noHBand="0" w:noVBand="0"/>
      </w:tblPr>
      <w:tblGrid>
        <w:gridCol w:w="2720"/>
        <w:gridCol w:w="2720"/>
        <w:gridCol w:w="2720"/>
      </w:tblGrid>
      <w:tr w:rsidR="00000000">
        <w:tblPrEx>
          <w:tblCellMar>
            <w:top w:w="0" w:type="dxa"/>
            <w:bottom w:w="0" w:type="dxa"/>
          </w:tblCellMar>
        </w:tblPrEx>
        <w:trPr>
          <w:tblHeader/>
          <w:jc w:val="center"/>
        </w:trPr>
        <w:tc>
          <w:tcPr>
            <w:tcW w:w="2720" w:type="dxa"/>
            <w:vAlign w:val="bottom"/>
          </w:tcPr>
          <w:p w:rsidR="00000000" w:rsidRDefault="00000000">
            <w:pPr>
              <w:spacing w:after="240"/>
              <w:jc w:val="center"/>
              <w:rPr>
                <w:u w:val="single"/>
                <w:lang w:val="es-ES_tradnl"/>
              </w:rPr>
            </w:pPr>
            <w:r>
              <w:rPr>
                <w:b/>
                <w:bCs/>
                <w:lang w:val="es-ES_tradnl"/>
              </w:rPr>
              <w:t>Estado Parte</w:t>
            </w:r>
          </w:p>
        </w:tc>
        <w:tc>
          <w:tcPr>
            <w:tcW w:w="2720" w:type="dxa"/>
            <w:vAlign w:val="bottom"/>
          </w:tcPr>
          <w:p w:rsidR="00000000" w:rsidRDefault="00000000">
            <w:pPr>
              <w:spacing w:after="240"/>
              <w:jc w:val="center"/>
              <w:rPr>
                <w:u w:val="single"/>
                <w:lang w:val="es-ES_tradnl"/>
              </w:rPr>
            </w:pPr>
            <w:r>
              <w:rPr>
                <w:b/>
                <w:bCs/>
                <w:lang w:val="es-ES_tradnl"/>
              </w:rPr>
              <w:t xml:space="preserve">Fecha en que </w:t>
            </w:r>
            <w:r>
              <w:rPr>
                <w:b/>
                <w:bCs/>
                <w:lang w:val="es-ES_tradnl"/>
              </w:rPr>
              <w:br/>
              <w:t>debía presentarse</w:t>
            </w:r>
          </w:p>
        </w:tc>
        <w:tc>
          <w:tcPr>
            <w:tcW w:w="2720" w:type="dxa"/>
            <w:vAlign w:val="bottom"/>
          </w:tcPr>
          <w:p w:rsidR="00000000" w:rsidRDefault="00000000">
            <w:pPr>
              <w:spacing w:after="240"/>
              <w:jc w:val="center"/>
              <w:rPr>
                <w:u w:val="single"/>
              </w:rPr>
            </w:pPr>
            <w:r>
              <w:rPr>
                <w:b/>
                <w:bCs/>
                <w:lang w:val="es-ES_tradnl"/>
              </w:rPr>
              <w:t>Signatura</w:t>
            </w:r>
          </w:p>
        </w:tc>
      </w:tr>
      <w:tr w:rsidR="00000000">
        <w:tblPrEx>
          <w:tblCellMar>
            <w:top w:w="0" w:type="dxa"/>
            <w:bottom w:w="0" w:type="dxa"/>
          </w:tblCellMar>
        </w:tblPrEx>
        <w:trPr>
          <w:jc w:val="center"/>
        </w:trPr>
        <w:tc>
          <w:tcPr>
            <w:tcW w:w="2720" w:type="dxa"/>
          </w:tcPr>
          <w:p w:rsidR="00000000" w:rsidRDefault="00000000">
            <w:r>
              <w:t>Honduras</w:t>
            </w:r>
          </w:p>
        </w:tc>
        <w:tc>
          <w:tcPr>
            <w:tcW w:w="2720" w:type="dxa"/>
          </w:tcPr>
          <w:p w:rsidR="00000000" w:rsidRDefault="00000000">
            <w:r>
              <w:t>Septiembre de 2002</w:t>
            </w:r>
          </w:p>
        </w:tc>
        <w:tc>
          <w:tcPr>
            <w:tcW w:w="2720" w:type="dxa"/>
          </w:tcPr>
          <w:p w:rsidR="00000000" w:rsidRDefault="00000000">
            <w:pPr>
              <w:pStyle w:val="FootnoteText"/>
              <w:spacing w:after="0" w:line="240" w:lineRule="auto"/>
              <w:rPr>
                <w:lang w:val="en-GB"/>
              </w:rPr>
            </w:pPr>
            <w:r>
              <w:rPr>
                <w:lang w:val="en-GB"/>
              </w:rPr>
              <w:t>CRC/C/HND/3</w:t>
            </w:r>
          </w:p>
        </w:tc>
      </w:tr>
    </w:tbl>
    <w:p w:rsidR="00000000" w:rsidRDefault="00000000">
      <w:pPr>
        <w:pStyle w:val="BodyTextIndent"/>
        <w:ind w:firstLine="0"/>
      </w:pPr>
      <w:r>
        <w:t>6.</w:t>
      </w:r>
      <w:r>
        <w:tab/>
        <w:t>El Secretario General también ha recibido los siguientes informes iniciales correspondientes a los Protocolos Facultativos de la Convención, además de aquellos cuyo examen está previsto en el 42º período de sesiones:</w:t>
      </w:r>
    </w:p>
    <w:p w:rsidR="00000000" w:rsidRDefault="00000000">
      <w:pPr>
        <w:pStyle w:val="BodyTextIndent"/>
        <w:keepNext/>
        <w:spacing w:before="0"/>
        <w:ind w:firstLine="0"/>
        <w:jc w:val="center"/>
        <w:rPr>
          <w:b/>
          <w:bCs/>
        </w:rPr>
      </w:pPr>
      <w:r>
        <w:rPr>
          <w:b/>
          <w:bCs/>
        </w:rPr>
        <w:t xml:space="preserve">Protocolo Facultativo de la Convención relativo a la participación </w:t>
      </w:r>
      <w:r>
        <w:rPr>
          <w:b/>
          <w:bCs/>
        </w:rPr>
        <w:br/>
        <w:t>de niños en los conflictos armados</w:t>
      </w:r>
    </w:p>
    <w:tbl>
      <w:tblPr>
        <w:tblW w:w="8116" w:type="dxa"/>
        <w:jc w:val="center"/>
        <w:tblInd w:w="734" w:type="dxa"/>
        <w:tblCellMar>
          <w:left w:w="57" w:type="dxa"/>
        </w:tblCellMar>
        <w:tblLook w:val="01E0" w:firstRow="1" w:lastRow="1" w:firstColumn="1" w:lastColumn="1" w:noHBand="0" w:noVBand="0"/>
      </w:tblPr>
      <w:tblGrid>
        <w:gridCol w:w="2705"/>
        <w:gridCol w:w="2705"/>
        <w:gridCol w:w="2706"/>
      </w:tblGrid>
      <w:tr w:rsidR="00000000">
        <w:trPr>
          <w:tblHeader/>
          <w:jc w:val="center"/>
        </w:trPr>
        <w:tc>
          <w:tcPr>
            <w:tcW w:w="2705" w:type="dxa"/>
            <w:vAlign w:val="bottom"/>
          </w:tcPr>
          <w:p w:rsidR="00000000" w:rsidRDefault="00000000">
            <w:pPr>
              <w:spacing w:after="240"/>
              <w:jc w:val="center"/>
              <w:rPr>
                <w:u w:val="single"/>
                <w:lang w:val="es-ES_tradnl"/>
              </w:rPr>
            </w:pPr>
            <w:r>
              <w:rPr>
                <w:b/>
                <w:bCs/>
                <w:lang w:val="es-ES_tradnl"/>
              </w:rPr>
              <w:t>Estado Parte</w:t>
            </w:r>
          </w:p>
        </w:tc>
        <w:tc>
          <w:tcPr>
            <w:tcW w:w="2705" w:type="dxa"/>
            <w:vAlign w:val="bottom"/>
          </w:tcPr>
          <w:p w:rsidR="00000000" w:rsidRDefault="00000000">
            <w:pPr>
              <w:spacing w:after="240"/>
              <w:jc w:val="center"/>
              <w:rPr>
                <w:u w:val="single"/>
                <w:lang w:val="es-ES_tradnl"/>
              </w:rPr>
            </w:pPr>
            <w:r>
              <w:rPr>
                <w:b/>
                <w:bCs/>
                <w:lang w:val="es-ES_tradnl"/>
              </w:rPr>
              <w:t xml:space="preserve">Fecha en que </w:t>
            </w:r>
            <w:r>
              <w:rPr>
                <w:b/>
                <w:bCs/>
                <w:lang w:val="es-ES_tradnl"/>
              </w:rPr>
              <w:br/>
              <w:t>debía presentarse</w:t>
            </w:r>
          </w:p>
        </w:tc>
        <w:tc>
          <w:tcPr>
            <w:tcW w:w="2706" w:type="dxa"/>
            <w:vAlign w:val="bottom"/>
          </w:tcPr>
          <w:p w:rsidR="00000000" w:rsidRDefault="00000000">
            <w:pPr>
              <w:spacing w:after="240"/>
              <w:jc w:val="center"/>
              <w:rPr>
                <w:u w:val="single"/>
              </w:rPr>
            </w:pPr>
            <w:r>
              <w:rPr>
                <w:b/>
                <w:bCs/>
                <w:lang w:val="es-ES_tradnl"/>
              </w:rPr>
              <w:t>Signatura</w:t>
            </w:r>
          </w:p>
        </w:tc>
      </w:tr>
      <w:tr w:rsidR="00000000">
        <w:trPr>
          <w:jc w:val="center"/>
        </w:trPr>
        <w:tc>
          <w:tcPr>
            <w:tcW w:w="2705" w:type="dxa"/>
          </w:tcPr>
          <w:p w:rsidR="00000000" w:rsidRDefault="00000000">
            <w:pPr>
              <w:rPr>
                <w:lang w:val="es-ES_tradnl"/>
              </w:rPr>
            </w:pPr>
            <w:r>
              <w:rPr>
                <w:lang w:val="es-ES_tradnl"/>
              </w:rPr>
              <w:t>Mónaco</w:t>
            </w:r>
          </w:p>
        </w:tc>
        <w:tc>
          <w:tcPr>
            <w:tcW w:w="2705" w:type="dxa"/>
          </w:tcPr>
          <w:p w:rsidR="00000000" w:rsidRDefault="00000000">
            <w:pPr>
              <w:rPr>
                <w:lang w:val="es-ES_tradnl"/>
              </w:rPr>
            </w:pPr>
            <w:r>
              <w:rPr>
                <w:lang w:val="es-ES_tradnl"/>
              </w:rPr>
              <w:t>Febrero de 2004</w:t>
            </w:r>
          </w:p>
        </w:tc>
        <w:tc>
          <w:tcPr>
            <w:tcW w:w="2706" w:type="dxa"/>
          </w:tcPr>
          <w:p w:rsidR="00000000" w:rsidRDefault="00000000">
            <w:pPr>
              <w:rPr>
                <w:lang w:val="en-GB"/>
              </w:rPr>
            </w:pPr>
            <w:r>
              <w:rPr>
                <w:lang w:val="en-GB"/>
              </w:rPr>
              <w:t>CRC/C/OPAC/MCO /1</w:t>
            </w:r>
          </w:p>
        </w:tc>
      </w:tr>
      <w:tr w:rsidR="00000000">
        <w:trPr>
          <w:jc w:val="center"/>
        </w:trPr>
        <w:tc>
          <w:tcPr>
            <w:tcW w:w="2705" w:type="dxa"/>
          </w:tcPr>
          <w:p w:rsidR="00000000" w:rsidRDefault="00000000">
            <w:r>
              <w:t>Noruega</w:t>
            </w:r>
          </w:p>
        </w:tc>
        <w:tc>
          <w:tcPr>
            <w:tcW w:w="2705" w:type="dxa"/>
          </w:tcPr>
          <w:p w:rsidR="00000000" w:rsidRDefault="00000000">
            <w:r>
              <w:t>Octubre de 2005</w:t>
            </w:r>
          </w:p>
        </w:tc>
        <w:tc>
          <w:tcPr>
            <w:tcW w:w="2706" w:type="dxa"/>
          </w:tcPr>
          <w:p w:rsidR="00000000" w:rsidRDefault="00000000">
            <w:pPr>
              <w:rPr>
                <w:lang w:val="en-GB"/>
              </w:rPr>
            </w:pPr>
            <w:r>
              <w:rPr>
                <w:lang w:val="en-GB"/>
              </w:rPr>
              <w:t>CRC/C/OPAC/NOR/1</w:t>
            </w:r>
          </w:p>
        </w:tc>
      </w:tr>
      <w:tr w:rsidR="00000000">
        <w:trPr>
          <w:jc w:val="center"/>
        </w:trPr>
        <w:tc>
          <w:tcPr>
            <w:tcW w:w="2705" w:type="dxa"/>
          </w:tcPr>
          <w:p w:rsidR="00000000" w:rsidRDefault="00000000">
            <w:pPr>
              <w:rPr>
                <w:lang w:val="es-ES_tradnl"/>
              </w:rPr>
            </w:pPr>
            <w:r>
              <w:rPr>
                <w:lang w:val="es-ES_tradnl"/>
              </w:rPr>
              <w:t>Suecia</w:t>
            </w:r>
          </w:p>
        </w:tc>
        <w:tc>
          <w:tcPr>
            <w:tcW w:w="2705" w:type="dxa"/>
          </w:tcPr>
          <w:p w:rsidR="00000000" w:rsidRDefault="00000000">
            <w:pPr>
              <w:rPr>
                <w:lang w:val="es-ES_tradnl"/>
              </w:rPr>
            </w:pPr>
            <w:r>
              <w:rPr>
                <w:lang w:val="es-ES_tradnl"/>
              </w:rPr>
              <w:t>Marzo de 2005</w:t>
            </w:r>
          </w:p>
        </w:tc>
        <w:tc>
          <w:tcPr>
            <w:tcW w:w="2706" w:type="dxa"/>
          </w:tcPr>
          <w:p w:rsidR="00000000" w:rsidRDefault="00000000">
            <w:pPr>
              <w:rPr>
                <w:lang w:val="en-GB"/>
              </w:rPr>
            </w:pPr>
            <w:r>
              <w:rPr>
                <w:lang w:val="en-GB"/>
              </w:rPr>
              <w:t>CRC/C/OPAC/SWE/1</w:t>
            </w:r>
          </w:p>
        </w:tc>
      </w:tr>
      <w:tr w:rsidR="00000000">
        <w:trPr>
          <w:jc w:val="center"/>
        </w:trPr>
        <w:tc>
          <w:tcPr>
            <w:tcW w:w="2705" w:type="dxa"/>
          </w:tcPr>
          <w:p w:rsidR="00000000" w:rsidRDefault="00000000">
            <w:r>
              <w:t>Kirguistán</w:t>
            </w:r>
          </w:p>
        </w:tc>
        <w:tc>
          <w:tcPr>
            <w:tcW w:w="2705" w:type="dxa"/>
          </w:tcPr>
          <w:p w:rsidR="00000000" w:rsidRDefault="00000000">
            <w:r>
              <w:t>Septiembre de 2005</w:t>
            </w:r>
          </w:p>
        </w:tc>
        <w:tc>
          <w:tcPr>
            <w:tcW w:w="2706" w:type="dxa"/>
          </w:tcPr>
          <w:p w:rsidR="00000000" w:rsidRDefault="00000000">
            <w:pPr>
              <w:rPr>
                <w:lang w:val="en-GB"/>
              </w:rPr>
            </w:pPr>
            <w:r>
              <w:rPr>
                <w:lang w:val="en-GB"/>
              </w:rPr>
              <w:t>CRC/C/OPAC/KGZ /1</w:t>
            </w:r>
          </w:p>
        </w:tc>
      </w:tr>
    </w:tbl>
    <w:p w:rsidR="00000000" w:rsidRDefault="00000000">
      <w:pPr>
        <w:pStyle w:val="BodyTextIndent"/>
        <w:ind w:firstLine="0"/>
        <w:jc w:val="center"/>
        <w:rPr>
          <w:b/>
          <w:bCs/>
          <w:lang w:val="es-ES"/>
        </w:rPr>
      </w:pPr>
      <w:r>
        <w:rPr>
          <w:b/>
          <w:bCs/>
        </w:rPr>
        <w:t xml:space="preserve">Protocolo Facultativo de la Convención relativo a la venta de niños, </w:t>
      </w:r>
      <w:r>
        <w:rPr>
          <w:b/>
          <w:bCs/>
        </w:rPr>
        <w:br/>
        <w:t>la prostitución infantil y la utilización de niños en la pornografía</w:t>
      </w:r>
    </w:p>
    <w:tbl>
      <w:tblPr>
        <w:tblW w:w="8101" w:type="dxa"/>
        <w:jc w:val="center"/>
        <w:tblInd w:w="800" w:type="dxa"/>
        <w:tblLook w:val="01E0" w:firstRow="1" w:lastRow="1" w:firstColumn="1" w:lastColumn="1" w:noHBand="0" w:noVBand="0"/>
      </w:tblPr>
      <w:tblGrid>
        <w:gridCol w:w="2700"/>
        <w:gridCol w:w="2700"/>
        <w:gridCol w:w="2701"/>
      </w:tblGrid>
      <w:tr w:rsidR="00000000">
        <w:trPr>
          <w:tblHeader/>
          <w:jc w:val="center"/>
        </w:trPr>
        <w:tc>
          <w:tcPr>
            <w:tcW w:w="2700" w:type="dxa"/>
            <w:vAlign w:val="bottom"/>
          </w:tcPr>
          <w:p w:rsidR="00000000" w:rsidRDefault="00000000">
            <w:pPr>
              <w:spacing w:after="240"/>
              <w:jc w:val="center"/>
              <w:rPr>
                <w:u w:val="single"/>
                <w:lang w:val="es-ES_tradnl"/>
              </w:rPr>
            </w:pPr>
            <w:r>
              <w:rPr>
                <w:b/>
                <w:bCs/>
                <w:lang w:val="es-ES_tradnl"/>
              </w:rPr>
              <w:t>Estado Parte</w:t>
            </w:r>
          </w:p>
        </w:tc>
        <w:tc>
          <w:tcPr>
            <w:tcW w:w="2700" w:type="dxa"/>
            <w:vAlign w:val="bottom"/>
          </w:tcPr>
          <w:p w:rsidR="00000000" w:rsidRDefault="00000000">
            <w:pPr>
              <w:spacing w:after="240"/>
              <w:jc w:val="center"/>
              <w:rPr>
                <w:u w:val="single"/>
                <w:lang w:val="es-ES_tradnl"/>
              </w:rPr>
            </w:pPr>
            <w:r>
              <w:rPr>
                <w:b/>
                <w:bCs/>
                <w:lang w:val="es-ES_tradnl"/>
              </w:rPr>
              <w:t xml:space="preserve">Fecha en que </w:t>
            </w:r>
            <w:r>
              <w:rPr>
                <w:b/>
                <w:bCs/>
                <w:lang w:val="es-ES_tradnl"/>
              </w:rPr>
              <w:br/>
              <w:t>debía presentarse</w:t>
            </w:r>
          </w:p>
        </w:tc>
        <w:tc>
          <w:tcPr>
            <w:tcW w:w="2701" w:type="dxa"/>
            <w:vAlign w:val="bottom"/>
          </w:tcPr>
          <w:p w:rsidR="00000000" w:rsidRDefault="00000000">
            <w:pPr>
              <w:spacing w:after="240"/>
              <w:jc w:val="center"/>
              <w:rPr>
                <w:u w:val="single"/>
              </w:rPr>
            </w:pPr>
            <w:r>
              <w:rPr>
                <w:b/>
                <w:bCs/>
                <w:lang w:val="es-ES_tradnl"/>
              </w:rPr>
              <w:t>Signatura</w:t>
            </w:r>
          </w:p>
        </w:tc>
      </w:tr>
      <w:tr w:rsidR="00000000">
        <w:trPr>
          <w:trHeight w:val="273"/>
          <w:jc w:val="center"/>
        </w:trPr>
        <w:tc>
          <w:tcPr>
            <w:tcW w:w="2700" w:type="dxa"/>
          </w:tcPr>
          <w:p w:rsidR="00000000" w:rsidRDefault="00000000">
            <w:pPr>
              <w:rPr>
                <w:lang w:val="es-ES_tradnl"/>
              </w:rPr>
            </w:pPr>
            <w:r>
              <w:rPr>
                <w:lang w:val="es-ES_tradnl"/>
              </w:rPr>
              <w:t>Bangladesh</w:t>
            </w:r>
          </w:p>
        </w:tc>
        <w:tc>
          <w:tcPr>
            <w:tcW w:w="2700" w:type="dxa"/>
          </w:tcPr>
          <w:p w:rsidR="00000000" w:rsidRDefault="00000000">
            <w:pPr>
              <w:rPr>
                <w:lang w:val="es-ES_tradnl"/>
              </w:rPr>
            </w:pPr>
            <w:r>
              <w:rPr>
                <w:lang w:val="es-ES_tradnl"/>
              </w:rPr>
              <w:t>Enero de 2004</w:t>
            </w:r>
          </w:p>
        </w:tc>
        <w:tc>
          <w:tcPr>
            <w:tcW w:w="2701" w:type="dxa"/>
          </w:tcPr>
          <w:p w:rsidR="00000000" w:rsidRDefault="00000000">
            <w:pPr>
              <w:pStyle w:val="FootnoteText"/>
              <w:spacing w:after="0" w:line="240" w:lineRule="auto"/>
              <w:rPr>
                <w:lang w:val="en-GB"/>
              </w:rPr>
            </w:pPr>
            <w:r>
              <w:rPr>
                <w:lang w:val="en-GB"/>
              </w:rPr>
              <w:t>CRC/C/OPSC/BGD/1</w:t>
            </w:r>
          </w:p>
        </w:tc>
      </w:tr>
      <w:tr w:rsidR="00000000">
        <w:trPr>
          <w:trHeight w:val="273"/>
          <w:jc w:val="center"/>
        </w:trPr>
        <w:tc>
          <w:tcPr>
            <w:tcW w:w="2700" w:type="dxa"/>
          </w:tcPr>
          <w:p w:rsidR="00000000" w:rsidRDefault="00000000">
            <w:pPr>
              <w:rPr>
                <w:lang w:val="es-ES_tradnl"/>
              </w:rPr>
            </w:pPr>
            <w:r>
              <w:rPr>
                <w:lang w:val="es-ES_tradnl"/>
              </w:rPr>
              <w:t>Costa Rica</w:t>
            </w:r>
          </w:p>
        </w:tc>
        <w:tc>
          <w:tcPr>
            <w:tcW w:w="2700" w:type="dxa"/>
          </w:tcPr>
          <w:p w:rsidR="00000000" w:rsidRDefault="00000000">
            <w:pPr>
              <w:rPr>
                <w:lang w:val="es-ES_tradnl"/>
              </w:rPr>
            </w:pPr>
            <w:r>
              <w:rPr>
                <w:lang w:val="es-ES_tradnl"/>
              </w:rPr>
              <w:t>Mayo de 2004</w:t>
            </w:r>
          </w:p>
        </w:tc>
        <w:tc>
          <w:tcPr>
            <w:tcW w:w="2701" w:type="dxa"/>
          </w:tcPr>
          <w:p w:rsidR="00000000" w:rsidRDefault="00000000">
            <w:pPr>
              <w:pStyle w:val="FootnoteText"/>
              <w:spacing w:after="0" w:line="240" w:lineRule="auto"/>
              <w:rPr>
                <w:lang w:val="es-ES_tradnl"/>
              </w:rPr>
            </w:pPr>
            <w:r>
              <w:rPr>
                <w:lang w:val="es-ES_tradnl"/>
              </w:rPr>
              <w:t>CRC/C/OPSA/CRI/1</w:t>
            </w:r>
          </w:p>
        </w:tc>
      </w:tr>
      <w:tr w:rsidR="00000000">
        <w:trPr>
          <w:trHeight w:val="273"/>
          <w:jc w:val="center"/>
        </w:trPr>
        <w:tc>
          <w:tcPr>
            <w:tcW w:w="2700" w:type="dxa"/>
          </w:tcPr>
          <w:p w:rsidR="00000000" w:rsidRDefault="00000000">
            <w:pPr>
              <w:rPr>
                <w:lang w:val="es-ES_tradnl"/>
              </w:rPr>
            </w:pPr>
            <w:r>
              <w:t>Kirguistán</w:t>
            </w:r>
          </w:p>
        </w:tc>
        <w:tc>
          <w:tcPr>
            <w:tcW w:w="2700" w:type="dxa"/>
          </w:tcPr>
          <w:p w:rsidR="00000000" w:rsidRDefault="00000000">
            <w:pPr>
              <w:rPr>
                <w:lang w:val="es-ES_tradnl"/>
              </w:rPr>
            </w:pPr>
            <w:r>
              <w:rPr>
                <w:lang w:val="es-ES_tradnl"/>
              </w:rPr>
              <w:t>Marzo de 2005</w:t>
            </w:r>
          </w:p>
        </w:tc>
        <w:tc>
          <w:tcPr>
            <w:tcW w:w="2701" w:type="dxa"/>
          </w:tcPr>
          <w:p w:rsidR="00000000" w:rsidRDefault="00000000">
            <w:pPr>
              <w:pStyle w:val="FootnoteText"/>
              <w:spacing w:after="0" w:line="240" w:lineRule="auto"/>
              <w:rPr>
                <w:lang w:val="en-GB"/>
              </w:rPr>
            </w:pPr>
            <w:r>
              <w:rPr>
                <w:lang w:val="en-GB"/>
              </w:rPr>
              <w:t>CRC/C/OPSC/KGZ/1</w:t>
            </w:r>
          </w:p>
        </w:tc>
      </w:tr>
      <w:tr w:rsidR="00000000">
        <w:trPr>
          <w:trHeight w:val="273"/>
          <w:jc w:val="center"/>
        </w:trPr>
        <w:tc>
          <w:tcPr>
            <w:tcW w:w="2700" w:type="dxa"/>
          </w:tcPr>
          <w:p w:rsidR="00000000" w:rsidRDefault="00000000">
            <w:r>
              <w:t>Sudán</w:t>
            </w:r>
          </w:p>
        </w:tc>
        <w:tc>
          <w:tcPr>
            <w:tcW w:w="2700" w:type="dxa"/>
          </w:tcPr>
          <w:p w:rsidR="00000000" w:rsidRDefault="00000000">
            <w:r>
              <w:t>Diciembre de 2004</w:t>
            </w:r>
          </w:p>
        </w:tc>
        <w:tc>
          <w:tcPr>
            <w:tcW w:w="2701" w:type="dxa"/>
          </w:tcPr>
          <w:p w:rsidR="00000000" w:rsidRDefault="00000000">
            <w:pPr>
              <w:pStyle w:val="FootnoteText"/>
              <w:spacing w:after="0" w:line="240" w:lineRule="auto"/>
              <w:rPr>
                <w:lang w:val="en-GB"/>
              </w:rPr>
            </w:pPr>
            <w:r>
              <w:rPr>
                <w:lang w:val="en-GB"/>
              </w:rPr>
              <w:t>CRC/C/OPSC/SDN/1</w:t>
            </w:r>
          </w:p>
        </w:tc>
      </w:tr>
    </w:tbl>
    <w:p w:rsidR="00000000" w:rsidRDefault="00000000">
      <w:pPr>
        <w:pStyle w:val="Heading2"/>
        <w:keepNext w:val="0"/>
        <w:ind w:left="567"/>
        <w:jc w:val="left"/>
      </w:pPr>
      <w:r>
        <w:t>Informes atrasados</w:t>
      </w:r>
    </w:p>
    <w:p w:rsidR="00000000" w:rsidRDefault="00000000">
      <w:pPr>
        <w:spacing w:after="240"/>
        <w:rPr>
          <w:lang w:val="es-ES_tradnl"/>
        </w:rPr>
      </w:pPr>
      <w:r>
        <w:rPr>
          <w:lang w:val="es-ES_tradnl"/>
        </w:rPr>
        <w:t>7.</w:t>
      </w:r>
      <w:r>
        <w:rPr>
          <w:lang w:val="es-ES_tradnl"/>
        </w:rPr>
        <w:tab/>
        <w:t>Según el artículo 67 del reglamento provisional, el Secretario General debe notificar al Comité en todos los períodos de sesiones los casos en que no se hayan presentado los informes.  La lista completa de los informes iniciales y periódicos pendientes de conformidad con la Convención y los informes iniciales pendientes de conformidad con los Protocolos Facultativos figura en el documento sobre la situación de la presentación de los informes (CRC/C/42/2), en el que también se indican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  Estas recomendaciones constituyen una medida excepcional que se tomará una sola vez.</w:t>
      </w:r>
    </w:p>
    <w:p w:rsidR="00000000" w:rsidRDefault="00000000">
      <w:pPr>
        <w:keepNext/>
        <w:spacing w:after="240"/>
        <w:rPr>
          <w:b/>
          <w:bCs/>
          <w:lang w:val="es-ES_tradnl"/>
        </w:rPr>
      </w:pPr>
      <w:r>
        <w:rPr>
          <w:b/>
          <w:bCs/>
          <w:lang w:val="es-ES_tradnl"/>
        </w:rPr>
        <w:t>Tema 4 - Examen de los informes presentados por los Estados Partes</w:t>
      </w:r>
    </w:p>
    <w:p w:rsidR="00000000" w:rsidRDefault="00000000">
      <w:pPr>
        <w:keepNext/>
        <w:spacing w:after="240"/>
        <w:rPr>
          <w:lang w:val="es-ES_tradnl"/>
        </w:rPr>
      </w:pPr>
      <w:r>
        <w:rPr>
          <w:lang w:val="es-ES_tradnl"/>
        </w:rPr>
        <w:t>8.</w:t>
      </w:r>
      <w:r>
        <w:rPr>
          <w:lang w:val="es-ES_tradnl"/>
        </w:rPr>
        <w:tab/>
        <w:t>A continuación figura un calendario provisional para el examen de los informes en el 42º período de sesiones preparado por el Secretario General en consulta con el Presidente y sujeto a la aprobación del Comité.</w:t>
      </w:r>
    </w:p>
    <w:p w:rsidR="00000000" w:rsidRDefault="00000000">
      <w:pPr>
        <w:spacing w:after="200"/>
        <w:jc w:val="center"/>
        <w:rPr>
          <w:b/>
          <w:bCs/>
          <w:sz w:val="20"/>
          <w:lang w:val="es-ES_tradnl"/>
        </w:rPr>
      </w:pPr>
      <w:r>
        <w:rPr>
          <w:b/>
          <w:bCs/>
          <w:sz w:val="20"/>
          <w:lang w:val="es-ES_tradnl"/>
        </w:rPr>
        <w:t>Calendario provisional para el examen de los informes presentados por los Estados Partes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4"/>
        <w:gridCol w:w="1232"/>
        <w:gridCol w:w="1233"/>
        <w:gridCol w:w="2158"/>
        <w:gridCol w:w="2158"/>
      </w:tblGrid>
      <w:tr w:rsidR="00000000">
        <w:tblPrEx>
          <w:tblCellMar>
            <w:top w:w="0" w:type="dxa"/>
            <w:bottom w:w="0" w:type="dxa"/>
          </w:tblCellMar>
        </w:tblPrEx>
        <w:tc>
          <w:tcPr>
            <w:tcW w:w="2714" w:type="dxa"/>
            <w:vAlign w:val="center"/>
          </w:tcPr>
          <w:p w:rsidR="00000000" w:rsidRDefault="00000000">
            <w:pPr>
              <w:jc w:val="center"/>
              <w:rPr>
                <w:b/>
                <w:bCs/>
                <w:sz w:val="20"/>
                <w:lang w:val="es-ES_tradnl"/>
              </w:rPr>
            </w:pPr>
            <w:r>
              <w:rPr>
                <w:b/>
                <w:bCs/>
                <w:sz w:val="20"/>
                <w:lang w:val="es-ES_tradnl"/>
              </w:rPr>
              <w:t>Fecha</w:t>
            </w:r>
          </w:p>
        </w:tc>
        <w:tc>
          <w:tcPr>
            <w:tcW w:w="1232" w:type="dxa"/>
            <w:vAlign w:val="center"/>
          </w:tcPr>
          <w:p w:rsidR="00000000" w:rsidRDefault="00000000">
            <w:pPr>
              <w:jc w:val="center"/>
              <w:rPr>
                <w:b/>
                <w:bCs/>
                <w:sz w:val="20"/>
                <w:lang w:val="es-ES_tradnl"/>
              </w:rPr>
            </w:pPr>
            <w:r>
              <w:rPr>
                <w:b/>
                <w:bCs/>
                <w:sz w:val="20"/>
                <w:lang w:val="es-ES_tradnl"/>
              </w:rPr>
              <w:t>Hora</w:t>
            </w:r>
          </w:p>
        </w:tc>
        <w:tc>
          <w:tcPr>
            <w:tcW w:w="1233" w:type="dxa"/>
            <w:vAlign w:val="center"/>
          </w:tcPr>
          <w:p w:rsidR="00000000" w:rsidRDefault="00000000">
            <w:pPr>
              <w:jc w:val="center"/>
              <w:rPr>
                <w:b/>
                <w:bCs/>
                <w:sz w:val="20"/>
                <w:lang w:val="es-ES_tradnl"/>
              </w:rPr>
            </w:pPr>
            <w:r>
              <w:rPr>
                <w:b/>
                <w:bCs/>
                <w:sz w:val="20"/>
                <w:lang w:val="es-ES_tradnl"/>
              </w:rPr>
              <w:t>Tema del programa</w:t>
            </w:r>
          </w:p>
        </w:tc>
        <w:tc>
          <w:tcPr>
            <w:tcW w:w="2158" w:type="dxa"/>
            <w:vAlign w:val="center"/>
          </w:tcPr>
          <w:p w:rsidR="00000000" w:rsidRDefault="00000000">
            <w:pPr>
              <w:jc w:val="center"/>
              <w:rPr>
                <w:b/>
                <w:bCs/>
                <w:sz w:val="20"/>
                <w:lang w:val="es-ES_tradnl"/>
              </w:rPr>
            </w:pPr>
            <w:r>
              <w:rPr>
                <w:b/>
                <w:bCs/>
                <w:sz w:val="20"/>
                <w:lang w:val="es-ES_tradnl"/>
              </w:rPr>
              <w:t>Sala A</w:t>
            </w:r>
          </w:p>
        </w:tc>
        <w:tc>
          <w:tcPr>
            <w:tcW w:w="2158" w:type="dxa"/>
            <w:vAlign w:val="center"/>
          </w:tcPr>
          <w:p w:rsidR="00000000" w:rsidRDefault="00000000">
            <w:pPr>
              <w:jc w:val="center"/>
              <w:rPr>
                <w:b/>
                <w:bCs/>
                <w:sz w:val="20"/>
                <w:lang w:val="es-ES_tradnl"/>
              </w:rPr>
            </w:pPr>
            <w:r>
              <w:rPr>
                <w:b/>
                <w:bCs/>
                <w:sz w:val="20"/>
                <w:lang w:val="es-ES_tradnl"/>
              </w:rPr>
              <w:t>Sala B</w:t>
            </w:r>
          </w:p>
        </w:tc>
      </w:tr>
      <w:tr w:rsidR="00000000">
        <w:tblPrEx>
          <w:tblCellMar>
            <w:top w:w="0" w:type="dxa"/>
            <w:bottom w:w="0" w:type="dxa"/>
          </w:tblCellMar>
        </w:tblPrEx>
        <w:tc>
          <w:tcPr>
            <w:tcW w:w="2714" w:type="dxa"/>
          </w:tcPr>
          <w:p w:rsidR="00000000" w:rsidRDefault="00000000">
            <w:pPr>
              <w:rPr>
                <w:sz w:val="20"/>
                <w:lang w:val="es-ES_tradnl"/>
              </w:rPr>
            </w:pPr>
            <w:r>
              <w:rPr>
                <w:sz w:val="20"/>
                <w:lang w:val="es-ES_tradnl"/>
              </w:rPr>
              <w:t>Lunes 15 de mayo de 2006</w:t>
            </w:r>
          </w:p>
        </w:tc>
        <w:tc>
          <w:tcPr>
            <w:tcW w:w="1232" w:type="dxa"/>
          </w:tcPr>
          <w:p w:rsidR="00000000" w:rsidRDefault="00000000">
            <w:pPr>
              <w:jc w:val="center"/>
              <w:rPr>
                <w:sz w:val="20"/>
                <w:lang w:val="es-ES_tradnl"/>
              </w:rPr>
            </w:pPr>
            <w:r>
              <w:rPr>
                <w:sz w:val="20"/>
                <w:lang w:val="es-ES_tradnl"/>
              </w:rPr>
              <w:t>15.00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sz w:val="20"/>
                <w:lang w:val="es-ES_tradnl"/>
              </w:rPr>
            </w:pPr>
            <w:r>
              <w:rPr>
                <w:sz w:val="20"/>
                <w:lang w:val="es-ES_tradnl"/>
              </w:rPr>
              <w:t>El Salvador OPAC</w:t>
            </w:r>
          </w:p>
        </w:tc>
        <w:tc>
          <w:tcPr>
            <w:tcW w:w="2158" w:type="dxa"/>
          </w:tcPr>
          <w:p w:rsidR="00000000" w:rsidRDefault="00000000">
            <w:pPr>
              <w:rPr>
                <w:sz w:val="20"/>
                <w:lang w:val="es-ES_tradnl"/>
              </w:rPr>
            </w:pPr>
            <w:r>
              <w:rPr>
                <w:sz w:val="20"/>
                <w:lang w:val="es-ES_tradnl"/>
              </w:rPr>
              <w:t>Bélgica OPAC</w:t>
            </w:r>
          </w:p>
          <w:p w:rsidR="00000000" w:rsidRDefault="00000000">
            <w:pPr>
              <w:rPr>
                <w:sz w:val="20"/>
                <w:lang w:val="es-ES_tradnl"/>
              </w:rPr>
            </w:pPr>
            <w:r>
              <w:rPr>
                <w:sz w:val="20"/>
                <w:lang w:val="es-ES_tradnl"/>
              </w:rPr>
              <w:t>(Sesión privada- examen técnico)</w:t>
            </w:r>
          </w:p>
        </w:tc>
      </w:tr>
      <w:tr w:rsidR="00000000">
        <w:tblPrEx>
          <w:tblCellMar>
            <w:top w:w="0" w:type="dxa"/>
            <w:bottom w:w="0" w:type="dxa"/>
          </w:tblCellMar>
        </w:tblPrEx>
        <w:trPr>
          <w:cantSplit/>
        </w:trPr>
        <w:tc>
          <w:tcPr>
            <w:tcW w:w="2714" w:type="dxa"/>
            <w:vMerge w:val="restart"/>
          </w:tcPr>
          <w:p w:rsidR="00000000" w:rsidRDefault="00000000">
            <w:pPr>
              <w:rPr>
                <w:sz w:val="20"/>
                <w:lang w:val="es-ES_tradnl"/>
              </w:rPr>
            </w:pPr>
            <w:r>
              <w:rPr>
                <w:sz w:val="20"/>
                <w:lang w:val="es-ES_tradnl"/>
              </w:rPr>
              <w:t>Martes 16 de mayo de 2006</w:t>
            </w:r>
          </w:p>
        </w:tc>
        <w:tc>
          <w:tcPr>
            <w:tcW w:w="1232" w:type="dxa"/>
          </w:tcPr>
          <w:p w:rsidR="00000000" w:rsidRDefault="00000000">
            <w:pPr>
              <w:jc w:val="center"/>
              <w:rPr>
                <w:sz w:val="20"/>
                <w:lang w:val="es-ES_tradnl"/>
              </w:rPr>
            </w:pPr>
            <w:r>
              <w:rPr>
                <w:sz w:val="20"/>
                <w:lang w:val="es-ES_tradnl"/>
              </w:rPr>
              <w:t>10.00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i/>
                <w:iCs/>
                <w:sz w:val="20"/>
                <w:lang w:val="es-ES_tradnl"/>
              </w:rPr>
            </w:pPr>
            <w:r>
              <w:rPr>
                <w:sz w:val="20"/>
                <w:lang w:val="es-ES_tradnl"/>
              </w:rPr>
              <w:t>Letonia, segundo</w:t>
            </w:r>
          </w:p>
        </w:tc>
        <w:tc>
          <w:tcPr>
            <w:tcW w:w="2158" w:type="dxa"/>
          </w:tcPr>
          <w:p w:rsidR="00000000" w:rsidRDefault="00000000">
            <w:pPr>
              <w:rPr>
                <w:sz w:val="20"/>
                <w:lang w:val="es-ES_tradnl"/>
              </w:rPr>
            </w:pPr>
            <w:r>
              <w:rPr>
                <w:sz w:val="20"/>
                <w:lang w:val="es-ES_tradnl"/>
              </w:rPr>
              <w:t>Colombia, tercero</w:t>
            </w:r>
          </w:p>
        </w:tc>
      </w:tr>
      <w:tr w:rsidR="00000000">
        <w:tblPrEx>
          <w:tblCellMar>
            <w:top w:w="0" w:type="dxa"/>
            <w:bottom w:w="0" w:type="dxa"/>
          </w:tblCellMar>
        </w:tblPrEx>
        <w:trPr>
          <w:cantSplit/>
        </w:trPr>
        <w:tc>
          <w:tcPr>
            <w:tcW w:w="2714" w:type="dxa"/>
            <w:vMerge/>
          </w:tcPr>
          <w:p w:rsidR="00000000" w:rsidRDefault="00000000">
            <w:pPr>
              <w:rPr>
                <w:sz w:val="20"/>
                <w:lang w:val="es-ES_tradnl"/>
              </w:rPr>
            </w:pPr>
          </w:p>
        </w:tc>
        <w:tc>
          <w:tcPr>
            <w:tcW w:w="1232" w:type="dxa"/>
          </w:tcPr>
          <w:p w:rsidR="00000000" w:rsidRDefault="00000000">
            <w:pPr>
              <w:jc w:val="center"/>
              <w:rPr>
                <w:sz w:val="20"/>
                <w:lang w:val="es-ES_tradnl"/>
              </w:rPr>
            </w:pPr>
            <w:r>
              <w:rPr>
                <w:sz w:val="20"/>
                <w:lang w:val="es-ES_tradnl"/>
              </w:rPr>
              <w:t>15.00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sz w:val="20"/>
                <w:lang w:val="es-ES_tradnl"/>
              </w:rPr>
            </w:pPr>
            <w:r>
              <w:rPr>
                <w:sz w:val="20"/>
                <w:lang w:val="es-ES_tradnl"/>
              </w:rPr>
              <w:t>Letonia, segundo</w:t>
            </w:r>
          </w:p>
          <w:p w:rsidR="00000000" w:rsidRDefault="00000000">
            <w:pPr>
              <w:rPr>
                <w:sz w:val="20"/>
                <w:lang w:val="es-ES_tradnl"/>
              </w:rPr>
            </w:pPr>
            <w:r>
              <w:rPr>
                <w:sz w:val="20"/>
                <w:lang w:val="es-ES_tradnl"/>
              </w:rPr>
              <w:t>(</w:t>
            </w:r>
            <w:r>
              <w:rPr>
                <w:i/>
                <w:iCs/>
                <w:sz w:val="20"/>
                <w:lang w:val="es-ES_tradnl"/>
              </w:rPr>
              <w:t>continuación</w:t>
            </w:r>
            <w:r>
              <w:rPr>
                <w:sz w:val="20"/>
                <w:lang w:val="es-ES_tradnl"/>
              </w:rPr>
              <w:t>)</w:t>
            </w:r>
          </w:p>
        </w:tc>
        <w:tc>
          <w:tcPr>
            <w:tcW w:w="2158" w:type="dxa"/>
          </w:tcPr>
          <w:p w:rsidR="00000000" w:rsidRDefault="00000000">
            <w:pPr>
              <w:rPr>
                <w:sz w:val="20"/>
                <w:lang w:val="es-ES_tradnl"/>
              </w:rPr>
            </w:pPr>
            <w:r>
              <w:rPr>
                <w:sz w:val="20"/>
                <w:lang w:val="es-ES_tradnl"/>
              </w:rPr>
              <w:t>Colombia, tercero</w:t>
            </w:r>
          </w:p>
          <w:p w:rsidR="00000000" w:rsidRDefault="00000000">
            <w:pPr>
              <w:rPr>
                <w:sz w:val="20"/>
                <w:lang w:val="es-ES_tradnl"/>
              </w:rPr>
            </w:pPr>
            <w:r>
              <w:rPr>
                <w:sz w:val="20"/>
                <w:lang w:val="es-ES_tradnl"/>
              </w:rPr>
              <w:t>(</w:t>
            </w:r>
            <w:r>
              <w:rPr>
                <w:i/>
                <w:iCs/>
                <w:sz w:val="20"/>
                <w:lang w:val="es-ES_tradnl"/>
              </w:rPr>
              <w:t>continuación</w:t>
            </w:r>
            <w:r>
              <w:rPr>
                <w:sz w:val="20"/>
                <w:lang w:val="es-ES_tradnl"/>
              </w:rPr>
              <w:t>)</w:t>
            </w:r>
          </w:p>
        </w:tc>
      </w:tr>
      <w:tr w:rsidR="00000000">
        <w:tblPrEx>
          <w:tblCellMar>
            <w:top w:w="0" w:type="dxa"/>
            <w:bottom w:w="0" w:type="dxa"/>
          </w:tblCellMar>
        </w:tblPrEx>
        <w:trPr>
          <w:cantSplit/>
        </w:trPr>
        <w:tc>
          <w:tcPr>
            <w:tcW w:w="2714" w:type="dxa"/>
            <w:vMerge w:val="restart"/>
          </w:tcPr>
          <w:p w:rsidR="00000000" w:rsidRDefault="00000000">
            <w:pPr>
              <w:rPr>
                <w:sz w:val="20"/>
                <w:lang w:val="es-ES_tradnl"/>
              </w:rPr>
            </w:pPr>
            <w:r>
              <w:rPr>
                <w:sz w:val="20"/>
                <w:lang w:val="es-ES_tradnl"/>
              </w:rPr>
              <w:t>Miércoles 17 de mayo de 2006</w:t>
            </w:r>
          </w:p>
        </w:tc>
        <w:tc>
          <w:tcPr>
            <w:tcW w:w="1232" w:type="dxa"/>
          </w:tcPr>
          <w:p w:rsidR="00000000" w:rsidRDefault="00000000">
            <w:pPr>
              <w:jc w:val="center"/>
              <w:rPr>
                <w:sz w:val="20"/>
                <w:lang w:val="es-ES_tradnl"/>
              </w:rPr>
            </w:pPr>
            <w:r>
              <w:rPr>
                <w:sz w:val="20"/>
                <w:lang w:val="es-ES_tradnl"/>
              </w:rPr>
              <w:t>10.00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sz w:val="20"/>
                <w:lang w:val="es-ES_tradnl"/>
              </w:rPr>
            </w:pPr>
            <w:r>
              <w:rPr>
                <w:sz w:val="20"/>
                <w:lang w:val="es-ES_tradnl"/>
              </w:rPr>
              <w:t>Canadá, OPAC</w:t>
            </w:r>
          </w:p>
          <w:p w:rsidR="00000000" w:rsidRDefault="00000000">
            <w:pPr>
              <w:rPr>
                <w:sz w:val="20"/>
                <w:lang w:val="es-ES_tradnl"/>
              </w:rPr>
            </w:pPr>
            <w:r>
              <w:rPr>
                <w:sz w:val="20"/>
                <w:lang w:val="es-ES_tradnl"/>
              </w:rPr>
              <w:t>(Sesión privada- examen técnico)</w:t>
            </w:r>
          </w:p>
        </w:tc>
        <w:tc>
          <w:tcPr>
            <w:tcW w:w="2158" w:type="dxa"/>
          </w:tcPr>
          <w:p w:rsidR="00000000" w:rsidRDefault="00000000">
            <w:pPr>
              <w:rPr>
                <w:sz w:val="20"/>
                <w:lang w:val="es-ES_tradnl"/>
              </w:rPr>
            </w:pPr>
            <w:r>
              <w:rPr>
                <w:sz w:val="20"/>
                <w:lang w:val="es-ES_tradnl"/>
              </w:rPr>
              <w:t>Turquía OPSC</w:t>
            </w:r>
          </w:p>
        </w:tc>
      </w:tr>
      <w:tr w:rsidR="00000000">
        <w:tblPrEx>
          <w:tblCellMar>
            <w:top w:w="0" w:type="dxa"/>
            <w:bottom w:w="0" w:type="dxa"/>
          </w:tblCellMar>
        </w:tblPrEx>
        <w:trPr>
          <w:cantSplit/>
        </w:trPr>
        <w:tc>
          <w:tcPr>
            <w:tcW w:w="2714" w:type="dxa"/>
            <w:vMerge/>
          </w:tcPr>
          <w:p w:rsidR="00000000" w:rsidRDefault="00000000">
            <w:pPr>
              <w:rPr>
                <w:sz w:val="20"/>
                <w:lang w:val="es-ES_tradnl"/>
              </w:rPr>
            </w:pPr>
          </w:p>
        </w:tc>
        <w:tc>
          <w:tcPr>
            <w:tcW w:w="1232" w:type="dxa"/>
          </w:tcPr>
          <w:p w:rsidR="00000000" w:rsidRDefault="00000000">
            <w:pPr>
              <w:jc w:val="center"/>
              <w:rPr>
                <w:sz w:val="20"/>
                <w:lang w:val="es-ES_tradnl"/>
              </w:rPr>
            </w:pPr>
            <w:r>
              <w:rPr>
                <w:sz w:val="20"/>
                <w:lang w:val="es-ES_tradnl"/>
              </w:rPr>
              <w:t>15.00 horas</w:t>
            </w:r>
          </w:p>
        </w:tc>
        <w:tc>
          <w:tcPr>
            <w:tcW w:w="1233" w:type="dxa"/>
          </w:tcPr>
          <w:p w:rsidR="00000000" w:rsidRDefault="00000000">
            <w:pPr>
              <w:jc w:val="center"/>
              <w:rPr>
                <w:sz w:val="20"/>
                <w:lang w:val="es-ES_tradnl"/>
              </w:rPr>
            </w:pPr>
            <w:r>
              <w:rPr>
                <w:sz w:val="20"/>
                <w:lang w:val="es-ES_tradnl"/>
              </w:rPr>
              <w:t>4</w:t>
            </w:r>
          </w:p>
        </w:tc>
        <w:tc>
          <w:tcPr>
            <w:tcW w:w="2158" w:type="dxa"/>
            <w:vAlign w:val="center"/>
          </w:tcPr>
          <w:p w:rsidR="00000000" w:rsidRDefault="00000000">
            <w:pPr>
              <w:rPr>
                <w:i/>
                <w:iCs/>
                <w:sz w:val="20"/>
                <w:lang w:val="es-ES_tradnl"/>
              </w:rPr>
            </w:pPr>
            <w:r>
              <w:rPr>
                <w:sz w:val="20"/>
                <w:lang w:val="es-ES_tradnl"/>
              </w:rPr>
              <w:t>República Checa OPAC  (Sesión privada- examen técnico)</w:t>
            </w:r>
          </w:p>
        </w:tc>
        <w:tc>
          <w:tcPr>
            <w:tcW w:w="2158" w:type="dxa"/>
          </w:tcPr>
          <w:p w:rsidR="00000000" w:rsidRDefault="00000000">
            <w:pPr>
              <w:rPr>
                <w:sz w:val="20"/>
                <w:lang w:val="es-ES_tradnl"/>
              </w:rPr>
            </w:pPr>
            <w:r>
              <w:rPr>
                <w:sz w:val="20"/>
                <w:lang w:val="es-ES_tradnl"/>
              </w:rPr>
              <w:t>Qatar OPSC</w:t>
            </w:r>
          </w:p>
        </w:tc>
      </w:tr>
      <w:tr w:rsidR="00000000">
        <w:tblPrEx>
          <w:tblCellMar>
            <w:top w:w="0" w:type="dxa"/>
            <w:bottom w:w="0" w:type="dxa"/>
          </w:tblCellMar>
        </w:tblPrEx>
        <w:trPr>
          <w:cantSplit/>
        </w:trPr>
        <w:tc>
          <w:tcPr>
            <w:tcW w:w="2714" w:type="dxa"/>
            <w:vMerge w:val="restart"/>
          </w:tcPr>
          <w:p w:rsidR="00000000" w:rsidRDefault="00000000">
            <w:pPr>
              <w:rPr>
                <w:sz w:val="20"/>
                <w:lang w:val="es-ES_tradnl"/>
              </w:rPr>
            </w:pPr>
            <w:r>
              <w:rPr>
                <w:sz w:val="20"/>
                <w:lang w:val="es-ES_tradnl"/>
              </w:rPr>
              <w:t>Viernes 19 de mayo de 2006</w:t>
            </w:r>
          </w:p>
        </w:tc>
        <w:tc>
          <w:tcPr>
            <w:tcW w:w="1232" w:type="dxa"/>
            <w:vAlign w:val="center"/>
          </w:tcPr>
          <w:p w:rsidR="00000000" w:rsidRDefault="00000000">
            <w:pPr>
              <w:jc w:val="center"/>
              <w:rPr>
                <w:sz w:val="20"/>
                <w:lang w:val="es-ES_tradnl"/>
              </w:rPr>
            </w:pPr>
            <w:r>
              <w:rPr>
                <w:sz w:val="20"/>
                <w:lang w:val="es-ES_tradnl"/>
              </w:rPr>
              <w:t>10.00 horas</w:t>
            </w:r>
          </w:p>
        </w:tc>
        <w:tc>
          <w:tcPr>
            <w:tcW w:w="1233" w:type="dxa"/>
            <w:vAlign w:val="center"/>
          </w:tcPr>
          <w:p w:rsidR="00000000" w:rsidRDefault="00000000">
            <w:pPr>
              <w:jc w:val="center"/>
              <w:rPr>
                <w:sz w:val="20"/>
                <w:lang w:val="es-ES_tradnl"/>
              </w:rPr>
            </w:pPr>
            <w:r>
              <w:rPr>
                <w:sz w:val="20"/>
                <w:lang w:val="es-ES_tradnl"/>
              </w:rPr>
              <w:t>4</w:t>
            </w:r>
          </w:p>
        </w:tc>
        <w:tc>
          <w:tcPr>
            <w:tcW w:w="2158" w:type="dxa"/>
          </w:tcPr>
          <w:p w:rsidR="00000000" w:rsidRDefault="00000000">
            <w:pPr>
              <w:rPr>
                <w:sz w:val="20"/>
                <w:lang w:val="es-ES_tradnl"/>
              </w:rPr>
            </w:pPr>
            <w:r>
              <w:rPr>
                <w:sz w:val="20"/>
                <w:lang w:val="es-ES_tradnl"/>
              </w:rPr>
              <w:t>Uzbekistán, segundo</w:t>
            </w:r>
          </w:p>
        </w:tc>
        <w:tc>
          <w:tcPr>
            <w:tcW w:w="2158" w:type="dxa"/>
          </w:tcPr>
          <w:p w:rsidR="00000000" w:rsidRDefault="00000000">
            <w:pPr>
              <w:rPr>
                <w:sz w:val="20"/>
                <w:lang w:val="es-ES_tradnl"/>
              </w:rPr>
            </w:pPr>
            <w:r>
              <w:rPr>
                <w:sz w:val="20"/>
                <w:lang w:val="es-ES_tradnl"/>
              </w:rPr>
              <w:t>Tanzanía, segundo</w:t>
            </w:r>
          </w:p>
        </w:tc>
      </w:tr>
      <w:tr w:rsidR="00000000">
        <w:tblPrEx>
          <w:tblCellMar>
            <w:top w:w="0" w:type="dxa"/>
            <w:bottom w:w="0" w:type="dxa"/>
          </w:tblCellMar>
        </w:tblPrEx>
        <w:trPr>
          <w:cantSplit/>
        </w:trPr>
        <w:tc>
          <w:tcPr>
            <w:tcW w:w="2714" w:type="dxa"/>
            <w:vMerge/>
          </w:tcPr>
          <w:p w:rsidR="00000000" w:rsidRDefault="00000000">
            <w:pPr>
              <w:keepNext/>
              <w:rPr>
                <w:sz w:val="20"/>
                <w:lang w:val="es-ES_tradnl"/>
              </w:rPr>
            </w:pPr>
          </w:p>
        </w:tc>
        <w:tc>
          <w:tcPr>
            <w:tcW w:w="1232" w:type="dxa"/>
          </w:tcPr>
          <w:p w:rsidR="00000000" w:rsidRDefault="00000000">
            <w:pPr>
              <w:keepNext/>
              <w:jc w:val="center"/>
              <w:rPr>
                <w:sz w:val="20"/>
                <w:lang w:val="es-ES_tradnl"/>
              </w:rPr>
            </w:pPr>
            <w:r>
              <w:rPr>
                <w:sz w:val="20"/>
                <w:lang w:val="es-ES_tradnl"/>
              </w:rPr>
              <w:t>15.00 horas</w:t>
            </w:r>
          </w:p>
        </w:tc>
        <w:tc>
          <w:tcPr>
            <w:tcW w:w="1233" w:type="dxa"/>
          </w:tcPr>
          <w:p w:rsidR="00000000" w:rsidRDefault="00000000">
            <w:pPr>
              <w:keepNext/>
              <w:jc w:val="center"/>
              <w:rPr>
                <w:sz w:val="20"/>
                <w:lang w:val="es-ES_tradnl"/>
              </w:rPr>
            </w:pPr>
            <w:r>
              <w:rPr>
                <w:sz w:val="20"/>
                <w:lang w:val="es-ES_tradnl"/>
              </w:rPr>
              <w:t>4</w:t>
            </w:r>
          </w:p>
        </w:tc>
        <w:tc>
          <w:tcPr>
            <w:tcW w:w="2158" w:type="dxa"/>
          </w:tcPr>
          <w:p w:rsidR="00000000" w:rsidRDefault="00000000">
            <w:pPr>
              <w:keepNext/>
              <w:rPr>
                <w:sz w:val="20"/>
                <w:lang w:val="es-ES_tradnl"/>
              </w:rPr>
            </w:pPr>
            <w:r>
              <w:rPr>
                <w:sz w:val="20"/>
                <w:lang w:val="es-ES_tradnl"/>
              </w:rPr>
              <w:t>Uzbekistán, segundo</w:t>
            </w:r>
            <w:r>
              <w:rPr>
                <w:i/>
                <w:iCs/>
                <w:sz w:val="20"/>
                <w:lang w:val="es-ES_tradnl"/>
              </w:rPr>
              <w:t xml:space="preserve"> </w:t>
            </w:r>
            <w:r>
              <w:rPr>
                <w:sz w:val="20"/>
                <w:lang w:val="es-ES_tradnl"/>
              </w:rPr>
              <w:t>(</w:t>
            </w:r>
            <w:r>
              <w:rPr>
                <w:i/>
                <w:iCs/>
                <w:sz w:val="20"/>
                <w:lang w:val="es-ES_tradnl"/>
              </w:rPr>
              <w:t>continuación</w:t>
            </w:r>
            <w:r>
              <w:rPr>
                <w:sz w:val="20"/>
                <w:lang w:val="es-ES_tradnl"/>
              </w:rPr>
              <w:t>)</w:t>
            </w:r>
          </w:p>
        </w:tc>
        <w:tc>
          <w:tcPr>
            <w:tcW w:w="2158" w:type="dxa"/>
          </w:tcPr>
          <w:p w:rsidR="00000000" w:rsidRDefault="00000000">
            <w:pPr>
              <w:keepNext/>
              <w:rPr>
                <w:i/>
                <w:iCs/>
                <w:sz w:val="20"/>
                <w:lang w:val="es-ES_tradnl"/>
              </w:rPr>
            </w:pPr>
            <w:r>
              <w:rPr>
                <w:sz w:val="20"/>
                <w:lang w:val="es-ES_tradnl"/>
              </w:rPr>
              <w:t>Tanzanía, segundo (</w:t>
            </w:r>
            <w:r>
              <w:rPr>
                <w:i/>
                <w:iCs/>
                <w:sz w:val="20"/>
                <w:lang w:val="es-ES_tradnl"/>
              </w:rPr>
              <w:t>continuación</w:t>
            </w:r>
            <w:r>
              <w:rPr>
                <w:sz w:val="20"/>
                <w:lang w:val="es-ES_tradnl"/>
              </w:rPr>
              <w:t>)</w:t>
            </w:r>
          </w:p>
        </w:tc>
      </w:tr>
      <w:tr w:rsidR="00000000">
        <w:tblPrEx>
          <w:tblCellMar>
            <w:top w:w="0" w:type="dxa"/>
            <w:bottom w:w="0" w:type="dxa"/>
          </w:tblCellMar>
        </w:tblPrEx>
        <w:trPr>
          <w:cantSplit/>
        </w:trPr>
        <w:tc>
          <w:tcPr>
            <w:tcW w:w="2714" w:type="dxa"/>
            <w:vMerge w:val="restart"/>
          </w:tcPr>
          <w:p w:rsidR="00000000" w:rsidRDefault="00000000">
            <w:pPr>
              <w:rPr>
                <w:sz w:val="20"/>
                <w:lang w:val="es-ES_tradnl"/>
              </w:rPr>
            </w:pPr>
            <w:r>
              <w:rPr>
                <w:sz w:val="20"/>
                <w:lang w:val="es-ES_tradnl"/>
              </w:rPr>
              <w:t>Martes 23 de mayo de 2006</w:t>
            </w:r>
          </w:p>
        </w:tc>
        <w:tc>
          <w:tcPr>
            <w:tcW w:w="1232" w:type="dxa"/>
          </w:tcPr>
          <w:p w:rsidR="00000000" w:rsidRDefault="00000000">
            <w:pPr>
              <w:jc w:val="center"/>
              <w:rPr>
                <w:sz w:val="20"/>
                <w:lang w:val="es-ES_tradnl"/>
              </w:rPr>
            </w:pPr>
            <w:r>
              <w:rPr>
                <w:sz w:val="20"/>
                <w:lang w:val="es-ES_tradnl"/>
              </w:rPr>
              <w:t>10.00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sz w:val="20"/>
                <w:lang w:val="es-ES_tradnl"/>
              </w:rPr>
            </w:pPr>
            <w:r>
              <w:rPr>
                <w:sz w:val="20"/>
                <w:lang w:val="es-ES_tradnl"/>
              </w:rPr>
              <w:t>Islas Marshall, segundo</w:t>
            </w:r>
          </w:p>
        </w:tc>
        <w:tc>
          <w:tcPr>
            <w:tcW w:w="2158" w:type="dxa"/>
          </w:tcPr>
          <w:p w:rsidR="00000000" w:rsidRDefault="00000000">
            <w:pPr>
              <w:rPr>
                <w:sz w:val="20"/>
                <w:lang w:val="es-ES_tradnl"/>
              </w:rPr>
            </w:pPr>
            <w:r>
              <w:rPr>
                <w:sz w:val="20"/>
                <w:lang w:val="es-ES_tradnl"/>
              </w:rPr>
              <w:t>México, tercero</w:t>
            </w:r>
          </w:p>
        </w:tc>
      </w:tr>
      <w:tr w:rsidR="00000000">
        <w:tblPrEx>
          <w:tblCellMar>
            <w:top w:w="0" w:type="dxa"/>
            <w:bottom w:w="0" w:type="dxa"/>
          </w:tblCellMar>
        </w:tblPrEx>
        <w:trPr>
          <w:cantSplit/>
        </w:trPr>
        <w:tc>
          <w:tcPr>
            <w:tcW w:w="2714" w:type="dxa"/>
            <w:vMerge/>
          </w:tcPr>
          <w:p w:rsidR="00000000" w:rsidRDefault="00000000">
            <w:pPr>
              <w:rPr>
                <w:sz w:val="20"/>
                <w:lang w:val="es-ES_tradnl"/>
              </w:rPr>
            </w:pPr>
          </w:p>
        </w:tc>
        <w:tc>
          <w:tcPr>
            <w:tcW w:w="1232" w:type="dxa"/>
          </w:tcPr>
          <w:p w:rsidR="00000000" w:rsidRDefault="00000000">
            <w:pPr>
              <w:jc w:val="center"/>
              <w:rPr>
                <w:sz w:val="20"/>
                <w:lang w:val="es-ES_tradnl"/>
              </w:rPr>
            </w:pPr>
            <w:r>
              <w:rPr>
                <w:sz w:val="20"/>
                <w:lang w:val="es-ES_tradnl"/>
              </w:rPr>
              <w:t>15.00 horas</w:t>
            </w:r>
          </w:p>
        </w:tc>
        <w:tc>
          <w:tcPr>
            <w:tcW w:w="1233" w:type="dxa"/>
          </w:tcPr>
          <w:p w:rsidR="00000000" w:rsidRDefault="00000000">
            <w:pPr>
              <w:jc w:val="center"/>
              <w:rPr>
                <w:sz w:val="20"/>
                <w:lang w:val="es-ES_tradnl"/>
              </w:rPr>
            </w:pPr>
            <w:r>
              <w:rPr>
                <w:sz w:val="20"/>
                <w:lang w:val="es-ES_tradnl"/>
              </w:rPr>
              <w:t>4</w:t>
            </w:r>
          </w:p>
        </w:tc>
        <w:tc>
          <w:tcPr>
            <w:tcW w:w="2158" w:type="dxa"/>
            <w:vAlign w:val="center"/>
          </w:tcPr>
          <w:p w:rsidR="00000000" w:rsidRDefault="00000000">
            <w:pPr>
              <w:rPr>
                <w:sz w:val="20"/>
                <w:lang w:val="es-ES_tradnl"/>
              </w:rPr>
            </w:pPr>
            <w:r>
              <w:rPr>
                <w:sz w:val="20"/>
                <w:lang w:val="es-ES_tradnl"/>
              </w:rPr>
              <w:t>Islas Marshall, segundo (</w:t>
            </w:r>
            <w:r>
              <w:rPr>
                <w:i/>
                <w:iCs/>
                <w:sz w:val="20"/>
                <w:lang w:val="es-ES_tradnl"/>
              </w:rPr>
              <w:t>continuación</w:t>
            </w:r>
            <w:r>
              <w:rPr>
                <w:sz w:val="20"/>
                <w:lang w:val="es-ES_tradnl"/>
              </w:rPr>
              <w:t>)</w:t>
            </w:r>
          </w:p>
        </w:tc>
        <w:tc>
          <w:tcPr>
            <w:tcW w:w="2158" w:type="dxa"/>
          </w:tcPr>
          <w:p w:rsidR="00000000" w:rsidRDefault="00000000">
            <w:pPr>
              <w:rPr>
                <w:sz w:val="20"/>
                <w:lang w:val="es-ES_tradnl"/>
              </w:rPr>
            </w:pPr>
            <w:r>
              <w:rPr>
                <w:sz w:val="20"/>
                <w:lang w:val="es-ES_tradnl"/>
              </w:rPr>
              <w:t>México, tercero (</w:t>
            </w:r>
            <w:r>
              <w:rPr>
                <w:i/>
                <w:iCs/>
                <w:sz w:val="20"/>
                <w:lang w:val="es-ES_tradnl"/>
              </w:rPr>
              <w:t>continuación</w:t>
            </w:r>
            <w:r>
              <w:rPr>
                <w:sz w:val="20"/>
                <w:lang w:val="es-ES_tradnl"/>
              </w:rPr>
              <w:t>)</w:t>
            </w:r>
          </w:p>
        </w:tc>
      </w:tr>
      <w:tr w:rsidR="00000000">
        <w:tblPrEx>
          <w:tblCellMar>
            <w:top w:w="0" w:type="dxa"/>
            <w:bottom w:w="0" w:type="dxa"/>
          </w:tblCellMar>
        </w:tblPrEx>
        <w:trPr>
          <w:cantSplit/>
        </w:trPr>
        <w:tc>
          <w:tcPr>
            <w:tcW w:w="2714" w:type="dxa"/>
            <w:vMerge w:val="restart"/>
          </w:tcPr>
          <w:p w:rsidR="00000000" w:rsidRDefault="00000000">
            <w:pPr>
              <w:rPr>
                <w:sz w:val="20"/>
                <w:lang w:val="es-ES_tradnl"/>
              </w:rPr>
            </w:pPr>
            <w:r>
              <w:rPr>
                <w:sz w:val="20"/>
                <w:lang w:val="es-ES_tradnl"/>
              </w:rPr>
              <w:t>Miércoles 24 de mayo de 2006</w:t>
            </w:r>
          </w:p>
        </w:tc>
        <w:tc>
          <w:tcPr>
            <w:tcW w:w="1232" w:type="dxa"/>
          </w:tcPr>
          <w:p w:rsidR="00000000" w:rsidRDefault="00000000">
            <w:pPr>
              <w:jc w:val="center"/>
              <w:rPr>
                <w:sz w:val="20"/>
                <w:lang w:val="es-ES_tradnl"/>
              </w:rPr>
            </w:pPr>
            <w:r>
              <w:rPr>
                <w:sz w:val="20"/>
                <w:lang w:val="es-ES_tradnl"/>
              </w:rPr>
              <w:t>10.00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sz w:val="20"/>
                <w:lang w:val="es-ES_tradnl"/>
              </w:rPr>
            </w:pPr>
            <w:r>
              <w:rPr>
                <w:sz w:val="20"/>
                <w:lang w:val="es-ES_tradnl"/>
              </w:rPr>
              <w:t>Líbano, tercero</w:t>
            </w:r>
          </w:p>
        </w:tc>
        <w:tc>
          <w:tcPr>
            <w:tcW w:w="2158" w:type="dxa"/>
          </w:tcPr>
          <w:p w:rsidR="00000000" w:rsidRDefault="00000000">
            <w:pPr>
              <w:rPr>
                <w:sz w:val="20"/>
                <w:lang w:val="es-ES_tradnl"/>
              </w:rPr>
            </w:pPr>
            <w:r>
              <w:rPr>
                <w:sz w:val="20"/>
                <w:lang w:val="es-ES_tradnl"/>
              </w:rPr>
              <w:t>Turkmenistán, inicial</w:t>
            </w:r>
          </w:p>
        </w:tc>
      </w:tr>
      <w:tr w:rsidR="00000000">
        <w:tblPrEx>
          <w:tblCellMar>
            <w:top w:w="0" w:type="dxa"/>
            <w:bottom w:w="0" w:type="dxa"/>
          </w:tblCellMar>
        </w:tblPrEx>
        <w:trPr>
          <w:cantSplit/>
        </w:trPr>
        <w:tc>
          <w:tcPr>
            <w:tcW w:w="2714" w:type="dxa"/>
            <w:vMerge/>
          </w:tcPr>
          <w:p w:rsidR="00000000" w:rsidRDefault="00000000">
            <w:pPr>
              <w:rPr>
                <w:sz w:val="20"/>
                <w:lang w:val="es-ES_tradnl"/>
              </w:rPr>
            </w:pPr>
          </w:p>
        </w:tc>
        <w:tc>
          <w:tcPr>
            <w:tcW w:w="1232" w:type="dxa"/>
          </w:tcPr>
          <w:p w:rsidR="00000000" w:rsidRDefault="00000000">
            <w:pPr>
              <w:jc w:val="center"/>
              <w:rPr>
                <w:sz w:val="20"/>
                <w:lang w:val="es-ES_tradnl"/>
              </w:rPr>
            </w:pPr>
            <w:r>
              <w:rPr>
                <w:sz w:val="20"/>
                <w:lang w:val="es-ES_tradnl"/>
              </w:rPr>
              <w:t>15.00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sz w:val="20"/>
                <w:lang w:val="es-ES_tradnl"/>
              </w:rPr>
            </w:pPr>
            <w:r>
              <w:rPr>
                <w:sz w:val="20"/>
                <w:lang w:val="es-ES_tradnl"/>
              </w:rPr>
              <w:t>Líbano, tercero (</w:t>
            </w:r>
            <w:r>
              <w:rPr>
                <w:i/>
                <w:iCs/>
                <w:sz w:val="20"/>
                <w:lang w:val="es-ES_tradnl"/>
              </w:rPr>
              <w:t>continuación</w:t>
            </w:r>
            <w:r>
              <w:rPr>
                <w:sz w:val="20"/>
                <w:lang w:val="es-ES_tradnl"/>
              </w:rPr>
              <w:t>)</w:t>
            </w:r>
          </w:p>
        </w:tc>
        <w:tc>
          <w:tcPr>
            <w:tcW w:w="2158" w:type="dxa"/>
          </w:tcPr>
          <w:p w:rsidR="00000000" w:rsidRDefault="00000000">
            <w:pPr>
              <w:rPr>
                <w:i/>
                <w:iCs/>
                <w:sz w:val="20"/>
                <w:lang w:val="es-ES_tradnl"/>
              </w:rPr>
            </w:pPr>
            <w:r>
              <w:rPr>
                <w:sz w:val="20"/>
                <w:lang w:val="es-ES_tradnl"/>
              </w:rPr>
              <w:t>Turkmenistán, inicial (</w:t>
            </w:r>
            <w:r>
              <w:rPr>
                <w:i/>
                <w:iCs/>
                <w:sz w:val="20"/>
                <w:lang w:val="es-ES_tradnl"/>
              </w:rPr>
              <w:t>continuación)</w:t>
            </w:r>
          </w:p>
        </w:tc>
      </w:tr>
      <w:tr w:rsidR="00000000">
        <w:tblPrEx>
          <w:tblCellMar>
            <w:top w:w="0" w:type="dxa"/>
            <w:bottom w:w="0" w:type="dxa"/>
          </w:tblCellMar>
        </w:tblPrEx>
        <w:trPr>
          <w:cantSplit/>
        </w:trPr>
        <w:tc>
          <w:tcPr>
            <w:tcW w:w="2714" w:type="dxa"/>
            <w:vMerge w:val="restart"/>
          </w:tcPr>
          <w:p w:rsidR="00000000" w:rsidRDefault="00000000">
            <w:pPr>
              <w:rPr>
                <w:sz w:val="20"/>
                <w:lang w:val="es-ES_tradnl"/>
              </w:rPr>
            </w:pPr>
            <w:r>
              <w:rPr>
                <w:sz w:val="20"/>
                <w:lang w:val="es-ES_tradnl"/>
              </w:rPr>
              <w:t>Viernes 26 de mayo de 2006</w:t>
            </w:r>
          </w:p>
        </w:tc>
        <w:tc>
          <w:tcPr>
            <w:tcW w:w="1232" w:type="dxa"/>
          </w:tcPr>
          <w:p w:rsidR="00000000" w:rsidRDefault="00000000">
            <w:pPr>
              <w:jc w:val="center"/>
              <w:rPr>
                <w:sz w:val="20"/>
                <w:lang w:val="es-ES_tradnl"/>
              </w:rPr>
            </w:pPr>
            <w:r>
              <w:rPr>
                <w:sz w:val="20"/>
                <w:lang w:val="es-ES_tradnl"/>
              </w:rPr>
              <w:t>10.00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sz w:val="20"/>
                <w:lang w:val="es-ES_tradnl"/>
              </w:rPr>
            </w:pPr>
            <w:r>
              <w:rPr>
                <w:sz w:val="20"/>
                <w:lang w:val="es-ES_tradnl"/>
              </w:rPr>
              <w:t xml:space="preserve">Islandia OPSC y OPAC </w:t>
            </w:r>
          </w:p>
        </w:tc>
        <w:tc>
          <w:tcPr>
            <w:tcW w:w="2158" w:type="dxa"/>
          </w:tcPr>
          <w:p w:rsidR="00000000" w:rsidRDefault="00000000">
            <w:pPr>
              <w:rPr>
                <w:sz w:val="20"/>
                <w:lang w:val="es-ES_tradnl"/>
              </w:rPr>
            </w:pPr>
            <w:r>
              <w:rPr>
                <w:sz w:val="20"/>
                <w:lang w:val="es-ES_tradnl"/>
              </w:rPr>
              <w:t>Italia OPSC y OPAC</w:t>
            </w:r>
          </w:p>
        </w:tc>
      </w:tr>
      <w:tr w:rsidR="00000000">
        <w:tblPrEx>
          <w:tblCellMar>
            <w:top w:w="0" w:type="dxa"/>
            <w:bottom w:w="0" w:type="dxa"/>
          </w:tblCellMar>
        </w:tblPrEx>
        <w:trPr>
          <w:cantSplit/>
        </w:trPr>
        <w:tc>
          <w:tcPr>
            <w:tcW w:w="2714" w:type="dxa"/>
            <w:vMerge/>
          </w:tcPr>
          <w:p w:rsidR="00000000" w:rsidRDefault="00000000">
            <w:pPr>
              <w:rPr>
                <w:sz w:val="20"/>
                <w:lang w:val="es-ES_tradnl"/>
              </w:rPr>
            </w:pPr>
          </w:p>
        </w:tc>
        <w:tc>
          <w:tcPr>
            <w:tcW w:w="1232" w:type="dxa"/>
          </w:tcPr>
          <w:p w:rsidR="00000000" w:rsidRDefault="00000000">
            <w:pPr>
              <w:jc w:val="center"/>
              <w:rPr>
                <w:sz w:val="20"/>
                <w:lang w:val="es-ES_tradnl"/>
              </w:rPr>
            </w:pPr>
            <w:r>
              <w:rPr>
                <w:sz w:val="20"/>
                <w:lang w:val="es-ES_tradnl"/>
              </w:rPr>
              <w:t>15.00 horas</w:t>
            </w:r>
          </w:p>
        </w:tc>
        <w:tc>
          <w:tcPr>
            <w:tcW w:w="1233" w:type="dxa"/>
          </w:tcPr>
          <w:p w:rsidR="00000000" w:rsidRDefault="00000000">
            <w:pPr>
              <w:jc w:val="center"/>
              <w:rPr>
                <w:sz w:val="20"/>
                <w:lang w:val="es-ES_tradnl"/>
              </w:rPr>
            </w:pPr>
            <w:r>
              <w:rPr>
                <w:sz w:val="20"/>
                <w:lang w:val="es-ES_tradnl"/>
              </w:rPr>
              <w:t>4</w:t>
            </w:r>
          </w:p>
        </w:tc>
        <w:tc>
          <w:tcPr>
            <w:tcW w:w="2158" w:type="dxa"/>
          </w:tcPr>
          <w:p w:rsidR="00000000" w:rsidRDefault="00000000">
            <w:pPr>
              <w:rPr>
                <w:sz w:val="20"/>
                <w:lang w:val="es-ES_tradnl"/>
              </w:rPr>
            </w:pPr>
            <w:r>
              <w:rPr>
                <w:sz w:val="20"/>
                <w:lang w:val="es-ES_tradnl"/>
              </w:rPr>
              <w:t>Islandia OPSC y OPAC (</w:t>
            </w:r>
            <w:r>
              <w:rPr>
                <w:i/>
                <w:iCs/>
                <w:sz w:val="20"/>
                <w:lang w:val="es-ES_tradnl"/>
              </w:rPr>
              <w:t>continuación</w:t>
            </w:r>
            <w:r>
              <w:rPr>
                <w:sz w:val="20"/>
                <w:lang w:val="es-ES_tradnl"/>
              </w:rPr>
              <w:t>)</w:t>
            </w:r>
          </w:p>
        </w:tc>
        <w:tc>
          <w:tcPr>
            <w:tcW w:w="2158" w:type="dxa"/>
          </w:tcPr>
          <w:p w:rsidR="00000000" w:rsidRDefault="00000000">
            <w:pPr>
              <w:rPr>
                <w:sz w:val="20"/>
                <w:lang w:val="es-ES_tradnl"/>
              </w:rPr>
            </w:pPr>
            <w:r>
              <w:rPr>
                <w:sz w:val="20"/>
                <w:lang w:val="es-ES_tradnl"/>
              </w:rPr>
              <w:t>Italia OPSC y OPAC (</w:t>
            </w:r>
            <w:r>
              <w:rPr>
                <w:i/>
                <w:iCs/>
                <w:sz w:val="20"/>
                <w:lang w:val="es-ES_tradnl"/>
              </w:rPr>
              <w:t>continuación</w:t>
            </w:r>
            <w:r>
              <w:rPr>
                <w:sz w:val="20"/>
                <w:lang w:val="es-ES_tradnl"/>
              </w:rPr>
              <w:t>)</w:t>
            </w:r>
          </w:p>
        </w:tc>
      </w:tr>
      <w:tr w:rsidR="00000000">
        <w:tblPrEx>
          <w:tblCellMar>
            <w:top w:w="0" w:type="dxa"/>
            <w:bottom w:w="0" w:type="dxa"/>
          </w:tblCellMar>
        </w:tblPrEx>
        <w:trPr>
          <w:cantSplit/>
        </w:trPr>
        <w:tc>
          <w:tcPr>
            <w:tcW w:w="2714" w:type="dxa"/>
          </w:tcPr>
          <w:p w:rsidR="00000000" w:rsidRDefault="00000000">
            <w:pPr>
              <w:rPr>
                <w:sz w:val="20"/>
                <w:lang w:val="es-ES_tradnl"/>
              </w:rPr>
            </w:pPr>
            <w:r>
              <w:rPr>
                <w:sz w:val="20"/>
                <w:lang w:val="es-ES_tradnl"/>
              </w:rPr>
              <w:t>Viernes 2 de junio de 2006</w:t>
            </w:r>
          </w:p>
        </w:tc>
        <w:tc>
          <w:tcPr>
            <w:tcW w:w="1232" w:type="dxa"/>
          </w:tcPr>
          <w:p w:rsidR="00000000" w:rsidRDefault="00000000">
            <w:pPr>
              <w:jc w:val="center"/>
              <w:rPr>
                <w:sz w:val="20"/>
                <w:lang w:val="es-ES_tradnl"/>
              </w:rPr>
            </w:pPr>
            <w:r>
              <w:rPr>
                <w:sz w:val="20"/>
                <w:lang w:val="es-ES_tradnl"/>
              </w:rPr>
              <w:t>11.45 horas</w:t>
            </w:r>
          </w:p>
        </w:tc>
        <w:tc>
          <w:tcPr>
            <w:tcW w:w="1233" w:type="dxa"/>
          </w:tcPr>
          <w:p w:rsidR="00000000" w:rsidRDefault="00000000">
            <w:pPr>
              <w:jc w:val="center"/>
              <w:rPr>
                <w:sz w:val="20"/>
                <w:lang w:val="es-ES_tradnl"/>
              </w:rPr>
            </w:pPr>
            <w:r>
              <w:rPr>
                <w:sz w:val="20"/>
                <w:lang w:val="es-ES_tradnl"/>
              </w:rPr>
              <w:t>4</w:t>
            </w:r>
          </w:p>
        </w:tc>
        <w:tc>
          <w:tcPr>
            <w:tcW w:w="4316" w:type="dxa"/>
            <w:gridSpan w:val="2"/>
          </w:tcPr>
          <w:p w:rsidR="00000000" w:rsidRDefault="00000000">
            <w:pPr>
              <w:rPr>
                <w:sz w:val="20"/>
                <w:lang w:val="es-ES_tradnl"/>
              </w:rPr>
            </w:pPr>
            <w:r>
              <w:rPr>
                <w:sz w:val="20"/>
                <w:lang w:val="es-ES_tradnl"/>
              </w:rPr>
              <w:t>Sesión pública - clausura del período de sesiones</w:t>
            </w:r>
          </w:p>
        </w:tc>
      </w:tr>
    </w:tbl>
    <w:p w:rsidR="00000000" w:rsidRDefault="00000000">
      <w:pPr>
        <w:keepLines/>
        <w:spacing w:before="480" w:after="240"/>
        <w:rPr>
          <w:lang w:val="es-ES_tradnl"/>
        </w:rPr>
      </w:pPr>
      <w:r>
        <w:rPr>
          <w:lang w:val="es-ES_tradnl"/>
        </w:rPr>
        <w:t>9.</w:t>
      </w:r>
      <w:r>
        <w:rPr>
          <w:lang w:val="es-ES_tradnl"/>
        </w:rPr>
        <w:tab/>
        <w:t xml:space="preserve">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  De conformidad con la decisión Nº 8 del Comité, adoptada en su 39º período de sesiones en junio de 2005, a los Estados Partes que no tropiezan con graves dificultades para respetar y cumplir las disposiciones consagradas en el Protocolo Facultativo relativo a la participación de niños en los conflictos armados se les ofrecerá la opción de una revisión técnica (procedimiento escrito) o </w:t>
      </w:r>
      <w:r>
        <w:t>un examen en un período de sesiones ordinario que incluya un diálogo con el Comité</w:t>
      </w:r>
      <w:r>
        <w:rPr>
          <w:lang w:val="es-ES_tradnl"/>
        </w:rPr>
        <w:t>.</w:t>
      </w:r>
    </w:p>
    <w:p w:rsidR="00000000" w:rsidRDefault="00000000">
      <w:pPr>
        <w:spacing w:before="240" w:after="240"/>
        <w:rPr>
          <w:lang w:val="es-ES_tradnl"/>
        </w:rPr>
      </w:pPr>
      <w:r>
        <w:rPr>
          <w:lang w:val="es-ES_tradnl"/>
        </w:rPr>
        <w:t>10.</w:t>
      </w:r>
      <w:r>
        <w:rPr>
          <w:lang w:val="es-ES_tradnl"/>
        </w:rPr>
        <w:tab/>
        <w:t>A la luz de los artículos 44 y 45 de la Convención, el Comité adoptará observaciones finales y recomendaciones para todos los Estados Partes cuyos informes haya examinado en su 42º período de sesiones en su última sesión, programada para el 2 de junio de 2006 en el Palais Wilson, Ginebra.  Se invita a asistir a esta sesión pública a los representantes de los 16 Estados Partes cuyos informes está previsto examinar en este período de sesiones.  También se invita a asistir a esta sesión a los representantes de otros Estados Partes, organismos especializados y órganos de las Naciones Unidas y a todas las demás entidades competentes y observadores.</w:t>
      </w:r>
    </w:p>
    <w:p w:rsidR="00000000" w:rsidRDefault="00000000">
      <w:pPr>
        <w:spacing w:before="240" w:after="240"/>
        <w:rPr>
          <w:lang w:val="es-ES_tradnl"/>
        </w:rPr>
      </w:pPr>
      <w:r>
        <w:rPr>
          <w:lang w:val="es-ES_tradnl"/>
        </w:rPr>
        <w:t>11.</w:t>
      </w:r>
      <w:r>
        <w:rPr>
          <w:lang w:val="es-ES_tradnl"/>
        </w:rPr>
        <w:tab/>
        <w:t>De conformidad con el artículo 68 del reglamento provisional del Comité, el Secretario General ha notificado a los Estados Partes interesados la fecha de apertura, la duración y el lugar de celebración del 42º período de sesiones del Comité durante el cual se examinarán sus respectivos informes, y les ha pedido que envíen sus representantes a las sesiones del Comité en que se examinarán sus informes.</w:t>
      </w:r>
    </w:p>
    <w:p w:rsidR="00000000" w:rsidRDefault="00000000">
      <w:pPr>
        <w:tabs>
          <w:tab w:val="left" w:pos="993"/>
        </w:tabs>
        <w:spacing w:after="240"/>
        <w:ind w:left="992" w:hanging="992"/>
        <w:rPr>
          <w:b/>
          <w:bCs/>
          <w:lang w:val="es-ES_tradnl"/>
        </w:rPr>
      </w:pPr>
      <w:r>
        <w:rPr>
          <w:b/>
          <w:bCs/>
          <w:lang w:val="es-ES_tradnl"/>
        </w:rPr>
        <w:t>Tema 5 -</w:t>
      </w:r>
      <w:r>
        <w:rPr>
          <w:b/>
          <w:bCs/>
          <w:lang w:val="es-ES_tradnl"/>
        </w:rPr>
        <w:tab/>
        <w:t>Cooperación con otros órganos, organismos especializados y entidades competentes de las Naciones Unidas</w:t>
      </w:r>
    </w:p>
    <w:p w:rsidR="00000000" w:rsidRDefault="00000000">
      <w:pPr>
        <w:spacing w:after="240"/>
        <w:rPr>
          <w:lang w:val="es-ES_tradnl"/>
        </w:rPr>
      </w:pPr>
      <w:r>
        <w:rPr>
          <w:lang w:val="es-ES_tradnl"/>
        </w:rPr>
        <w:t>12.</w:t>
      </w:r>
      <w:r>
        <w:rPr>
          <w:lang w:val="es-ES_tradnl"/>
        </w:rPr>
        <w:tab/>
        <w:t>En relación con este tema, el Comité proseguirá su debate sobre las formas y las esferas en que se podría reforzar la cooperación con diversos órganos competentes para mejorar la promoción y protección de los derechos del niño.</w:t>
      </w:r>
    </w:p>
    <w:p w:rsidR="00000000" w:rsidRDefault="00000000">
      <w:pPr>
        <w:spacing w:after="240"/>
        <w:rPr>
          <w:b/>
          <w:bCs/>
          <w:lang w:val="es-ES_tradnl"/>
        </w:rPr>
      </w:pPr>
      <w:r>
        <w:rPr>
          <w:b/>
          <w:bCs/>
          <w:lang w:val="es-ES_tradnl"/>
        </w:rPr>
        <w:t>Tema 6 - Métodos de trabajo del Comité</w:t>
      </w:r>
    </w:p>
    <w:p w:rsidR="00000000" w:rsidRDefault="00000000">
      <w:pPr>
        <w:spacing w:after="240"/>
        <w:rPr>
          <w:lang w:val="es-ES_tradnl"/>
        </w:rPr>
      </w:pPr>
      <w:r>
        <w:rPr>
          <w:lang w:val="es-ES_tradnl"/>
        </w:rPr>
        <w:t>13.</w:t>
      </w:r>
      <w:r>
        <w:rPr>
          <w:lang w:val="es-ES_tradnl"/>
        </w:rPr>
        <w:tab/>
        <w:t>En relación con este tema, el Comité continuará su debate sobre la organización de su labor futura y el procedimiento que habrá de seguirse para examinar los informes de los Estados Partes y su seguimiento, incluida, de ser necesaria, la determinación de las esferas en que deba prestarse asistencia técnica.</w:t>
      </w:r>
    </w:p>
    <w:p w:rsidR="00000000" w:rsidRDefault="00000000">
      <w:pPr>
        <w:spacing w:after="240"/>
        <w:rPr>
          <w:b/>
          <w:bCs/>
          <w:lang w:val="es-ES_tradnl"/>
        </w:rPr>
      </w:pPr>
      <w:r>
        <w:rPr>
          <w:b/>
          <w:bCs/>
          <w:lang w:val="es-ES_tradnl"/>
        </w:rPr>
        <w:t>Tema 7 - Observaciones generales</w:t>
      </w:r>
    </w:p>
    <w:p w:rsidR="00000000" w:rsidRDefault="00000000">
      <w:pPr>
        <w:spacing w:after="240"/>
        <w:rPr>
          <w:lang w:val="es-ES_tradnl"/>
        </w:rPr>
      </w:pPr>
      <w:r>
        <w:rPr>
          <w:lang w:val="es-ES_tradnl"/>
        </w:rPr>
        <w:t>14.</w:t>
      </w:r>
      <w:r>
        <w:rPr>
          <w:lang w:val="es-ES_tradnl"/>
        </w:rPr>
        <w:tab/>
        <w:t>En relación con este tema, el Comité seguirá elaborando observaciones generales sobre la base de los diversos principios y disposiciones de la Convención.</w:t>
      </w:r>
    </w:p>
    <w:p w:rsidR="00000000" w:rsidRDefault="00000000">
      <w:pPr>
        <w:keepNext/>
        <w:spacing w:after="240"/>
        <w:rPr>
          <w:b/>
          <w:bCs/>
          <w:lang w:val="es-ES_tradnl"/>
        </w:rPr>
      </w:pPr>
      <w:r>
        <w:rPr>
          <w:b/>
          <w:bCs/>
          <w:lang w:val="es-ES_tradnl"/>
        </w:rPr>
        <w:t>Tema 8 - Reuniones futuras</w:t>
      </w:r>
    </w:p>
    <w:p w:rsidR="00000000" w:rsidRDefault="00000000">
      <w:pPr>
        <w:spacing w:after="240"/>
        <w:rPr>
          <w:lang w:val="es-ES_tradnl"/>
        </w:rPr>
      </w:pPr>
      <w:r>
        <w:rPr>
          <w:lang w:val="es-ES_tradnl"/>
        </w:rPr>
        <w:t>15.</w:t>
      </w:r>
      <w:r>
        <w:rPr>
          <w:lang w:val="es-ES_tradnl"/>
        </w:rPr>
        <w:tab/>
        <w:t>En relación con este tema, se informará al Comité de cualquier novedad acerca del calendario de sus futuras reuniones.</w:t>
      </w:r>
    </w:p>
    <w:p w:rsidR="00000000" w:rsidRDefault="00000000">
      <w:pPr>
        <w:spacing w:after="240"/>
        <w:rPr>
          <w:b/>
          <w:bCs/>
          <w:lang w:val="es-ES_tradnl"/>
        </w:rPr>
      </w:pPr>
      <w:r>
        <w:rPr>
          <w:b/>
          <w:bCs/>
          <w:lang w:val="es-ES_tradnl"/>
        </w:rPr>
        <w:t>Tema 9 - Otros asuntos</w:t>
      </w:r>
    </w:p>
    <w:p w:rsidR="00000000" w:rsidRDefault="00000000">
      <w:pPr>
        <w:spacing w:after="240"/>
        <w:rPr>
          <w:lang w:val="es-ES_tradnl"/>
        </w:rPr>
      </w:pPr>
      <w:r>
        <w:rPr>
          <w:lang w:val="es-ES_tradnl"/>
        </w:rPr>
        <w:t>16.</w:t>
      </w:r>
      <w:r>
        <w:rPr>
          <w:lang w:val="es-ES_tradnl"/>
        </w:rPr>
        <w:tab/>
        <w:t>En relación con este tema, los miembros del Comité examinarán otros asuntos relativos a la labor de éste, según proceda.</w:t>
      </w:r>
    </w:p>
    <w:p w:rsidR="00000000" w:rsidRDefault="00000000">
      <w:pPr>
        <w:spacing w:after="240"/>
        <w:jc w:val="cente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CRC/C/42/1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pPr>
    <w:r>
      <w:tab/>
      <w:t>CRC/C/42/1</w:t>
    </w:r>
  </w:p>
  <w:p w:rsidR="00000000" w:rsidRDefault="00000000">
    <w:pPr>
      <w:tabs>
        <w:tab w:val="left" w:pos="792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before="480" w:after="240"/>
      <w:jc w:val="center"/>
      <w:outlineLvl w:val="1"/>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3">
    <w:name w:val="Body Text Indent 3"/>
    <w:basedOn w:val="Normal"/>
    <w:semiHidden/>
    <w:pPr>
      <w:spacing w:after="240"/>
      <w:ind w:left="6804"/>
    </w:pPr>
    <w:rPr>
      <w:lang w:val="es-ES_tradnl"/>
    </w:rPr>
  </w:style>
  <w:style w:type="paragraph" w:styleId="BodyTextIndent">
    <w:name w:val="Body Text Indent"/>
    <w:basedOn w:val="Normal"/>
    <w:semiHidden/>
    <w:pPr>
      <w:spacing w:before="480" w:after="240"/>
      <w:ind w:firstLine="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1449</Words>
  <Characters>8264</Characters>
  <Application>Microsoft Office Word</Application>
  <DocSecurity>4</DocSecurity>
  <Lines>68</Lines>
  <Paragraphs>16</Paragraphs>
  <ScaleCrop>false</ScaleCrop>
  <HeadingPairs>
    <vt:vector size="2" baseType="variant">
      <vt:variant>
        <vt:lpstr>Título</vt:lpstr>
      </vt:variant>
      <vt:variant>
        <vt:i4>1</vt:i4>
      </vt:variant>
    </vt:vector>
  </HeadingPairs>
  <TitlesOfParts>
    <vt:vector size="1" baseType="lpstr">
      <vt:lpstr>CRC/C/42/1   -  06-40910</vt:lpstr>
    </vt:vector>
  </TitlesOfParts>
  <Company>ONU</Company>
  <LinksUpToDate>false</LinksUpToDate>
  <CharactersWithSpaces>10148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CRC/C/42/1   -  06-40910</dc:title>
  <dc:subject>6</dc:subject>
  <dc:creator>Tomero</dc:creator>
  <cp:keywords/>
  <dc:description/>
  <cp:lastModifiedBy>PDF</cp:lastModifiedBy>
  <cp:revision>2</cp:revision>
  <cp:lastPrinted>2006-04-03T08:39:00Z</cp:lastPrinted>
  <dcterms:created xsi:type="dcterms:W3CDTF">2006-04-03T08:55:00Z</dcterms:created>
  <dcterms:modified xsi:type="dcterms:W3CDTF">2006-04-03T08:55:00Z</dcterms:modified>
</cp:coreProperties>
</file>