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Vigésimo octavo período de sesiones</w:t>
      </w:r>
    </w:p>
    <w:p w:rsidR="00000000" w:rsidRDefault="00000000">
      <w:pPr>
        <w:spacing w:line="240" w:lineRule="auto"/>
        <w:rPr>
          <w:sz w:val="12"/>
        </w:rPr>
      </w:pPr>
    </w:p>
    <w:p w:rsidR="00000000" w:rsidRDefault="00000000">
      <w:pPr>
        <w:pStyle w:val="H23"/>
      </w:pPr>
      <w:r>
        <w:t>Acta resumida de la 591ª sesión</w:t>
      </w:r>
    </w:p>
    <w:p w:rsidR="00000000" w:rsidRDefault="00000000">
      <w:r>
        <w:t>Celebrada en la Sede, Nueva York, el martes 14 de enero de 2003,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Presidente:</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los informes presentados por los Estados partes de conformidad con el artículo 18 de la Convención sobre la eliminación de todas las formas de discrimin</w:t>
      </w:r>
      <w:r>
        <w:t>a</w:t>
      </w:r>
      <w:r>
        <w:t>ción contra la mujer (</w:t>
      </w:r>
      <w:r>
        <w:rPr>
          <w:i/>
        </w:rPr>
        <w:t>continuación</w:t>
      </w:r>
      <w:r>
        <w:t>)</w:t>
      </w:r>
    </w:p>
    <w:p w:rsidR="00000000" w:rsidRDefault="00000000">
      <w:pPr>
        <w:pStyle w:val="SingleTxt"/>
        <w:ind w:left="1742" w:hanging="475"/>
        <w:jc w:val="left"/>
        <w:rPr>
          <w:i/>
        </w:rPr>
      </w:pPr>
      <w:r>
        <w:tab/>
      </w:r>
      <w:r>
        <w:rPr>
          <w:i/>
        </w:rPr>
        <w:t xml:space="preserve">Informe inicial y segundo informe periódico combinados de Suiza </w:t>
      </w:r>
      <w:r>
        <w:rPr>
          <w:i/>
        </w:rPr>
        <w:br/>
        <w:t>(continu</w:t>
      </w:r>
      <w:r>
        <w:rPr>
          <w:i/>
        </w:rPr>
        <w:t>a</w:t>
      </w:r>
      <w:r>
        <w:rPr>
          <w:i/>
        </w:rPr>
        <w:t>ción)</w:t>
      </w: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de conformidad con el artículo 18 de la Convención sobre la eliminación de todas las formas de discriminación contra la mujer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rPr>
          <w:i w:val="0"/>
        </w:rPr>
      </w:pPr>
      <w:r>
        <w:tab/>
      </w:r>
      <w:r>
        <w:tab/>
        <w:t xml:space="preserve">Informe inicial y segundo informe periódico, combinados de Suiza (continuación) </w:t>
      </w:r>
      <w:r>
        <w:rPr>
          <w:i w:val="0"/>
        </w:rPr>
        <w:t>(CEDAW/C/CHE/1 y 2 y Add.1)</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Por invitación de la Presidenta, los miembros de la delegación de Suiza toman asiento a la mesa del Comité.</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4 (continu</w:t>
      </w:r>
      <w:r>
        <w:t>a</w:t>
      </w:r>
      <w:r>
        <w:t>ción)</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Gabr</w:t>
      </w:r>
      <w:r>
        <w:t>, en referencia al párrafo 84 del i</w:t>
      </w:r>
      <w:r>
        <w:t>n</w:t>
      </w:r>
      <w:r>
        <w:t>forme (CEDAW/C/CHE/1 y 2) dice que la Corte S</w:t>
      </w:r>
      <w:r>
        <w:t>u</w:t>
      </w:r>
      <w:r>
        <w:t>prema de Suiza dictaminó que las reglamentaciones que fijan cupos para establecer la igualdad en la repr</w:t>
      </w:r>
      <w:r>
        <w:t>e</w:t>
      </w:r>
      <w:r>
        <w:t>sentación no son contrarias a la Constitución, pero que no es admisible distribuir los mandatos electivos sobre la base de cupos en una elección popular. A juicio de la oradora, puesto que se acepta el principio de propo</w:t>
      </w:r>
      <w:r>
        <w:t>r</w:t>
      </w:r>
      <w:r>
        <w:t>cionalidad, se trata de dar una nueva redacción a la propuesta a que se hace referencia en el párrafo 190. En el caso de la decisión de la Corte Suprema, que también se cita en ese párrafo, de que una iniciativa popular de fijar cupos va más allá de lo necesario en materia de igualdad material de oportunidades, la or</w:t>
      </w:r>
      <w:r>
        <w:t>a</w:t>
      </w:r>
      <w:r>
        <w:t>dora considera que la dificultad que plantea la iniciat</w:t>
      </w:r>
      <w:r>
        <w:t>i</w:t>
      </w:r>
      <w:r>
        <w:t>va es meramente de r</w:t>
      </w:r>
      <w:r>
        <w:t>e</w:t>
      </w:r>
      <w:r>
        <w:t>dacción.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A ese respecto, la oradora pregunta qué medidas está adoptando Suiza para asegurar la representación del alto número de extranjeros que viven en ese país.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5</w:t>
      </w:r>
    </w:p>
    <w:p w:rsidR="00000000" w:rsidRDefault="00000000">
      <w:pPr>
        <w:pStyle w:val="DualTxt"/>
        <w:spacing w:after="0" w:line="120" w:lineRule="exact"/>
        <w:rPr>
          <w:sz w:val="10"/>
        </w:rPr>
      </w:pPr>
    </w:p>
    <w:p w:rsidR="00000000" w:rsidRDefault="00000000">
      <w:pPr>
        <w:pStyle w:val="DualTxt"/>
      </w:pPr>
      <w:r>
        <w:t>4.</w:t>
      </w:r>
      <w:r>
        <w:tab/>
      </w:r>
      <w:r>
        <w:rPr>
          <w:b/>
        </w:rPr>
        <w:t>La Sra. Ferrer Gómez</w:t>
      </w:r>
      <w:r>
        <w:t xml:space="preserve"> dice que le gustaría di</w:t>
      </w:r>
      <w:r>
        <w:t>s</w:t>
      </w:r>
      <w:r>
        <w:t>poner de más información acerca de los esfuerzos de</w:t>
      </w:r>
      <w:r>
        <w:t>s</w:t>
      </w:r>
      <w:r>
        <w:t>plegados por el Gobierno para mejorar el papel de la mujer en la sociedad y en la familia. Sería de utilidad saber qué medidas ha adoptado Suiza para introducir a la mujer a campos de estudio no tradicionales e inco</w:t>
      </w:r>
      <w:r>
        <w:t>r</w:t>
      </w:r>
      <w:r>
        <w:t>porar la enseñanza de cuestiones relativas al género, y qué papel desempeñan los medios de comunicación en la modificación de los estereotipos. La oradora también desea saber qué medidas se están adoptando para se</w:t>
      </w:r>
      <w:r>
        <w:t>n</w:t>
      </w:r>
      <w:r>
        <w:t>sibilizar a las autoridades policíacas, al personal ho</w:t>
      </w:r>
      <w:r>
        <w:t>s</w:t>
      </w:r>
      <w:r>
        <w:t>pitalario y a los funcionarios judiciales con respecto a las mujeres víct</w:t>
      </w:r>
      <w:r>
        <w:t>i</w:t>
      </w:r>
      <w:r>
        <w:t>mas de la violencia en el hogar.</w:t>
      </w:r>
    </w:p>
    <w:p w:rsidR="00000000" w:rsidRDefault="00000000">
      <w:pPr>
        <w:pStyle w:val="DualTxt"/>
        <w:numPr>
          <w:ilvl w:val="0"/>
          <w:numId w:val="6"/>
        </w:numPr>
        <w:tabs>
          <w:tab w:val="clear" w:pos="960"/>
          <w:tab w:val="left" w:pos="475"/>
          <w:tab w:val="left" w:pos="965"/>
        </w:tabs>
      </w:pPr>
      <w:r>
        <w:rPr>
          <w:b/>
        </w:rPr>
        <w:t>La Sra. Khan</w:t>
      </w:r>
      <w:r>
        <w:t>, tras tomar nota de las medidas adoptadas por Suiza para eliminar los estereotipos de género, dice que quedó asombrada al enterarse de que los hombres y las mujeres siguen viéndose restringidos a papeles tradicionales en ese país. Esa situación con</w:t>
      </w:r>
      <w:r>
        <w:t>s</w:t>
      </w:r>
      <w:r>
        <w:t>tituye un importante problema. No obstante, los est</w:t>
      </w:r>
      <w:r>
        <w:t>e</w:t>
      </w:r>
      <w:r>
        <w:t>reotipos culturales resultan difíciles de eliminar. La oradora elogia al Estado parte por su atención al papel de los medios de comunicación en la modificación de las relaciones entre los géneros. Sin embargo, en el p</w:t>
      </w:r>
      <w:r>
        <w:t>á</w:t>
      </w:r>
      <w:r>
        <w:t>rrafo 133 del informe se indica que los medios de c</w:t>
      </w:r>
      <w:r>
        <w:t>o</w:t>
      </w:r>
      <w:r>
        <w:t>municación suizos en general continúan haciendo hi</w:t>
      </w:r>
      <w:r>
        <w:t>n</w:t>
      </w:r>
      <w:r>
        <w:t>capié en los aspectos sexuales de la violencia contra la mujer. Se agradecería más información sobre este asunto. En particular, la oradora desearía saber si existe alguna limitación sobre la exhibición de pornografía en la televisión o en otros medios de comunicación y si se están aplicando las directivas sobre la prevención del uso de estereotipos femeninos degradantes en la publ</w:t>
      </w:r>
      <w:r>
        <w:t>i</w:t>
      </w:r>
      <w:r>
        <w:t>cidad, tal como se menci</w:t>
      </w:r>
      <w:r>
        <w:t>o</w:t>
      </w:r>
      <w:r>
        <w:t>na en el párrafo 133.</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La oradora pregunta si los materiales de public</w:t>
      </w:r>
      <w:r>
        <w:t>i</w:t>
      </w:r>
      <w:r>
        <w:t>dad y de campaña electoral se preparan en varios idi</w:t>
      </w:r>
      <w:r>
        <w:t>o</w:t>
      </w:r>
      <w:r>
        <w:t>mas, y qué papel desempeñan las mujeres en los m</w:t>
      </w:r>
      <w:r>
        <w:t>e</w:t>
      </w:r>
      <w:r>
        <w:t>dios de comunicación, en particular en los niveles de toma de decisión. Además, sería de utilidad saber si las mujeres inmigrantes son objeto de persecución por sus creencias o si se ven obligadas a contraer matrimonio forzado o a someterse a la mutilación genital femenina, y si existen albergues para esas mujeres. Por último, la oradora pregunta si se ha hecho algún estudio para evaluar los estereotipos y actitudes en el seno de las familias inm</w:t>
      </w:r>
      <w:r>
        <w:t>i</w:t>
      </w:r>
      <w:r>
        <w:t>grantes.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La Sra. Achmad</w:t>
      </w:r>
      <w:r>
        <w:t xml:space="preserve"> pregunta qué medidas se están adoptando para investigar los estereotipos y prejuicios imperantes y sus repercusiones sobre la juventud. R</w:t>
      </w:r>
      <w:r>
        <w:t>e</w:t>
      </w:r>
      <w:r>
        <w:t>sultaría útil contar con más información acerca de las directivas sobre la prevención del uso de estereotipos femeninos degradantes en la publicidad, en particular, quién los inició y quién es responsable de su utiliz</w:t>
      </w:r>
      <w:r>
        <w:t>a</w:t>
      </w:r>
      <w:r>
        <w:t>ción. La oradora se pregunta asimismo si existen sa</w:t>
      </w:r>
      <w:r>
        <w:t>n</w:t>
      </w:r>
      <w:r>
        <w:t>ciones contra las personas que incumplen esas direct</w:t>
      </w:r>
      <w:r>
        <w:t>i</w:t>
      </w:r>
      <w:r>
        <w:t>vas y si se han establecido directivas similares para los medios de comunicación.</w:t>
      </w:r>
    </w:p>
    <w:p w:rsidR="00000000" w:rsidRDefault="00000000">
      <w:pPr>
        <w:pStyle w:val="DualTxt"/>
        <w:numPr>
          <w:ilvl w:val="0"/>
          <w:numId w:val="9"/>
        </w:numPr>
        <w:tabs>
          <w:tab w:val="clear" w:pos="960"/>
          <w:tab w:val="left" w:pos="475"/>
          <w:tab w:val="left" w:pos="965"/>
        </w:tabs>
      </w:pPr>
      <w:r>
        <w:t xml:space="preserve">En el párrafo 134 se indica que se está dando a las </w:t>
      </w:r>
      <w:r>
        <w:rPr>
          <w:spacing w:val="2"/>
          <w:w w:val="102"/>
        </w:rPr>
        <w:t>jóvenes el espacio que necesitan para su realización pe</w:t>
      </w:r>
      <w:r>
        <w:rPr>
          <w:spacing w:val="2"/>
          <w:w w:val="102"/>
        </w:rPr>
        <w:t>r</w:t>
      </w:r>
      <w:r>
        <w:rPr>
          <w:spacing w:val="2"/>
          <w:w w:val="102"/>
        </w:rPr>
        <w:t>sonal. A juicio de la oradora, es importante que en ese cometido también se tenga en cuenta a los varones, puesto que el objetivo es la participación en pie de igua</w:t>
      </w:r>
      <w:r>
        <w:rPr>
          <w:spacing w:val="2"/>
          <w:w w:val="102"/>
        </w:rPr>
        <w:t>l</w:t>
      </w:r>
      <w:r>
        <w:rPr>
          <w:spacing w:val="2"/>
          <w:w w:val="102"/>
        </w:rPr>
        <w:t>dad, y los niños y niñas deben considerarse igu</w:t>
      </w:r>
      <w:r>
        <w:rPr>
          <w:spacing w:val="2"/>
          <w:w w:val="102"/>
        </w:rPr>
        <w:t>a</w:t>
      </w:r>
      <w:r>
        <w:rPr>
          <w:spacing w:val="2"/>
          <w:w w:val="102"/>
        </w:rPr>
        <w:t>les.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6</w:t>
      </w:r>
    </w:p>
    <w:p w:rsidR="00000000" w:rsidRDefault="00000000">
      <w:pPr>
        <w:pStyle w:val="DualTxt"/>
        <w:spacing w:after="0" w:line="120" w:lineRule="exact"/>
        <w:rPr>
          <w:sz w:val="10"/>
        </w:rPr>
      </w:pPr>
    </w:p>
    <w:p w:rsidR="00000000" w:rsidRDefault="00000000">
      <w:pPr>
        <w:pStyle w:val="DualTxt"/>
      </w:pPr>
      <w:r>
        <w:t>9.</w:t>
      </w:r>
      <w:r>
        <w:tab/>
      </w:r>
      <w:r>
        <w:rPr>
          <w:b/>
        </w:rPr>
        <w:t>La Sra. Morvai</w:t>
      </w:r>
      <w:r>
        <w:t xml:space="preserve"> en referencia al párrafo 138 pr</w:t>
      </w:r>
      <w:r>
        <w:t>e</w:t>
      </w:r>
      <w:r>
        <w:t>gunta por qué el Gobierno concede permisos de trabajo específicos a las bailarinas de cabaré, dado que esa pr</w:t>
      </w:r>
      <w:r>
        <w:t>o</w:t>
      </w:r>
      <w:r>
        <w:t>fesión refuerza los estereotipos de género y se vincula claramente con la prostitución y la trata de mujeres. De hecho, la oradora supone que por ese motivo el G</w:t>
      </w:r>
      <w:r>
        <w:t>o</w:t>
      </w:r>
      <w:r>
        <w:t>bierno incluyó la cuestión en el artículo 6. El artículo 6 insta a los Estados partes a reprimir todas las formas de trata de mujeres y explotación de la prostitución de las mujeres; el baile de cabaré propicia esas actividades. Se deberían proporcionar detalles acerca de si el G</w:t>
      </w:r>
      <w:r>
        <w:t>o</w:t>
      </w:r>
      <w:r>
        <w:t>bierno se ha planteado la posibilidad de abolir la pref</w:t>
      </w:r>
      <w:r>
        <w:t>e</w:t>
      </w:r>
      <w:r>
        <w:t>rencia de visas a la luz de sus obligaciones de confo</w:t>
      </w:r>
      <w:r>
        <w:t>r</w:t>
      </w:r>
      <w:r>
        <w:t>midad con los artículos 5 y 6.</w:t>
      </w:r>
    </w:p>
    <w:p w:rsidR="00000000" w:rsidRDefault="00000000">
      <w:pPr>
        <w:pStyle w:val="DualTxt"/>
      </w:pPr>
      <w:r>
        <w:t>10.</w:t>
      </w:r>
      <w:r>
        <w:tab/>
        <w:t>El Estado informante debería aclarar la situación de la ley federal propuesta para proteger a las mujeres víctimas de la violencia expulsando del hogar familiar a los autores de la violencia, tal como se indica en el párrafo 121. Se agradecería más información acerca de otros medios para proteger a las mujeres de la viole</w:t>
      </w:r>
      <w:r>
        <w:t>n</w:t>
      </w:r>
      <w:r>
        <w:t>cia, como por ejemplo los albergues. A efectos de est</w:t>
      </w:r>
      <w:r>
        <w:t>a</w:t>
      </w:r>
      <w:r>
        <w:t>blecer medidas para combatir la violencia contra la mujer, el Estado parte debería atender a la recomend</w:t>
      </w:r>
      <w:r>
        <w:t>a</w:t>
      </w:r>
      <w:r>
        <w:t>ción general No. 19 del Comité y a la Declaración de las Naciones Unidas sobre la Eliminación de la Viole</w:t>
      </w:r>
      <w:r>
        <w:t>n</w:t>
      </w:r>
      <w:r>
        <w:t xml:space="preserve">cia contra la Mujer, e informar al Comité sobre sus progresos en el próximo informe. </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La Sra. Kuenyehia</w:t>
      </w:r>
      <w:r>
        <w:t xml:space="preserve"> dice que, conforme a los p</w:t>
      </w:r>
      <w:r>
        <w:t>á</w:t>
      </w:r>
      <w:r>
        <w:t>rrafos 143 y 144, las mujeres víctimas de trata son e</w:t>
      </w:r>
      <w:r>
        <w:t>x</w:t>
      </w:r>
      <w:r>
        <w:t>pulsadas de Suiza en forma inmediata, y que si se e</w:t>
      </w:r>
      <w:r>
        <w:t>n</w:t>
      </w:r>
      <w:r>
        <w:t>cuentran fuera del país, no pueden atestiguar en contra de los responsables del hecho. No obstante, resulta p</w:t>
      </w:r>
      <w:r>
        <w:t>o</w:t>
      </w:r>
      <w:r>
        <w:t>co claro qué protecciones existen para dichas mujeres. Tampoco queda claro si la ley hace hincapié en la pr</w:t>
      </w:r>
      <w:r>
        <w:t>o</w:t>
      </w:r>
      <w:r>
        <w:t>tección de las víctimas o en el enjuiciamiento de los transgresores de la ley. La oradora también desearía s</w:t>
      </w:r>
      <w:r>
        <w:t>a</w:t>
      </w:r>
      <w:r>
        <w:t>ber qué medidas, si es que ha habido alguna, se han tomado para proteger a las mujeres inmigrantes de las formas contemporáneas de la esclavitud, tal como la servidumbre d</w:t>
      </w:r>
      <w:r>
        <w:t>o</w:t>
      </w:r>
      <w:r>
        <w:t>méstica.</w:t>
      </w:r>
    </w:p>
    <w:p w:rsidR="00000000" w:rsidRDefault="00000000">
      <w:pPr>
        <w:pStyle w:val="DualTxt"/>
      </w:pPr>
      <w:r>
        <w:t>12.</w:t>
      </w:r>
      <w:r>
        <w:tab/>
      </w:r>
      <w:r>
        <w:rPr>
          <w:b/>
        </w:rPr>
        <w:t>La Sra. Kapalata</w:t>
      </w:r>
      <w:r>
        <w:t xml:space="preserve"> dice que encuentra preoc</w:t>
      </w:r>
      <w:r>
        <w:t>u</w:t>
      </w:r>
      <w:r>
        <w:t>pante la sección del informe que trata del artículo 6. Los traficantes enfrentan una pena mínima de prisión de seis meses, mientras que quienes incitan a las jóv</w:t>
      </w:r>
      <w:r>
        <w:t>e</w:t>
      </w:r>
      <w:r>
        <w:t>nes o adultas a prostituirse enfrentan una pena máxima de prisión de 10 años. La revisión de la legislación p</w:t>
      </w:r>
      <w:r>
        <w:t>e</w:t>
      </w:r>
      <w:r>
        <w:t>nal llevada a cabo en 1992 se ocupó de la libre dete</w:t>
      </w:r>
      <w:r>
        <w:t>r</w:t>
      </w:r>
      <w:r>
        <w:t>minación en materia sexual y por lo tanto al parecer los delitos vinculados con el mercado del sexo fueron o</w:t>
      </w:r>
      <w:r>
        <w:t>b</w:t>
      </w:r>
      <w:r>
        <w:t>jeto de una definición muy amplia. En el informe ta</w:t>
      </w:r>
      <w:r>
        <w:t>m</w:t>
      </w:r>
      <w:r>
        <w:t>bién se señala que Suiza tiene compromisos internaci</w:t>
      </w:r>
      <w:r>
        <w:t>o</w:t>
      </w:r>
      <w:r>
        <w:t>nales desde hace mucho tiempo relativos a la prote</w:t>
      </w:r>
      <w:r>
        <w:t>c</w:t>
      </w:r>
      <w:r>
        <w:t>ción de las mujeres contra la trata y la prostitución. A ese respecto, la oradora desea saber qué convenciones ha ratificado Suiza y cuál ha sido el efecto de dichas ratificaciones sobre las medidas adoptadas por el G</w:t>
      </w:r>
      <w:r>
        <w:t>o</w:t>
      </w:r>
      <w:r>
        <w:t>bierno p</w:t>
      </w:r>
      <w:r>
        <w:t>a</w:t>
      </w:r>
      <w:r>
        <w:t>ra eliminar dichas prácticas.</w:t>
      </w:r>
    </w:p>
    <w:p w:rsidR="00000000" w:rsidRDefault="00000000">
      <w:pPr>
        <w:pStyle w:val="DualTxt"/>
      </w:pPr>
      <w:r>
        <w:t>13.</w:t>
      </w:r>
      <w:r>
        <w:tab/>
      </w:r>
      <w:r>
        <w:rPr>
          <w:b/>
        </w:rPr>
        <w:t>La Sra. Ferrer Gómez</w:t>
      </w:r>
      <w:r>
        <w:t xml:space="preserve"> dice que le sorprende enterarse de que la sentencia mínima para la trata de mujeres es de sólo seis meses. Sería de utilidad saber qué medidas se están adoptando para rehabilitar a los consumidores de drogas y qué tratamientos se encue</w:t>
      </w:r>
      <w:r>
        <w:t>n</w:t>
      </w:r>
      <w:r>
        <w:t>tran disponibles para los niños y niñas víctimas de la prostitución y la porn</w:t>
      </w:r>
      <w:r>
        <w:t>o</w:t>
      </w:r>
      <w:r>
        <w:t>grafía.</w:t>
      </w:r>
    </w:p>
    <w:p w:rsidR="00000000" w:rsidRDefault="00000000">
      <w:pPr>
        <w:pStyle w:val="DualTxt"/>
      </w:pPr>
      <w:r>
        <w:t>14.</w:t>
      </w:r>
      <w:r>
        <w:tab/>
      </w:r>
      <w:r>
        <w:rPr>
          <w:b/>
        </w:rPr>
        <w:t>La Sra. González Martínez</w:t>
      </w:r>
      <w:r>
        <w:t xml:space="preserve"> pregunta si hay d</w:t>
      </w:r>
      <w:r>
        <w:t>a</w:t>
      </w:r>
      <w:r>
        <w:t>tos disponibles acerca de los casos de violencia en el hogar tramitados por los tribunales y si existe un regi</w:t>
      </w:r>
      <w:r>
        <w:t>s</w:t>
      </w:r>
      <w:r>
        <w:t>tro de dichos casos, en especial los de violencia contra niños. También desea saber si hay un registro de se</w:t>
      </w:r>
      <w:r>
        <w:t>n</w:t>
      </w:r>
      <w:r>
        <w:t>tencias dictadas contra autores de violencia en el hogar. Se agradecería más información sobre la incidencia de la pornografía infantil, la trata de niños y los abusos sexuales cometidos con niños. El informe se centra en las medidas legislativas dirigidas a combatir dichas a</w:t>
      </w:r>
      <w:r>
        <w:t>c</w:t>
      </w:r>
      <w:r>
        <w:t>tividades pero no describe el ámbito del pr</w:t>
      </w:r>
      <w:r>
        <w:t>o</w:t>
      </w:r>
      <w:r>
        <w:t>blema.</w:t>
      </w:r>
    </w:p>
    <w:p w:rsidR="00000000" w:rsidRDefault="00000000">
      <w:pPr>
        <w:pStyle w:val="DualTxt"/>
      </w:pPr>
      <w:r>
        <w:t>15.</w:t>
      </w:r>
      <w:r>
        <w:tab/>
        <w:t>El otorgamiento de permisos de trabajo específ</w:t>
      </w:r>
      <w:r>
        <w:t>i</w:t>
      </w:r>
      <w:r>
        <w:t>cos para las bailarinas de cabaré sin reglamentar al mismo tiempo sus condiciones de trabajo no ayuda a combatir la trata de mujeres con propósitos sexuales. Sería interesante saber cuántas personas son enviadas a la cárcel cada año por trata de mujeres; si, después de cumplir una condena de seis meses, se obliga a dichas personas a abandonar el país; y si una persona puede ser sentenciada a una segunda pena de seis meses de prisión por reinc</w:t>
      </w:r>
      <w:r>
        <w:t>i</w:t>
      </w:r>
      <w:r>
        <w:t>dencia en el delito.</w:t>
      </w:r>
    </w:p>
    <w:p w:rsidR="00000000" w:rsidRDefault="00000000">
      <w:pPr>
        <w:pStyle w:val="DualTxt"/>
      </w:pPr>
      <w:r>
        <w:t>16.</w:t>
      </w:r>
      <w:r>
        <w:tab/>
      </w:r>
      <w:r>
        <w:rPr>
          <w:b/>
        </w:rPr>
        <w:t>La Sra. Gabr</w:t>
      </w:r>
      <w:r>
        <w:t xml:space="preserve"> toma nota del preocupante incr</w:t>
      </w:r>
      <w:r>
        <w:t>e</w:t>
      </w:r>
      <w:r>
        <w:t>mento en el número de bailarinas de cabaré extranjeras admitidas a Suiza. Es sabido que dicha actividad tiene vínculos con la delincuencia organizada y se debe h</w:t>
      </w:r>
      <w:r>
        <w:t>a</w:t>
      </w:r>
      <w:r>
        <w:t>cer todo lo posible por armonizar la legislación naci</w:t>
      </w:r>
      <w:r>
        <w:t>o</w:t>
      </w:r>
      <w:r>
        <w:t>nal con las disposiciones de los instrumentos nacion</w:t>
      </w:r>
      <w:r>
        <w:t>a</w:t>
      </w:r>
      <w:r>
        <w:t>les pertinentes que ha ratificado Suiza.</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page"/>
        <w:t>Artículo 7</w:t>
      </w:r>
    </w:p>
    <w:p w:rsidR="00000000" w:rsidRDefault="00000000">
      <w:pPr>
        <w:pStyle w:val="DualTxt"/>
        <w:spacing w:after="0" w:line="120" w:lineRule="exact"/>
        <w:rPr>
          <w:sz w:val="10"/>
        </w:rPr>
      </w:pPr>
    </w:p>
    <w:p w:rsidR="00000000" w:rsidRDefault="00000000">
      <w:pPr>
        <w:pStyle w:val="DualTxt"/>
      </w:pPr>
      <w:r>
        <w:t>17.</w:t>
      </w:r>
      <w:r>
        <w:tab/>
      </w:r>
      <w:r>
        <w:rPr>
          <w:b/>
        </w:rPr>
        <w:t>La Sra. Tavares da Silva</w:t>
      </w:r>
      <w:r>
        <w:t xml:space="preserve"> expresa su preocup</w:t>
      </w:r>
      <w:r>
        <w:t>a</w:t>
      </w:r>
      <w:r>
        <w:rPr>
          <w:spacing w:val="2"/>
        </w:rPr>
        <w:t>ción por el bajo nivel de representación femenina en los poderes legislativo y judicial en comparación con el gr</w:t>
      </w:r>
      <w:r>
        <w:rPr>
          <w:spacing w:val="2"/>
        </w:rPr>
        <w:t>a</w:t>
      </w:r>
      <w:r>
        <w:rPr>
          <w:spacing w:val="2"/>
        </w:rPr>
        <w:t xml:space="preserve">do de representación que se registra en otros países de la región. La oradora se pregunta si esta situación se </w:t>
      </w:r>
      <w:r>
        <w:t>debe a los estereotipos imperantes con respecto al papel de la mujer y del hombre en la sociedad suiza, a prejuicios en el sistema de captación de candidatos, al prestigio que entrañan esos cargos, o al hecho de que el empleo en esos sectores resulta incompatible con la preferencia de las mujeres por el trabajo a tiempo pa</w:t>
      </w:r>
      <w:r>
        <w:t>r</w:t>
      </w:r>
      <w:r>
        <w:t>cial.</w:t>
      </w:r>
    </w:p>
    <w:p w:rsidR="00000000" w:rsidRDefault="00000000">
      <w:pPr>
        <w:pStyle w:val="DualTxt"/>
      </w:pPr>
      <w:r>
        <w:t>18.</w:t>
      </w:r>
      <w:r>
        <w:tab/>
      </w:r>
      <w:r>
        <w:rPr>
          <w:b/>
        </w:rPr>
        <w:t>La Sra. Gaspard</w:t>
      </w:r>
      <w:r>
        <w:t xml:space="preserve"> dice que a ella también le so</w:t>
      </w:r>
      <w:r>
        <w:t>r</w:t>
      </w:r>
      <w:r>
        <w:t>prende el bajo nivel de participación de la mujer en el Gobierno, especialmente a la luz de los progresos que en ese ámbito están alcanzando otros países de la r</w:t>
      </w:r>
      <w:r>
        <w:t>e</w:t>
      </w:r>
      <w:r>
        <w:t>gión. La oradora observó en el párrafo 187 del informe que en la Confederación, ciertas funciones directivas importantes se adjudican sobre la base de un sistema de cupos que garantiza un equilibrio entre las regiones y fortalece la representación de las regiones periféricas. No resulta claro por qué no se podría instituir un sist</w:t>
      </w:r>
      <w:r>
        <w:t>e</w:t>
      </w:r>
      <w:r>
        <w:t>ma de cupos similar en la esfera política. Incumbe al Gobierno adoptar medidas que aseguren el logro de progresos en este á</w:t>
      </w:r>
      <w:r>
        <w:t>m</w:t>
      </w:r>
      <w:r>
        <w:t>bito.</w:t>
      </w:r>
    </w:p>
    <w:p w:rsidR="00000000" w:rsidRDefault="00000000">
      <w:pPr>
        <w:pStyle w:val="DualTxt"/>
      </w:pPr>
      <w:r>
        <w:t>19.</w:t>
      </w:r>
      <w:r>
        <w:tab/>
      </w:r>
      <w:r>
        <w:rPr>
          <w:b/>
        </w:rPr>
        <w:t>La Sra. Belmihoub-Zerdani</w:t>
      </w:r>
      <w:r>
        <w:t xml:space="preserve"> acoge con benepl</w:t>
      </w:r>
      <w:r>
        <w:t>á</w:t>
      </w:r>
      <w:r>
        <w:t>cito los progresos hechos por la mujer en Suiza en los últimos años, tal como se pone de manifiesto por la composición de la delegación de ese país. Sin embargo, sigue resultando necesaria una movilización continua, y las mujeres deberían llevar a cabo una campaña de influencia sobre los partidos políticos como parte de su misión general de poner fin a la discriminación contra la mujer en la esfera política. Hasta que no se apruebe la legislación apropiada, el Gobierno debe promover activamente a la mujer a cargos de responsabilidad. No es aceptable una igualdad meramente simbólica. Se d</w:t>
      </w:r>
      <w:r>
        <w:t>e</w:t>
      </w:r>
      <w:r>
        <w:t>be realizar un esfuerzo amplio y global para asegurar el avance de la mujer en todos los ámbitos. A ese respe</w:t>
      </w:r>
      <w:r>
        <w:t>c</w:t>
      </w:r>
      <w:r>
        <w:t>to, las organizaciones no gubernamentales podrían d</w:t>
      </w:r>
      <w:r>
        <w:t>e</w:t>
      </w:r>
      <w:r>
        <w:t>sempeñar un importante papel en la preparación de las mujeres para cargos de autoridad en el Gobierno.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8</w:t>
      </w:r>
    </w:p>
    <w:p w:rsidR="00000000" w:rsidRDefault="00000000">
      <w:pPr>
        <w:pStyle w:val="DualTxt"/>
        <w:spacing w:after="0" w:line="120" w:lineRule="exact"/>
        <w:rPr>
          <w:sz w:val="10"/>
        </w:rPr>
      </w:pPr>
    </w:p>
    <w:p w:rsidR="00000000" w:rsidRDefault="00000000">
      <w:pPr>
        <w:pStyle w:val="DualTxt"/>
      </w:pPr>
      <w:r>
        <w:t>20.</w:t>
      </w:r>
      <w:r>
        <w:tab/>
      </w:r>
      <w:r>
        <w:rPr>
          <w:b/>
        </w:rPr>
        <w:t>La Sra. Popescu Sandru</w:t>
      </w:r>
      <w:r>
        <w:t xml:space="preserve"> expresa preocupación por la brecha existente entre el hombre y la mujer en el servicio diplomático, tanto en lo referente a la cantidad de funcionarios como a la categoría de los cargos. Agradecería que se le facilitase información adicional sobre la proporción de mujeres en los niveles de toma de decisiones dentro de los ámbitos político y público. También convendría que se aclarase la directiva del Consejo Federal que estipula que los grupos de interés suizos, tales como organizaciones y asociaciones no gubernamentales, incluidas las organizaciones de muj</w:t>
      </w:r>
      <w:r>
        <w:t>e</w:t>
      </w:r>
      <w:r>
        <w:t>res, deben participar de manera adecuada en confere</w:t>
      </w:r>
      <w:r>
        <w:t>n</w:t>
      </w:r>
      <w:r>
        <w:t>cias internacionales. La oradora se pregunta en qué medida se está cumpliendo dicha directiva, ya que es importante corregir la situación de desequilibrio entre los sexos en el ámbito de la representación.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9</w:t>
      </w:r>
    </w:p>
    <w:p w:rsidR="00000000" w:rsidRDefault="00000000">
      <w:pPr>
        <w:pStyle w:val="DualTxt"/>
        <w:spacing w:after="0" w:line="120" w:lineRule="exact"/>
        <w:rPr>
          <w:sz w:val="10"/>
        </w:rPr>
      </w:pPr>
    </w:p>
    <w:p w:rsidR="00000000" w:rsidRDefault="00000000">
      <w:pPr>
        <w:pStyle w:val="DualTxt"/>
      </w:pPr>
      <w:r>
        <w:t>21.</w:t>
      </w:r>
      <w:r>
        <w:tab/>
      </w:r>
      <w:r>
        <w:rPr>
          <w:b/>
        </w:rPr>
        <w:t>La Sra. Shin</w:t>
      </w:r>
      <w:r>
        <w:t xml:space="preserve"> acoge con beneplácito la revisión llevada a cabo en 1992 de la Ley Federal sobre la a</w:t>
      </w:r>
      <w:r>
        <w:t>d</w:t>
      </w:r>
      <w:r>
        <w:t>quisición y pérdida de la nacionalidad suiza, que ha abolido las desigualdades de tratamiento entre hombres y mujeres. Se agradecería que se facilitaran datos de</w:t>
      </w:r>
      <w:r>
        <w:t>s</w:t>
      </w:r>
      <w:r>
        <w:t>glosados por sexo acerca de los matrimonios entre n</w:t>
      </w:r>
      <w:r>
        <w:t>a</w:t>
      </w:r>
      <w:r>
        <w:t>cionales suizos y extranjeros. Con respecto al requisito de que un cónyuge extranjero haya vivido en unión conyugal con un nacional suizo durante un período de tres años para tener derecho a adquirir la nacionalidad suiza, la oradora se pregunta cuál sería la situación de una mujer extranjera que queda viuda, se separa o se divorcia de su cónyuge suizo antes de terminar el p</w:t>
      </w:r>
      <w:r>
        <w:t>e</w:t>
      </w:r>
      <w:r>
        <w:t>ríodo de tres años. También desea saber si una mujer extranjera que se separa de su cónyuge suizo por ser víctima de violencia en el hogar puede solicitar la n</w:t>
      </w:r>
      <w:r>
        <w:t>a</w:t>
      </w:r>
      <w:r>
        <w:t>cionalidad suiza. Por último, se agradecería inform</w:t>
      </w:r>
      <w:r>
        <w:t>a</w:t>
      </w:r>
      <w:r>
        <w:t>ción acerca de los resultados de cualquier trabajo de investigación que se haya realizado acerca de mujeres que hayan tolerado violencia y maltratos a fin de obt</w:t>
      </w:r>
      <w:r>
        <w:t>e</w:t>
      </w:r>
      <w:r>
        <w:t>ner la nacionalidad suiza.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10</w:t>
      </w:r>
    </w:p>
    <w:p w:rsidR="00000000" w:rsidRDefault="00000000">
      <w:pPr>
        <w:pStyle w:val="DualTxt"/>
        <w:spacing w:after="0" w:line="120" w:lineRule="exact"/>
        <w:rPr>
          <w:sz w:val="10"/>
        </w:rPr>
      </w:pPr>
    </w:p>
    <w:p w:rsidR="00000000" w:rsidRDefault="00000000">
      <w:pPr>
        <w:pStyle w:val="DualTxt"/>
      </w:pPr>
      <w:r>
        <w:t>22.</w:t>
      </w:r>
      <w:r>
        <w:tab/>
      </w:r>
      <w:r>
        <w:rPr>
          <w:b/>
        </w:rPr>
        <w:t>La Sra. Tavares da Silva</w:t>
      </w:r>
      <w:r>
        <w:t xml:space="preserve"> hace referencia al r</w:t>
      </w:r>
      <w:r>
        <w:t>e</w:t>
      </w:r>
      <w:r>
        <w:t>ducido número de mujeres matriculadas en programas de capacitación profesional o universidades en Suiza, situación que contrasta con la tendencia que se observa en los países vecinos. También agradecería que se le explicase por qué el número de mujeres matriculadas en universidades es relativamente pequeño y por qué más mujeres que hombres abandonan sus estudios. Por último, la oradora desea saber qué medidas se están adoptando para corregir esta situación.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page"/>
        <w:t>Artículo 11</w:t>
      </w:r>
    </w:p>
    <w:p w:rsidR="00000000" w:rsidRDefault="00000000">
      <w:pPr>
        <w:pStyle w:val="DualTxt"/>
        <w:spacing w:after="0" w:line="120" w:lineRule="exact"/>
        <w:rPr>
          <w:sz w:val="10"/>
        </w:rPr>
      </w:pPr>
    </w:p>
    <w:p w:rsidR="00000000" w:rsidRDefault="00000000">
      <w:pPr>
        <w:pStyle w:val="DualTxt"/>
      </w:pPr>
      <w:r>
        <w:t>23.</w:t>
      </w:r>
      <w:r>
        <w:tab/>
      </w:r>
      <w:r>
        <w:rPr>
          <w:b/>
        </w:rPr>
        <w:t>La Sra. Schöpp-Schilling</w:t>
      </w:r>
      <w:r>
        <w:t xml:space="preserve"> pregunta si se han puesto en práctica las recomendaciones contenidas en el estudio realizado en 1996 por la Oficina federal de la igualdad entre mujeres y hombres. También desea s</w:t>
      </w:r>
      <w:r>
        <w:t>a</w:t>
      </w:r>
      <w:r>
        <w:t>ber si corresponde a la administración federal o a la cantonal llevar a cabo la reforma de los sistemas de evaluación de los puestos de trabajo a que se hace ref</w:t>
      </w:r>
      <w:r>
        <w:t>e</w:t>
      </w:r>
      <w:r>
        <w:t>rencia en el párrafo 369 del informe. En el informe se indica que existen proyectos de ese tipo en los cantones de Argovia y Friburgo. Se debería también facilitar i</w:t>
      </w:r>
      <w:r>
        <w:t>n</w:t>
      </w:r>
      <w:r>
        <w:t>formación acerca de la situación existente en otros cantones. Sin embargo, cabe decir que se han realizado suficientes estudios y que es hora de adoptar medidas, incluso por parte de sindicatos y organizaciones patr</w:t>
      </w:r>
      <w:r>
        <w:t>o</w:t>
      </w:r>
      <w:r>
        <w:t>nales, dirigidas a poner en práctica el principio de igualdad salarial por un trabajo idéntico. El fallo de la Corte Suprema de que una diferencia salarial entre hombres y mujeres no es discriminatoria si se fund</w:t>
      </w:r>
      <w:r>
        <w:t>a</w:t>
      </w:r>
      <w:r>
        <w:t>menta en criterios objetivos de naturaleza individual, como el rendimiento, la edad o la antigüedad, o de c</w:t>
      </w:r>
      <w:r>
        <w:t>a</w:t>
      </w:r>
      <w:r>
        <w:t>rácter social, como las obligaciones familiares, termina por reafirmar los estereotipos de género y pone de m</w:t>
      </w:r>
      <w:r>
        <w:t>a</w:t>
      </w:r>
      <w:r>
        <w:t>nifiesto la necesidad de que los jueces y magistrados adopten una postura más progresista.</w:t>
      </w:r>
    </w:p>
    <w:p w:rsidR="00000000" w:rsidRDefault="00000000">
      <w:pPr>
        <w:pStyle w:val="DualTxt"/>
      </w:pPr>
      <w:r>
        <w:t>24.</w:t>
      </w:r>
      <w:r>
        <w:tab/>
      </w:r>
      <w:r>
        <w:rPr>
          <w:b/>
        </w:rPr>
        <w:t>La Sra. Ferrer Gómez</w:t>
      </w:r>
      <w:r>
        <w:t xml:space="preserve"> pregunta si la Ley del Trabajo contiene disposiciones para la protección de las trabajadoras domésticas. </w:t>
      </w:r>
    </w:p>
    <w:p w:rsidR="00000000" w:rsidRDefault="00000000">
      <w:pPr>
        <w:pStyle w:val="DualTxt"/>
      </w:pPr>
      <w:r>
        <w:t>25.</w:t>
      </w:r>
      <w:r>
        <w:tab/>
      </w:r>
      <w:r>
        <w:rPr>
          <w:b/>
        </w:rPr>
        <w:t>La Sra. Tavares da Silva</w:t>
      </w:r>
      <w:r>
        <w:t xml:space="preserve"> dice que la sentencia de la Corte Suprema según la cual las diferencias sal</w:t>
      </w:r>
      <w:r>
        <w:t>a</w:t>
      </w:r>
      <w:r>
        <w:t>riales podrían justificarse por factores que no se rel</w:t>
      </w:r>
      <w:r>
        <w:t>a</w:t>
      </w:r>
      <w:r>
        <w:t xml:space="preserve">cionan directamente con las actividades del trabajador sino </w:t>
      </w:r>
      <w:r>
        <w:rPr>
          <w:spacing w:val="6"/>
        </w:rPr>
        <w:t>que se derivan de consideraciones de carácter s</w:t>
      </w:r>
      <w:r>
        <w:rPr>
          <w:spacing w:val="6"/>
        </w:rPr>
        <w:t>o</w:t>
      </w:r>
      <w:r>
        <w:rPr>
          <w:spacing w:val="6"/>
        </w:rPr>
        <w:t>cial contribuyen a afianzar la desigualdad entre ho</w:t>
      </w:r>
      <w:r>
        <w:rPr>
          <w:spacing w:val="6"/>
        </w:rPr>
        <w:t>m</w:t>
      </w:r>
      <w:r>
        <w:rPr>
          <w:spacing w:val="6"/>
        </w:rPr>
        <w:t>bres y mujeres en Suiza, en particular porque, tal c</w:t>
      </w:r>
      <w:r>
        <w:rPr>
          <w:spacing w:val="6"/>
        </w:rPr>
        <w:t>o</w:t>
      </w:r>
      <w:r>
        <w:rPr>
          <w:spacing w:val="6"/>
        </w:rPr>
        <w:t>mo lo reconoció el informe en su párrafo 344, las mujeres que trabajan</w:t>
      </w:r>
      <w:r>
        <w:t xml:space="preserve"> fuera de su domicilio dedican el doble de tiempo que los hombres a las tareas del hogar y fam</w:t>
      </w:r>
      <w:r>
        <w:t>i</w:t>
      </w:r>
      <w:r>
        <w:t>liares.</w:t>
      </w:r>
    </w:p>
    <w:p w:rsidR="00000000" w:rsidRDefault="00000000">
      <w:pPr>
        <w:pStyle w:val="DualTxt"/>
      </w:pPr>
      <w:r>
        <w:t>26.</w:t>
      </w:r>
      <w:r>
        <w:tab/>
      </w:r>
      <w:r>
        <w:rPr>
          <w:b/>
        </w:rPr>
        <w:t>La Sra. Patten</w:t>
      </w:r>
      <w:r>
        <w:t xml:space="preserve"> hace referencia a la prohibición del despido por motivo de embarazo o de matrimonio (apartado a) del párr. 2 del art. 11 de la Convención) y pregunta si efectivamente se han aplicado las dispos</w:t>
      </w:r>
      <w:r>
        <w:t>i</w:t>
      </w:r>
      <w:r>
        <w:t>ciones del apartado c) del artículo 336 del Código de las Obligaciones relativas al despido abusivo, y si ellas resultan beneficiosas para la mujer. Se pregunta as</w:t>
      </w:r>
      <w:r>
        <w:t>i</w:t>
      </w:r>
      <w:r>
        <w:t>mismo si las disposiciones de ese artículo se aplican a casos de p</w:t>
      </w:r>
      <w:r>
        <w:t>o</w:t>
      </w:r>
      <w:r>
        <w:t>sible embarazo.</w:t>
      </w:r>
    </w:p>
    <w:p w:rsidR="00000000" w:rsidRDefault="00000000">
      <w:pPr>
        <w:pStyle w:val="DualTxt"/>
      </w:pPr>
      <w:r>
        <w:t>27.</w:t>
      </w:r>
      <w:r>
        <w:tab/>
      </w:r>
      <w:r>
        <w:rPr>
          <w:b/>
        </w:rPr>
        <w:t>La Sra. Khan</w:t>
      </w:r>
      <w:r>
        <w:t xml:space="preserve"> señala la ausencia en la normativa jurídica suiza pertinente de disposiciones relativas al derecho al trabajo. Incluso en países desarrollados c</w:t>
      </w:r>
      <w:r>
        <w:t>o</w:t>
      </w:r>
      <w:r>
        <w:t>mo Suiza, la mujer se encuentra en una situación de desventaja en el mercado laboral, particularmente en los ámbitos del ascenso a puestos de categoría superior y a la igualdad salarial por un trabajo idéntico. La or</w:t>
      </w:r>
      <w:r>
        <w:t>a</w:t>
      </w:r>
      <w:r>
        <w:t>dora indica además que la tasa de desempleo entre las mujeres es mayor que la de los hombres y que las m</w:t>
      </w:r>
      <w:r>
        <w:t>u</w:t>
      </w:r>
      <w:r>
        <w:t>jeres ocupan la mayoría de los puestos a tiempo pa</w:t>
      </w:r>
      <w:r>
        <w:t>r</w:t>
      </w:r>
      <w:r>
        <w:t>cial. A este respecto, convendría saber si determinados puestos de trabajo no son accesibles a las mujeres, si las mujeres carecen de la preparación necesaria para desempeñarse en los sectores modernos de la econ</w:t>
      </w:r>
      <w:r>
        <w:t>o</w:t>
      </w:r>
      <w:r>
        <w:t>mía, si las mujeres pertenecientes a minorías, desfav</w:t>
      </w:r>
      <w:r>
        <w:t>o</w:t>
      </w:r>
      <w:r>
        <w:t>recidas o migrantes tienen menos posibilidades de e</w:t>
      </w:r>
      <w:r>
        <w:t>n</w:t>
      </w:r>
      <w:r>
        <w:t>contrar trabajo, y si las desigualdades salariales entre el hombre y la mujer que se observaron en estudios r</w:t>
      </w:r>
      <w:r>
        <w:t>e</w:t>
      </w:r>
      <w:r>
        <w:t>cientes también existen en los empleos del sector p</w:t>
      </w:r>
      <w:r>
        <w:t>ú</w:t>
      </w:r>
      <w:r>
        <w:t>blico. Por último, en cuanto a las prestaciones de m</w:t>
      </w:r>
      <w:r>
        <w:t>a</w:t>
      </w:r>
      <w:r>
        <w:t>ternidad, la oradora pregunta qué medidas está toma</w:t>
      </w:r>
      <w:r>
        <w:t>n</w:t>
      </w:r>
      <w:r>
        <w:t>do el Gobierno federal para ratificar los Convenios Nos. 98, 100 y 174 de la Organización Internacional del Trabajo.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13</w:t>
      </w:r>
    </w:p>
    <w:p w:rsidR="00000000" w:rsidRDefault="00000000">
      <w:pPr>
        <w:pStyle w:val="DualTxt"/>
        <w:spacing w:after="0" w:line="120" w:lineRule="exact"/>
        <w:rPr>
          <w:sz w:val="10"/>
        </w:rPr>
      </w:pPr>
    </w:p>
    <w:p w:rsidR="00000000" w:rsidRDefault="00000000">
      <w:pPr>
        <w:pStyle w:val="DualTxt"/>
      </w:pPr>
      <w:r>
        <w:t>28.</w:t>
      </w:r>
      <w:r>
        <w:tab/>
      </w:r>
      <w:r>
        <w:rPr>
          <w:b/>
        </w:rPr>
        <w:t>La Sra. Patten</w:t>
      </w:r>
      <w:r>
        <w:t>, tras señalar que es un hecho r</w:t>
      </w:r>
      <w:r>
        <w:t>e</w:t>
      </w:r>
      <w:r>
        <w:t>conocido que en Suiza la pobreza afecta más a las m</w:t>
      </w:r>
      <w:r>
        <w:t>u</w:t>
      </w:r>
      <w:r>
        <w:t>jeres que a los hombres y que las mujeres enfrentan d</w:t>
      </w:r>
      <w:r>
        <w:t>i</w:t>
      </w:r>
      <w:r>
        <w:t>versas desventajas de hecho y de derecho en las tra</w:t>
      </w:r>
      <w:r>
        <w:t>n</w:t>
      </w:r>
      <w:r>
        <w:t>sacciones financieras, pregunta cómo el Gobierno pr</w:t>
      </w:r>
      <w:r>
        <w:t>e</w:t>
      </w:r>
      <w:r>
        <w:t>vé cumplir sus obligaciones derivadas del apartado b) del artículo 13 de la Convención. A modo de ejemplo, la oradora se pregunta si el Gobierno se propone real</w:t>
      </w:r>
      <w:r>
        <w:t>i</w:t>
      </w:r>
      <w:r>
        <w:t>zar análisis por género más amplios, así como modif</w:t>
      </w:r>
      <w:r>
        <w:t>i</w:t>
      </w:r>
      <w:r>
        <w:t>car la legislación en este ámbito de modo de que no se siga haciendo caso omiso de las preocupaciones de c</w:t>
      </w:r>
      <w:r>
        <w:t>a</w:t>
      </w:r>
      <w:r>
        <w:t>rácter económico de las mujeres; si el Gobierno f</w:t>
      </w:r>
      <w:r>
        <w:t>o</w:t>
      </w:r>
      <w:r>
        <w:t xml:space="preserve">menta el espíritu empresarial de la mujer (en particular </w:t>
      </w:r>
      <w:r>
        <w:rPr>
          <w:spacing w:val="2"/>
        </w:rPr>
        <w:t>el autoempleo en microempresas y pequeñas empresas) facilitando el acceso al crédito y al capital por medio de instituciones especiales y programas innovadores y no tradicionales; y si el Gobierno potencia la generación de ingresos por parte de la mujer, especialmente de la mujer rural, proporcionándole igualdad de acceso a los recu</w:t>
      </w:r>
      <w:r>
        <w:rPr>
          <w:spacing w:val="2"/>
        </w:rPr>
        <w:t>r</w:t>
      </w:r>
      <w:r>
        <w:rPr>
          <w:spacing w:val="2"/>
        </w:rPr>
        <w:t>sos productivos. Convendría oír casos concretos en que se haya ayudado a la mujer a nivel local en la transición del sector no estructurado al estruct</w:t>
      </w:r>
      <w:r>
        <w:rPr>
          <w:spacing w:val="2"/>
        </w:rPr>
        <w:t>u</w:t>
      </w:r>
      <w:r>
        <w:rPr>
          <w:spacing w:val="2"/>
        </w:rPr>
        <w:t>rado</w:t>
      </w:r>
      <w:r>
        <w:t>.</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page"/>
        <w:t>Artículo 15</w:t>
      </w:r>
    </w:p>
    <w:p w:rsidR="00000000" w:rsidRDefault="00000000">
      <w:pPr>
        <w:pStyle w:val="DualTxt"/>
        <w:spacing w:after="0" w:line="120" w:lineRule="exact"/>
        <w:rPr>
          <w:sz w:val="10"/>
        </w:rPr>
      </w:pPr>
    </w:p>
    <w:p w:rsidR="00000000" w:rsidRDefault="00000000">
      <w:pPr>
        <w:pStyle w:val="DualTxt"/>
        <w:numPr>
          <w:ilvl w:val="0"/>
          <w:numId w:val="10"/>
        </w:numPr>
      </w:pPr>
      <w:r>
        <w:rPr>
          <w:b/>
        </w:rPr>
        <w:t>La Sra. Šimonović</w:t>
      </w:r>
      <w:r>
        <w:t xml:space="preserve"> pide más información acerca de si sigue en vigor la antigua Ley de Régimen Matr</w:t>
      </w:r>
      <w:r>
        <w:t>i</w:t>
      </w:r>
      <w:r>
        <w:t>monial aun después de la aprobación de la ley modif</w:t>
      </w:r>
      <w:r>
        <w:t>i</w:t>
      </w:r>
      <w:r>
        <w:t>cada, y sobre la compatibilidad de la antigua ley con el párrafo 3 del artículo 8 de la Con</w:t>
      </w:r>
      <w:r>
        <w:t>s</w:t>
      </w:r>
      <w:r>
        <w:t>titución suiza.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16</w:t>
      </w:r>
    </w:p>
    <w:p w:rsidR="00000000" w:rsidRDefault="00000000">
      <w:pPr>
        <w:pStyle w:val="DualTxt"/>
        <w:spacing w:after="0" w:line="120" w:lineRule="exact"/>
        <w:rPr>
          <w:sz w:val="10"/>
        </w:rPr>
      </w:pPr>
    </w:p>
    <w:p w:rsidR="00000000" w:rsidRDefault="00000000">
      <w:pPr>
        <w:pStyle w:val="DualTxt"/>
      </w:pPr>
      <w:r>
        <w:t>30.</w:t>
      </w:r>
      <w:r>
        <w:tab/>
      </w:r>
      <w:r>
        <w:rPr>
          <w:b/>
        </w:rPr>
        <w:t>La Sra. Kuenyehia</w:t>
      </w:r>
      <w:r>
        <w:t xml:space="preserve"> indica que aun de conform</w:t>
      </w:r>
      <w:r>
        <w:t>i</w:t>
      </w:r>
      <w:r>
        <w:t>dad con la nueva ley del divorcio, las mujeres se e</w:t>
      </w:r>
      <w:r>
        <w:t>n</w:t>
      </w:r>
      <w:r>
        <w:t>cuentran en desventaja, puesto que enfrentan mayores dificultades para reincorporarse al mercado laboral y recibir pagos de pensión alimenticia suficientes. La oradora pregunta si los pagos de pensión alimenticia se determinan por factores distintos del seguro, como la duración del matrimonio o las necesidades de la esposa y los hijos.</w:t>
      </w:r>
    </w:p>
    <w:p w:rsidR="00000000" w:rsidRDefault="00000000">
      <w:pPr>
        <w:pStyle w:val="DualTxt"/>
      </w:pPr>
      <w:r>
        <w:t>31.</w:t>
      </w:r>
      <w:r>
        <w:tab/>
      </w:r>
      <w:r>
        <w:rPr>
          <w:b/>
        </w:rPr>
        <w:t>La Sra. Šimonović</w:t>
      </w:r>
      <w:r>
        <w:t xml:space="preserve"> agradecería que se aclarara lo expuesto en el párrafo 610 de que el apellido del esp</w:t>
      </w:r>
      <w:r>
        <w:t>o</w:t>
      </w:r>
      <w:r>
        <w:t>so es el apellido familiar de los cónyuges, de confo</w:t>
      </w:r>
      <w:r>
        <w:t>r</w:t>
      </w:r>
      <w:r>
        <w:t>midad con la legislación del estado civil (se trata de una disposición discriminatoria), y de que las normas relativas a los apellidos familiares se aplican actua</w:t>
      </w:r>
      <w:r>
        <w:t>l</w:t>
      </w:r>
      <w:r>
        <w:t>mente de manera neutra tras un fallo del Tribunal E</w:t>
      </w:r>
      <w:r>
        <w:t>u</w:t>
      </w:r>
      <w:r>
        <w:t>ropeo de Derechos Humanos.</w:t>
      </w:r>
    </w:p>
    <w:p w:rsidR="00000000" w:rsidRDefault="00000000">
      <w:pPr>
        <w:pStyle w:val="DualTxt"/>
      </w:pPr>
      <w:r>
        <w:t>32.</w:t>
      </w:r>
      <w:r>
        <w:tab/>
      </w:r>
      <w:r>
        <w:rPr>
          <w:b/>
        </w:rPr>
        <w:t>La Sra. Schulz</w:t>
      </w:r>
      <w:r>
        <w:t xml:space="preserve"> (Suiza) dice que en una reunión futura su país respondería detalladamente a las num</w:t>
      </w:r>
      <w:r>
        <w:t>e</w:t>
      </w:r>
      <w:r>
        <w:t>rosas preguntas planteadas, pero que por el momento desea corregir la aparente impresión de que la Const</w:t>
      </w:r>
      <w:r>
        <w:t>i</w:t>
      </w:r>
      <w:r>
        <w:t xml:space="preserve">tución de 2000 es totalmente nueva. Por ejemplo, el </w:t>
      </w:r>
      <w:r>
        <w:br/>
        <w:t>párrafo 3 del artículo 8, relativo a la igualdad de los sexos, se encuentra en vigor desde 1981.</w:t>
      </w:r>
    </w:p>
    <w:p w:rsidR="00000000" w:rsidRDefault="00000000">
      <w:pPr>
        <w:pStyle w:val="DualTxt"/>
        <w:rPr>
          <w:i/>
        </w:rPr>
      </w:pPr>
      <w:r>
        <w:rPr>
          <w:i/>
        </w:rPr>
        <w:t>Se levanta la sesión a las 16.35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NO&gt;&gt;N0321121S&lt;&lt;ODS JOB NO&gt;&gt;</w:t>
      </w:r>
    </w:p>
    <w:p w:rsidR="00000000" w:rsidRDefault="00000000">
      <w:pPr>
        <w:pStyle w:val="CommentText"/>
      </w:pPr>
      <w:r>
        <w:t>&lt;&lt;ODS DOC SYMBOL1&gt;&gt;CEDAW/C/SR.591&lt;&lt;ODS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0321121s.doc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0321121s.doc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766,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03-21121 (S)</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*0321121*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CEDAW/C/SR.591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CEDAW/C/SR.591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/C/SR.591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15 de diciembre de 2003</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348C9"/>
    <w:multiLevelType w:val="singleLevel"/>
    <w:tmpl w:val="C032D362"/>
    <w:lvl w:ilvl="0">
      <w:start w:val="8"/>
      <w:numFmt w:val="decimal"/>
      <w:lvlRestart w:val="0"/>
      <w:lvlText w:val="%1."/>
      <w:lvlJc w:val="left"/>
      <w:pPr>
        <w:tabs>
          <w:tab w:val="num" w:pos="475"/>
        </w:tabs>
        <w:ind w:left="0" w:firstLine="0"/>
      </w:pPr>
      <w:rPr>
        <w:spacing w:val="0"/>
        <w:w w:val="100"/>
      </w:rPr>
    </w:lvl>
  </w:abstractNum>
  <w:abstractNum w:abstractNumId="1">
    <w:nsid w:val="04C94E02"/>
    <w:multiLevelType w:val="singleLevel"/>
    <w:tmpl w:val="2904DF20"/>
    <w:lvl w:ilvl="0">
      <w:start w:val="19"/>
      <w:numFmt w:val="decimal"/>
      <w:lvlRestart w:val="0"/>
      <w:lvlText w:val="%1."/>
      <w:lvlJc w:val="left"/>
      <w:pPr>
        <w:tabs>
          <w:tab w:val="num" w:pos="475"/>
        </w:tabs>
        <w:ind w:left="0" w:firstLine="0"/>
      </w:pPr>
      <w:rPr>
        <w:spacing w:val="0"/>
        <w:w w:val="100"/>
      </w:rPr>
    </w:lvl>
  </w:abstractNum>
  <w:abstractNum w:abstractNumId="2">
    <w:nsid w:val="179F68C4"/>
    <w:multiLevelType w:val="singleLevel"/>
    <w:tmpl w:val="2904DF20"/>
    <w:lvl w:ilvl="0">
      <w:start w:val="19"/>
      <w:numFmt w:val="decimal"/>
      <w:lvlRestart w:val="0"/>
      <w:lvlText w:val="%1."/>
      <w:lvlJc w:val="left"/>
      <w:pPr>
        <w:tabs>
          <w:tab w:val="num" w:pos="475"/>
        </w:tabs>
        <w:ind w:left="0" w:firstLine="0"/>
      </w:pPr>
      <w:rPr>
        <w:spacing w:val="0"/>
        <w:w w:val="100"/>
      </w:rPr>
    </w:lvl>
  </w:abstractNum>
  <w:abstractNum w:abstractNumId="3">
    <w:nsid w:val="1DA21410"/>
    <w:multiLevelType w:val="singleLevel"/>
    <w:tmpl w:val="0BFE89C2"/>
    <w:lvl w:ilvl="0">
      <w:start w:val="29"/>
      <w:numFmt w:val="decimal"/>
      <w:lvlRestart w:val="0"/>
      <w:lvlText w:val="%1."/>
      <w:lvlJc w:val="left"/>
      <w:pPr>
        <w:tabs>
          <w:tab w:val="num" w:pos="475"/>
        </w:tabs>
        <w:ind w:left="0" w:firstLine="0"/>
      </w:pPr>
      <w:rPr>
        <w:spacing w:val="0"/>
        <w:w w:val="100"/>
      </w:rPr>
    </w:lvl>
  </w:abstractNum>
  <w:abstractNum w:abstractNumId="4">
    <w:nsid w:val="33051014"/>
    <w:multiLevelType w:val="singleLevel"/>
    <w:tmpl w:val="216A637E"/>
    <w:lvl w:ilvl="0">
      <w:start w:val="11"/>
      <w:numFmt w:val="decimal"/>
      <w:lvlRestart w:val="0"/>
      <w:lvlText w:val="%1."/>
      <w:lvlJc w:val="left"/>
      <w:pPr>
        <w:tabs>
          <w:tab w:val="num" w:pos="475"/>
        </w:tabs>
        <w:ind w:left="0" w:firstLine="0"/>
      </w:pPr>
      <w:rPr>
        <w:spacing w:val="0"/>
        <w:w w:val="100"/>
      </w:rPr>
    </w:lvl>
  </w:abstractNum>
  <w:abstractNum w:abstractNumId="5">
    <w:nsid w:val="3C1C2DE4"/>
    <w:multiLevelType w:val="singleLevel"/>
    <w:tmpl w:val="52C2315E"/>
    <w:lvl w:ilvl="0">
      <w:start w:val="1"/>
      <w:numFmt w:val="decimal"/>
      <w:lvlRestart w:val="0"/>
      <w:lvlText w:val="%1."/>
      <w:lvlJc w:val="left"/>
      <w:pPr>
        <w:tabs>
          <w:tab w:val="num" w:pos="475"/>
        </w:tabs>
        <w:ind w:left="0" w:firstLine="0"/>
      </w:pPr>
      <w:rPr>
        <w:spacing w:val="0"/>
        <w:w w:val="100"/>
      </w:rPr>
    </w:lvl>
  </w:abstractNum>
  <w:abstractNum w:abstractNumId="6">
    <w:nsid w:val="40577C4A"/>
    <w:multiLevelType w:val="singleLevel"/>
    <w:tmpl w:val="CC509E4A"/>
    <w:lvl w:ilvl="0">
      <w:start w:val="1"/>
      <w:numFmt w:val="decimal"/>
      <w:lvlText w:val="%1."/>
      <w:lvlJc w:val="left"/>
      <w:pPr>
        <w:tabs>
          <w:tab w:val="num" w:pos="480"/>
        </w:tabs>
        <w:ind w:left="480" w:hanging="480"/>
      </w:pPr>
      <w:rPr>
        <w:rFonts w:hint="default"/>
      </w:rPr>
    </w:lvl>
  </w:abstractNum>
  <w:abstractNum w:abstractNumId="7">
    <w:nsid w:val="49895F17"/>
    <w:multiLevelType w:val="singleLevel"/>
    <w:tmpl w:val="52C2315E"/>
    <w:lvl w:ilvl="0">
      <w:start w:val="1"/>
      <w:numFmt w:val="decimal"/>
      <w:lvlRestart w:val="0"/>
      <w:lvlText w:val="%1."/>
      <w:lvlJc w:val="left"/>
      <w:pPr>
        <w:tabs>
          <w:tab w:val="num" w:pos="475"/>
        </w:tabs>
        <w:ind w:left="0" w:firstLine="0"/>
      </w:pPr>
      <w:rPr>
        <w:spacing w:val="0"/>
        <w:w w:val="100"/>
      </w:rPr>
    </w:lvl>
  </w:abstractNum>
  <w:abstractNum w:abstractNumId="8">
    <w:nsid w:val="4A4C7934"/>
    <w:multiLevelType w:val="singleLevel"/>
    <w:tmpl w:val="AD507FAE"/>
    <w:lvl w:ilvl="0">
      <w:start w:val="5"/>
      <w:numFmt w:val="decimal"/>
      <w:lvlRestart w:val="0"/>
      <w:lvlText w:val="%1."/>
      <w:lvlJc w:val="left"/>
      <w:pPr>
        <w:tabs>
          <w:tab w:val="num" w:pos="475"/>
        </w:tabs>
        <w:ind w:left="0" w:firstLine="0"/>
      </w:pPr>
      <w:rPr>
        <w:spacing w:val="0"/>
        <w:w w:val="100"/>
      </w:rPr>
    </w:lvl>
  </w:abstractNum>
  <w:abstractNum w:abstractNumId="9">
    <w:nsid w:val="53D67A35"/>
    <w:multiLevelType w:val="singleLevel"/>
    <w:tmpl w:val="14684F28"/>
    <w:lvl w:ilvl="0">
      <w:start w:val="30"/>
      <w:numFmt w:val="decimal"/>
      <w:lvlText w:val="%1."/>
      <w:lvlJc w:val="left"/>
      <w:pPr>
        <w:tabs>
          <w:tab w:val="num" w:pos="480"/>
        </w:tabs>
        <w:ind w:left="480" w:hanging="480"/>
      </w:pPr>
      <w:rPr>
        <w:rFonts w:hint="default"/>
      </w:rPr>
    </w:lvl>
  </w:abstractNum>
  <w:abstractNum w:abstractNumId="10">
    <w:nsid w:val="7319587C"/>
    <w:multiLevelType w:val="singleLevel"/>
    <w:tmpl w:val="216A637E"/>
    <w:lvl w:ilvl="0">
      <w:start w:val="11"/>
      <w:numFmt w:val="decimal"/>
      <w:lvlRestart w:val="0"/>
      <w:lvlText w:val="%1."/>
      <w:lvlJc w:val="left"/>
      <w:pPr>
        <w:tabs>
          <w:tab w:val="num" w:pos="475"/>
        </w:tabs>
        <w:ind w:left="0" w:firstLine="0"/>
      </w:pPr>
      <w:rPr>
        <w:spacing w:val="0"/>
        <w:w w:val="100"/>
      </w:rPr>
    </w:lvl>
  </w:abstractNum>
  <w:num w:numId="1">
    <w:abstractNumId w:val="7"/>
  </w:num>
  <w:num w:numId="2">
    <w:abstractNumId w:val="5"/>
  </w:num>
  <w:num w:numId="3">
    <w:abstractNumId w:val="6"/>
  </w:num>
  <w:num w:numId="4">
    <w:abstractNumId w:val="2"/>
  </w:num>
  <w:num w:numId="5">
    <w:abstractNumId w:val="1"/>
  </w:num>
  <w:num w:numId="6">
    <w:abstractNumId w:val="8"/>
  </w:num>
  <w:num w:numId="7">
    <w:abstractNumId w:val="4"/>
  </w:num>
  <w:num w:numId="8">
    <w:abstractNumId w:val="10"/>
  </w:num>
  <w:num w:numId="9">
    <w:abstractNumId w:val="0"/>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12/2003 4:09: PM"/>
    <w:docVar w:name="DocCategory" w:val="SROthers"/>
    <w:docVar w:name="DocType" w:val="Final"/>
    <w:docVar w:name="JobNo" w:val="0321121S"/>
    <w:docVar w:name="OandT" w:val="MEP"/>
    <w:docVar w:name="Symbol1" w:val="CEDAW/C/SR.59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65</TotalTime>
  <Pages>1</Pages>
  <Words>3061</Words>
  <Characters>17450</Characters>
  <Application>Microsoft Office Word</Application>
  <DocSecurity>4</DocSecurity>
  <Lines>145</Lines>
  <Paragraphs>34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21429</CharactersWithSpaces>
  <SharedDoc>false</SharedDoc>
  <HLinks>
    <vt:vector size="6" baseType="variant">
      <vt:variant>
        <vt:i4>4522087</vt:i4>
      </vt:variant>
      <vt:variant>
        <vt:i4>22902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RONQUILLO, Sonnia</dc:creator>
  <cp:keywords/>
  <dc:description/>
  <cp:lastModifiedBy>SUAREZ, Rosa</cp:lastModifiedBy>
  <cp:revision>30</cp:revision>
  <cp:lastPrinted>2003-12-12T18:53:00Z</cp:lastPrinted>
  <dcterms:created xsi:type="dcterms:W3CDTF">2003-12-12T15:09:00Z</dcterms:created>
  <dcterms:modified xsi:type="dcterms:W3CDTF">2003-12-12T18:54:00Z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0321121</vt:lpwstr>
  </property>
  <property fmtid="{D5CDD505-2E9C-101B-9397-08002B2CF9AE}" pid="3" name="Symbol1">
    <vt:lpwstr>CEDAW/C/SR.591</vt:lpwstr>
  </property>
  <property fmtid="{D5CDD505-2E9C-101B-9397-08002B2CF9AE}" pid="4" name="Symbol2">
    <vt:lpwstr/>
  </property>
  <property fmtid="{D5CDD505-2E9C-101B-9397-08002B2CF9AE}" pid="5" name="Translator">
    <vt:lpwstr/>
  </property>
  <property fmtid="{D5CDD505-2E9C-101B-9397-08002B2CF9AE}" pid="6" name="Operator">
    <vt:lpwstr>MEP</vt:lpwstr>
  </property>
  <property fmtid="{D5CDD505-2E9C-101B-9397-08002B2CF9AE}" pid="7" name="DraftPages">
    <vt:lpwstr> </vt:lpwstr>
  </property>
  <property fmtid="{D5CDD505-2E9C-101B-9397-08002B2CF9AE}" pid="8" name="Comment">
    <vt:lpwstr/>
  </property>
</Properties>
</file>