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D42E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D5557" w:rsidP="003D5557">
            <w:pPr>
              <w:jc w:val="right"/>
            </w:pPr>
            <w:r w:rsidRPr="003D5557">
              <w:rPr>
                <w:sz w:val="40"/>
              </w:rPr>
              <w:t>CAT</w:t>
            </w:r>
            <w:r>
              <w:t>/C/MDG/1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D5557" w:rsidRDefault="003D5557" w:rsidP="00A56EA8">
            <w:pPr>
              <w:spacing w:before="240"/>
            </w:pPr>
            <w:proofErr w:type="spellStart"/>
            <w:r>
              <w:t>Distr</w:t>
            </w:r>
            <w:proofErr w:type="spellEnd"/>
            <w:r>
              <w:t>. générale</w:t>
            </w:r>
          </w:p>
          <w:p w:rsidR="003D5557" w:rsidRDefault="003D5557" w:rsidP="003D5557">
            <w:pPr>
              <w:spacing w:line="240" w:lineRule="exact"/>
            </w:pPr>
            <w:r>
              <w:t>23 février 2011</w:t>
            </w:r>
          </w:p>
          <w:p w:rsidR="003D5557" w:rsidRDefault="003D5557" w:rsidP="003D5557">
            <w:pPr>
              <w:spacing w:line="240" w:lineRule="exact"/>
            </w:pPr>
          </w:p>
          <w:p w:rsidR="00297B00" w:rsidRPr="00DB58B5" w:rsidRDefault="003D5557" w:rsidP="003D5557">
            <w:pPr>
              <w:spacing w:line="240" w:lineRule="exact"/>
            </w:pPr>
            <w:r>
              <w:t>Original: français</w:t>
            </w:r>
          </w:p>
        </w:tc>
      </w:tr>
    </w:tbl>
    <w:p w:rsidR="002D42EF" w:rsidRPr="00B867CE" w:rsidRDefault="002D42EF" w:rsidP="002D42EF">
      <w:pPr>
        <w:spacing w:before="120" w:line="200" w:lineRule="atLeast"/>
        <w:rPr>
          <w:b/>
          <w:sz w:val="24"/>
          <w:szCs w:val="24"/>
        </w:rPr>
      </w:pPr>
      <w:r w:rsidRPr="00B867CE">
        <w:rPr>
          <w:b/>
          <w:sz w:val="24"/>
          <w:szCs w:val="24"/>
        </w:rPr>
        <w:t>Comité contre la torture</w:t>
      </w:r>
    </w:p>
    <w:p w:rsidR="002D42EF" w:rsidRPr="00B867CE" w:rsidRDefault="002D42EF" w:rsidP="002D42EF">
      <w:pPr>
        <w:pStyle w:val="HMG"/>
        <w:rPr>
          <w:bCs/>
          <w:szCs w:val="24"/>
          <w:lang w:val="fr-FR"/>
        </w:rPr>
      </w:pPr>
      <w:r w:rsidRPr="00B867CE">
        <w:tab/>
      </w:r>
      <w:r w:rsidRPr="00B867CE">
        <w:tab/>
      </w:r>
      <w:r w:rsidRPr="00B867CE">
        <w:rPr>
          <w:lang w:val="fr-FR"/>
        </w:rPr>
        <w:t>Ex</w:t>
      </w:r>
      <w:r w:rsidR="00F65FDC">
        <w:rPr>
          <w:lang w:val="fr-FR"/>
        </w:rPr>
        <w:t xml:space="preserve">amen des rapports présentés par </w:t>
      </w:r>
      <w:r w:rsidRPr="00B867CE">
        <w:rPr>
          <w:lang w:val="fr-FR"/>
        </w:rPr>
        <w:t xml:space="preserve">les États parties </w:t>
      </w:r>
      <w:r w:rsidRPr="00B867CE">
        <w:rPr>
          <w:bCs/>
          <w:szCs w:val="24"/>
          <w:lang w:val="fr-FR"/>
        </w:rPr>
        <w:t>en</w:t>
      </w:r>
      <w:r>
        <w:rPr>
          <w:bCs/>
          <w:szCs w:val="24"/>
          <w:lang w:val="fr-FR"/>
        </w:rPr>
        <w:t xml:space="preserve"> application de </w:t>
      </w:r>
      <w:r w:rsidRPr="009F2299">
        <w:rPr>
          <w:szCs w:val="24"/>
        </w:rPr>
        <w:t>l’article</w:t>
      </w:r>
      <w:r>
        <w:rPr>
          <w:bCs/>
          <w:szCs w:val="24"/>
          <w:lang w:val="fr-FR"/>
        </w:rPr>
        <w:t xml:space="preserve"> 19</w:t>
      </w:r>
      <w:r>
        <w:rPr>
          <w:bCs/>
          <w:szCs w:val="24"/>
          <w:lang w:val="fr-FR"/>
        </w:rPr>
        <w:br/>
      </w:r>
      <w:r w:rsidRPr="00B867CE">
        <w:rPr>
          <w:bCs/>
          <w:szCs w:val="24"/>
          <w:lang w:val="fr-FR"/>
        </w:rPr>
        <w:t>de la Convention</w:t>
      </w:r>
    </w:p>
    <w:p w:rsidR="002D42EF" w:rsidRPr="00B867CE" w:rsidRDefault="002D42EF" w:rsidP="002D42EF">
      <w:pPr>
        <w:pStyle w:val="HChG"/>
        <w:rPr>
          <w:lang w:val="fr-FR"/>
        </w:rPr>
      </w:pPr>
      <w:r w:rsidRPr="00B867CE">
        <w:rPr>
          <w:lang w:val="fr-FR"/>
        </w:rPr>
        <w:tab/>
      </w:r>
      <w:r w:rsidRPr="00B867CE">
        <w:rPr>
          <w:lang w:val="fr-FR"/>
        </w:rPr>
        <w:tab/>
      </w:r>
      <w:r w:rsidRPr="00AC5BBE">
        <w:rPr>
          <w:lang w:val="fr-FR"/>
        </w:rPr>
        <w:t>Rapport initiaux des États parties devant être soumis en 2007</w:t>
      </w:r>
    </w:p>
    <w:p w:rsidR="002D42EF" w:rsidRDefault="002D42EF" w:rsidP="002D42EF">
      <w:pPr>
        <w:pStyle w:val="HMG"/>
        <w:rPr>
          <w:sz w:val="20"/>
          <w:szCs w:val="16"/>
        </w:rPr>
      </w:pPr>
      <w:r w:rsidRPr="00B867CE">
        <w:rPr>
          <w:lang w:val="fr-FR"/>
        </w:rPr>
        <w:tab/>
      </w:r>
      <w:r w:rsidRPr="00B867CE">
        <w:rPr>
          <w:lang w:val="fr-FR"/>
        </w:rPr>
        <w:tab/>
        <w:t>Madagascar</w:t>
      </w:r>
      <w:r w:rsidRPr="009F2299">
        <w:rPr>
          <w:rStyle w:val="FootnoteReference"/>
          <w:b w:val="0"/>
          <w:sz w:val="20"/>
          <w:szCs w:val="16"/>
          <w:vertAlign w:val="baseline"/>
        </w:rPr>
        <w:footnoteReference w:customMarkFollows="1" w:id="2"/>
        <w:t>*</w:t>
      </w:r>
    </w:p>
    <w:p w:rsidR="002D42EF" w:rsidRDefault="002D42EF" w:rsidP="002D42EF">
      <w:pPr>
        <w:pStyle w:val="SingleTxtG"/>
        <w:jc w:val="right"/>
        <w:rPr>
          <w:lang w:val="fr-FR"/>
        </w:rPr>
      </w:pPr>
      <w:r w:rsidRPr="00B867CE">
        <w:rPr>
          <w:lang w:val="fr-FR"/>
        </w:rPr>
        <w:t>[</w:t>
      </w:r>
      <w:r>
        <w:rPr>
          <w:lang w:val="fr-FR"/>
        </w:rPr>
        <w:t xml:space="preserve">Reçus le </w:t>
      </w:r>
      <w:r w:rsidRPr="00B867CE">
        <w:rPr>
          <w:lang w:val="fr-FR"/>
        </w:rPr>
        <w:t>29 octobre 2010]</w:t>
      </w:r>
    </w:p>
    <w:p w:rsidR="002D42EF" w:rsidRPr="00B867CE" w:rsidRDefault="002D42EF" w:rsidP="002D42EF">
      <w:pPr>
        <w:pStyle w:val="HChG"/>
        <w:outlineLvl w:val="0"/>
        <w:rPr>
          <w:bCs/>
        </w:rPr>
      </w:pPr>
      <w:r>
        <w:br w:type="page"/>
      </w:r>
      <w:r>
        <w:tab/>
      </w:r>
      <w:r>
        <w:tab/>
      </w:r>
      <w:r w:rsidRPr="00B867CE">
        <w:t>Acronymes</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9"/>
      </w:tblGrid>
      <w:tr w:rsidR="002D42EF" w:rsidRPr="003F37B1" w:rsidTr="00C208E4">
        <w:tc>
          <w:tcPr>
            <w:tcW w:w="9000" w:type="dxa"/>
            <w:tcBorders>
              <w:top w:val="nil"/>
              <w:left w:val="nil"/>
              <w:bottom w:val="nil"/>
              <w:right w:val="nil"/>
            </w:tcBorders>
          </w:tcPr>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6204"/>
            </w:tblGrid>
            <w:tr w:rsidR="002D42EF" w:rsidRPr="00673F41" w:rsidTr="00C208E4">
              <w:trPr>
                <w:tblHeader/>
              </w:trPr>
              <w:tc>
                <w:tcPr>
                  <w:tcW w:w="1166" w:type="dxa"/>
                  <w:tcBorders>
                    <w:top w:val="nil"/>
                    <w:bottom w:val="nil"/>
                  </w:tcBorders>
                  <w:shd w:val="clear" w:color="auto" w:fill="auto"/>
                  <w:vAlign w:val="bottom"/>
                </w:tcPr>
                <w:p w:rsidR="002D42EF" w:rsidRPr="00673F41" w:rsidRDefault="002D42EF" w:rsidP="00C208E4">
                  <w:pPr>
                    <w:suppressAutoHyphens w:val="0"/>
                    <w:spacing w:before="40" w:after="120" w:line="220" w:lineRule="exact"/>
                    <w:ind w:right="113"/>
                  </w:pPr>
                  <w:r w:rsidRPr="00673F41">
                    <w:t>ACAT</w:t>
                  </w:r>
                </w:p>
              </w:tc>
              <w:tc>
                <w:tcPr>
                  <w:tcW w:w="6204" w:type="dxa"/>
                  <w:tcBorders>
                    <w:top w:val="nil"/>
                    <w:bottom w:val="nil"/>
                  </w:tcBorders>
                  <w:shd w:val="clear" w:color="auto" w:fill="auto"/>
                  <w:vAlign w:val="bottom"/>
                </w:tcPr>
                <w:p w:rsidR="002D42EF" w:rsidRPr="00673F41" w:rsidRDefault="002D42EF" w:rsidP="00C208E4">
                  <w:pPr>
                    <w:suppressAutoHyphens w:val="0"/>
                    <w:spacing w:before="40" w:after="120" w:line="220" w:lineRule="exact"/>
                    <w:ind w:right="113"/>
                  </w:pPr>
                  <w:r w:rsidRPr="00673F41">
                    <w:t>Action Chrétienne pour l’Abolition de la Torture</w:t>
                  </w:r>
                </w:p>
              </w:tc>
            </w:tr>
            <w:tr w:rsidR="002D42EF" w:rsidRPr="00673F41" w:rsidTr="00C208E4">
              <w:tc>
                <w:tcPr>
                  <w:tcW w:w="1166" w:type="dxa"/>
                  <w:tcBorders>
                    <w:top w:val="nil"/>
                  </w:tcBorders>
                  <w:shd w:val="clear" w:color="auto" w:fill="auto"/>
                </w:tcPr>
                <w:p w:rsidR="002D42EF" w:rsidRPr="00673F41" w:rsidRDefault="002D42EF" w:rsidP="00C208E4">
                  <w:pPr>
                    <w:suppressAutoHyphens w:val="0"/>
                    <w:spacing w:before="40" w:after="120" w:line="220" w:lineRule="exact"/>
                    <w:ind w:right="113"/>
                  </w:pPr>
                  <w:r w:rsidRPr="00673F41">
                    <w:t>BEPC</w:t>
                  </w:r>
                </w:p>
              </w:tc>
              <w:tc>
                <w:tcPr>
                  <w:tcW w:w="6204" w:type="dxa"/>
                  <w:tcBorders>
                    <w:top w:val="nil"/>
                  </w:tcBorders>
                  <w:shd w:val="clear" w:color="auto" w:fill="auto"/>
                </w:tcPr>
                <w:p w:rsidR="002D42EF" w:rsidRPr="00673F41" w:rsidRDefault="002D42EF" w:rsidP="00C208E4">
                  <w:pPr>
                    <w:suppressAutoHyphens w:val="0"/>
                    <w:spacing w:before="40" w:after="120" w:line="220" w:lineRule="exact"/>
                    <w:ind w:right="113"/>
                  </w:pPr>
                  <w:r w:rsidRPr="00673F41">
                    <w:t>Brevet d’Études du Premier Cycle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CAT</w:t>
                  </w:r>
                </w:p>
              </w:tc>
              <w:tc>
                <w:tcPr>
                  <w:tcW w:w="6204" w:type="dxa"/>
                  <w:shd w:val="clear" w:color="auto" w:fill="auto"/>
                </w:tcPr>
                <w:p w:rsidR="002D42EF" w:rsidRPr="00673F41" w:rsidRDefault="002D42EF" w:rsidP="00C208E4">
                  <w:pPr>
                    <w:suppressAutoHyphens w:val="0"/>
                    <w:spacing w:before="40" w:after="120" w:line="220" w:lineRule="exact"/>
                    <w:ind w:right="113"/>
                    <w:rPr>
                      <w:i/>
                    </w:rPr>
                  </w:pPr>
                  <w:r w:rsidRPr="004D6AE3">
                    <w:rPr>
                      <w:lang w:val="fr-FR"/>
                    </w:rPr>
                    <w:t xml:space="preserve">Comité contre la </w:t>
                  </w:r>
                  <w:r>
                    <w:t>t</w:t>
                  </w:r>
                  <w:r w:rsidRPr="00673F41">
                    <w:t>orture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CDH</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 xml:space="preserve">Comité des </w:t>
                  </w:r>
                  <w:r>
                    <w:t>d</w:t>
                  </w:r>
                  <w:r w:rsidRPr="00673F41">
                    <w:t>roits de l’</w:t>
                  </w:r>
                  <w:r>
                    <w:t>h</w:t>
                  </w:r>
                  <w:r w:rsidRPr="00673F41">
                    <w:t>omme</w:t>
                  </w:r>
                </w:p>
              </w:tc>
            </w:tr>
            <w:tr w:rsidR="002D42EF" w:rsidRPr="00673F41" w:rsidTr="00C208E4">
              <w:tc>
                <w:tcPr>
                  <w:tcW w:w="1166" w:type="dxa"/>
                  <w:shd w:val="clear" w:color="auto" w:fill="auto"/>
                </w:tcPr>
                <w:p w:rsidR="002D42EF" w:rsidRPr="00600E22" w:rsidRDefault="002D42EF" w:rsidP="00C208E4">
                  <w:pPr>
                    <w:suppressAutoHyphens w:val="0"/>
                    <w:spacing w:before="40" w:after="120" w:line="220" w:lineRule="exact"/>
                    <w:ind w:right="113"/>
                  </w:pPr>
                  <w:r w:rsidRPr="00600E22">
                    <w:t>CEDEF</w:t>
                  </w:r>
                </w:p>
              </w:tc>
              <w:tc>
                <w:tcPr>
                  <w:tcW w:w="6204" w:type="dxa"/>
                  <w:shd w:val="clear" w:color="auto" w:fill="auto"/>
                </w:tcPr>
                <w:p w:rsidR="002D42EF" w:rsidRPr="00673F41" w:rsidRDefault="002D42EF" w:rsidP="00C208E4">
                  <w:pPr>
                    <w:suppressAutoHyphens w:val="0"/>
                    <w:spacing w:before="40" w:after="120" w:line="220" w:lineRule="exact"/>
                    <w:ind w:right="113"/>
                  </w:pPr>
                  <w:r w:rsidRPr="00600E22">
                    <w:t>Convention sur l’élimination de toutes les formes de discrimination à l’égard des femmes</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CEPE</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Certificat d’Études Primaire Élémentaire</w:t>
                  </w:r>
                </w:p>
              </w:tc>
            </w:tr>
            <w:tr w:rsidR="002D42EF" w:rsidRPr="00673F41" w:rsidTr="00C208E4">
              <w:tc>
                <w:tcPr>
                  <w:tcW w:w="1166" w:type="dxa"/>
                  <w:shd w:val="clear" w:color="auto" w:fill="auto"/>
                </w:tcPr>
                <w:p w:rsidR="002D42EF" w:rsidRPr="00600E22" w:rsidRDefault="002D42EF" w:rsidP="00C208E4">
                  <w:pPr>
                    <w:suppressAutoHyphens w:val="0"/>
                    <w:spacing w:before="40" w:after="120" w:line="220" w:lineRule="exact"/>
                    <w:ind w:right="113"/>
                  </w:pPr>
                  <w:r w:rsidRPr="00600E22">
                    <w:t>CERD</w:t>
                  </w:r>
                </w:p>
              </w:tc>
              <w:tc>
                <w:tcPr>
                  <w:tcW w:w="6204" w:type="dxa"/>
                  <w:shd w:val="clear" w:color="auto" w:fill="auto"/>
                </w:tcPr>
                <w:p w:rsidR="002D42EF" w:rsidRPr="00673F41" w:rsidRDefault="002D42EF" w:rsidP="00C208E4">
                  <w:pPr>
                    <w:suppressAutoHyphens w:val="0"/>
                    <w:spacing w:before="40" w:after="120" w:line="220" w:lineRule="exact"/>
                    <w:ind w:right="113"/>
                  </w:pPr>
                  <w:r w:rsidRPr="00600E22">
                    <w:t>Comité pour l’élimination de la discrimination raciale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CICR</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 xml:space="preserve">Comité </w:t>
                  </w:r>
                  <w:r>
                    <w:t>i</w:t>
                  </w:r>
                  <w:r w:rsidRPr="00673F41">
                    <w:t>nternational de la Croix-Rouge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CNDH</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Commission Nationale des Droits de l’Homme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CODIS</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Conseil de Discipline</w:t>
                  </w:r>
                </w:p>
              </w:tc>
            </w:tr>
            <w:tr w:rsidR="002D42EF" w:rsidRPr="00673F41" w:rsidTr="00C208E4">
              <w:tc>
                <w:tcPr>
                  <w:tcW w:w="1166" w:type="dxa"/>
                  <w:shd w:val="clear" w:color="auto" w:fill="auto"/>
                </w:tcPr>
                <w:p w:rsidR="002D42EF" w:rsidRPr="00883E1F" w:rsidRDefault="002D42EF" w:rsidP="00C208E4">
                  <w:pPr>
                    <w:suppressAutoHyphens w:val="0"/>
                    <w:spacing w:before="40" w:after="120" w:line="220" w:lineRule="exact"/>
                    <w:ind w:right="113"/>
                  </w:pPr>
                  <w:r w:rsidRPr="00883E1F">
                    <w:t>COI</w:t>
                  </w:r>
                </w:p>
              </w:tc>
              <w:tc>
                <w:tcPr>
                  <w:tcW w:w="6204" w:type="dxa"/>
                  <w:shd w:val="clear" w:color="auto" w:fill="auto"/>
                </w:tcPr>
                <w:p w:rsidR="002D42EF" w:rsidRPr="00673F41" w:rsidRDefault="002D42EF" w:rsidP="00C208E4">
                  <w:pPr>
                    <w:suppressAutoHyphens w:val="0"/>
                    <w:spacing w:before="40" w:after="120" w:line="220" w:lineRule="exact"/>
                    <w:ind w:right="113"/>
                  </w:pPr>
                  <w:r w:rsidRPr="00883E1F">
                    <w:t>Commission de l’Océan Indien</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CPI</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 xml:space="preserve">Cour </w:t>
                  </w:r>
                  <w:r>
                    <w:t>p</w:t>
                  </w:r>
                  <w:r w:rsidRPr="00673F41">
                    <w:t xml:space="preserve">énale </w:t>
                  </w:r>
                  <w:r>
                    <w:t>i</w:t>
                  </w:r>
                  <w:r w:rsidRPr="00673F41">
                    <w:t>nternationale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CSAP</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Conseil Supérieur de l’Administration Pénitentiaire</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CSM</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 xml:space="preserve">Conseil Supérieur de la Magistrature </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CST</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 xml:space="preserve">Conseil Supérieur de la Transition </w:t>
                  </w:r>
                </w:p>
              </w:tc>
            </w:tr>
            <w:tr w:rsidR="002D42EF" w:rsidRPr="00673F41"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CT</w:t>
                  </w:r>
                </w:p>
              </w:tc>
              <w:tc>
                <w:tcPr>
                  <w:tcW w:w="6204" w:type="dxa"/>
                  <w:shd w:val="clear" w:color="auto" w:fill="auto"/>
                </w:tcPr>
                <w:p w:rsidR="002D42EF" w:rsidRPr="00673F41" w:rsidRDefault="002D42EF" w:rsidP="00C208E4">
                  <w:pPr>
                    <w:suppressAutoHyphens w:val="0"/>
                    <w:spacing w:before="40" w:after="120" w:line="220" w:lineRule="exact"/>
                    <w:ind w:right="113"/>
                  </w:pPr>
                  <w:r w:rsidRPr="00673F41">
                    <w:t xml:space="preserve">Congrès de la Transition </w:t>
                  </w:r>
                </w:p>
              </w:tc>
            </w:tr>
            <w:tr w:rsidR="002D42EF" w:rsidRPr="009F2299" w:rsidTr="00C208E4">
              <w:tc>
                <w:tcPr>
                  <w:tcW w:w="1166" w:type="dxa"/>
                  <w:shd w:val="clear" w:color="auto" w:fill="auto"/>
                </w:tcPr>
                <w:p w:rsidR="002D42EF" w:rsidRPr="00673F41" w:rsidRDefault="002D42EF" w:rsidP="00C208E4">
                  <w:pPr>
                    <w:suppressAutoHyphens w:val="0"/>
                    <w:spacing w:before="40" w:after="120" w:line="220" w:lineRule="exact"/>
                    <w:ind w:right="113"/>
                  </w:pPr>
                  <w:r w:rsidRPr="00673F41">
                    <w:t>DGAP</w:t>
                  </w:r>
                </w:p>
              </w:tc>
              <w:tc>
                <w:tcPr>
                  <w:tcW w:w="6204" w:type="dxa"/>
                  <w:shd w:val="clear" w:color="auto" w:fill="auto"/>
                </w:tcPr>
                <w:p w:rsidR="002D42EF" w:rsidRPr="009F2299" w:rsidRDefault="002D42EF" w:rsidP="00C208E4">
                  <w:pPr>
                    <w:suppressAutoHyphens w:val="0"/>
                    <w:spacing w:before="40" w:after="120" w:line="220" w:lineRule="exact"/>
                    <w:ind w:right="113"/>
                  </w:pPr>
                  <w:r w:rsidRPr="00673F41">
                    <w:t>Direction Générale de l’Administration Pénitentiaire</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DSRP</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 xml:space="preserve">Document </w:t>
                  </w:r>
                  <w:r>
                    <w:t>de s</w:t>
                  </w:r>
                  <w:r w:rsidRPr="009F2299">
                    <w:t xml:space="preserve">tratégie </w:t>
                  </w:r>
                  <w:r>
                    <w:t>pour la r</w:t>
                  </w:r>
                  <w:r w:rsidRPr="009F2299">
                    <w:t xml:space="preserve">éduction de la </w:t>
                  </w:r>
                  <w:r>
                    <w:t>p</w:t>
                  </w:r>
                  <w:r w:rsidRPr="009F2299">
                    <w:t>auvreté</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ECOSOC</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Conseil</w:t>
                  </w:r>
                  <w:r>
                    <w:t xml:space="preserve"> é</w:t>
                  </w:r>
                  <w:r w:rsidRPr="009F2299">
                    <w:t xml:space="preserve">conomique et </w:t>
                  </w:r>
                  <w:r>
                    <w:t>s</w:t>
                  </w:r>
                  <w:r w:rsidRPr="009F2299">
                    <w:t>ocial</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ENAP</w:t>
                  </w:r>
                </w:p>
              </w:tc>
              <w:tc>
                <w:tcPr>
                  <w:tcW w:w="6204" w:type="dxa"/>
                  <w:shd w:val="clear" w:color="auto" w:fill="auto"/>
                </w:tcPr>
                <w:p w:rsidR="002D42EF" w:rsidRPr="009F2299" w:rsidRDefault="002D42EF" w:rsidP="00C208E4">
                  <w:pPr>
                    <w:suppressAutoHyphens w:val="0"/>
                    <w:spacing w:before="40" w:after="120" w:line="220" w:lineRule="exact"/>
                    <w:ind w:right="113"/>
                  </w:pPr>
                  <w:r>
                    <w:t>É</w:t>
                  </w:r>
                  <w:r w:rsidRPr="009F2299">
                    <w:t>cole Nationale de l’Administration Pénitentiaire</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ENMG</w:t>
                  </w:r>
                </w:p>
              </w:tc>
              <w:tc>
                <w:tcPr>
                  <w:tcW w:w="6204" w:type="dxa"/>
                  <w:shd w:val="clear" w:color="auto" w:fill="auto"/>
                </w:tcPr>
                <w:p w:rsidR="002D42EF" w:rsidRPr="009F2299" w:rsidRDefault="002D42EF" w:rsidP="00C208E4">
                  <w:pPr>
                    <w:suppressAutoHyphens w:val="0"/>
                    <w:spacing w:before="40" w:after="120" w:line="220" w:lineRule="exact"/>
                    <w:ind w:right="113"/>
                  </w:pPr>
                  <w:r>
                    <w:t>É</w:t>
                  </w:r>
                  <w:r w:rsidRPr="009F2299">
                    <w:t>cole Nationale de la Magistrature et des Greffes</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EPU</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 xml:space="preserve">Examen </w:t>
                  </w:r>
                  <w:r>
                    <w:t>p</w:t>
                  </w:r>
                  <w:r w:rsidRPr="009F2299">
                    <w:t xml:space="preserve">ériodique </w:t>
                  </w:r>
                  <w:r>
                    <w:t>u</w:t>
                  </w:r>
                  <w:r w:rsidRPr="009F2299">
                    <w:t>niversel</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HCC</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 xml:space="preserve">Haute Cour Constitutionnelle </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IDH</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 xml:space="preserve">Indice de </w:t>
                  </w:r>
                  <w:r>
                    <w:t>d</w:t>
                  </w:r>
                  <w:r w:rsidRPr="009F2299">
                    <w:t xml:space="preserve">éveloppement </w:t>
                  </w:r>
                  <w:r>
                    <w:t>h</w:t>
                  </w:r>
                  <w:r w:rsidRPr="009F2299">
                    <w:t>umain</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MINJUS</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Ministère de la Justice</w:t>
                  </w:r>
                </w:p>
              </w:tc>
            </w:tr>
            <w:tr w:rsidR="002D42EF" w:rsidRPr="009F2299" w:rsidTr="00C208E4">
              <w:tc>
                <w:tcPr>
                  <w:tcW w:w="1166" w:type="dxa"/>
                  <w:shd w:val="clear" w:color="auto" w:fill="auto"/>
                </w:tcPr>
                <w:p w:rsidR="002D42EF" w:rsidRPr="00616EEA" w:rsidRDefault="002D42EF" w:rsidP="00C208E4">
                  <w:pPr>
                    <w:suppressAutoHyphens w:val="0"/>
                    <w:spacing w:before="40" w:after="120" w:line="220" w:lineRule="exact"/>
                    <w:ind w:right="113"/>
                  </w:pPr>
                  <w:r w:rsidRPr="00616EEA">
                    <w:t>OIPC</w:t>
                  </w:r>
                </w:p>
              </w:tc>
              <w:tc>
                <w:tcPr>
                  <w:tcW w:w="6204" w:type="dxa"/>
                  <w:shd w:val="clear" w:color="auto" w:fill="auto"/>
                </w:tcPr>
                <w:p w:rsidR="002D42EF" w:rsidRPr="009F2299" w:rsidRDefault="002D42EF" w:rsidP="00C208E4">
                  <w:pPr>
                    <w:suppressAutoHyphens w:val="0"/>
                    <w:spacing w:before="40" w:after="120" w:line="220" w:lineRule="exact"/>
                    <w:ind w:right="113"/>
                  </w:pPr>
                  <w:r w:rsidRPr="00616EEA">
                    <w:t>Organisation internationale de police criminelle</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OMD</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 xml:space="preserve">Objectifs du Millénaire pour le </w:t>
                  </w:r>
                  <w:r>
                    <w:t>d</w:t>
                  </w:r>
                  <w:r w:rsidRPr="009F2299">
                    <w:t>éveloppement</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OPJ</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 xml:space="preserve">Officier de Police Judiciaire </w:t>
                  </w:r>
                </w:p>
              </w:tc>
            </w:tr>
            <w:tr w:rsidR="002D42EF" w:rsidRPr="009F2299" w:rsidTr="00C208E4">
              <w:tc>
                <w:tcPr>
                  <w:tcW w:w="1166" w:type="dxa"/>
                  <w:shd w:val="clear" w:color="auto" w:fill="auto"/>
                </w:tcPr>
                <w:p w:rsidR="002D42EF" w:rsidRPr="009F2299" w:rsidRDefault="002D42EF" w:rsidP="00C208E4">
                  <w:pPr>
                    <w:suppressAutoHyphens w:val="0"/>
                    <w:spacing w:before="40" w:after="120" w:line="220" w:lineRule="exact"/>
                    <w:ind w:right="113"/>
                  </w:pPr>
                  <w:r w:rsidRPr="009F2299">
                    <w:t>PCOU</w:t>
                  </w:r>
                </w:p>
              </w:tc>
              <w:tc>
                <w:tcPr>
                  <w:tcW w:w="6204" w:type="dxa"/>
                  <w:shd w:val="clear" w:color="auto" w:fill="auto"/>
                </w:tcPr>
                <w:p w:rsidR="002D42EF" w:rsidRPr="009F2299" w:rsidRDefault="002D42EF" w:rsidP="00C208E4">
                  <w:pPr>
                    <w:suppressAutoHyphens w:val="0"/>
                    <w:spacing w:before="40" w:after="120" w:line="220" w:lineRule="exact"/>
                    <w:ind w:right="113"/>
                  </w:pPr>
                  <w:r w:rsidRPr="009F2299">
                    <w:t>Plate Forme de Coopération Opérationnelle Unique</w:t>
                  </w:r>
                </w:p>
              </w:tc>
            </w:tr>
            <w:tr w:rsidR="002D42EF" w:rsidRPr="009F2299" w:rsidTr="00C208E4">
              <w:tc>
                <w:tcPr>
                  <w:tcW w:w="1166" w:type="dxa"/>
                  <w:tcBorders>
                    <w:bottom w:val="nil"/>
                  </w:tcBorders>
                  <w:shd w:val="clear" w:color="auto" w:fill="auto"/>
                </w:tcPr>
                <w:p w:rsidR="002D42EF" w:rsidRPr="009F2299" w:rsidRDefault="002D42EF" w:rsidP="00C208E4">
                  <w:pPr>
                    <w:suppressAutoHyphens w:val="0"/>
                    <w:spacing w:before="40" w:after="120" w:line="220" w:lineRule="exact"/>
                    <w:ind w:right="113"/>
                  </w:pPr>
                  <w:r w:rsidRPr="009F2299">
                    <w:t>PIB</w:t>
                  </w:r>
                </w:p>
              </w:tc>
              <w:tc>
                <w:tcPr>
                  <w:tcW w:w="6204" w:type="dxa"/>
                  <w:tcBorders>
                    <w:bottom w:val="nil"/>
                  </w:tcBorders>
                  <w:shd w:val="clear" w:color="auto" w:fill="auto"/>
                </w:tcPr>
                <w:p w:rsidR="002D42EF" w:rsidRPr="009F2299" w:rsidRDefault="002D42EF" w:rsidP="00C208E4">
                  <w:pPr>
                    <w:suppressAutoHyphens w:val="0"/>
                    <w:spacing w:before="40" w:after="120" w:line="220" w:lineRule="exact"/>
                    <w:ind w:right="113"/>
                  </w:pPr>
                  <w:r w:rsidRPr="009F2299">
                    <w:t xml:space="preserve">Produit </w:t>
                  </w:r>
                  <w:r>
                    <w:t>i</w:t>
                  </w:r>
                  <w:r w:rsidRPr="009F2299">
                    <w:t xml:space="preserve">ntérieur </w:t>
                  </w:r>
                  <w:r>
                    <w:t>b</w:t>
                  </w:r>
                  <w:r w:rsidRPr="009F2299">
                    <w:t>rut</w:t>
                  </w:r>
                </w:p>
              </w:tc>
            </w:tr>
            <w:tr w:rsidR="002D42EF" w:rsidRPr="009F2299" w:rsidTr="00C208E4">
              <w:tc>
                <w:tcPr>
                  <w:tcW w:w="1166" w:type="dxa"/>
                  <w:tcBorders>
                    <w:top w:val="nil"/>
                    <w:bottom w:val="nil"/>
                  </w:tcBorders>
                  <w:shd w:val="clear" w:color="auto" w:fill="auto"/>
                </w:tcPr>
                <w:p w:rsidR="002D42EF" w:rsidRPr="00600E22" w:rsidRDefault="002D42EF" w:rsidP="00C208E4">
                  <w:pPr>
                    <w:suppressAutoHyphens w:val="0"/>
                    <w:spacing w:before="40" w:after="120" w:line="220" w:lineRule="exact"/>
                    <w:ind w:right="113"/>
                    <w:rPr>
                      <w:iCs/>
                    </w:rPr>
                  </w:pPr>
                  <w:r w:rsidRPr="00600E22">
                    <w:rPr>
                      <w:iCs/>
                    </w:rPr>
                    <w:t>PIDCP</w:t>
                  </w:r>
                </w:p>
              </w:tc>
              <w:tc>
                <w:tcPr>
                  <w:tcW w:w="6204" w:type="dxa"/>
                  <w:tcBorders>
                    <w:top w:val="nil"/>
                    <w:bottom w:val="nil"/>
                  </w:tcBorders>
                  <w:shd w:val="clear" w:color="auto" w:fill="auto"/>
                </w:tcPr>
                <w:p w:rsidR="002D42EF" w:rsidRPr="009F2299" w:rsidRDefault="002D42EF" w:rsidP="00C208E4">
                  <w:pPr>
                    <w:suppressAutoHyphens w:val="0"/>
                    <w:spacing w:before="40" w:after="120" w:line="220" w:lineRule="exact"/>
                    <w:ind w:right="113"/>
                  </w:pPr>
                  <w:r w:rsidRPr="00600E22">
                    <w:t>Pacte international relatif aux droits civils et politiques</w:t>
                  </w:r>
                </w:p>
              </w:tc>
            </w:tr>
          </w:tbl>
          <w:p w:rsidR="002D42EF" w:rsidRPr="003F37B1" w:rsidRDefault="002D42EF" w:rsidP="00C208E4">
            <w:pPr>
              <w:rPr>
                <w:lang w:val="fr-FR"/>
              </w:rPr>
            </w:pPr>
          </w:p>
        </w:tc>
      </w:tr>
    </w:tbl>
    <w:p w:rsidR="002D42EF" w:rsidRPr="00913FDE" w:rsidRDefault="002D42EF" w:rsidP="002D42EF">
      <w:pPr>
        <w:pStyle w:val="HChG"/>
        <w:outlineLvl w:val="0"/>
      </w:pPr>
      <w:r>
        <w:br w:type="page"/>
      </w:r>
      <w:r>
        <w:tab/>
      </w:r>
      <w:r>
        <w:tab/>
        <w:t>Premiè</w:t>
      </w:r>
      <w:r w:rsidRPr="005D65CE">
        <w:t>re partie</w:t>
      </w:r>
      <w:r>
        <w:br/>
      </w:r>
      <w:r w:rsidRPr="00913FDE">
        <w:t>Informations de caractère général</w:t>
      </w:r>
    </w:p>
    <w:p w:rsidR="002D42EF" w:rsidRPr="005D65CE" w:rsidRDefault="002D42EF" w:rsidP="002D42EF">
      <w:pPr>
        <w:pStyle w:val="H1G"/>
      </w:pPr>
      <w:r>
        <w:tab/>
        <w:t>A.</w:t>
      </w:r>
      <w:r>
        <w:tab/>
        <w:t>Introduction</w:t>
      </w:r>
    </w:p>
    <w:p w:rsidR="002D42EF" w:rsidRPr="005D65CE" w:rsidRDefault="002D42EF" w:rsidP="002D42EF">
      <w:pPr>
        <w:pStyle w:val="SingleTxtG"/>
      </w:pPr>
      <w:r w:rsidRPr="005D65CE">
        <w:t>1.</w:t>
      </w:r>
      <w:r w:rsidRPr="005D65CE">
        <w:tab/>
        <w:t xml:space="preserve">Madagascar a accusé des retards importants dans la présentation de ses </w:t>
      </w:r>
      <w:r>
        <w:t>r</w:t>
      </w:r>
      <w:r w:rsidRPr="005D65CE">
        <w:t xml:space="preserve">apports initiaux périodiques liés aux </w:t>
      </w:r>
      <w:r>
        <w:t>droit</w:t>
      </w:r>
      <w:r w:rsidRPr="005D65CE">
        <w:t>s de l’homme</w:t>
      </w:r>
      <w:r>
        <w:t>, y compris de son r</w:t>
      </w:r>
      <w:r w:rsidRPr="005D65CE">
        <w:t>apport initial sur l’application de la Convention contre la torture</w:t>
      </w:r>
      <w:r>
        <w:t xml:space="preserve"> et autres peines ou traitements cruels, inhumains ou dégradants</w:t>
      </w:r>
      <w:r w:rsidRPr="005D65CE">
        <w:t xml:space="preserve">. </w:t>
      </w:r>
    </w:p>
    <w:p w:rsidR="002D42EF" w:rsidRPr="005D65CE" w:rsidRDefault="002D42EF" w:rsidP="002D42EF">
      <w:pPr>
        <w:pStyle w:val="SingleTxtG"/>
      </w:pPr>
      <w:r w:rsidRPr="005D65CE">
        <w:t>2.</w:t>
      </w:r>
      <w:r w:rsidRPr="005D65CE">
        <w:tab/>
        <w:t>Pour y remédier, un Comité interministériel de rédaction des Rapports initiaux et périodiques relatifs aux droits de l’homme a été mis en place en</w:t>
      </w:r>
      <w:r>
        <w:t xml:space="preserve"> </w:t>
      </w:r>
      <w:r w:rsidRPr="005D65CE">
        <w:t>2003. Ce Comité incluant des représentants de la société civile a rédi</w:t>
      </w:r>
      <w:r>
        <w:t xml:space="preserve">gé et a permis la soutenance de </w:t>
      </w:r>
      <w:r w:rsidRPr="005D65CE">
        <w:t>cinq (05) rapports périodiques sur:</w:t>
      </w:r>
    </w:p>
    <w:p w:rsidR="002D42EF" w:rsidRPr="009F0BB3" w:rsidRDefault="002D42EF" w:rsidP="002D42EF">
      <w:pPr>
        <w:pStyle w:val="Bullet1G"/>
        <w:numPr>
          <w:ilvl w:val="0"/>
          <w:numId w:val="1"/>
        </w:numPr>
      </w:pPr>
      <w:r w:rsidRPr="009F0BB3">
        <w:t xml:space="preserve">La Convention </w:t>
      </w:r>
      <w:r>
        <w:t>internationale sur</w:t>
      </w:r>
      <w:r w:rsidRPr="009F0BB3">
        <w:t xml:space="preserve"> l’</w:t>
      </w:r>
      <w:r>
        <w:t>é</w:t>
      </w:r>
      <w:r w:rsidRPr="009F0BB3">
        <w:t xml:space="preserve">limination de toutes les formes de </w:t>
      </w:r>
      <w:r>
        <w:t>d</w:t>
      </w:r>
      <w:r w:rsidRPr="009F0BB3">
        <w:t xml:space="preserve">iscrimination </w:t>
      </w:r>
      <w:r>
        <w:t>r</w:t>
      </w:r>
      <w:r w:rsidRPr="009F0BB3">
        <w:t>aciale (CERD) en août 2004;</w:t>
      </w:r>
    </w:p>
    <w:p w:rsidR="002D42EF" w:rsidRPr="009F0BB3" w:rsidRDefault="002D42EF" w:rsidP="002D42EF">
      <w:pPr>
        <w:pStyle w:val="Bullet1G"/>
        <w:numPr>
          <w:ilvl w:val="0"/>
          <w:numId w:val="1"/>
        </w:numPr>
      </w:pPr>
      <w:r w:rsidRPr="009F0BB3">
        <w:t>Le Pacte international relatif aux droits civils et politiques (</w:t>
      </w:r>
      <w:r w:rsidRPr="00600E22">
        <w:t>PIDCP</w:t>
      </w:r>
      <w:r w:rsidRPr="009F0BB3">
        <w:t>) en mars 2007;</w:t>
      </w:r>
    </w:p>
    <w:p w:rsidR="002D42EF" w:rsidRPr="009F0BB3" w:rsidRDefault="002D42EF" w:rsidP="002D42EF">
      <w:pPr>
        <w:pStyle w:val="Bullet1G"/>
        <w:numPr>
          <w:ilvl w:val="0"/>
          <w:numId w:val="1"/>
        </w:numPr>
      </w:pPr>
      <w:r w:rsidRPr="009F0BB3">
        <w:t xml:space="preserve">Le Pacte </w:t>
      </w:r>
      <w:r>
        <w:t>i</w:t>
      </w:r>
      <w:r w:rsidRPr="009F0BB3">
        <w:t xml:space="preserve">nternational relatif aux </w:t>
      </w:r>
      <w:r>
        <w:t>d</w:t>
      </w:r>
      <w:r w:rsidRPr="009F0BB3">
        <w:t xml:space="preserve">roits </w:t>
      </w:r>
      <w:r>
        <w:t>é</w:t>
      </w:r>
      <w:r w:rsidRPr="009F0BB3">
        <w:t>conomiques, sociaux et culturels</w:t>
      </w:r>
      <w:r>
        <w:t xml:space="preserve"> </w:t>
      </w:r>
      <w:r w:rsidRPr="009F0BB3">
        <w:t>en novembre 2009;</w:t>
      </w:r>
    </w:p>
    <w:p w:rsidR="002D42EF" w:rsidRPr="001D54A0" w:rsidRDefault="002D42EF" w:rsidP="002D42EF">
      <w:pPr>
        <w:pStyle w:val="Bullet1G"/>
        <w:numPr>
          <w:ilvl w:val="0"/>
          <w:numId w:val="1"/>
        </w:numPr>
      </w:pPr>
      <w:r w:rsidRPr="001D54A0">
        <w:t>La Convention sur l’</w:t>
      </w:r>
      <w:r>
        <w:t>é</w:t>
      </w:r>
      <w:r w:rsidRPr="001D54A0">
        <w:t xml:space="preserve">limination de toutes les formes de </w:t>
      </w:r>
      <w:r>
        <w:t>d</w:t>
      </w:r>
      <w:r w:rsidRPr="001D54A0">
        <w:t xml:space="preserve">iscrimination à l’égard des </w:t>
      </w:r>
      <w:r>
        <w:t>f</w:t>
      </w:r>
      <w:r w:rsidRPr="001D54A0">
        <w:t>emmes (</w:t>
      </w:r>
      <w:r w:rsidRPr="00600E22">
        <w:t>CEDEF</w:t>
      </w:r>
      <w:r w:rsidRPr="001D54A0">
        <w:t>) en octobre 2008</w:t>
      </w:r>
      <w:r>
        <w:t>.</w:t>
      </w:r>
    </w:p>
    <w:p w:rsidR="002D42EF" w:rsidRPr="00281BDA" w:rsidRDefault="002D42EF" w:rsidP="005B72E7">
      <w:pPr>
        <w:pStyle w:val="Bullet1G"/>
        <w:numPr>
          <w:ilvl w:val="0"/>
          <w:numId w:val="0"/>
        </w:numPr>
        <w:ind w:left="1202"/>
      </w:pPr>
      <w:r w:rsidRPr="00281BDA">
        <w:t xml:space="preserve">Il a aussi permis la soumission d’un rapport dans le cadre de l’Examen </w:t>
      </w:r>
      <w:r>
        <w:t>p</w:t>
      </w:r>
      <w:r w:rsidRPr="00281BDA">
        <w:t xml:space="preserve">ériodique </w:t>
      </w:r>
      <w:r>
        <w:t>u</w:t>
      </w:r>
      <w:r w:rsidRPr="00281BDA">
        <w:t>niversel (EPU)</w:t>
      </w:r>
      <w:r>
        <w:t>,</w:t>
      </w:r>
      <w:r w:rsidRPr="00281BDA">
        <w:t xml:space="preserve"> </w:t>
      </w:r>
      <w:r>
        <w:t xml:space="preserve">qui a été </w:t>
      </w:r>
      <w:r w:rsidRPr="00281BDA">
        <w:t xml:space="preserve">présenté devant le Conseil des </w:t>
      </w:r>
      <w:r>
        <w:t>d</w:t>
      </w:r>
      <w:r w:rsidRPr="00281BDA">
        <w:t>roits de l’</w:t>
      </w:r>
      <w:r>
        <w:t>h</w:t>
      </w:r>
      <w:r w:rsidRPr="00281BDA">
        <w:t xml:space="preserve">omme en février 2010. </w:t>
      </w:r>
    </w:p>
    <w:p w:rsidR="002D42EF" w:rsidRPr="005D65CE" w:rsidRDefault="002D42EF" w:rsidP="002D42EF">
      <w:pPr>
        <w:pStyle w:val="SingleTxtG"/>
      </w:pPr>
      <w:r w:rsidRPr="005D65CE">
        <w:t>3.</w:t>
      </w:r>
      <w:r w:rsidRPr="005D65CE">
        <w:tab/>
        <w:t xml:space="preserve">Par ailleurs, le Rapport sur l’application de la Charte </w:t>
      </w:r>
      <w:r>
        <w:t>a</w:t>
      </w:r>
      <w:r w:rsidRPr="005D65CE">
        <w:t xml:space="preserve">fricaine des </w:t>
      </w:r>
      <w:r>
        <w:t>droit</w:t>
      </w:r>
      <w:r w:rsidRPr="005D65CE">
        <w:t>s de l’</w:t>
      </w:r>
      <w:r>
        <w:t>h</w:t>
      </w:r>
      <w:r w:rsidRPr="005D65CE">
        <w:t xml:space="preserve">omme et </w:t>
      </w:r>
      <w:r w:rsidRPr="00FD77BD">
        <w:t>des peuples</w:t>
      </w:r>
      <w:r>
        <w:t xml:space="preserve"> </w:t>
      </w:r>
      <w:r w:rsidRPr="005D65CE">
        <w:t xml:space="preserve">a été transmis à la Commission Africaine des </w:t>
      </w:r>
      <w:r>
        <w:t>droit</w:t>
      </w:r>
      <w:r w:rsidRPr="005D65CE">
        <w:t>s de l’</w:t>
      </w:r>
      <w:r>
        <w:t>h</w:t>
      </w:r>
      <w:r w:rsidRPr="005D65CE">
        <w:t xml:space="preserve">omme. La date d’examen n’est pas encore déterminée. Il en est de même du Rapport sur l’application de la Convention </w:t>
      </w:r>
      <w:r w:rsidRPr="008D2E31">
        <w:t>relative aux droits de l’enfant.</w:t>
      </w:r>
    </w:p>
    <w:p w:rsidR="002D42EF" w:rsidRPr="005D65CE" w:rsidRDefault="002D42EF" w:rsidP="002D42EF">
      <w:pPr>
        <w:pStyle w:val="SingleTxtG"/>
      </w:pPr>
      <w:r>
        <w:t>4.</w:t>
      </w:r>
      <w:r>
        <w:tab/>
        <w:t>La crise socio</w:t>
      </w:r>
      <w:r w:rsidRPr="005D65CE">
        <w:t>politique, depuis décembre 2008, a perturbé la planification de la présentation du présent rapport.</w:t>
      </w:r>
    </w:p>
    <w:p w:rsidR="002D42EF" w:rsidRPr="005D65CE" w:rsidRDefault="002D42EF" w:rsidP="00E6332A">
      <w:pPr>
        <w:pStyle w:val="H23G"/>
        <w:numPr>
          <w:ilvl w:val="2"/>
          <w:numId w:val="10"/>
        </w:numPr>
      </w:pPr>
      <w:r w:rsidRPr="005D65CE">
        <w:t>Informations de caractère général</w:t>
      </w:r>
    </w:p>
    <w:p w:rsidR="002D42EF" w:rsidRPr="005D65CE" w:rsidRDefault="002D42EF" w:rsidP="002D42EF">
      <w:pPr>
        <w:pStyle w:val="SingleTxtG"/>
      </w:pPr>
      <w:r>
        <w:t>5.</w:t>
      </w:r>
      <w:r>
        <w:tab/>
      </w:r>
      <w:r w:rsidRPr="005D65CE">
        <w:t>Madagascar est une île située à 400 km des côtes du Mozambique dans le sud-ouest de l’Océan Indien. Sa superficie totale est de 587 051 km² avec une frontière maritime de 5</w:t>
      </w:r>
      <w:r>
        <w:t> </w:t>
      </w:r>
      <w:r w:rsidRPr="005D65CE">
        <w:t>00</w:t>
      </w:r>
      <w:r>
        <w:t>0 k</w:t>
      </w:r>
      <w:r w:rsidRPr="005D65CE">
        <w:t xml:space="preserve">m. La capitale est </w:t>
      </w:r>
      <w:r w:rsidRPr="00C4755C">
        <w:t>Antananarivo</w:t>
      </w:r>
      <w:r w:rsidRPr="005D65CE">
        <w:t xml:space="preserve">. Le pays est organisé </w:t>
      </w:r>
      <w:r>
        <w:t>en 22 Régions, 119 Districts, 1 558 Communes et environ 17 </w:t>
      </w:r>
      <w:r w:rsidRPr="005D65CE">
        <w:t>433 Communautés villageoises de base. Le malagasy est la langue nationale. Le malagasy, le français et l’anglais constituent les langues officielles.</w:t>
      </w:r>
    </w:p>
    <w:p w:rsidR="002D42EF" w:rsidRPr="005D65CE" w:rsidRDefault="002D42EF" w:rsidP="002D42EF">
      <w:pPr>
        <w:pStyle w:val="SingleTxtG"/>
      </w:pPr>
      <w:r w:rsidRPr="005D65CE">
        <w:t>6.</w:t>
      </w:r>
      <w:r w:rsidRPr="005D65CE">
        <w:tab/>
        <w:t xml:space="preserve">La population malagasy est estimée à 19 385 000 en 2009. </w:t>
      </w:r>
      <w:r>
        <w:t>Huit</w:t>
      </w:r>
      <w:r w:rsidRPr="005D65CE">
        <w:t xml:space="preserve"> individus sur 10</w:t>
      </w:r>
      <w:r>
        <w:t> </w:t>
      </w:r>
      <w:r w:rsidRPr="005D65CE">
        <w:t xml:space="preserve">résident en milieu rural. </w:t>
      </w:r>
    </w:p>
    <w:p w:rsidR="002D42EF" w:rsidRPr="005D65CE" w:rsidRDefault="002D42EF" w:rsidP="002D42EF">
      <w:pPr>
        <w:pStyle w:val="SingleTxtG"/>
      </w:pPr>
      <w:r w:rsidRPr="005D65CE">
        <w:t>7.</w:t>
      </w:r>
      <w:r w:rsidRPr="005D65CE">
        <w:tab/>
        <w:t>En 2003-2004, la fécondité, estimée à 5,2 est encore élevée. Le taux de mortalité infantile est estimé à 58 %. L’espérance de vie à la naissance est de 59,9 ans. La taille moyenne des ménages est de 4,9</w:t>
      </w:r>
      <w:r>
        <w:t xml:space="preserve"> personnes</w:t>
      </w:r>
      <w:r w:rsidRPr="005D65CE">
        <w:t>.</w:t>
      </w:r>
    </w:p>
    <w:p w:rsidR="002D42EF" w:rsidRPr="005D65CE" w:rsidRDefault="002D42EF" w:rsidP="002D42EF">
      <w:pPr>
        <w:pStyle w:val="SingleTxtG"/>
      </w:pPr>
      <w:r>
        <w:t>8.</w:t>
      </w:r>
      <w:r>
        <w:tab/>
      </w:r>
      <w:r w:rsidRPr="005D65CE">
        <w:t xml:space="preserve">Dans le domaine économique, le secteur primaire ne représente que 22,3 % du PIB alors que cette activité est exercée par plus de 82 % des actifs occupés. Le pays s’est doté du Document Stratégique de Réduction de la Pauvreté (DSRP) et du Madagascar Action Plan (MAP) pour l’atteinte des </w:t>
      </w:r>
      <w:r w:rsidRPr="005522BB">
        <w:t>objectifs</w:t>
      </w:r>
      <w:r w:rsidRPr="005D65CE">
        <w:t xml:space="preserve"> du </w:t>
      </w:r>
      <w:r>
        <w:t>m</w:t>
      </w:r>
      <w:r w:rsidRPr="005D65CE">
        <w:t xml:space="preserve">illénaire pour le </w:t>
      </w:r>
      <w:r>
        <w:t>d</w:t>
      </w:r>
      <w:r w:rsidRPr="005D65CE">
        <w:t xml:space="preserve">éveloppement (OMD). </w:t>
      </w:r>
    </w:p>
    <w:p w:rsidR="002D42EF" w:rsidRPr="005D65CE" w:rsidRDefault="002D42EF" w:rsidP="002D42EF">
      <w:pPr>
        <w:pStyle w:val="SingleTxtG"/>
      </w:pPr>
      <w:r w:rsidRPr="005D65CE">
        <w:t>9.</w:t>
      </w:r>
      <w:r w:rsidRPr="005D65CE">
        <w:tab/>
        <w:t>A partir de l’instauration du libéralisme économique engagé depuis deux décennies, le pays a connu une augmentation de sa croissance économique avec un taux de 4,7 % en 2006 et de 7,2 % en 2008. Cependant, les retombées n’ont pas relevé l’ensemble du niveau de vie de la population surtout en milieu rural.</w:t>
      </w:r>
    </w:p>
    <w:p w:rsidR="002D42EF" w:rsidRPr="005D65CE" w:rsidRDefault="002D42EF" w:rsidP="002D42EF">
      <w:pPr>
        <w:pStyle w:val="SingleTxtG"/>
      </w:pPr>
      <w:r w:rsidRPr="005D65CE">
        <w:t>10.</w:t>
      </w:r>
      <w:r w:rsidRPr="005D65CE">
        <w:tab/>
        <w:t xml:space="preserve">Selon le </w:t>
      </w:r>
      <w:r w:rsidRPr="00C4755C">
        <w:t>Rapport</w:t>
      </w:r>
      <w:r w:rsidRPr="005D65CE">
        <w:t xml:space="preserve"> annuel sur le développement humain 2009, Madagascar se trouve au 145</w:t>
      </w:r>
      <w:r w:rsidRPr="00297520">
        <w:rPr>
          <w:vertAlign w:val="superscript"/>
        </w:rPr>
        <w:t>e</w:t>
      </w:r>
      <w:r>
        <w:t> </w:t>
      </w:r>
      <w:r w:rsidRPr="005D65CE">
        <w:t xml:space="preserve">rang sur 182 pays avec un </w:t>
      </w:r>
      <w:r>
        <w:t>indice de développement humain (</w:t>
      </w:r>
      <w:r w:rsidRPr="009A46B3">
        <w:t>IDH</w:t>
      </w:r>
      <w:r>
        <w:t>)</w:t>
      </w:r>
      <w:r w:rsidRPr="005D65CE">
        <w:t xml:space="preserve"> de 0,543.</w:t>
      </w:r>
    </w:p>
    <w:p w:rsidR="002D42EF" w:rsidRPr="002D7210" w:rsidRDefault="002D42EF" w:rsidP="00C208E4">
      <w:pPr>
        <w:pStyle w:val="H23G"/>
        <w:numPr>
          <w:ilvl w:val="2"/>
          <w:numId w:val="10"/>
        </w:numPr>
      </w:pPr>
      <w:r w:rsidRPr="002D7210">
        <w:t xml:space="preserve">Structure politique générale </w:t>
      </w:r>
    </w:p>
    <w:p w:rsidR="002D42EF" w:rsidRPr="005D65CE" w:rsidRDefault="002D42EF" w:rsidP="002D42EF">
      <w:pPr>
        <w:pStyle w:val="SingleTxtG"/>
      </w:pPr>
      <w:r w:rsidRPr="005D65CE">
        <w:t>11.</w:t>
      </w:r>
      <w:r w:rsidRPr="005D65CE">
        <w:tab/>
        <w:t>Depuis son accession à l’indépendance le 26 juin 1960, Madagascar a connu trois Républiques marquées par quatre gouvernements de transition successivement en 1973, en 1991, en 1995 et en 2009.</w:t>
      </w:r>
    </w:p>
    <w:p w:rsidR="002D42EF" w:rsidRPr="005D65CE" w:rsidRDefault="002D42EF" w:rsidP="002D42EF">
      <w:pPr>
        <w:pStyle w:val="SingleTxtG"/>
      </w:pPr>
      <w:r w:rsidRPr="005D65CE">
        <w:t>12.</w:t>
      </w:r>
      <w:r w:rsidRPr="005D65CE">
        <w:tab/>
        <w:t>Suite à un mouvement populaire entamé en décembre 2008 contre le régime en place, le 17 mars 2009, le Président</w:t>
      </w:r>
      <w:r>
        <w:t xml:space="preserve"> de la République en exercice a transféré</w:t>
      </w:r>
      <w:r w:rsidRPr="005D65CE">
        <w:t xml:space="preserve"> les pleins pouvoirs à un Directoire militaire. Ce dernier les a transférés au meneur du mouvement </w:t>
      </w:r>
      <w:proofErr w:type="spellStart"/>
      <w:r w:rsidRPr="005D65CE">
        <w:t>Andry</w:t>
      </w:r>
      <w:proofErr w:type="spellEnd"/>
      <w:r w:rsidRPr="005D65CE">
        <w:t xml:space="preserve"> </w:t>
      </w:r>
      <w:proofErr w:type="spellStart"/>
      <w:r w:rsidRPr="005D65CE">
        <w:t>Nirina</w:t>
      </w:r>
      <w:proofErr w:type="spellEnd"/>
      <w:r w:rsidRPr="005D65CE">
        <w:t xml:space="preserve"> RAJOELINA. </w:t>
      </w:r>
    </w:p>
    <w:p w:rsidR="002D42EF" w:rsidRPr="005D65CE" w:rsidRDefault="002D42EF" w:rsidP="002D42EF">
      <w:pPr>
        <w:pStyle w:val="SingleTxtG"/>
      </w:pPr>
      <w:r w:rsidRPr="005D65CE">
        <w:t>13.</w:t>
      </w:r>
      <w:r w:rsidRPr="005D65CE">
        <w:tab/>
        <w:t xml:space="preserve">La Haute Cour Constitutionnelle, par sa décision </w:t>
      </w:r>
      <w:r w:rsidRPr="00C14D2A">
        <w:t>n</w:t>
      </w:r>
      <w:r w:rsidRPr="00C14D2A">
        <w:rPr>
          <w:vertAlign w:val="superscript"/>
        </w:rPr>
        <w:t>o</w:t>
      </w:r>
      <w:r w:rsidRPr="005D65CE">
        <w:t xml:space="preserve"> 79-HCC/G du 18 mars 2009, a validé les deux transferts et reconnu à </w:t>
      </w:r>
      <w:proofErr w:type="spellStart"/>
      <w:r w:rsidRPr="005D65CE">
        <w:t>Andry</w:t>
      </w:r>
      <w:proofErr w:type="spellEnd"/>
      <w:r w:rsidRPr="005D65CE">
        <w:t xml:space="preserve"> </w:t>
      </w:r>
      <w:proofErr w:type="spellStart"/>
      <w:r w:rsidRPr="005D65CE">
        <w:t>Nirina</w:t>
      </w:r>
      <w:proofErr w:type="spellEnd"/>
      <w:r w:rsidRPr="005D65CE">
        <w:t xml:space="preserve"> RAJOELINA la qualité de Président de la Transition exerçant les fonctions d</w:t>
      </w:r>
      <w:r>
        <w:t>e</w:t>
      </w:r>
      <w:r w:rsidRPr="005D65CE">
        <w:t xml:space="preserve"> Président de la République. </w:t>
      </w:r>
    </w:p>
    <w:p w:rsidR="002D42EF" w:rsidRPr="005D65CE" w:rsidRDefault="002D42EF" w:rsidP="002D42EF">
      <w:pPr>
        <w:pStyle w:val="SingleTxtG"/>
      </w:pPr>
      <w:r>
        <w:t>14.</w:t>
      </w:r>
      <w:r>
        <w:tab/>
      </w:r>
      <w:r w:rsidRPr="005D65CE">
        <w:t>Pour la sortie de crise et la mise en place de la quatrième République et, tenant compte des</w:t>
      </w:r>
      <w:r>
        <w:t xml:space="preserve"> </w:t>
      </w:r>
      <w:r w:rsidRPr="005D65CE">
        <w:t xml:space="preserve">difficultés d’application des Accords de Maputo et </w:t>
      </w:r>
      <w:r>
        <w:t>d’</w:t>
      </w:r>
      <w:proofErr w:type="spellStart"/>
      <w:r w:rsidRPr="005D65CE">
        <w:t>Addis</w:t>
      </w:r>
      <w:proofErr w:type="spellEnd"/>
      <w:r w:rsidRPr="005D65CE">
        <w:t xml:space="preserve"> </w:t>
      </w:r>
      <w:proofErr w:type="spellStart"/>
      <w:r w:rsidRPr="005D65CE">
        <w:t>Abeba</w:t>
      </w:r>
      <w:proofErr w:type="spellEnd"/>
      <w:r w:rsidRPr="005D65CE">
        <w:t xml:space="preserve">, les différentes parties prenantes, ayant signé l’Accord politique du 13 août 2010 à </w:t>
      </w:r>
      <w:proofErr w:type="spellStart"/>
      <w:r w:rsidRPr="005D65CE">
        <w:t>Ivato</w:t>
      </w:r>
      <w:proofErr w:type="spellEnd"/>
      <w:r w:rsidRPr="005D65CE">
        <w:t xml:space="preserve">, ont défini la feuille de route de la transition qui prévoit: </w:t>
      </w:r>
    </w:p>
    <w:p w:rsidR="002D42EF" w:rsidRPr="005D65CE" w:rsidRDefault="002D42EF" w:rsidP="002D42EF">
      <w:pPr>
        <w:pStyle w:val="Bullet1G"/>
        <w:numPr>
          <w:ilvl w:val="0"/>
          <w:numId w:val="1"/>
        </w:numPr>
      </w:pPr>
      <w:r>
        <w:t>L</w:t>
      </w:r>
      <w:r w:rsidRPr="005D65CE">
        <w:t>a mise en place des Institutions de la transition dont le Parlement de la transition composé du Conseil Supérieur de la Transition (CST) et du Congrès de la Transition (CT);</w:t>
      </w:r>
    </w:p>
    <w:p w:rsidR="002D42EF" w:rsidRPr="005D65CE" w:rsidRDefault="002D42EF" w:rsidP="002D42EF">
      <w:pPr>
        <w:pStyle w:val="Bullet1G"/>
        <w:numPr>
          <w:ilvl w:val="0"/>
          <w:numId w:val="1"/>
        </w:numPr>
      </w:pPr>
      <w:r>
        <w:t>L</w:t>
      </w:r>
      <w:r w:rsidRPr="005D65CE">
        <w:t>a mise en place d’un gouvernement d’union nationale;</w:t>
      </w:r>
    </w:p>
    <w:p w:rsidR="002D42EF" w:rsidRPr="005D65CE" w:rsidRDefault="002D42EF" w:rsidP="002D42EF">
      <w:pPr>
        <w:pStyle w:val="Bullet1G"/>
        <w:numPr>
          <w:ilvl w:val="0"/>
          <w:numId w:val="1"/>
        </w:numPr>
      </w:pPr>
      <w:r>
        <w:t>L</w:t>
      </w:r>
      <w:r w:rsidRPr="005D65CE">
        <w:t xml:space="preserve">a proposition d’un calendrier électoral. </w:t>
      </w:r>
    </w:p>
    <w:p w:rsidR="002D42EF" w:rsidRPr="005D65CE" w:rsidRDefault="002D42EF" w:rsidP="002D42EF">
      <w:pPr>
        <w:pStyle w:val="SingleTxtG"/>
      </w:pPr>
      <w:r w:rsidRPr="005D65CE">
        <w:t>15.</w:t>
      </w:r>
      <w:r w:rsidRPr="005D65CE">
        <w:tab/>
        <w:t>La Conférence nationale, organisée sous l’égide du Comité des sages (Ray aman-</w:t>
      </w:r>
      <w:proofErr w:type="spellStart"/>
      <w:r w:rsidRPr="005D65CE">
        <w:t>dreny</w:t>
      </w:r>
      <w:proofErr w:type="spellEnd"/>
      <w:r w:rsidRPr="005D65CE">
        <w:t xml:space="preserve"> </w:t>
      </w:r>
      <w:proofErr w:type="spellStart"/>
      <w:r w:rsidRPr="005D65CE">
        <w:t>mijoro</w:t>
      </w:r>
      <w:proofErr w:type="spellEnd"/>
      <w:r w:rsidRPr="005D65CE">
        <w:t xml:space="preserve">) et de la société civile, du 13 au 18 septembre 2010, a établi l’échéance électorale. Elle prévoit la tenue du référendum constitutionnel le 17 novembre 2010 et celle des élections communales le 20 décembre 2010. Les élections législatives sont prévues au mois de mars 2011 et les présidentielles au mois de mai 2011. </w:t>
      </w:r>
    </w:p>
    <w:p w:rsidR="002D42EF" w:rsidRPr="005D65CE" w:rsidRDefault="002D42EF" w:rsidP="002D42EF">
      <w:pPr>
        <w:pStyle w:val="SingleTxtG"/>
      </w:pPr>
      <w:r w:rsidRPr="005D65CE">
        <w:t>16.</w:t>
      </w:r>
      <w:r w:rsidRPr="005D65CE">
        <w:tab/>
        <w:t xml:space="preserve">Le Parlement de la Transition a été institué suivant l’Ordonnance </w:t>
      </w:r>
      <w:r w:rsidRPr="00C14D2A">
        <w:t>n</w:t>
      </w:r>
      <w:r w:rsidRPr="00C14D2A">
        <w:rPr>
          <w:vertAlign w:val="superscript"/>
        </w:rPr>
        <w:t>o</w:t>
      </w:r>
      <w:r>
        <w:t xml:space="preserve"> </w:t>
      </w:r>
      <w:r w:rsidRPr="005D65CE">
        <w:t>2010-10 du 8</w:t>
      </w:r>
      <w:r>
        <w:t> </w:t>
      </w:r>
      <w:r w:rsidRPr="005D65CE">
        <w:t>octobre 2010. Ce Parlement est composé du Conseil Supérieur de la Transition (CST), l’équivalent de la chambre haute</w:t>
      </w:r>
      <w:r>
        <w:t>,</w:t>
      </w:r>
      <w:r w:rsidRPr="005D65CE">
        <w:t xml:space="preserve"> et du Congrès de la Transition (CT), l’équivalent de la chambre basse. Le CST et le CT ont été respectivement mis en place le 11 octobre 2010 et le 12 octobre 2010. </w:t>
      </w:r>
      <w:r>
        <w:t>Ils</w:t>
      </w:r>
      <w:r w:rsidRPr="005D65CE">
        <w:t xml:space="preserve"> sont opérationnels depuis la nomination de leurs membres et l’élection de leurs Présidents et des membres du bureau. </w:t>
      </w:r>
    </w:p>
    <w:p w:rsidR="002D42EF" w:rsidRPr="005D65CE" w:rsidRDefault="002D42EF" w:rsidP="00C208E4">
      <w:pPr>
        <w:pStyle w:val="H23G"/>
        <w:numPr>
          <w:ilvl w:val="2"/>
          <w:numId w:val="10"/>
        </w:numPr>
      </w:pPr>
      <w:r w:rsidRPr="005D65CE">
        <w:t xml:space="preserve">Processus d’élaboration du rapport </w:t>
      </w:r>
    </w:p>
    <w:p w:rsidR="002D42EF" w:rsidRPr="005D65CE" w:rsidRDefault="002D42EF" w:rsidP="002D42EF">
      <w:pPr>
        <w:pStyle w:val="SingleTxtG"/>
      </w:pPr>
      <w:r w:rsidRPr="005D65CE">
        <w:t>17.</w:t>
      </w:r>
      <w:r w:rsidRPr="005D65CE">
        <w:tab/>
        <w:t>Confor</w:t>
      </w:r>
      <w:r>
        <w:t>mément aux directives générales</w:t>
      </w:r>
      <w:r w:rsidRPr="005D65CE">
        <w:t xml:space="preserve"> portant la référence </w:t>
      </w:r>
      <w:r w:rsidRPr="00640F84">
        <w:t>CAT/C/4/</w:t>
      </w:r>
      <w:proofErr w:type="spellStart"/>
      <w:r w:rsidRPr="00640F84">
        <w:t>Rev</w:t>
      </w:r>
      <w:proofErr w:type="spellEnd"/>
      <w:r w:rsidRPr="00640F84">
        <w:t>.3</w:t>
      </w:r>
      <w:r w:rsidRPr="005D65CE">
        <w:t xml:space="preserve"> du 18</w:t>
      </w:r>
      <w:r>
        <w:t> </w:t>
      </w:r>
      <w:r w:rsidRPr="005D65CE">
        <w:t>juillet 2005 adoptée</w:t>
      </w:r>
      <w:r>
        <w:t>s</w:t>
      </w:r>
      <w:r w:rsidRPr="005D65CE">
        <w:t xml:space="preserve"> par le Comité contre la </w:t>
      </w:r>
      <w:r>
        <w:t>t</w:t>
      </w:r>
      <w:r w:rsidRPr="005D65CE">
        <w:t>orture, ce rapport initial a été élaboré suivant le processus ci-après</w:t>
      </w:r>
      <w:r>
        <w:t>.</w:t>
      </w:r>
      <w:r w:rsidRPr="005D65CE">
        <w:t xml:space="preserve"> </w:t>
      </w:r>
    </w:p>
    <w:p w:rsidR="002D42EF" w:rsidRPr="005D65CE" w:rsidRDefault="002D42EF" w:rsidP="002D42EF">
      <w:pPr>
        <w:pStyle w:val="Bullet1G"/>
        <w:numPr>
          <w:ilvl w:val="0"/>
          <w:numId w:val="0"/>
        </w:numPr>
        <w:ind w:left="1200"/>
      </w:pPr>
      <w:r>
        <w:t>18.</w:t>
      </w:r>
      <w:r>
        <w:tab/>
      </w:r>
      <w:r w:rsidRPr="005D65CE">
        <w:t>Par l’intermédiaire du Ministère de la Justic</w:t>
      </w:r>
      <w:r>
        <w:t>e et du Ministère des Affaires É</w:t>
      </w:r>
      <w:r w:rsidRPr="005D65CE">
        <w:t xml:space="preserve">trangères, le Gouvernement malgache a, par </w:t>
      </w:r>
      <w:r>
        <w:t>l’</w:t>
      </w:r>
      <w:r w:rsidRPr="005D65CE">
        <w:t xml:space="preserve">arrêté interministériel </w:t>
      </w:r>
      <w:r w:rsidRPr="00C14D2A">
        <w:t>n</w:t>
      </w:r>
      <w:r w:rsidRPr="00237EF9">
        <w:t>o</w:t>
      </w:r>
      <w:r w:rsidRPr="005D65CE">
        <w:t xml:space="preserve"> 18600 du 30 octobre 2003, mis en place un </w:t>
      </w:r>
      <w:r w:rsidRPr="00237EF9">
        <w:t>Comité chargé de la rédaction des rapports initiaux et périodiques relatifs aux Instruments Internationaux liés aux Droits Humains</w:t>
      </w:r>
      <w:r>
        <w:t>.</w:t>
      </w:r>
    </w:p>
    <w:p w:rsidR="002D42EF" w:rsidRPr="005D65CE" w:rsidRDefault="002D42EF" w:rsidP="002D42EF">
      <w:pPr>
        <w:pStyle w:val="SingleTxtG"/>
        <w:keepNext/>
      </w:pPr>
      <w:r w:rsidRPr="005D65CE">
        <w:t>1</w:t>
      </w:r>
      <w:r>
        <w:t>9</w:t>
      </w:r>
      <w:r w:rsidRPr="005D65CE">
        <w:t>.</w:t>
      </w:r>
      <w:r w:rsidRPr="005D65CE">
        <w:tab/>
        <w:t xml:space="preserve">Le Comité </w:t>
      </w:r>
      <w:r>
        <w:t>se</w:t>
      </w:r>
      <w:r w:rsidRPr="005D65CE">
        <w:t xml:space="preserve"> compose</w:t>
      </w:r>
      <w:r>
        <w:t xml:space="preserve"> comme suit</w:t>
      </w:r>
      <w:r w:rsidRPr="005D65CE">
        <w:t>:</w:t>
      </w:r>
    </w:p>
    <w:p w:rsidR="002D42EF" w:rsidRPr="005D65CE" w:rsidRDefault="002D42EF" w:rsidP="002D42EF">
      <w:pPr>
        <w:pStyle w:val="Bullet1G"/>
        <w:numPr>
          <w:ilvl w:val="0"/>
          <w:numId w:val="1"/>
        </w:numPr>
      </w:pPr>
      <w:r w:rsidRPr="005D65CE">
        <w:t>Entité Gouvernementale dont</w:t>
      </w:r>
      <w:r>
        <w:t xml:space="preserve"> </w:t>
      </w:r>
      <w:r w:rsidRPr="005D65CE">
        <w:t>des représentants du Gouvernement: Ministè</w:t>
      </w:r>
      <w:r>
        <w:t>res de la Justice, des Affaires É</w:t>
      </w:r>
      <w:r w:rsidRPr="005D65CE">
        <w:t xml:space="preserve">trangères, de la Santé et du Planning </w:t>
      </w:r>
      <w:r>
        <w:t>Familial, de l’É</w:t>
      </w:r>
      <w:r w:rsidRPr="005D65CE">
        <w:t>ducation,</w:t>
      </w:r>
      <w:r>
        <w:t xml:space="preserve"> de la Sécurité Publique, de l’É</w:t>
      </w:r>
      <w:r w:rsidRPr="005D65CE">
        <w:t>conomie, des Finances et du Budget représenté par l’Institut National de la Statistique;</w:t>
      </w:r>
    </w:p>
    <w:p w:rsidR="002D42EF" w:rsidRPr="005D65CE" w:rsidRDefault="002D42EF" w:rsidP="002D42EF">
      <w:pPr>
        <w:pStyle w:val="Bullet1G"/>
        <w:numPr>
          <w:ilvl w:val="0"/>
          <w:numId w:val="1"/>
        </w:numPr>
      </w:pPr>
      <w:r w:rsidRPr="005D65CE">
        <w:t>Entité non Gouvernementale dont des membres des ONG des Droits de l’Homme venant des six provinces autonomes;</w:t>
      </w:r>
    </w:p>
    <w:p w:rsidR="002D42EF" w:rsidRPr="005D65CE" w:rsidRDefault="002D42EF" w:rsidP="002D42EF">
      <w:pPr>
        <w:pStyle w:val="Bullet1G"/>
        <w:numPr>
          <w:ilvl w:val="0"/>
          <w:numId w:val="1"/>
        </w:numPr>
      </w:pPr>
      <w:r>
        <w:t>Des membres de la Société Civile.</w:t>
      </w:r>
    </w:p>
    <w:p w:rsidR="002D42EF" w:rsidRPr="005D65CE" w:rsidRDefault="002D42EF" w:rsidP="002D42EF">
      <w:pPr>
        <w:pStyle w:val="Bullet1G"/>
        <w:numPr>
          <w:ilvl w:val="0"/>
          <w:numId w:val="0"/>
        </w:numPr>
        <w:tabs>
          <w:tab w:val="left" w:pos="1200"/>
        </w:tabs>
        <w:ind w:left="1200"/>
      </w:pPr>
      <w:r>
        <w:t>20.</w:t>
      </w:r>
      <w:r>
        <w:tab/>
      </w:r>
      <w:r w:rsidRPr="005D65CE">
        <w:t>Pour l’élaboration du présent rapport, des consultations successives ont eu lieu en 2007, 2008 et 2010 avec la participation des responsables ministériels concernés et des représentants de la société civile dont l’Action Chrétienne pour l’Abolition de la Torture (ACAT). Ces consultations ont permis la collecte de</w:t>
      </w:r>
      <w:r>
        <w:t>s</w:t>
      </w:r>
      <w:r w:rsidRPr="005D65CE">
        <w:t xml:space="preserve"> données disponibles a</w:t>
      </w:r>
      <w:r>
        <w:t>u niveau de chaque département.</w:t>
      </w:r>
    </w:p>
    <w:p w:rsidR="002D42EF" w:rsidRPr="005D65CE" w:rsidRDefault="002D42EF" w:rsidP="002D42EF">
      <w:pPr>
        <w:pStyle w:val="Bullet1G"/>
        <w:numPr>
          <w:ilvl w:val="0"/>
          <w:numId w:val="0"/>
        </w:numPr>
        <w:ind w:left="1200"/>
      </w:pPr>
      <w:r>
        <w:t>21.</w:t>
      </w:r>
      <w:r>
        <w:tab/>
        <w:t xml:space="preserve">Un </w:t>
      </w:r>
      <w:r w:rsidRPr="005D65CE">
        <w:t>atelier</w:t>
      </w:r>
      <w:r>
        <w:t xml:space="preserve"> s’est déroulé</w:t>
      </w:r>
      <w:r w:rsidRPr="005D65CE">
        <w:t xml:space="preserve"> </w:t>
      </w:r>
      <w:r>
        <w:t>en</w:t>
      </w:r>
      <w:r w:rsidRPr="005D65CE">
        <w:t xml:space="preserve"> 2010</w:t>
      </w:r>
      <w:r>
        <w:t xml:space="preserve"> qui </w:t>
      </w:r>
      <w:r w:rsidRPr="005D65CE">
        <w:t>s’est focalisé sur l’actualisation des informations après l’entrée en vigueur de la loi n°</w:t>
      </w:r>
      <w:r>
        <w:t xml:space="preserve"> </w:t>
      </w:r>
      <w:r w:rsidRPr="005D65CE">
        <w:t>2008-008 du 25 juin 2008 contre la torture et autres peines ou traitements cruels, inhumains ou dégradants.</w:t>
      </w:r>
    </w:p>
    <w:p w:rsidR="002D42EF" w:rsidRPr="005D65CE" w:rsidRDefault="002D42EF" w:rsidP="002D42EF">
      <w:pPr>
        <w:pStyle w:val="SingleTxtG"/>
      </w:pPr>
      <w:r>
        <w:t>22</w:t>
      </w:r>
      <w:r w:rsidRPr="005D65CE">
        <w:t>.</w:t>
      </w:r>
      <w:r w:rsidRPr="005D65CE">
        <w:tab/>
        <w:t>Il faut cependant préciser qu’en matière pénale, des réformes législatives préalables s’imposent avant l’application des disposition</w:t>
      </w:r>
      <w:r>
        <w:t>s des traités recommandant aux É</w:t>
      </w:r>
      <w:r w:rsidRPr="005D65CE">
        <w:t xml:space="preserve">tats </w:t>
      </w:r>
      <w:r>
        <w:t>p</w:t>
      </w:r>
      <w:r w:rsidRPr="005D65CE">
        <w:t xml:space="preserve">arties la criminalisation de certains actes. Il en est ainsi du cas de la criminalisation des actes de torture et </w:t>
      </w:r>
      <w:r>
        <w:t>autres</w:t>
      </w:r>
      <w:r w:rsidRPr="005D65CE">
        <w:t xml:space="preserve"> peines ou traitements cruels, inhumains ou dégradants.</w:t>
      </w:r>
    </w:p>
    <w:p w:rsidR="002D42EF" w:rsidRPr="005D65CE" w:rsidRDefault="002D42EF" w:rsidP="002D42EF">
      <w:pPr>
        <w:pStyle w:val="SingleTxtG"/>
      </w:pPr>
      <w:r w:rsidRPr="005D65CE">
        <w:t>2</w:t>
      </w:r>
      <w:r>
        <w:t>3</w:t>
      </w:r>
      <w:r w:rsidRPr="005D65CE">
        <w:t>.</w:t>
      </w:r>
      <w:r w:rsidRPr="005D65CE">
        <w:tab/>
        <w:t>Pour se conformer à la Convention contre la torture</w:t>
      </w:r>
      <w:r>
        <w:t xml:space="preserve"> et autres peines ou traitements cruels</w:t>
      </w:r>
      <w:r w:rsidRPr="005D65CE">
        <w:t>,</w:t>
      </w:r>
      <w:r>
        <w:t xml:space="preserve"> inhumains ou dégradants,</w:t>
      </w:r>
      <w:r w:rsidRPr="005D65CE">
        <w:t xml:space="preserve"> le législateur malgache a érigé en infractions pénales autonomes les actes de torture. La loi n°</w:t>
      </w:r>
      <w:r>
        <w:t xml:space="preserve"> </w:t>
      </w:r>
      <w:r w:rsidRPr="005D65CE">
        <w:t>2008-008 du 25 juin 2008 consacre les grands principes liés à la prévention, la prohibition, la répression, la protection et la réparation.</w:t>
      </w:r>
      <w:r>
        <w:t xml:space="preserve"> </w:t>
      </w:r>
      <w:r w:rsidRPr="005D65CE">
        <w:t xml:space="preserve">Cette loi reprend en grande partie les dispositions et les termes essentiels de la </w:t>
      </w:r>
      <w:r>
        <w:t>C</w:t>
      </w:r>
      <w:r w:rsidRPr="005D65CE">
        <w:t xml:space="preserve">onvention en vue d’une application effective de celle-ci au niveau national. </w:t>
      </w:r>
    </w:p>
    <w:p w:rsidR="002D42EF" w:rsidRPr="005D65CE" w:rsidRDefault="002D42EF" w:rsidP="002D42EF">
      <w:pPr>
        <w:pStyle w:val="H1G"/>
      </w:pPr>
      <w:r>
        <w:tab/>
      </w:r>
      <w:r w:rsidRPr="005D65CE">
        <w:t>B.</w:t>
      </w:r>
      <w:r w:rsidRPr="005D65CE">
        <w:tab/>
        <w:t>Cadre juridique général de la protection des droits de l’homme</w:t>
      </w:r>
    </w:p>
    <w:p w:rsidR="002D42EF" w:rsidRPr="005D65CE" w:rsidRDefault="002D42EF" w:rsidP="00C208E4">
      <w:pPr>
        <w:pStyle w:val="H23G"/>
        <w:numPr>
          <w:ilvl w:val="2"/>
          <w:numId w:val="10"/>
        </w:numPr>
      </w:pPr>
      <w:r w:rsidRPr="005D65CE">
        <w:t>Dispositions constitutionnelles, pénal</w:t>
      </w:r>
      <w:r>
        <w:t>es et administratives relatives</w:t>
      </w:r>
      <w:r>
        <w:br/>
      </w:r>
      <w:r w:rsidRPr="005D65CE">
        <w:t xml:space="preserve">à l’interdiction de la torture </w:t>
      </w:r>
    </w:p>
    <w:p w:rsidR="002D42EF" w:rsidRPr="005D65CE" w:rsidRDefault="002D42EF" w:rsidP="002D42EF">
      <w:pPr>
        <w:pStyle w:val="SingleTxtG"/>
      </w:pPr>
      <w:r w:rsidRPr="005D65CE">
        <w:t>2</w:t>
      </w:r>
      <w:r>
        <w:t>4</w:t>
      </w:r>
      <w:r w:rsidRPr="005D65CE">
        <w:t>.</w:t>
      </w:r>
      <w:r w:rsidRPr="005D65CE">
        <w:tab/>
        <w:t>La Constitution malgache n’a pas expressément consacré en ses dispositions</w:t>
      </w:r>
      <w:r>
        <w:t xml:space="preserve"> l’interdiction de la torture. É</w:t>
      </w:r>
      <w:r w:rsidRPr="005D65CE">
        <w:t xml:space="preserve">tant partie au Pacte </w:t>
      </w:r>
      <w:r>
        <w:t>i</w:t>
      </w:r>
      <w:r w:rsidRPr="005D65CE">
        <w:t xml:space="preserve">nternational </w:t>
      </w:r>
      <w:r>
        <w:t>r</w:t>
      </w:r>
      <w:r w:rsidRPr="005D65CE">
        <w:t xml:space="preserve">elatif aux </w:t>
      </w:r>
      <w:r>
        <w:t>d</w:t>
      </w:r>
      <w:r w:rsidRPr="005D65CE">
        <w:t xml:space="preserve">roits </w:t>
      </w:r>
      <w:r>
        <w:t>c</w:t>
      </w:r>
      <w:r w:rsidRPr="005D65CE">
        <w:t xml:space="preserve">ivils et </w:t>
      </w:r>
      <w:r>
        <w:t>p</w:t>
      </w:r>
      <w:r w:rsidRPr="005D65CE">
        <w:t xml:space="preserve">olitiques qui vise la prohibition de la torture et autres peines </w:t>
      </w:r>
      <w:r>
        <w:t xml:space="preserve">ou traitements </w:t>
      </w:r>
      <w:r w:rsidRPr="005D65CE">
        <w:t xml:space="preserve">cruels, inhumains ou dégradants, Madagascar a l’obligation de prendre des mesures pour rendre effective cette interdiction dans sa législation nationale. </w:t>
      </w:r>
    </w:p>
    <w:p w:rsidR="002D42EF" w:rsidRPr="005D65CE" w:rsidRDefault="002D42EF" w:rsidP="002D42EF">
      <w:pPr>
        <w:pStyle w:val="SingleTxtG"/>
      </w:pPr>
      <w:r w:rsidRPr="005D65CE">
        <w:t>2</w:t>
      </w:r>
      <w:r>
        <w:t>5</w:t>
      </w:r>
      <w:r w:rsidRPr="005D65CE">
        <w:t>.</w:t>
      </w:r>
      <w:r w:rsidRPr="005D65CE">
        <w:tab/>
        <w:t xml:space="preserve">La loi </w:t>
      </w:r>
      <w:r w:rsidRPr="00C14D2A">
        <w:t>n</w:t>
      </w:r>
      <w:r w:rsidRPr="00C14D2A">
        <w:rPr>
          <w:vertAlign w:val="superscript"/>
        </w:rPr>
        <w:t>o</w:t>
      </w:r>
      <w:r>
        <w:t xml:space="preserve"> </w:t>
      </w:r>
      <w:r w:rsidRPr="005D65CE">
        <w:t xml:space="preserve">2008-008 du 25 juin 2008 contre la torture a érigé en une infraction pénale les actes de torture ou autres peines </w:t>
      </w:r>
      <w:r>
        <w:t xml:space="preserve">ou traitements </w:t>
      </w:r>
      <w:r w:rsidRPr="005D65CE">
        <w:t xml:space="preserve">cruels, inhumains ou dégradants. </w:t>
      </w:r>
    </w:p>
    <w:p w:rsidR="002D42EF" w:rsidRPr="005D65CE" w:rsidRDefault="002D42EF" w:rsidP="002D42EF">
      <w:pPr>
        <w:pStyle w:val="SingleTxtG"/>
      </w:pPr>
      <w:r w:rsidRPr="005D65CE">
        <w:t>2</w:t>
      </w:r>
      <w:r>
        <w:t>6</w:t>
      </w:r>
      <w:r w:rsidRPr="005D65CE">
        <w:t>.</w:t>
      </w:r>
      <w:r w:rsidRPr="005D65CE">
        <w:tab/>
        <w:t xml:space="preserve">Le Conseil National des Droits de l’Homme (CNDH), institué par la loi </w:t>
      </w:r>
      <w:r w:rsidRPr="00C14D2A">
        <w:t>n</w:t>
      </w:r>
      <w:r w:rsidRPr="00C14D2A">
        <w:rPr>
          <w:vertAlign w:val="superscript"/>
        </w:rPr>
        <w:t>o</w:t>
      </w:r>
      <w:r>
        <w:t xml:space="preserve"> </w:t>
      </w:r>
      <w:r w:rsidRPr="005D65CE">
        <w:t xml:space="preserve">2008-012 du 17 juillet 2008 portant institution du CNDH, est habilité à procéder à des enquêtes administratives lorsqu’il est saisi d’une plainte individuelle ou collective liée à la pratique de la torture ou </w:t>
      </w:r>
      <w:r>
        <w:t xml:space="preserve">à </w:t>
      </w:r>
      <w:r w:rsidRPr="005D65CE">
        <w:t xml:space="preserve">de mauvais traitements. </w:t>
      </w:r>
    </w:p>
    <w:p w:rsidR="002D42EF" w:rsidRPr="005D65CE" w:rsidRDefault="002D42EF" w:rsidP="00C208E4">
      <w:pPr>
        <w:pStyle w:val="H23G"/>
        <w:numPr>
          <w:ilvl w:val="2"/>
          <w:numId w:val="10"/>
        </w:numPr>
      </w:pPr>
      <w:r w:rsidRPr="005D65CE">
        <w:t xml:space="preserve">Instruments juridiques internationaux relatifs à la torture et aux peines </w:t>
      </w:r>
      <w:r>
        <w:t xml:space="preserve">ou traitements </w:t>
      </w:r>
      <w:r w:rsidRPr="005D65CE">
        <w:t>cruels, inhumains ou dégradants</w:t>
      </w:r>
    </w:p>
    <w:p w:rsidR="002D42EF" w:rsidRPr="005D65CE" w:rsidRDefault="002D42EF" w:rsidP="002D42EF">
      <w:pPr>
        <w:pStyle w:val="SingleTxtG"/>
      </w:pPr>
      <w:r>
        <w:t>27.</w:t>
      </w:r>
      <w:r>
        <w:tab/>
        <w:t>Madagascar est p</w:t>
      </w:r>
      <w:r w:rsidRPr="005D65CE">
        <w:t>artie aux instruments juridiques visant la prohibition de la torture et des peines ou traitements cruels, inhumains ou dégradants</w:t>
      </w:r>
      <w:r>
        <w:t>,</w:t>
      </w:r>
      <w:r w:rsidRPr="005D65CE">
        <w:t xml:space="preserve"> à savoir: </w:t>
      </w:r>
    </w:p>
    <w:p w:rsidR="002D42EF" w:rsidRPr="005D65CE" w:rsidRDefault="002D42EF" w:rsidP="002D42EF">
      <w:pPr>
        <w:pStyle w:val="Bullet1G"/>
        <w:numPr>
          <w:ilvl w:val="0"/>
          <w:numId w:val="1"/>
        </w:numPr>
      </w:pPr>
      <w:r w:rsidRPr="005D65CE">
        <w:t xml:space="preserve">Déclaration </w:t>
      </w:r>
      <w:r>
        <w:t>u</w:t>
      </w:r>
      <w:r w:rsidRPr="005D65CE">
        <w:t xml:space="preserve">niverselle des </w:t>
      </w:r>
      <w:r>
        <w:t>d</w:t>
      </w:r>
      <w:r w:rsidRPr="005D65CE">
        <w:t>roits de l’</w:t>
      </w:r>
      <w:r>
        <w:t>h</w:t>
      </w:r>
      <w:r w:rsidRPr="005D65CE">
        <w:t>omme (art</w:t>
      </w:r>
      <w:r>
        <w:t>.</w:t>
      </w:r>
      <w:r w:rsidRPr="005D65CE">
        <w:t>5)</w:t>
      </w:r>
      <w:r>
        <w:t>;</w:t>
      </w:r>
    </w:p>
    <w:p w:rsidR="002D42EF" w:rsidRPr="005D65CE" w:rsidRDefault="002D42EF" w:rsidP="002D42EF">
      <w:pPr>
        <w:pStyle w:val="Bullet1G"/>
        <w:numPr>
          <w:ilvl w:val="0"/>
          <w:numId w:val="1"/>
        </w:numPr>
      </w:pPr>
      <w:r w:rsidRPr="005D65CE">
        <w:t xml:space="preserve">Pacte </w:t>
      </w:r>
      <w:r>
        <w:t>i</w:t>
      </w:r>
      <w:r w:rsidRPr="005D65CE">
        <w:t xml:space="preserve">nternational relatif aux </w:t>
      </w:r>
      <w:r>
        <w:t>d</w:t>
      </w:r>
      <w:r w:rsidRPr="005D65CE">
        <w:t xml:space="preserve">roits </w:t>
      </w:r>
      <w:r>
        <w:t>c</w:t>
      </w:r>
      <w:r w:rsidRPr="005D65CE">
        <w:t xml:space="preserve">ivils et </w:t>
      </w:r>
      <w:r>
        <w:t>p</w:t>
      </w:r>
      <w:r w:rsidRPr="005D65CE">
        <w:t>olitiques (art</w:t>
      </w:r>
      <w:r>
        <w:t>.</w:t>
      </w:r>
      <w:r w:rsidRPr="005D65CE">
        <w:t>7)</w:t>
      </w:r>
      <w:r>
        <w:t>;</w:t>
      </w:r>
    </w:p>
    <w:p w:rsidR="002D42EF" w:rsidRPr="005D65CE" w:rsidRDefault="002D42EF" w:rsidP="002D42EF">
      <w:pPr>
        <w:pStyle w:val="Bullet1G"/>
        <w:numPr>
          <w:ilvl w:val="0"/>
          <w:numId w:val="1"/>
        </w:numPr>
      </w:pPr>
      <w:r w:rsidRPr="005D65CE">
        <w:t>Statut de Rome de la C</w:t>
      </w:r>
      <w:r>
        <w:t xml:space="preserve">our pénale internationale </w:t>
      </w:r>
      <w:r w:rsidRPr="005D65CE">
        <w:t>(art</w:t>
      </w:r>
      <w:r>
        <w:t>.</w:t>
      </w:r>
      <w:r w:rsidRPr="005D65CE">
        <w:t>7</w:t>
      </w:r>
      <w:r>
        <w:t>, par.</w:t>
      </w:r>
      <w:r w:rsidRPr="005D65CE">
        <w:t>1</w:t>
      </w:r>
      <w:r>
        <w:t>, al.</w:t>
      </w:r>
      <w:r w:rsidRPr="005D65CE">
        <w:t xml:space="preserve"> </w:t>
      </w:r>
      <w:r w:rsidRPr="000D0B8F">
        <w:rPr>
          <w:i/>
        </w:rPr>
        <w:t>f</w:t>
      </w:r>
      <w:r w:rsidRPr="005D65CE">
        <w:t>)</w:t>
      </w:r>
      <w:r>
        <w:t>;</w:t>
      </w:r>
    </w:p>
    <w:p w:rsidR="002D42EF" w:rsidRPr="005D65CE" w:rsidRDefault="002D42EF" w:rsidP="002D42EF">
      <w:pPr>
        <w:pStyle w:val="Bullet1G"/>
        <w:numPr>
          <w:ilvl w:val="0"/>
          <w:numId w:val="1"/>
        </w:numPr>
      </w:pPr>
      <w:r w:rsidRPr="005D65CE">
        <w:t xml:space="preserve">Convention </w:t>
      </w:r>
      <w:r>
        <w:t>relative aux d</w:t>
      </w:r>
      <w:r w:rsidRPr="005D65CE">
        <w:t>roits de l’</w:t>
      </w:r>
      <w:r>
        <w:t>e</w:t>
      </w:r>
      <w:r w:rsidRPr="005D65CE">
        <w:t>nfant (art</w:t>
      </w:r>
      <w:r>
        <w:t>.</w:t>
      </w:r>
      <w:r w:rsidRPr="005D65CE">
        <w:t>37)</w:t>
      </w:r>
      <w:r>
        <w:t>;</w:t>
      </w:r>
    </w:p>
    <w:p w:rsidR="002D42EF" w:rsidRPr="005D65CE" w:rsidRDefault="002D42EF" w:rsidP="002D42EF">
      <w:pPr>
        <w:pStyle w:val="Bullet1G"/>
        <w:numPr>
          <w:ilvl w:val="0"/>
          <w:numId w:val="1"/>
        </w:numPr>
      </w:pPr>
      <w:r w:rsidRPr="005D65CE">
        <w:t xml:space="preserve">Convention </w:t>
      </w:r>
      <w:r>
        <w:t>i</w:t>
      </w:r>
      <w:r w:rsidRPr="005D65CE">
        <w:t xml:space="preserve">nternationale sur l’élimination de toutes les formes de </w:t>
      </w:r>
      <w:r>
        <w:t>d</w:t>
      </w:r>
      <w:r w:rsidRPr="005D65CE">
        <w:t xml:space="preserve">iscrimination </w:t>
      </w:r>
      <w:r>
        <w:t>r</w:t>
      </w:r>
      <w:r w:rsidRPr="005D65CE">
        <w:t>aciale (art</w:t>
      </w:r>
      <w:r>
        <w:t>.</w:t>
      </w:r>
      <w:r w:rsidRPr="005D65CE">
        <w:t>5)</w:t>
      </w:r>
      <w:r>
        <w:t>.</w:t>
      </w:r>
    </w:p>
    <w:p w:rsidR="002D42EF" w:rsidRPr="005D65CE" w:rsidRDefault="002D42EF" w:rsidP="002D42EF">
      <w:pPr>
        <w:pStyle w:val="SingleTxtG"/>
      </w:pPr>
      <w:r w:rsidRPr="005D65CE">
        <w:t>2</w:t>
      </w:r>
      <w:r>
        <w:t>8</w:t>
      </w:r>
      <w:r w:rsidRPr="005D65CE">
        <w:t>.</w:t>
      </w:r>
      <w:r w:rsidRPr="005D65CE">
        <w:tab/>
        <w:t xml:space="preserve">Madagascar a ratifié, en 2005, la Convention contre la </w:t>
      </w:r>
      <w:r>
        <w:t>t</w:t>
      </w:r>
      <w:r w:rsidRPr="005D65CE">
        <w:t xml:space="preserve">orture </w:t>
      </w:r>
      <w:r>
        <w:t>et</w:t>
      </w:r>
      <w:r w:rsidRPr="005D65CE">
        <w:t xml:space="preserve"> autres peines ou traitements cruels, inhumains ou dégradants. </w:t>
      </w:r>
    </w:p>
    <w:p w:rsidR="002D42EF" w:rsidRPr="005D65CE" w:rsidRDefault="002D42EF" w:rsidP="00C208E4">
      <w:pPr>
        <w:pStyle w:val="H23G"/>
        <w:numPr>
          <w:ilvl w:val="2"/>
          <w:numId w:val="10"/>
        </w:numPr>
      </w:pPr>
      <w:r w:rsidRPr="005D65CE">
        <w:t>Statut de la Convention dans l’ordre juridique interne</w:t>
      </w:r>
    </w:p>
    <w:p w:rsidR="002D42EF" w:rsidRPr="005D65CE" w:rsidRDefault="002D42EF" w:rsidP="002D42EF">
      <w:pPr>
        <w:pStyle w:val="SingleTxtG"/>
      </w:pPr>
      <w:r w:rsidRPr="005D65CE">
        <w:t>2</w:t>
      </w:r>
      <w:r>
        <w:t>9</w:t>
      </w:r>
      <w:r w:rsidRPr="005D65CE">
        <w:t>.</w:t>
      </w:r>
      <w:r w:rsidRPr="005D65CE">
        <w:tab/>
        <w:t>La Constitution malgache, en son Préambule fait siennes:</w:t>
      </w:r>
    </w:p>
    <w:p w:rsidR="002D42EF" w:rsidRPr="005D65CE" w:rsidRDefault="002D42EF" w:rsidP="002D42EF">
      <w:pPr>
        <w:pStyle w:val="Bullet1G"/>
        <w:numPr>
          <w:ilvl w:val="0"/>
          <w:numId w:val="1"/>
        </w:numPr>
      </w:pPr>
      <w:r>
        <w:t>L</w:t>
      </w:r>
      <w:r w:rsidRPr="005D65CE">
        <w:t xml:space="preserve">a Charte </w:t>
      </w:r>
      <w:r>
        <w:t>i</w:t>
      </w:r>
      <w:r w:rsidRPr="005D65CE">
        <w:t xml:space="preserve">nternationale des </w:t>
      </w:r>
      <w:r>
        <w:t>d</w:t>
      </w:r>
      <w:r w:rsidRPr="005D65CE">
        <w:t>roits de l’</w:t>
      </w:r>
      <w:r>
        <w:t>h</w:t>
      </w:r>
      <w:r w:rsidRPr="005D65CE">
        <w:t>omme;</w:t>
      </w:r>
    </w:p>
    <w:p w:rsidR="002D42EF" w:rsidRPr="005D65CE" w:rsidRDefault="002D42EF" w:rsidP="002D42EF">
      <w:pPr>
        <w:pStyle w:val="Bullet1G"/>
        <w:numPr>
          <w:ilvl w:val="0"/>
          <w:numId w:val="1"/>
        </w:numPr>
      </w:pPr>
      <w:r>
        <w:t>L</w:t>
      </w:r>
      <w:r w:rsidRPr="005D65CE">
        <w:t xml:space="preserve">a Charte </w:t>
      </w:r>
      <w:r>
        <w:t>a</w:t>
      </w:r>
      <w:r w:rsidRPr="005D65CE">
        <w:t xml:space="preserve">fricaine des </w:t>
      </w:r>
      <w:r>
        <w:t>d</w:t>
      </w:r>
      <w:r w:rsidRPr="005D65CE">
        <w:t>roits de l’</w:t>
      </w:r>
      <w:r>
        <w:t>h</w:t>
      </w:r>
      <w:r w:rsidRPr="005D65CE">
        <w:t xml:space="preserve">omme et des </w:t>
      </w:r>
      <w:r>
        <w:t>p</w:t>
      </w:r>
      <w:r w:rsidRPr="005D65CE">
        <w:t>euples;</w:t>
      </w:r>
    </w:p>
    <w:p w:rsidR="002D42EF" w:rsidRPr="005D65CE" w:rsidRDefault="002D42EF" w:rsidP="002D42EF">
      <w:pPr>
        <w:pStyle w:val="Bullet1G"/>
        <w:numPr>
          <w:ilvl w:val="0"/>
          <w:numId w:val="1"/>
        </w:numPr>
      </w:pPr>
      <w:r>
        <w:t>L</w:t>
      </w:r>
      <w:r w:rsidRPr="005D65CE">
        <w:t xml:space="preserve">es </w:t>
      </w:r>
      <w:r>
        <w:t>c</w:t>
      </w:r>
      <w:r w:rsidRPr="005D65CE">
        <w:t>onventions relatives aux droits de la femme et de l’enfant</w:t>
      </w:r>
      <w:r>
        <w:t>.</w:t>
      </w:r>
    </w:p>
    <w:p w:rsidR="002D42EF" w:rsidRPr="005D65CE" w:rsidRDefault="002D42EF" w:rsidP="002D42EF">
      <w:pPr>
        <w:pStyle w:val="SingleTxtG"/>
      </w:pPr>
      <w:r>
        <w:t>Ces conventions f</w:t>
      </w:r>
      <w:r w:rsidRPr="005D65CE">
        <w:t>ont partie intégrante du droit positif malgache.</w:t>
      </w:r>
    </w:p>
    <w:p w:rsidR="002D42EF" w:rsidRPr="005D65CE" w:rsidRDefault="002D42EF" w:rsidP="002D42EF">
      <w:pPr>
        <w:pStyle w:val="SingleTxtG"/>
      </w:pPr>
      <w:r>
        <w:t>30</w:t>
      </w:r>
      <w:r w:rsidRPr="005D65CE">
        <w:t>.</w:t>
      </w:r>
      <w:r w:rsidRPr="005D65CE">
        <w:tab/>
        <w:t>Il en découle que la prohibition de la torture est incorporée dans le droit interne malgache.</w:t>
      </w:r>
      <w:r>
        <w:t xml:space="preserve"> </w:t>
      </w:r>
      <w:r w:rsidRPr="005D65CE">
        <w:t>Par ailleurs, en matière d’applicabilité des instruments internationaux, l’article 132 alinéa 4 de la Constitution</w:t>
      </w:r>
      <w:r w:rsidRPr="005D65CE">
        <w:rPr>
          <w:b/>
          <w:bCs/>
        </w:rPr>
        <w:t xml:space="preserve"> </w:t>
      </w:r>
      <w:r w:rsidRPr="005D65CE">
        <w:t>précise que les traités et accords internationaux régulièrement ratifiés ont dès leur publication une valeur supérieure à la loi.</w:t>
      </w:r>
    </w:p>
    <w:p w:rsidR="002D42EF" w:rsidRPr="005D65CE" w:rsidRDefault="002D42EF" w:rsidP="002D42EF">
      <w:pPr>
        <w:pStyle w:val="SingleTxtG"/>
      </w:pPr>
      <w:r>
        <w:rPr>
          <w:bCs/>
        </w:rPr>
        <w:t>31</w:t>
      </w:r>
      <w:r w:rsidRPr="005D65CE">
        <w:rPr>
          <w:bCs/>
        </w:rPr>
        <w:t>.</w:t>
      </w:r>
      <w:r w:rsidRPr="005D65CE">
        <w:rPr>
          <w:bCs/>
        </w:rPr>
        <w:tab/>
        <w:t>L’Article 132</w:t>
      </w:r>
      <w:r w:rsidRPr="005D65CE">
        <w:t xml:space="preserve"> </w:t>
      </w:r>
      <w:r w:rsidRPr="00FB0ADB">
        <w:rPr>
          <w:i/>
        </w:rPr>
        <w:t>in fine</w:t>
      </w:r>
      <w:r w:rsidRPr="005D65CE">
        <w:t xml:space="preserve"> de la Constitution précise que «</w:t>
      </w:r>
      <w:r w:rsidRPr="00496C36">
        <w:rPr>
          <w:i/>
        </w:rPr>
        <w:t>Les traités ou accords régulièrement ratifiés ou approuvés ont, dès leur publication, une autorité supérieure à celle des lois, sous réserve, pour chaque accord ou traité, de son application par l’autre partie</w:t>
      </w:r>
      <w:r w:rsidRPr="005D65CE">
        <w:t>».</w:t>
      </w:r>
    </w:p>
    <w:p w:rsidR="002D42EF" w:rsidRPr="005D65CE" w:rsidRDefault="002D42EF" w:rsidP="002D42EF">
      <w:pPr>
        <w:pStyle w:val="SingleTxtG"/>
      </w:pPr>
      <w:r>
        <w:t>32</w:t>
      </w:r>
      <w:r w:rsidRPr="005D65CE">
        <w:t>.</w:t>
      </w:r>
      <w:r w:rsidRPr="005D65CE">
        <w:tab/>
        <w:t xml:space="preserve">Ces dispositions établissent la hiérarchie des normes dans l’ordonnancement juridique malgache. Elles consacrent la primauté des traités ratifiés </w:t>
      </w:r>
      <w:r>
        <w:t>qui ont</w:t>
      </w:r>
      <w:r w:rsidRPr="005D65CE">
        <w:t xml:space="preserve"> une valeur supérieure à celle des lois. Concrètement, en cas de </w:t>
      </w:r>
      <w:r w:rsidRPr="004377F8">
        <w:t>conflit des lois, les</w:t>
      </w:r>
      <w:r w:rsidRPr="005D65CE">
        <w:t xml:space="preserve"> dispositions des traités l’emportent. </w:t>
      </w:r>
    </w:p>
    <w:p w:rsidR="002D42EF" w:rsidRPr="005D65CE" w:rsidRDefault="002D42EF" w:rsidP="002D42EF">
      <w:pPr>
        <w:pStyle w:val="SingleTxtG"/>
      </w:pPr>
      <w:r w:rsidRPr="005D65CE">
        <w:t>3</w:t>
      </w:r>
      <w:r>
        <w:t>3</w:t>
      </w:r>
      <w:r w:rsidRPr="005D65CE">
        <w:t>.</w:t>
      </w:r>
      <w:r w:rsidRPr="005D65CE">
        <w:tab/>
        <w:t xml:space="preserve">Ainsi, la </w:t>
      </w:r>
      <w:r>
        <w:t>C</w:t>
      </w:r>
      <w:r w:rsidRPr="005D65CE">
        <w:t xml:space="preserve">onvention contre la torture </w:t>
      </w:r>
      <w:r>
        <w:t xml:space="preserve">et autres peines ou traitements cruels, inhumains ou dégradants, qui a été </w:t>
      </w:r>
      <w:r w:rsidRPr="005D65CE">
        <w:t>régulièrement ratifiée par Madagascar</w:t>
      </w:r>
      <w:r>
        <w:t>,</w:t>
      </w:r>
      <w:r w:rsidRPr="005D65CE">
        <w:t xml:space="preserve"> acquiert le statut d’une norme supérieure à la loi. </w:t>
      </w:r>
    </w:p>
    <w:p w:rsidR="002D42EF" w:rsidRPr="005D65CE" w:rsidRDefault="002D42EF" w:rsidP="002D42EF">
      <w:pPr>
        <w:pStyle w:val="SingleTxtG"/>
      </w:pPr>
      <w:r w:rsidRPr="005D65CE">
        <w:t>3</w:t>
      </w:r>
      <w:r>
        <w:t>4</w:t>
      </w:r>
      <w:r w:rsidRPr="005D65CE">
        <w:t>.</w:t>
      </w:r>
      <w:r w:rsidRPr="005D65CE">
        <w:tab/>
        <w:t xml:space="preserve">Dans la pratique, certaines dispositions des instruments juridiques internationaux ratifiés sont d’application directe et immédiate en droit interne notamment lorsqu’il s’agit de dispositions claires ne nécessitant pas au préalable de réformes législatives. </w:t>
      </w:r>
    </w:p>
    <w:p w:rsidR="002D42EF" w:rsidRPr="005D65CE" w:rsidRDefault="002D42EF" w:rsidP="002D42EF">
      <w:pPr>
        <w:pStyle w:val="SingleTxtG"/>
      </w:pPr>
      <w:r w:rsidRPr="005D65CE">
        <w:t>3</w:t>
      </w:r>
      <w:r>
        <w:t>5</w:t>
      </w:r>
      <w:r w:rsidRPr="005D65CE">
        <w:t>.</w:t>
      </w:r>
      <w:r w:rsidRPr="005D65CE">
        <w:tab/>
      </w:r>
      <w:r>
        <w:t>À</w:t>
      </w:r>
      <w:r w:rsidRPr="005D65CE">
        <w:t xml:space="preserve"> titre d’exemple, on peut citer l’application des principes de non</w:t>
      </w:r>
      <w:r>
        <w:t>-</w:t>
      </w:r>
      <w:r w:rsidRPr="005D65CE">
        <w:t>discrimination. Dans ce sens, la Cour Suprême de Madagascar, dans son arrêt Madame DUGUAIN contre Air Madagascar</w:t>
      </w:r>
      <w:r>
        <w:t>,</w:t>
      </w:r>
      <w:r w:rsidRPr="005D65CE">
        <w:t xml:space="preserve"> a invalidé la décision de la Cour d’Appel aux motifs que celle-ci</w:t>
      </w:r>
      <w:r>
        <w:t xml:space="preserve"> </w:t>
      </w:r>
      <w:r w:rsidRPr="005D65CE">
        <w:t>s’est basée sur une convention collective à caractère discriminatoire en raison du genre et de l’âge de la requérante.</w:t>
      </w:r>
    </w:p>
    <w:p w:rsidR="002D42EF" w:rsidRPr="005D65CE" w:rsidRDefault="002D42EF" w:rsidP="002D42EF">
      <w:pPr>
        <w:pStyle w:val="SingleTxtG"/>
      </w:pPr>
      <w:r w:rsidRPr="005D65CE">
        <w:t>3</w:t>
      </w:r>
      <w:r>
        <w:t>6</w:t>
      </w:r>
      <w:r w:rsidRPr="005D65CE">
        <w:t>.</w:t>
      </w:r>
      <w:r w:rsidRPr="005D65CE">
        <w:tab/>
        <w:t>L’invocabil</w:t>
      </w:r>
      <w:r>
        <w:t>ité et la justiciabilité de la C</w:t>
      </w:r>
      <w:r w:rsidRPr="005D65CE">
        <w:t xml:space="preserve">onvention contre la torture </w:t>
      </w:r>
      <w:r>
        <w:t>et</w:t>
      </w:r>
      <w:r w:rsidRPr="005D65CE">
        <w:t xml:space="preserve"> autres peines</w:t>
      </w:r>
      <w:r>
        <w:t xml:space="preserve"> ou traitements</w:t>
      </w:r>
      <w:r w:rsidRPr="005D65CE">
        <w:t xml:space="preserve"> cruels, inhumains ou dégradants devant les tribunaux </w:t>
      </w:r>
      <w:r>
        <w:t>ont été</w:t>
      </w:r>
      <w:r w:rsidRPr="005D65CE">
        <w:t xml:space="preserve"> résolues par l’adoption d</w:t>
      </w:r>
      <w:r>
        <w:t>’un</w:t>
      </w:r>
      <w:r w:rsidRPr="005D65CE">
        <w:t xml:space="preserve">e loi nationale </w:t>
      </w:r>
      <w:r>
        <w:t>qui</w:t>
      </w:r>
      <w:r w:rsidRPr="005D65CE">
        <w:t xml:space="preserve"> int</w:t>
      </w:r>
      <w:r>
        <w:t>è</w:t>
      </w:r>
      <w:r w:rsidRPr="005D65CE">
        <w:t>gr</w:t>
      </w:r>
      <w:r>
        <w:t>e</w:t>
      </w:r>
      <w:r w:rsidRPr="005D65CE">
        <w:t xml:space="preserve"> les dispositions essentielles de ladite </w:t>
      </w:r>
      <w:r>
        <w:t>C</w:t>
      </w:r>
      <w:r w:rsidRPr="005D65CE">
        <w:t xml:space="preserve">onvention. </w:t>
      </w:r>
    </w:p>
    <w:p w:rsidR="002D42EF" w:rsidRPr="005D65CE" w:rsidRDefault="002D42EF" w:rsidP="002D42EF">
      <w:pPr>
        <w:pStyle w:val="HChG"/>
      </w:pPr>
      <w:r>
        <w:br w:type="page"/>
      </w:r>
      <w:r w:rsidR="008A4FEA">
        <w:tab/>
      </w:r>
      <w:r w:rsidR="008A4FEA">
        <w:tab/>
        <w:t>Deuxième partie</w:t>
      </w:r>
      <w:r w:rsidR="008A4FEA">
        <w:br/>
      </w:r>
      <w:r>
        <w:t>I</w:t>
      </w:r>
      <w:r w:rsidRPr="005D65CE">
        <w:t xml:space="preserve">nformations se rapportant </w:t>
      </w:r>
      <w:r w:rsidR="008A4FEA">
        <w:t>à chaque article de fond</w:t>
      </w:r>
      <w:r w:rsidR="008A4FEA">
        <w:br/>
      </w:r>
      <w:r>
        <w:t>de la C</w:t>
      </w:r>
      <w:r w:rsidRPr="005D65CE">
        <w:t>onvention</w:t>
      </w:r>
    </w:p>
    <w:p w:rsidR="002D42EF" w:rsidRPr="005D65CE" w:rsidRDefault="002D42EF" w:rsidP="002D42EF">
      <w:pPr>
        <w:pStyle w:val="SingleTxtG"/>
      </w:pPr>
      <w:r w:rsidRPr="005D65CE">
        <w:t>34.</w:t>
      </w:r>
      <w:r w:rsidRPr="005D65CE">
        <w:tab/>
        <w:t xml:space="preserve">Dans le cadre de la mise en œuvre de ses obligations découlant de la ratification de cette Convention en 2005, Madagascar a entrepris des réformes législatives par l’adoption de la loi </w:t>
      </w:r>
      <w:r w:rsidRPr="00C14D2A">
        <w:t>n</w:t>
      </w:r>
      <w:r w:rsidRPr="00C14D2A">
        <w:rPr>
          <w:vertAlign w:val="superscript"/>
        </w:rPr>
        <w:t>o</w:t>
      </w:r>
      <w:r>
        <w:t xml:space="preserve"> </w:t>
      </w:r>
      <w:r w:rsidRPr="005D65CE">
        <w:t xml:space="preserve">2008-008 en date du 25 juin 2008 contre la torture et autres peines ou traitements cruels, inhumains </w:t>
      </w:r>
      <w:r>
        <w:t>ou</w:t>
      </w:r>
      <w:r w:rsidRPr="005D65CE">
        <w:t xml:space="preserve"> dégradants. </w:t>
      </w:r>
    </w:p>
    <w:p w:rsidR="002D42EF" w:rsidRPr="00864C6F" w:rsidRDefault="002D42EF" w:rsidP="002D42EF">
      <w:pPr>
        <w:pStyle w:val="SingleTxtG"/>
        <w:ind w:left="1701"/>
        <w:jc w:val="left"/>
        <w:rPr>
          <w:b/>
        </w:rPr>
      </w:pPr>
      <w:r w:rsidRPr="00864C6F">
        <w:rPr>
          <w:b/>
        </w:rPr>
        <w:t>A</w:t>
      </w:r>
      <w:r>
        <w:rPr>
          <w:b/>
        </w:rPr>
        <w:t>pplication de l’article premier de la C</w:t>
      </w:r>
      <w:r w:rsidRPr="00864C6F">
        <w:rPr>
          <w:b/>
        </w:rPr>
        <w:t>onvention</w:t>
      </w:r>
      <w:r w:rsidRPr="00864C6F">
        <w:rPr>
          <w:b/>
        </w:rPr>
        <w:br/>
        <w:t>Définition de la torture</w:t>
      </w:r>
    </w:p>
    <w:p w:rsidR="002D42EF" w:rsidRPr="00864C6F" w:rsidRDefault="002D42EF" w:rsidP="002D42EF">
      <w:pPr>
        <w:pStyle w:val="SingleTxtG"/>
        <w:ind w:left="1701"/>
        <w:rPr>
          <w:b/>
        </w:rPr>
      </w:pPr>
      <w:r>
        <w:rPr>
          <w:b/>
        </w:rPr>
        <w:t>«1</w:t>
      </w:r>
      <w:r w:rsidRPr="00864C6F">
        <w:rPr>
          <w:b/>
        </w:rPr>
        <w:t xml:space="preserve">. </w:t>
      </w:r>
      <w:r>
        <w:rPr>
          <w:b/>
        </w:rPr>
        <w:tab/>
      </w:r>
      <w:r w:rsidRPr="00864C6F">
        <w:rPr>
          <w:b/>
        </w:rPr>
        <w:t xml:space="preserve">Aux fins de la présente Convention, le terme </w:t>
      </w:r>
      <w:r>
        <w:rPr>
          <w:b/>
        </w:rPr>
        <w:t> “t</w:t>
      </w:r>
      <w:r w:rsidRPr="00864C6F">
        <w:rPr>
          <w:b/>
        </w:rPr>
        <w:t>orture</w:t>
      </w:r>
      <w:r>
        <w:rPr>
          <w:b/>
        </w:rPr>
        <w:t>”</w:t>
      </w:r>
      <w:r w:rsidRPr="00864C6F">
        <w:rPr>
          <w:b/>
        </w:rPr>
        <w:t xml:space="preserv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w:t>
      </w:r>
      <w:r>
        <w:rPr>
          <w:b/>
        </w:rPr>
        <w:t>,</w:t>
      </w:r>
      <w:r w:rsidRPr="00864C6F">
        <w:rPr>
          <w:b/>
        </w:rPr>
        <w:t xml:space="preserve"> ou pour tout autre motif fondé sur une forme de discrimination quelle qu’elle soit, lorsqu’une telle douleur ou de telle</w:t>
      </w:r>
      <w:r>
        <w:rPr>
          <w:b/>
        </w:rPr>
        <w:t xml:space="preserve">s </w:t>
      </w:r>
      <w:r w:rsidRPr="00864C6F">
        <w:rPr>
          <w:b/>
        </w:rPr>
        <w:t>souffrance</w:t>
      </w:r>
      <w:r>
        <w:rPr>
          <w:b/>
        </w:rPr>
        <w:t>s</w:t>
      </w:r>
      <w:r w:rsidRPr="00864C6F">
        <w:rPr>
          <w:b/>
        </w:rPr>
        <w:t xml:space="preserve"> sont infligées par un agent de la fonction publique ou toute autre personne agissant à titre officiel ou à son instigation ou avec son consentement exprès ou tacite. Ce terme ne s’entend pas à la douleur ou aux souffrances résultant uniquement de sanctions légitimes, inhérentes à ces sanctions ou occasionnées par elles. </w:t>
      </w:r>
    </w:p>
    <w:p w:rsidR="002D42EF" w:rsidRPr="00864C6F" w:rsidRDefault="002D42EF" w:rsidP="002D42EF">
      <w:pPr>
        <w:pStyle w:val="SingleTxtG"/>
        <w:ind w:left="1701"/>
        <w:rPr>
          <w:b/>
        </w:rPr>
      </w:pPr>
      <w:r w:rsidRPr="00864C6F">
        <w:rPr>
          <w:b/>
        </w:rPr>
        <w:t xml:space="preserve">2. </w:t>
      </w:r>
      <w:r>
        <w:rPr>
          <w:b/>
        </w:rPr>
        <w:tab/>
      </w:r>
      <w:r w:rsidRPr="00864C6F">
        <w:rPr>
          <w:b/>
        </w:rPr>
        <w:t>Cet article est sans préjudice de tout instrument international ou de toute loi nationale qui contient ou peut contenir des dispositions de portée plus large</w:t>
      </w:r>
      <w:r>
        <w:rPr>
          <w:b/>
        </w:rPr>
        <w:t>.</w:t>
      </w:r>
      <w:r w:rsidRPr="00864C6F">
        <w:rPr>
          <w:b/>
        </w:rPr>
        <w:t>»</w:t>
      </w:r>
    </w:p>
    <w:p w:rsidR="002D42EF" w:rsidRPr="005D65CE" w:rsidRDefault="002D42EF" w:rsidP="00C208E4">
      <w:pPr>
        <w:pStyle w:val="H23G"/>
        <w:numPr>
          <w:ilvl w:val="2"/>
          <w:numId w:val="10"/>
        </w:numPr>
      </w:pPr>
      <w:r w:rsidRPr="005D65CE">
        <w:t>Informations sur la définition de la torture en droit interne</w:t>
      </w:r>
    </w:p>
    <w:p w:rsidR="002D42EF" w:rsidRPr="005D65CE" w:rsidRDefault="002D42EF" w:rsidP="002D42EF">
      <w:pPr>
        <w:pStyle w:val="SingleTxtG"/>
      </w:pPr>
      <w:r w:rsidRPr="005D65CE">
        <w:t>35.</w:t>
      </w:r>
      <w:r w:rsidRPr="005D65CE">
        <w:tab/>
        <w:t>L’article 2 de la Loi nationale donne une définition de ce qu’il faut entendre par torture. Cet article énonce que:</w:t>
      </w:r>
    </w:p>
    <w:p w:rsidR="002D42EF" w:rsidRPr="004F2506" w:rsidRDefault="002D42EF" w:rsidP="002D42EF">
      <w:pPr>
        <w:pStyle w:val="SingleTxtG"/>
        <w:ind w:left="1701"/>
        <w:rPr>
          <w:i/>
        </w:rPr>
      </w:pPr>
      <w:r w:rsidRPr="009562FF">
        <w:t>«</w:t>
      </w:r>
      <w:r w:rsidRPr="004F2506">
        <w:rPr>
          <w:i/>
        </w:rPr>
        <w:t>I.</w:t>
      </w:r>
      <w:r w:rsidRPr="004F2506">
        <w:rPr>
          <w:i/>
        </w:rPr>
        <w:tab/>
        <w:t>Le terme torture désigne tout acte par lequel une douleur ou des souffrances aigu</w:t>
      </w:r>
      <w:r>
        <w:rPr>
          <w:i/>
        </w:rPr>
        <w:t>ë</w:t>
      </w:r>
      <w:r w:rsidRPr="004F2506">
        <w:rPr>
          <w:i/>
        </w:rPr>
        <w:t xml:space="preserve">s, physiques ou morales, sont intentionnellement infligées à une personne: </w:t>
      </w:r>
    </w:p>
    <w:p w:rsidR="002D42EF" w:rsidRPr="005D65CE" w:rsidRDefault="002D42EF" w:rsidP="002D42EF">
      <w:pPr>
        <w:pStyle w:val="SingleTxtG"/>
        <w:ind w:left="1701"/>
        <w:rPr>
          <w:i/>
        </w:rPr>
      </w:pPr>
      <w:r>
        <w:rPr>
          <w:i/>
        </w:rPr>
        <w:t>1</w:t>
      </w:r>
      <w:r w:rsidRPr="005D65CE">
        <w:rPr>
          <w:i/>
        </w:rPr>
        <w:t xml:space="preserve">) </w:t>
      </w:r>
      <w:r>
        <w:rPr>
          <w:i/>
        </w:rPr>
        <w:tab/>
        <w:t>s</w:t>
      </w:r>
      <w:r w:rsidRPr="005D65CE">
        <w:rPr>
          <w:i/>
        </w:rPr>
        <w:t>oit afin notamment:</w:t>
      </w:r>
    </w:p>
    <w:p w:rsidR="002D42EF" w:rsidRPr="004F2506" w:rsidRDefault="002D42EF" w:rsidP="00C208E4">
      <w:pPr>
        <w:pStyle w:val="Bullet1G"/>
        <w:numPr>
          <w:ilvl w:val="0"/>
          <w:numId w:val="1"/>
        </w:numPr>
        <w:ind w:left="2268"/>
        <w:rPr>
          <w:i/>
        </w:rPr>
      </w:pPr>
      <w:r>
        <w:rPr>
          <w:i/>
        </w:rPr>
        <w:t>D</w:t>
      </w:r>
      <w:r w:rsidRPr="004F2506">
        <w:rPr>
          <w:i/>
        </w:rPr>
        <w:t xml:space="preserve">’obtenir d’elle ou d’une tierce personne des renseignements, une déclaration ou des aveux, </w:t>
      </w:r>
    </w:p>
    <w:p w:rsidR="002D42EF" w:rsidRPr="004F2506" w:rsidRDefault="002D42EF" w:rsidP="00C208E4">
      <w:pPr>
        <w:pStyle w:val="Bullet1G"/>
        <w:numPr>
          <w:ilvl w:val="0"/>
          <w:numId w:val="1"/>
        </w:numPr>
        <w:ind w:left="2268"/>
        <w:rPr>
          <w:i/>
        </w:rPr>
      </w:pPr>
      <w:r w:rsidRPr="004F2506">
        <w:rPr>
          <w:i/>
        </w:rPr>
        <w:t>De la punir d’un acte qu’elle ou une tierce personne a commis ou est soupçonnée d’avoir commis,</w:t>
      </w:r>
    </w:p>
    <w:p w:rsidR="002D42EF" w:rsidRPr="004F2506" w:rsidRDefault="002D42EF" w:rsidP="00C208E4">
      <w:pPr>
        <w:pStyle w:val="Bullet1G"/>
        <w:numPr>
          <w:ilvl w:val="0"/>
          <w:numId w:val="1"/>
        </w:numPr>
        <w:ind w:left="2268"/>
        <w:rPr>
          <w:i/>
        </w:rPr>
      </w:pPr>
      <w:r w:rsidRPr="004F2506">
        <w:rPr>
          <w:i/>
        </w:rPr>
        <w:t>De l’intimider ou de faire pression sur elle ou d’intimider une tierce personne ou de faire pression sur celle-ci.</w:t>
      </w:r>
    </w:p>
    <w:p w:rsidR="002D42EF" w:rsidRPr="005D65CE" w:rsidRDefault="002D42EF" w:rsidP="002D42EF">
      <w:pPr>
        <w:pStyle w:val="SingleTxtG"/>
        <w:ind w:left="1701"/>
        <w:rPr>
          <w:i/>
        </w:rPr>
      </w:pPr>
      <w:r>
        <w:rPr>
          <w:i/>
        </w:rPr>
        <w:t>2</w:t>
      </w:r>
      <w:r w:rsidRPr="005D65CE">
        <w:rPr>
          <w:i/>
        </w:rPr>
        <w:t xml:space="preserve">) </w:t>
      </w:r>
      <w:r>
        <w:rPr>
          <w:i/>
        </w:rPr>
        <w:tab/>
        <w:t>s</w:t>
      </w:r>
      <w:r w:rsidRPr="005D65CE">
        <w:rPr>
          <w:i/>
        </w:rPr>
        <w:t>oit pour tout autre motif fondé sur quelques formes de discrimination que ce soit</w:t>
      </w:r>
    </w:p>
    <w:p w:rsidR="002D42EF" w:rsidRPr="005D65CE" w:rsidRDefault="002D42EF" w:rsidP="002D42EF">
      <w:pPr>
        <w:pStyle w:val="SingleTxtG"/>
        <w:ind w:left="1701"/>
        <w:rPr>
          <w:i/>
        </w:rPr>
      </w:pPr>
      <w:r>
        <w:rPr>
          <w:i/>
        </w:rPr>
        <w:t>3</w:t>
      </w:r>
      <w:r w:rsidRPr="005D65CE">
        <w:rPr>
          <w:i/>
        </w:rPr>
        <w:t xml:space="preserve">) </w:t>
      </w:r>
      <w:r>
        <w:rPr>
          <w:i/>
        </w:rPr>
        <w:tab/>
        <w:t>l</w:t>
      </w:r>
      <w:r w:rsidRPr="005D65CE">
        <w:rPr>
          <w:i/>
        </w:rPr>
        <w:t>orsqu’une telle douleur ou de telles souffrances sont infligées par un agent public ou toute autre personne agissant à titre officiel ou à son instigation ou avec son consentement exprès ou tacite.</w:t>
      </w:r>
    </w:p>
    <w:p w:rsidR="002D42EF" w:rsidRPr="005D65CE" w:rsidRDefault="002D42EF" w:rsidP="002D42EF">
      <w:pPr>
        <w:pStyle w:val="SingleTxtG"/>
        <w:ind w:left="1701"/>
        <w:rPr>
          <w:i/>
        </w:rPr>
      </w:pPr>
      <w:r>
        <w:rPr>
          <w:i/>
        </w:rPr>
        <w:t>II.</w:t>
      </w:r>
      <w:r>
        <w:rPr>
          <w:i/>
        </w:rPr>
        <w:tab/>
        <w:t>L</w:t>
      </w:r>
      <w:r w:rsidRPr="005D65CE">
        <w:rPr>
          <w:i/>
        </w:rPr>
        <w:t>es termes agents publics désignent l’une des personnes suivantes, qu’elle exerce ses pouvoirs, à Madagascar ou à l’étranger:</w:t>
      </w:r>
    </w:p>
    <w:p w:rsidR="002D42EF" w:rsidRPr="005D65CE" w:rsidRDefault="002D42EF" w:rsidP="002D42EF">
      <w:pPr>
        <w:pStyle w:val="SingleTxtG"/>
        <w:ind w:left="1701"/>
        <w:rPr>
          <w:i/>
        </w:rPr>
      </w:pPr>
      <w:r>
        <w:rPr>
          <w:i/>
        </w:rPr>
        <w:t>1</w:t>
      </w:r>
      <w:r w:rsidRPr="005D65CE">
        <w:rPr>
          <w:i/>
        </w:rPr>
        <w:t xml:space="preserve">) </w:t>
      </w:r>
      <w:r>
        <w:rPr>
          <w:i/>
        </w:rPr>
        <w:tab/>
        <w:t>u</w:t>
      </w:r>
      <w:r w:rsidRPr="005D65CE">
        <w:rPr>
          <w:i/>
        </w:rPr>
        <w:t>n fonctionnaire ou tout autre personne chargée d’une mission de service public</w:t>
      </w:r>
    </w:p>
    <w:p w:rsidR="002D42EF" w:rsidRPr="005D65CE" w:rsidRDefault="002D42EF" w:rsidP="002D42EF">
      <w:pPr>
        <w:pStyle w:val="SingleTxtG"/>
        <w:ind w:left="1701"/>
        <w:rPr>
          <w:i/>
        </w:rPr>
      </w:pPr>
      <w:r>
        <w:rPr>
          <w:i/>
        </w:rPr>
        <w:t>2</w:t>
      </w:r>
      <w:r w:rsidRPr="005D65CE">
        <w:rPr>
          <w:i/>
        </w:rPr>
        <w:t xml:space="preserve">) </w:t>
      </w:r>
      <w:r>
        <w:rPr>
          <w:i/>
        </w:rPr>
        <w:tab/>
        <w:t>u</w:t>
      </w:r>
      <w:r w:rsidRPr="005D65CE">
        <w:rPr>
          <w:i/>
        </w:rPr>
        <w:t>n membre des forces de l’ordre ou des forces armées</w:t>
      </w:r>
    </w:p>
    <w:p w:rsidR="002D42EF" w:rsidRPr="005D65CE" w:rsidRDefault="002D42EF" w:rsidP="002D42EF">
      <w:pPr>
        <w:pStyle w:val="SingleTxtG"/>
        <w:ind w:left="1701"/>
        <w:rPr>
          <w:i/>
        </w:rPr>
      </w:pPr>
      <w:r>
        <w:rPr>
          <w:i/>
        </w:rPr>
        <w:t>3</w:t>
      </w:r>
      <w:r w:rsidRPr="005D65CE">
        <w:rPr>
          <w:i/>
        </w:rPr>
        <w:t xml:space="preserve">) </w:t>
      </w:r>
      <w:r>
        <w:rPr>
          <w:i/>
        </w:rPr>
        <w:tab/>
        <w:t>t</w:t>
      </w:r>
      <w:r w:rsidRPr="005D65CE">
        <w:rPr>
          <w:i/>
        </w:rPr>
        <w:t>oute personne investie d’un mandat public ou électif</w:t>
      </w:r>
    </w:p>
    <w:p w:rsidR="002D42EF" w:rsidRPr="005D65CE" w:rsidRDefault="002D42EF" w:rsidP="002D42EF">
      <w:pPr>
        <w:pStyle w:val="SingleTxtG"/>
        <w:ind w:left="1701"/>
        <w:rPr>
          <w:i/>
        </w:rPr>
      </w:pPr>
      <w:r>
        <w:rPr>
          <w:i/>
        </w:rPr>
        <w:t>4</w:t>
      </w:r>
      <w:r w:rsidRPr="005D65CE">
        <w:rPr>
          <w:i/>
        </w:rPr>
        <w:t xml:space="preserve">) </w:t>
      </w:r>
      <w:r>
        <w:rPr>
          <w:i/>
        </w:rPr>
        <w:tab/>
        <w:t>une personne que la loi d’un É</w:t>
      </w:r>
      <w:r w:rsidRPr="005D65CE">
        <w:rPr>
          <w:i/>
        </w:rPr>
        <w:t>tat étranger investi de pouvoirs qui, à Madagascar, serait ceux d’une personne mentionnée à l’un des alinéa</w:t>
      </w:r>
      <w:r>
        <w:rPr>
          <w:i/>
        </w:rPr>
        <w:t>s</w:t>
      </w:r>
      <w:r w:rsidRPr="005D65CE">
        <w:rPr>
          <w:i/>
        </w:rPr>
        <w:t xml:space="preserve"> 1, 2 ou 3 </w:t>
      </w:r>
      <w:proofErr w:type="spellStart"/>
      <w:r w:rsidRPr="005D65CE">
        <w:rPr>
          <w:i/>
        </w:rPr>
        <w:t>ci</w:t>
      </w:r>
      <w:r>
        <w:rPr>
          <w:i/>
        </w:rPr>
        <w:noBreakHyphen/>
      </w:r>
      <w:r w:rsidRPr="005D65CE">
        <w:rPr>
          <w:i/>
        </w:rPr>
        <w:t>dessus</w:t>
      </w:r>
      <w:proofErr w:type="spellEnd"/>
      <w:r>
        <w:rPr>
          <w:i/>
        </w:rPr>
        <w:t>.</w:t>
      </w:r>
      <w:r w:rsidRPr="009562FF">
        <w:t>»</w:t>
      </w:r>
    </w:p>
    <w:p w:rsidR="002D42EF" w:rsidRPr="00E06E66" w:rsidRDefault="002D42EF" w:rsidP="002D42EF">
      <w:pPr>
        <w:pStyle w:val="SingleTxtG"/>
      </w:pPr>
      <w:r w:rsidRPr="005D65CE">
        <w:t>36.</w:t>
      </w:r>
      <w:r w:rsidRPr="005D65CE">
        <w:tab/>
        <w:t xml:space="preserve">La définition retenue par la législation nationale est quasi identique à celle de la Convention dans son ensemble en ce qui concerne le but, l’intention, la qualité des auteurs, sauf que la loi malgache inclut les membres des forces de l’ordre et des forces armées parmi les agents publics susceptibles de commettre des actes de torture ou autres mauvais </w:t>
      </w:r>
      <w:r w:rsidRPr="00E06E66">
        <w:t xml:space="preserve">traitements. </w:t>
      </w:r>
    </w:p>
    <w:p w:rsidR="002D42EF" w:rsidRPr="00E06E66" w:rsidRDefault="002D42EF" w:rsidP="002D42EF">
      <w:pPr>
        <w:pStyle w:val="SingleTxtG"/>
      </w:pPr>
      <w:r w:rsidRPr="00E06E66">
        <w:t>37.</w:t>
      </w:r>
      <w:r w:rsidRPr="00E06E66">
        <w:tab/>
        <w:t xml:space="preserve">Cette loi a pris en compte les recommandations de la Convention en érigeant en une infraction pénale autonome les actes de torture. </w:t>
      </w:r>
    </w:p>
    <w:p w:rsidR="002D42EF" w:rsidRPr="005D65CE" w:rsidRDefault="002D42EF" w:rsidP="002D42EF">
      <w:pPr>
        <w:pStyle w:val="SingleTxtG"/>
      </w:pPr>
      <w:r w:rsidRPr="00E06E66">
        <w:t>38.</w:t>
      </w:r>
      <w:r w:rsidRPr="005D65CE">
        <w:tab/>
        <w:t>Par application de cette loi, les tortionnaires ou les auteurs d’autres mauvais traitements seront poursuivis sur la base des peines prévu</w:t>
      </w:r>
      <w:r>
        <w:t>e</w:t>
      </w:r>
      <w:r w:rsidRPr="005D65CE">
        <w:t xml:space="preserve">s aux articles 10 à 12 et non plus sur la base des délits ou crimes prévus dans le </w:t>
      </w:r>
      <w:r>
        <w:t>C</w:t>
      </w:r>
      <w:r w:rsidRPr="005D65CE">
        <w:t xml:space="preserve">ode pénal tels que coups et blessures volontaires ou homicides involontaires. </w:t>
      </w:r>
    </w:p>
    <w:p w:rsidR="002D42EF" w:rsidRPr="00B47468" w:rsidRDefault="002D42EF" w:rsidP="002D42EF">
      <w:pPr>
        <w:pStyle w:val="SingleTxtG"/>
        <w:ind w:left="1701"/>
        <w:jc w:val="left"/>
        <w:rPr>
          <w:b/>
        </w:rPr>
      </w:pPr>
      <w:r w:rsidRPr="00B47468">
        <w:rPr>
          <w:b/>
        </w:rPr>
        <w:t>Article 2</w:t>
      </w:r>
      <w:r>
        <w:rPr>
          <w:b/>
        </w:rPr>
        <w:t xml:space="preserve"> de la Convention</w:t>
      </w:r>
      <w:r w:rsidRPr="00B47468">
        <w:rPr>
          <w:b/>
        </w:rPr>
        <w:br/>
        <w:t>Prévention et interdiction absolue de la torture</w:t>
      </w:r>
    </w:p>
    <w:p w:rsidR="002D42EF" w:rsidRPr="00B47468" w:rsidRDefault="002D42EF" w:rsidP="002D42EF">
      <w:pPr>
        <w:pStyle w:val="SingleTxtG"/>
        <w:ind w:left="1701"/>
        <w:rPr>
          <w:b/>
        </w:rPr>
      </w:pPr>
      <w:r w:rsidRPr="00B47468">
        <w:rPr>
          <w:b/>
        </w:rPr>
        <w:t xml:space="preserve">«1. </w:t>
      </w:r>
      <w:r>
        <w:rPr>
          <w:b/>
        </w:rPr>
        <w:tab/>
        <w:t>Tout É</w:t>
      </w:r>
      <w:r w:rsidRPr="00B47468">
        <w:rPr>
          <w:b/>
        </w:rPr>
        <w:t>tat partie prend des mesures législatives, administratives, judiciaires et autres mesures efficaces pour empêcher que des actes de torture soient commis dans tout territoire sous sa juridiction.</w:t>
      </w:r>
    </w:p>
    <w:p w:rsidR="002D42EF" w:rsidRPr="00B47468" w:rsidRDefault="002D42EF" w:rsidP="002D42EF">
      <w:pPr>
        <w:pStyle w:val="SingleTxtG"/>
        <w:ind w:left="1701"/>
        <w:rPr>
          <w:b/>
          <w:bCs/>
          <w:iCs/>
        </w:rPr>
      </w:pPr>
      <w:r w:rsidRPr="00B47468">
        <w:rPr>
          <w:b/>
          <w:bCs/>
          <w:iCs/>
        </w:rPr>
        <w:t xml:space="preserve">2. </w:t>
      </w:r>
      <w:r>
        <w:rPr>
          <w:b/>
          <w:bCs/>
          <w:iCs/>
        </w:rPr>
        <w:tab/>
      </w:r>
      <w:r w:rsidRPr="00B47468">
        <w:rPr>
          <w:b/>
          <w:bCs/>
          <w:iCs/>
        </w:rPr>
        <w:t>Aucune circonstance exceptionnelle</w:t>
      </w:r>
      <w:r>
        <w:rPr>
          <w:b/>
          <w:bCs/>
          <w:iCs/>
        </w:rPr>
        <w:t>,</w:t>
      </w:r>
      <w:r w:rsidRPr="00B47468">
        <w:rPr>
          <w:b/>
          <w:bCs/>
          <w:iCs/>
        </w:rPr>
        <w:t xml:space="preserve"> quelle qu’elle soit, qu’il s’agisse de l’état de guerre</w:t>
      </w:r>
      <w:r>
        <w:rPr>
          <w:b/>
          <w:bCs/>
          <w:iCs/>
        </w:rPr>
        <w:t xml:space="preserve"> ou</w:t>
      </w:r>
      <w:r w:rsidRPr="00B47468">
        <w:rPr>
          <w:b/>
          <w:bCs/>
          <w:iCs/>
        </w:rPr>
        <w:t xml:space="preserve"> de menace de guerre, d’instabilité politique intérieure ou </w:t>
      </w:r>
      <w:r>
        <w:rPr>
          <w:b/>
          <w:bCs/>
          <w:iCs/>
        </w:rPr>
        <w:t xml:space="preserve">de tout </w:t>
      </w:r>
      <w:r w:rsidRPr="00B47468">
        <w:rPr>
          <w:b/>
          <w:bCs/>
          <w:iCs/>
        </w:rPr>
        <w:t>autre état d’exception, ne peut être invoquée pour justifier la torture.</w:t>
      </w:r>
    </w:p>
    <w:p w:rsidR="002D42EF" w:rsidRDefault="002D42EF" w:rsidP="0031749F">
      <w:pPr>
        <w:pStyle w:val="SingleTxtG"/>
        <w:ind w:left="1701"/>
        <w:rPr>
          <w:b/>
          <w:bCs/>
          <w:iCs/>
        </w:rPr>
      </w:pPr>
      <w:r w:rsidRPr="00B47468">
        <w:rPr>
          <w:b/>
          <w:bCs/>
          <w:iCs/>
        </w:rPr>
        <w:t xml:space="preserve">3. </w:t>
      </w:r>
      <w:r>
        <w:rPr>
          <w:b/>
          <w:bCs/>
          <w:iCs/>
        </w:rPr>
        <w:tab/>
      </w:r>
      <w:r w:rsidRPr="00B47468">
        <w:rPr>
          <w:b/>
          <w:bCs/>
          <w:iCs/>
        </w:rPr>
        <w:t>L’ordre d’un supérieur ou d’une autorité publique ne peut être invoqué pour justifier la torture</w:t>
      </w:r>
      <w:r>
        <w:rPr>
          <w:b/>
          <w:bCs/>
          <w:iCs/>
        </w:rPr>
        <w:t>.</w:t>
      </w:r>
      <w:r w:rsidRPr="00B47468">
        <w:rPr>
          <w:b/>
          <w:bCs/>
          <w:iCs/>
        </w:rPr>
        <w:t>»</w:t>
      </w:r>
    </w:p>
    <w:p w:rsidR="0031749F" w:rsidRPr="0031749F" w:rsidRDefault="0031749F" w:rsidP="0031749F">
      <w:pPr>
        <w:pStyle w:val="SingleTxtG"/>
        <w:ind w:left="1701"/>
        <w:rPr>
          <w:b/>
          <w:bCs/>
          <w:iCs/>
        </w:rPr>
      </w:pPr>
    </w:p>
    <w:p w:rsidR="002D42EF" w:rsidRPr="00B47468" w:rsidRDefault="002D42EF" w:rsidP="002D42EF">
      <w:pPr>
        <w:pStyle w:val="SingleTxtG"/>
        <w:ind w:left="1701"/>
        <w:outlineLvl w:val="0"/>
        <w:rPr>
          <w:b/>
          <w:bCs/>
        </w:rPr>
      </w:pPr>
      <w:r w:rsidRPr="00B47468">
        <w:rPr>
          <w:b/>
          <w:bCs/>
        </w:rPr>
        <w:t>Paragraphe 1 de l’article 2</w:t>
      </w:r>
    </w:p>
    <w:p w:rsidR="002D42EF" w:rsidRPr="00B47468" w:rsidRDefault="002D42EF" w:rsidP="002D42EF">
      <w:pPr>
        <w:pStyle w:val="SingleTxtG"/>
        <w:ind w:left="1701"/>
        <w:rPr>
          <w:b/>
        </w:rPr>
      </w:pPr>
      <w:r>
        <w:rPr>
          <w:b/>
        </w:rPr>
        <w:t>«Tout É</w:t>
      </w:r>
      <w:r w:rsidRPr="00B47468">
        <w:rPr>
          <w:b/>
        </w:rPr>
        <w:t>tat partie prend des mesures législatives, administratives, judiciaires et autres mesures efficaces pour empêcher que des actes de torture soient commis dans tout territoire sous sa juridiction</w:t>
      </w:r>
      <w:r>
        <w:rPr>
          <w:b/>
        </w:rPr>
        <w:t>.</w:t>
      </w:r>
      <w:r w:rsidRPr="00B47468">
        <w:rPr>
          <w:b/>
        </w:rPr>
        <w:t>»</w:t>
      </w:r>
    </w:p>
    <w:p w:rsidR="002D42EF" w:rsidRPr="005D65CE" w:rsidRDefault="002D42EF" w:rsidP="00C208E4">
      <w:pPr>
        <w:pStyle w:val="H23G"/>
        <w:numPr>
          <w:ilvl w:val="2"/>
          <w:numId w:val="10"/>
        </w:numPr>
      </w:pPr>
      <w:r w:rsidRPr="005D65CE">
        <w:t>Mesures empêchant les actes de torture pendant la durée</w:t>
      </w:r>
      <w:r>
        <w:t xml:space="preserve"> de la garde à vue et l’enquête</w:t>
      </w:r>
    </w:p>
    <w:p w:rsidR="002D42EF" w:rsidRPr="005D65CE" w:rsidRDefault="002D42EF" w:rsidP="002D42EF">
      <w:pPr>
        <w:pStyle w:val="SingleTxtG"/>
      </w:pPr>
      <w:r w:rsidRPr="005D65CE">
        <w:t>39.</w:t>
      </w:r>
      <w:r w:rsidRPr="005D65CE">
        <w:tab/>
        <w:t>La loi malgache reconnaît les garanties de protection des droits des personnes en état d’arrestation. Dès l’instant où intervient la privation de liberté d’une personne, celle-ci a:</w:t>
      </w:r>
    </w:p>
    <w:p w:rsidR="002D42EF" w:rsidRPr="005D65CE" w:rsidRDefault="002D42EF" w:rsidP="002D42EF">
      <w:pPr>
        <w:pStyle w:val="Bullet1G"/>
        <w:numPr>
          <w:ilvl w:val="0"/>
          <w:numId w:val="1"/>
        </w:numPr>
      </w:pPr>
      <w:r w:rsidRPr="005D65CE">
        <w:t xml:space="preserve">Le droit à ce qu’un membre de </w:t>
      </w:r>
      <w:r>
        <w:t>s</w:t>
      </w:r>
      <w:r w:rsidRPr="005D65CE">
        <w:t>a famille ou toute autre personne appropriée soi</w:t>
      </w:r>
      <w:r>
        <w:t>en</w:t>
      </w:r>
      <w:r w:rsidRPr="005D65CE">
        <w:t>t informé</w:t>
      </w:r>
      <w:r>
        <w:t>s</w:t>
      </w:r>
      <w:r w:rsidRPr="005D65CE">
        <w:t xml:space="preserve"> de sa détention et du lieu de détention;</w:t>
      </w:r>
    </w:p>
    <w:p w:rsidR="002D42EF" w:rsidRPr="005D65CE" w:rsidRDefault="002D42EF" w:rsidP="002D42EF">
      <w:pPr>
        <w:pStyle w:val="Bullet1G"/>
        <w:numPr>
          <w:ilvl w:val="0"/>
          <w:numId w:val="1"/>
        </w:numPr>
      </w:pPr>
      <w:r w:rsidRPr="005D65CE">
        <w:t>Le droit d’être examiné</w:t>
      </w:r>
      <w:r>
        <w:t>e</w:t>
      </w:r>
      <w:r w:rsidRPr="005D65CE">
        <w:t xml:space="preserve"> par un médecin</w:t>
      </w:r>
      <w:r>
        <w:t>.</w:t>
      </w:r>
      <w:r w:rsidRPr="005D65CE">
        <w:t xml:space="preserve"> Selon les dispositions de l’Article 138 du Code de Procédure Pénale malagasy, une personne arrêtée peut faire l’objet d’un examen médical dès le début de la garde à vue. Cet examen peut être demandé d’office ou à la requête d’un membre de la famille soit par l’OPJ chargé de l’enquête soit par le Procureur de la République ou le Magistrat qui le représente soit par le Conseil. Le médecin chargé de l’examen est tenu d’en dresser un rapport; </w:t>
      </w:r>
    </w:p>
    <w:p w:rsidR="002D42EF" w:rsidRPr="005D65CE" w:rsidRDefault="002D42EF" w:rsidP="002D42EF">
      <w:pPr>
        <w:pStyle w:val="Bullet1G"/>
        <w:numPr>
          <w:ilvl w:val="0"/>
          <w:numId w:val="1"/>
        </w:numPr>
        <w:rPr>
          <w:i/>
          <w:iCs/>
        </w:rPr>
      </w:pPr>
      <w:r w:rsidRPr="005D65CE">
        <w:t>Le droit à un avocat ou à l’assistance d’une personne de son choix suivant l’article</w:t>
      </w:r>
      <w:r>
        <w:t> </w:t>
      </w:r>
      <w:r w:rsidRPr="005D65CE">
        <w:t>53</w:t>
      </w:r>
      <w:r w:rsidRPr="00321C7A">
        <w:rPr>
          <w:sz w:val="18"/>
          <w:szCs w:val="18"/>
          <w:vertAlign w:val="superscript"/>
        </w:rPr>
        <w:footnoteReference w:id="3"/>
      </w:r>
      <w:r w:rsidRPr="005D65CE">
        <w:t xml:space="preserve"> nouveau du Code de Procédure Pénale;</w:t>
      </w:r>
    </w:p>
    <w:p w:rsidR="002D42EF" w:rsidRPr="005D65CE" w:rsidRDefault="002D42EF" w:rsidP="002D42EF">
      <w:pPr>
        <w:pStyle w:val="Bullet1G"/>
        <w:numPr>
          <w:ilvl w:val="0"/>
          <w:numId w:val="1"/>
        </w:numPr>
      </w:pPr>
      <w:r w:rsidRPr="005D65CE">
        <w:t>Le droit pour cette personne d’être informé</w:t>
      </w:r>
      <w:r>
        <w:t>e</w:t>
      </w:r>
      <w:r w:rsidRPr="005D65CE">
        <w:t xml:space="preserve"> des droits ci-dessus énumérés dans une langue qu’elle comprend. </w:t>
      </w:r>
      <w:r>
        <w:t>À</w:t>
      </w:r>
      <w:r w:rsidRPr="005D65CE">
        <w:t xml:space="preserve"> la demande de la personne concernée, le recours à un interprète peut être</w:t>
      </w:r>
      <w:r>
        <w:t xml:space="preserve"> </w:t>
      </w:r>
      <w:r w:rsidRPr="005D65CE">
        <w:t>accordé;</w:t>
      </w:r>
    </w:p>
    <w:p w:rsidR="002D42EF" w:rsidRPr="005D65CE" w:rsidRDefault="002D42EF" w:rsidP="002D42EF">
      <w:pPr>
        <w:pStyle w:val="Bullet1G"/>
        <w:numPr>
          <w:ilvl w:val="0"/>
          <w:numId w:val="1"/>
        </w:numPr>
      </w:pPr>
      <w:r w:rsidRPr="005D65CE">
        <w:t>L’obligation pour l’autorité de détention de remplir un registre indiquant notamment la date, l’heure et le motif de la privation de liberté conformément à l’article 139 du Code de Procédure Pénale.</w:t>
      </w:r>
    </w:p>
    <w:p w:rsidR="002D42EF" w:rsidRPr="005D65CE" w:rsidRDefault="002D42EF" w:rsidP="002D42EF">
      <w:pPr>
        <w:pStyle w:val="SingleTxtG"/>
      </w:pPr>
      <w:r w:rsidRPr="005D65CE">
        <w:t>40.</w:t>
      </w:r>
      <w:r w:rsidRPr="005D65CE">
        <w:tab/>
        <w:t xml:space="preserve">Pour empêcher ou prévenir les actes de torture, des mesures ont été prises pour limiter le délai de la garde </w:t>
      </w:r>
      <w:r>
        <w:t>à</w:t>
      </w:r>
      <w:r w:rsidRPr="005D65CE">
        <w:t xml:space="preserve"> vue.</w:t>
      </w:r>
    </w:p>
    <w:p w:rsidR="002D42EF" w:rsidRPr="005D65CE" w:rsidRDefault="002D42EF" w:rsidP="00C208E4">
      <w:pPr>
        <w:pStyle w:val="H23G"/>
        <w:numPr>
          <w:ilvl w:val="2"/>
          <w:numId w:val="10"/>
        </w:numPr>
      </w:pPr>
      <w:r>
        <w:t>Durée des gardes à vue</w:t>
      </w:r>
    </w:p>
    <w:p w:rsidR="002D42EF" w:rsidRPr="005D65CE" w:rsidRDefault="002D42EF" w:rsidP="002D42EF">
      <w:pPr>
        <w:pStyle w:val="SingleTxtG"/>
      </w:pPr>
      <w:r w:rsidRPr="005D65CE">
        <w:t>41.</w:t>
      </w:r>
      <w:r w:rsidRPr="005D65CE">
        <w:tab/>
        <w:t xml:space="preserve">L’article 136 du Code de Procédure Pénale dispose qu’un officier de police judiciaire ne peut retenir une personne </w:t>
      </w:r>
      <w:r>
        <w:t>dans le cadre d’une</w:t>
      </w:r>
      <w:r w:rsidRPr="005D65CE">
        <w:t xml:space="preserve"> enquête préliminaire pendant plus de quarante</w:t>
      </w:r>
      <w:r>
        <w:t>-</w:t>
      </w:r>
      <w:r w:rsidRPr="005D65CE">
        <w:t>huit heures. Cette garde à vue ne peut être prolongée que durant les week-ends et les jours fériés ou lorsque l’Officier de Police Judiciaire (OPJ) réside hors de la ville</w:t>
      </w:r>
      <w:r>
        <w:t xml:space="preserve"> dans lequel se trouve le</w:t>
      </w:r>
      <w:r w:rsidRPr="005D65CE">
        <w:t xml:space="preserve"> siège d’un tribunal ou d’une section d</w:t>
      </w:r>
      <w:r>
        <w:t>’un</w:t>
      </w:r>
      <w:r w:rsidRPr="005D65CE">
        <w:t xml:space="preserve"> tribunal. </w:t>
      </w:r>
    </w:p>
    <w:p w:rsidR="002D42EF" w:rsidRPr="005D65CE" w:rsidRDefault="002D42EF" w:rsidP="002D42EF">
      <w:pPr>
        <w:pStyle w:val="SingleTxtG"/>
      </w:pPr>
      <w:r w:rsidRPr="005D65CE">
        <w:t>42.</w:t>
      </w:r>
      <w:r w:rsidRPr="005D65CE">
        <w:tab/>
        <w:t xml:space="preserve">Toutefois, lors d’une arrestation opérée hors de la résidence habituelle de l’OPJ qui procède à l’enquête, le délai de 48 heures est prolongé d’un jour par 25 km sans jamais pouvoir dépasser un délai maximum de 12 jours entre le moment où la personne est appréhendée et celui où elle est présentée </w:t>
      </w:r>
      <w:r>
        <w:t>devant le</w:t>
      </w:r>
      <w:r w:rsidRPr="005D65CE">
        <w:t xml:space="preserve"> magistrat compétent (Article 137). </w:t>
      </w:r>
    </w:p>
    <w:p w:rsidR="002D42EF" w:rsidRPr="005D65CE" w:rsidRDefault="002D42EF" w:rsidP="002D42EF">
      <w:pPr>
        <w:pStyle w:val="SingleTxtG"/>
        <w:rPr>
          <w:i/>
          <w:iCs/>
        </w:rPr>
      </w:pPr>
      <w:r w:rsidRPr="005D65CE">
        <w:t>43.</w:t>
      </w:r>
      <w:r w:rsidRPr="005D65CE">
        <w:tab/>
        <w:t xml:space="preserve">De plus, l’Article 138 du même Code prévoit: </w:t>
      </w:r>
      <w:r w:rsidRPr="000F1B68">
        <w:rPr>
          <w:iCs/>
        </w:rPr>
        <w:t>«</w:t>
      </w:r>
      <w:r w:rsidRPr="005D65CE">
        <w:rPr>
          <w:i/>
          <w:iCs/>
        </w:rPr>
        <w:t xml:space="preserve">Lorsque l’arrestation a été effectuée par une patrouille ou au cours d’un service ou d’une opération de police dont l’itinéraire et l’horaire ont été fixés à l’avance, la distance de 25 kilomètres par jour se mesure d’après l’itinéraire effectivement parcouru par la patrouille ou par la troupe qui a procédé au service ou </w:t>
      </w:r>
      <w:r>
        <w:rPr>
          <w:i/>
          <w:iCs/>
        </w:rPr>
        <w:t>à l’opération de police prévus.</w:t>
      </w:r>
      <w:r w:rsidRPr="000F1B68">
        <w:rPr>
          <w:iCs/>
        </w:rPr>
        <w:t>»</w:t>
      </w:r>
    </w:p>
    <w:p w:rsidR="002D42EF" w:rsidRPr="005D65CE" w:rsidRDefault="002D42EF" w:rsidP="002D42EF">
      <w:pPr>
        <w:pStyle w:val="SingleTxtG"/>
      </w:pPr>
      <w:r w:rsidRPr="005D65CE">
        <w:t>44.</w:t>
      </w:r>
      <w:r w:rsidRPr="005D65CE">
        <w:tab/>
        <w:t>En vertu de son pouvoir de direction et de contrôle des activités des OPJ, le P</w:t>
      </w:r>
      <w:r>
        <w:t>rocureur</w:t>
      </w:r>
      <w:r w:rsidRPr="005D65CE">
        <w:t xml:space="preserve"> de la République a l’obligation d</w:t>
      </w:r>
      <w:r>
        <w:t xml:space="preserve">e </w:t>
      </w:r>
      <w:r w:rsidRPr="005D65CE">
        <w:t>contrôle</w:t>
      </w:r>
      <w:r>
        <w:t>r</w:t>
      </w:r>
      <w:r w:rsidRPr="005D65CE">
        <w:t xml:space="preserve"> la légalité et la régularité de la détention pendant la garde à vue.</w:t>
      </w:r>
    </w:p>
    <w:p w:rsidR="002D42EF" w:rsidRPr="005D65CE" w:rsidRDefault="002D42EF" w:rsidP="002D42EF">
      <w:pPr>
        <w:pStyle w:val="SingleTxtG"/>
      </w:pPr>
      <w:r w:rsidRPr="005D65CE">
        <w:t>45.</w:t>
      </w:r>
      <w:r w:rsidRPr="005D65CE">
        <w:tab/>
        <w:t>Afin d’éviter la détention arbitraire, la date, l’heure de l’entrée et de la libération de la personne suspecte sont systématiquement consignées dans un registre tel qu’il est stipulé à l’article 4 de la loi n°</w:t>
      </w:r>
      <w:r>
        <w:t xml:space="preserve"> </w:t>
      </w:r>
      <w:r w:rsidRPr="005D65CE">
        <w:t>2008-008.</w:t>
      </w:r>
    </w:p>
    <w:p w:rsidR="002D42EF" w:rsidRPr="005D65CE" w:rsidRDefault="002D42EF" w:rsidP="002D42EF">
      <w:pPr>
        <w:pStyle w:val="SingleTxtG"/>
        <w:rPr>
          <w:i/>
        </w:rPr>
      </w:pPr>
      <w:r w:rsidRPr="005D65CE">
        <w:t>46.</w:t>
      </w:r>
      <w:r w:rsidRPr="005D65CE">
        <w:tab/>
        <w:t xml:space="preserve">L’article 90 du décret </w:t>
      </w:r>
      <w:r w:rsidRPr="00C14D2A">
        <w:t>n</w:t>
      </w:r>
      <w:r w:rsidRPr="00C14D2A">
        <w:rPr>
          <w:vertAlign w:val="superscript"/>
        </w:rPr>
        <w:t>o</w:t>
      </w:r>
      <w:r w:rsidRPr="005D65CE">
        <w:t xml:space="preserve"> 69-232 portant règlement du service intérieur de la Gendarmerie Nationale prescrit que </w:t>
      </w:r>
      <w:r w:rsidRPr="000F1B68">
        <w:t>«</w:t>
      </w:r>
      <w:r w:rsidRPr="005D65CE">
        <w:rPr>
          <w:i/>
        </w:rPr>
        <w:t>les personnes appréhendées ou gardées à vue sont inscrites sur un registre qui fait ressortir notamment, pour chaque cas la durée de la garde à vue et le dépôt éventuel à la chambre de sûreté</w:t>
      </w:r>
      <w:r w:rsidRPr="000F1B68">
        <w:t>»</w:t>
      </w:r>
      <w:r>
        <w:t>.</w:t>
      </w:r>
    </w:p>
    <w:p w:rsidR="002D42EF" w:rsidRPr="005D65CE" w:rsidRDefault="002D42EF" w:rsidP="00C208E4">
      <w:pPr>
        <w:pStyle w:val="H23G"/>
        <w:numPr>
          <w:ilvl w:val="2"/>
          <w:numId w:val="10"/>
        </w:numPr>
      </w:pPr>
      <w:r>
        <w:t>Détention secrète</w:t>
      </w:r>
    </w:p>
    <w:p w:rsidR="002D42EF" w:rsidRPr="005D65CE" w:rsidRDefault="002D42EF" w:rsidP="002D42EF">
      <w:pPr>
        <w:pStyle w:val="SingleTxtG"/>
      </w:pPr>
      <w:r>
        <w:t>47.</w:t>
      </w:r>
      <w:r>
        <w:tab/>
      </w:r>
      <w:r w:rsidRPr="005D65CE">
        <w:t>La détention d’une personne arrêtée ou condamnée dans un établissement ou dans un lieu non enregistré officiellement comme lieu de privation de liberté ou secret sera punie d’une peine d’emprisonnement de 2 à 5 ans aux termes des articles 5 et 13 de la loi ainsi libellés:</w:t>
      </w:r>
    </w:p>
    <w:p w:rsidR="002D42EF" w:rsidRPr="005D65CE" w:rsidRDefault="002D42EF" w:rsidP="002D42EF">
      <w:pPr>
        <w:pStyle w:val="SingleTxtG"/>
        <w:ind w:left="1701"/>
        <w:jc w:val="left"/>
        <w:rPr>
          <w:i/>
        </w:rPr>
      </w:pPr>
      <w:r>
        <w:t xml:space="preserve">Article 5: </w:t>
      </w:r>
      <w:r w:rsidRPr="00E6620C">
        <w:t>«</w:t>
      </w:r>
      <w:r w:rsidRPr="005D65CE">
        <w:rPr>
          <w:i/>
        </w:rPr>
        <w:t>La détention d’une personne dans tous lieux, autre que ceux prévus par les lois ou règlements est interdite</w:t>
      </w:r>
      <w:r>
        <w:rPr>
          <w:i/>
        </w:rPr>
        <w:t>.</w:t>
      </w:r>
      <w:r>
        <w:t>»</w:t>
      </w:r>
    </w:p>
    <w:p w:rsidR="002D42EF" w:rsidRPr="005D65CE" w:rsidRDefault="002D42EF" w:rsidP="002D42EF">
      <w:pPr>
        <w:pStyle w:val="SingleTxtG"/>
        <w:ind w:left="1701"/>
        <w:rPr>
          <w:i/>
        </w:rPr>
      </w:pPr>
      <w:r>
        <w:t xml:space="preserve">Article 13: </w:t>
      </w:r>
      <w:r w:rsidRPr="00990828">
        <w:t>«</w:t>
      </w:r>
      <w:r w:rsidRPr="005D65CE">
        <w:rPr>
          <w:i/>
        </w:rPr>
        <w:t>La détention d’une personne arrêtée ou condamnée dans un établissement ou dans un lieu non enregistré officiellement comme lieu de privation de liberté ou secret sera puni d’une peine d’emprisonnement de 2 à 5 ans</w:t>
      </w:r>
      <w:r>
        <w:rPr>
          <w:i/>
        </w:rPr>
        <w:t>.</w:t>
      </w:r>
      <w:r w:rsidRPr="00E6620C">
        <w:t>»</w:t>
      </w:r>
    </w:p>
    <w:p w:rsidR="002D42EF" w:rsidRDefault="002D42EF" w:rsidP="002D42EF">
      <w:pPr>
        <w:pStyle w:val="SingleTxtG"/>
        <w:rPr>
          <w:b/>
        </w:rPr>
      </w:pPr>
      <w:r>
        <w:rPr>
          <w:b/>
        </w:rPr>
        <w:tab/>
      </w:r>
    </w:p>
    <w:p w:rsidR="002D42EF" w:rsidRPr="005D65CE" w:rsidRDefault="002D42EF" w:rsidP="002D42EF">
      <w:pPr>
        <w:pStyle w:val="SingleTxtG"/>
        <w:ind w:firstLine="567"/>
        <w:outlineLvl w:val="0"/>
        <w:rPr>
          <w:b/>
        </w:rPr>
      </w:pPr>
      <w:r w:rsidRPr="005D65CE">
        <w:rPr>
          <w:b/>
        </w:rPr>
        <w:t>Paragraphe 2 de l’article 2</w:t>
      </w:r>
    </w:p>
    <w:p w:rsidR="002D42EF" w:rsidRPr="005D65CE" w:rsidRDefault="002D42EF" w:rsidP="002D42EF">
      <w:pPr>
        <w:pStyle w:val="SingleTxtG"/>
        <w:ind w:left="1701"/>
        <w:rPr>
          <w:b/>
          <w:bCs/>
          <w:iCs/>
        </w:rPr>
      </w:pPr>
      <w:r w:rsidRPr="005D65CE">
        <w:rPr>
          <w:b/>
          <w:bCs/>
          <w:iCs/>
        </w:rPr>
        <w:t>«Aucune circonstance exceptionnelle</w:t>
      </w:r>
      <w:r>
        <w:rPr>
          <w:b/>
          <w:bCs/>
          <w:iCs/>
        </w:rPr>
        <w:t>,</w:t>
      </w:r>
      <w:r w:rsidRPr="005D65CE">
        <w:rPr>
          <w:b/>
          <w:bCs/>
          <w:iCs/>
        </w:rPr>
        <w:t xml:space="preserve"> quelle qu’elle soit, qu’il s’agisse de l’état de guerre</w:t>
      </w:r>
      <w:r>
        <w:rPr>
          <w:b/>
          <w:bCs/>
          <w:iCs/>
        </w:rPr>
        <w:t xml:space="preserve"> ou</w:t>
      </w:r>
      <w:r w:rsidRPr="005D65CE">
        <w:rPr>
          <w:b/>
          <w:bCs/>
          <w:iCs/>
        </w:rPr>
        <w:t xml:space="preserve"> de menace de guerre, d’instabilité politique intérieure ou </w:t>
      </w:r>
      <w:r>
        <w:rPr>
          <w:b/>
          <w:bCs/>
          <w:iCs/>
        </w:rPr>
        <w:t xml:space="preserve">de tout </w:t>
      </w:r>
      <w:r w:rsidRPr="005D65CE">
        <w:rPr>
          <w:b/>
          <w:bCs/>
          <w:iCs/>
        </w:rPr>
        <w:t>autre état d’exception, ne peut être invoquée pour justifier la torture</w:t>
      </w:r>
      <w:r>
        <w:rPr>
          <w:b/>
          <w:bCs/>
          <w:iCs/>
        </w:rPr>
        <w:t>.</w:t>
      </w:r>
      <w:r w:rsidRPr="005D65CE">
        <w:rPr>
          <w:b/>
          <w:bCs/>
          <w:iCs/>
        </w:rPr>
        <w:t>»</w:t>
      </w:r>
    </w:p>
    <w:p w:rsidR="002D42EF" w:rsidRPr="005D65CE" w:rsidRDefault="002D42EF" w:rsidP="002D42EF">
      <w:pPr>
        <w:pStyle w:val="SingleTxtG"/>
      </w:pPr>
      <w:r w:rsidRPr="005D65CE">
        <w:t>48.</w:t>
      </w:r>
      <w:r w:rsidRPr="005D65CE">
        <w:tab/>
        <w:t xml:space="preserve">La loi contre la torture, pour prévenir et empêcher la torture en tout temps et en toute circonstance, a consacré le caractère absolu de la prohibition de la torture. </w:t>
      </w:r>
    </w:p>
    <w:p w:rsidR="002D42EF" w:rsidRPr="005D65CE" w:rsidRDefault="002D42EF" w:rsidP="002D42EF">
      <w:pPr>
        <w:pStyle w:val="SingleTxtG"/>
      </w:pPr>
      <w:r>
        <w:t>49.</w:t>
      </w:r>
      <w:r>
        <w:tab/>
        <w:t xml:space="preserve">L’article 14 de la loi nationale dispose que: </w:t>
      </w:r>
      <w:r w:rsidRPr="00023189">
        <w:t>«</w:t>
      </w:r>
      <w:r w:rsidRPr="005D65CE">
        <w:rPr>
          <w:i/>
        </w:rPr>
        <w:t>ni l’état de guerre, ni la situation d’urgence, ni l’état de nécessité nationale ni la loi martiale ne peuvent être invoqués pour justifier un acte de torture</w:t>
      </w:r>
      <w:r w:rsidRPr="00023189">
        <w:t>»</w:t>
      </w:r>
      <w:r w:rsidRPr="005D65CE">
        <w:rPr>
          <w:i/>
        </w:rPr>
        <w:t>.</w:t>
      </w:r>
    </w:p>
    <w:p w:rsidR="002D42EF" w:rsidRPr="005D65CE" w:rsidRDefault="002D42EF" w:rsidP="002D42EF">
      <w:pPr>
        <w:pStyle w:val="SingleTxtG"/>
      </w:pPr>
      <w:r w:rsidRPr="005D65CE">
        <w:t>50.</w:t>
      </w:r>
      <w:r w:rsidRPr="005D65CE">
        <w:tab/>
        <w:t>Cette disposition signifie qu’il ne peut être dérogé à l’interdiction de la torture aussi bien en temps de paix qu’en temps de guerre ou de conflit armé incluant la période d’instabilité politique.</w:t>
      </w:r>
    </w:p>
    <w:p w:rsidR="002D42EF" w:rsidRDefault="002D42EF" w:rsidP="002D42EF">
      <w:pPr>
        <w:pStyle w:val="SingleTxtG"/>
        <w:rPr>
          <w:b/>
        </w:rPr>
      </w:pPr>
      <w:r>
        <w:rPr>
          <w:b/>
        </w:rPr>
        <w:tab/>
      </w:r>
    </w:p>
    <w:p w:rsidR="002D42EF" w:rsidRPr="005D65CE" w:rsidRDefault="004F5E87" w:rsidP="002D42EF">
      <w:pPr>
        <w:pStyle w:val="SingleTxtG"/>
        <w:outlineLvl w:val="0"/>
        <w:rPr>
          <w:b/>
        </w:rPr>
      </w:pPr>
      <w:r>
        <w:rPr>
          <w:b/>
        </w:rPr>
        <w:tab/>
      </w:r>
      <w:r w:rsidR="002D42EF" w:rsidRPr="005D65CE">
        <w:rPr>
          <w:b/>
        </w:rPr>
        <w:t>Paragraphe 3 de l’article 2</w:t>
      </w:r>
    </w:p>
    <w:p w:rsidR="002D42EF" w:rsidRPr="005D65CE" w:rsidRDefault="002D42EF" w:rsidP="002D42EF">
      <w:pPr>
        <w:pStyle w:val="SingleTxtG"/>
        <w:ind w:left="1701"/>
        <w:rPr>
          <w:b/>
          <w:bCs/>
          <w:iCs/>
        </w:rPr>
      </w:pPr>
      <w:r w:rsidRPr="005D65CE">
        <w:rPr>
          <w:b/>
          <w:bCs/>
          <w:iCs/>
        </w:rPr>
        <w:t>«L’ordre d’un supérieur ou d’une autorité publique ne peut être invoqué pour justifier la torture</w:t>
      </w:r>
      <w:r>
        <w:rPr>
          <w:b/>
          <w:bCs/>
          <w:iCs/>
        </w:rPr>
        <w:t>.</w:t>
      </w:r>
      <w:r w:rsidRPr="005D65CE">
        <w:rPr>
          <w:b/>
          <w:bCs/>
          <w:iCs/>
        </w:rPr>
        <w:t>»</w:t>
      </w:r>
    </w:p>
    <w:p w:rsidR="002D42EF" w:rsidRPr="005D65CE" w:rsidRDefault="002D42EF" w:rsidP="002D42EF">
      <w:pPr>
        <w:pStyle w:val="SingleTxtG"/>
      </w:pPr>
      <w:r>
        <w:t>51.</w:t>
      </w:r>
      <w:r>
        <w:tab/>
        <w:t xml:space="preserve">L’article 15 </w:t>
      </w:r>
      <w:r w:rsidRPr="005D65CE">
        <w:t>de la loi nationale stipule: «</w:t>
      </w:r>
      <w:r w:rsidRPr="0071448E">
        <w:rPr>
          <w:i/>
        </w:rPr>
        <w:t>L’ordre d’un supérieur ou d’une autorité publique ne constitue pas une justification ou une existence légale à un acte de torture</w:t>
      </w:r>
      <w:r>
        <w:rPr>
          <w:i/>
        </w:rPr>
        <w:t>.</w:t>
      </w:r>
      <w:r w:rsidRPr="005D65CE">
        <w:t>»</w:t>
      </w:r>
    </w:p>
    <w:p w:rsidR="002D42EF" w:rsidRPr="005D65CE" w:rsidRDefault="002D42EF" w:rsidP="002D42EF">
      <w:pPr>
        <w:pStyle w:val="SingleTxtG"/>
        <w:rPr>
          <w:i/>
        </w:rPr>
      </w:pPr>
      <w:r w:rsidRPr="0071448E">
        <w:t>52</w:t>
      </w:r>
      <w:r w:rsidRPr="005D65CE">
        <w:t>.</w:t>
      </w:r>
      <w:r w:rsidRPr="005D65CE">
        <w:tab/>
        <w:t>Ainsi, l’exécution d’</w:t>
      </w:r>
      <w:r>
        <w:t xml:space="preserve">un </w:t>
      </w:r>
      <w:r w:rsidRPr="005D65CE">
        <w:t>ordre de commettre des actes de torture émanant d’un supérieur ou d’une autorité publique n’implique pas</w:t>
      </w:r>
      <w:r>
        <w:t xml:space="preserve"> une</w:t>
      </w:r>
      <w:r w:rsidRPr="005D65CE">
        <w:t xml:space="preserve"> exemption de poursuite</w:t>
      </w:r>
      <w:r>
        <w:t xml:space="preserve">s </w:t>
      </w:r>
      <w:r w:rsidRPr="005D65CE">
        <w:t xml:space="preserve">à l’endroit de l’exécutant. </w:t>
      </w:r>
    </w:p>
    <w:p w:rsidR="002D42EF" w:rsidRPr="005D65CE" w:rsidRDefault="002D42EF" w:rsidP="002D42EF">
      <w:pPr>
        <w:pStyle w:val="SingleTxtG"/>
      </w:pPr>
      <w:r w:rsidRPr="005D65CE">
        <w:t>53.</w:t>
      </w:r>
      <w:r w:rsidRPr="005D65CE">
        <w:tab/>
        <w:t xml:space="preserve">En l’état actuel, les juridictions nationales n’ont pas encore rendu </w:t>
      </w:r>
      <w:r>
        <w:t>de</w:t>
      </w:r>
      <w:r w:rsidRPr="005D65CE">
        <w:t xml:space="preserve"> décision dans ce sens. Cependant, les formations organisées invitent les responsables de l’application de la loi à s’y référer lorsque de telles situations se présentent. </w:t>
      </w:r>
    </w:p>
    <w:p w:rsidR="002D42EF" w:rsidRPr="005D65CE" w:rsidRDefault="002D42EF" w:rsidP="002D42EF">
      <w:pPr>
        <w:pStyle w:val="SingleTxtG"/>
        <w:rPr>
          <w:i/>
        </w:rPr>
      </w:pPr>
      <w:r w:rsidRPr="005D65CE">
        <w:t>54.</w:t>
      </w:r>
      <w:r w:rsidRPr="005D65CE">
        <w:tab/>
        <w:t>Pour renforcer l’efficacité des dispositions c</w:t>
      </w:r>
      <w:r>
        <w:t xml:space="preserve">i-dessus énoncées, l’article 16 </w:t>
      </w:r>
      <w:r w:rsidRPr="005D65CE">
        <w:t xml:space="preserve">garantit que la désobéissance à un ordre illégal de commettre un acte de torture ou autres peines ou traitements cruels, inhumains ou dégradants n’est pas punissable. Aux termes de cet article </w:t>
      </w:r>
      <w:r w:rsidRPr="00720576">
        <w:t>«</w:t>
      </w:r>
      <w:r w:rsidRPr="005D65CE">
        <w:rPr>
          <w:i/>
        </w:rPr>
        <w:t>Nul ne sera puni pour avoir désobéi à un ordre de commettre un acte équivalent à la torture ou d’autres peines et traitements cruels, inhumains ou dégradants</w:t>
      </w:r>
      <w:r>
        <w:rPr>
          <w:i/>
        </w:rPr>
        <w:t>.</w:t>
      </w:r>
      <w:r w:rsidRPr="00720576">
        <w:t>»</w:t>
      </w:r>
    </w:p>
    <w:p w:rsidR="002D42EF" w:rsidRPr="005D65CE" w:rsidRDefault="002D42EF" w:rsidP="002D42EF">
      <w:pPr>
        <w:pStyle w:val="SingleTxtG"/>
      </w:pPr>
      <w:r w:rsidRPr="005D65CE">
        <w:t>55.</w:t>
      </w:r>
      <w:r w:rsidRPr="005D65CE">
        <w:tab/>
        <w:t xml:space="preserve">Concrètement, pour </w:t>
      </w:r>
      <w:r>
        <w:t xml:space="preserve">ce qui est de </w:t>
      </w:r>
      <w:r w:rsidRPr="005D65CE">
        <w:t>l’application de cet article, celui qui a désobéi n’est pas exposé à un risque de poursuite</w:t>
      </w:r>
      <w:r>
        <w:t>s</w:t>
      </w:r>
      <w:r w:rsidRPr="005D65CE">
        <w:t xml:space="preserve"> disciplinaire</w:t>
      </w:r>
      <w:r>
        <w:t>s</w:t>
      </w:r>
      <w:r w:rsidRPr="005D65CE">
        <w:t xml:space="preserve"> ou</w:t>
      </w:r>
      <w:r>
        <w:t xml:space="preserve"> </w:t>
      </w:r>
      <w:r w:rsidRPr="005D65CE">
        <w:t>pénale</w:t>
      </w:r>
      <w:r>
        <w:t>s</w:t>
      </w:r>
      <w:r w:rsidRPr="005D65CE">
        <w:t xml:space="preserve">. </w:t>
      </w:r>
    </w:p>
    <w:p w:rsidR="002D42EF" w:rsidRPr="005D65CE" w:rsidRDefault="002D42EF" w:rsidP="002D42EF">
      <w:pPr>
        <w:pStyle w:val="SingleTxtG"/>
      </w:pPr>
      <w:r w:rsidRPr="005D65CE">
        <w:t>56.</w:t>
      </w:r>
      <w:r w:rsidRPr="005D65CE">
        <w:tab/>
        <w:t>Le devoir d’obéissance s’arrête lorsque l’ordre reçu consiste à commettre un acte de torture prohibé en tout temps et en toute circonstance incluant l’ordre du chef hiérarchique.</w:t>
      </w:r>
      <w:r>
        <w:t xml:space="preserve"> </w:t>
      </w:r>
    </w:p>
    <w:p w:rsidR="002D42EF" w:rsidRPr="00E55976" w:rsidRDefault="002D42EF" w:rsidP="002D42EF">
      <w:pPr>
        <w:pStyle w:val="SingleTxtG"/>
        <w:keepNext/>
        <w:ind w:left="1701"/>
        <w:jc w:val="left"/>
        <w:rPr>
          <w:b/>
        </w:rPr>
      </w:pPr>
      <w:r w:rsidRPr="00E55976">
        <w:rPr>
          <w:b/>
        </w:rPr>
        <w:t>Article 3 de la Convention</w:t>
      </w:r>
      <w:r>
        <w:rPr>
          <w:b/>
        </w:rPr>
        <w:br/>
      </w:r>
      <w:r w:rsidRPr="00E55976">
        <w:rPr>
          <w:b/>
        </w:rPr>
        <w:t>Expulsion, refoulement, extradition</w:t>
      </w:r>
    </w:p>
    <w:p w:rsidR="002D42EF" w:rsidRPr="005D65CE" w:rsidRDefault="002D42EF" w:rsidP="002D42EF">
      <w:pPr>
        <w:pStyle w:val="SingleTxtG"/>
        <w:ind w:left="1701"/>
        <w:rPr>
          <w:b/>
          <w:bCs/>
          <w:iCs/>
        </w:rPr>
      </w:pPr>
      <w:r w:rsidRPr="005D65CE">
        <w:rPr>
          <w:b/>
          <w:bCs/>
          <w:iCs/>
        </w:rPr>
        <w:t xml:space="preserve">«1. </w:t>
      </w:r>
      <w:r>
        <w:rPr>
          <w:b/>
          <w:bCs/>
          <w:iCs/>
        </w:rPr>
        <w:tab/>
        <w:t>Aucun É</w:t>
      </w:r>
      <w:r w:rsidRPr="005D65CE">
        <w:rPr>
          <w:b/>
          <w:bCs/>
          <w:iCs/>
        </w:rPr>
        <w:t>tat partie n’expulsera, ne refoulera, ni n’extrad</w:t>
      </w:r>
      <w:r>
        <w:rPr>
          <w:b/>
          <w:bCs/>
          <w:iCs/>
        </w:rPr>
        <w:t>era une personne vers un autre É</w:t>
      </w:r>
      <w:r w:rsidRPr="005D65CE">
        <w:rPr>
          <w:b/>
          <w:bCs/>
          <w:iCs/>
        </w:rPr>
        <w:t xml:space="preserve">tat où il </w:t>
      </w:r>
      <w:r>
        <w:rPr>
          <w:b/>
          <w:bCs/>
          <w:iCs/>
        </w:rPr>
        <w:t xml:space="preserve">y </w:t>
      </w:r>
      <w:r w:rsidRPr="005D65CE">
        <w:rPr>
          <w:b/>
          <w:bCs/>
          <w:iCs/>
        </w:rPr>
        <w:t>a des motifs sérieux de croire qu’elle risque d’être soumise à la torture.</w:t>
      </w:r>
    </w:p>
    <w:p w:rsidR="002D42EF" w:rsidRPr="005D65CE" w:rsidRDefault="002D42EF" w:rsidP="002D42EF">
      <w:pPr>
        <w:pStyle w:val="SingleTxtG"/>
        <w:ind w:left="1701"/>
        <w:rPr>
          <w:b/>
          <w:bCs/>
          <w:iCs/>
        </w:rPr>
      </w:pPr>
      <w:r w:rsidRPr="005D65CE">
        <w:rPr>
          <w:b/>
          <w:bCs/>
          <w:iCs/>
        </w:rPr>
        <w:t xml:space="preserve">2. </w:t>
      </w:r>
      <w:r>
        <w:rPr>
          <w:b/>
          <w:bCs/>
          <w:iCs/>
        </w:rPr>
        <w:tab/>
      </w:r>
      <w:r w:rsidRPr="005D65CE">
        <w:rPr>
          <w:b/>
          <w:bCs/>
          <w:iCs/>
        </w:rPr>
        <w:t>Pour déterminer s’il y a de tels motifs, les autorités compétentes tiendront compte de toutes les considérations pertinentes, y compris</w:t>
      </w:r>
      <w:r>
        <w:rPr>
          <w:b/>
          <w:bCs/>
          <w:iCs/>
        </w:rPr>
        <w:t>,</w:t>
      </w:r>
      <w:r w:rsidRPr="005D65CE">
        <w:rPr>
          <w:b/>
          <w:bCs/>
          <w:iCs/>
        </w:rPr>
        <w:t xml:space="preserve"> le cas é</w:t>
      </w:r>
      <w:r>
        <w:rPr>
          <w:b/>
          <w:bCs/>
          <w:iCs/>
        </w:rPr>
        <w:t>chéant, de l’existence, dans l’É</w:t>
      </w:r>
      <w:r w:rsidRPr="005D65CE">
        <w:rPr>
          <w:b/>
          <w:bCs/>
          <w:iCs/>
        </w:rPr>
        <w:t>tat intéressé, d’un ensemble de violations systématiques des droits de l’homme</w:t>
      </w:r>
      <w:r>
        <w:rPr>
          <w:b/>
          <w:bCs/>
          <w:iCs/>
        </w:rPr>
        <w:t>,</w:t>
      </w:r>
      <w:r w:rsidRPr="005D65CE">
        <w:rPr>
          <w:b/>
          <w:bCs/>
          <w:iCs/>
        </w:rPr>
        <w:t xml:space="preserve"> graves, flagrantes ou massives</w:t>
      </w:r>
      <w:r>
        <w:rPr>
          <w:b/>
          <w:bCs/>
          <w:iCs/>
        </w:rPr>
        <w:t>.</w:t>
      </w:r>
      <w:r w:rsidRPr="005D65CE">
        <w:rPr>
          <w:b/>
          <w:bCs/>
          <w:iCs/>
        </w:rPr>
        <w:t>»</w:t>
      </w:r>
    </w:p>
    <w:p w:rsidR="002D42EF" w:rsidRPr="005D65CE" w:rsidRDefault="002D42EF" w:rsidP="00C208E4">
      <w:pPr>
        <w:pStyle w:val="H23G"/>
        <w:numPr>
          <w:ilvl w:val="2"/>
          <w:numId w:val="10"/>
        </w:numPr>
      </w:pPr>
      <w:r w:rsidRPr="005D65CE">
        <w:t>Inter</w:t>
      </w:r>
      <w:r>
        <w:t>diction de refoulement vers un É</w:t>
      </w:r>
      <w:r w:rsidRPr="005D65CE">
        <w:t>tat tortionnaire dans la législation interne</w:t>
      </w:r>
    </w:p>
    <w:p w:rsidR="002D42EF" w:rsidRPr="005D65CE" w:rsidRDefault="002D42EF" w:rsidP="002D42EF">
      <w:pPr>
        <w:pStyle w:val="SingleTxtG"/>
        <w:rPr>
          <w:i/>
        </w:rPr>
      </w:pPr>
      <w:r w:rsidRPr="005D65CE">
        <w:t>57.</w:t>
      </w:r>
      <w:r w:rsidRPr="005D65CE">
        <w:tab/>
        <w:t xml:space="preserve">Afin de se conformer à l’article 3 de la Convention, la loi 2008-008 en son article 19 dispose que: </w:t>
      </w:r>
      <w:r w:rsidRPr="00E55976">
        <w:t>«</w:t>
      </w:r>
      <w:r w:rsidRPr="005D65CE">
        <w:rPr>
          <w:i/>
        </w:rPr>
        <w:t>Sans préjudice des principes et règlements régissant la procédure d’extradition, nul ne sera extradé par l</w:t>
      </w:r>
      <w:r>
        <w:rPr>
          <w:i/>
        </w:rPr>
        <w:t>es autorités malgaches vers un É</w:t>
      </w:r>
      <w:r w:rsidRPr="005D65CE">
        <w:rPr>
          <w:i/>
        </w:rPr>
        <w:t>tat où il encourt le risque d’être soumis à la torture. Dans ce cas, les juridictions auront compétence pour juger la personne sur les faits faisant l’objet de l’extradition si ceux-ci sont prévus et punis par la législation en vigueur à Madagascar ou s’ils constituent un crime international</w:t>
      </w:r>
      <w:r>
        <w:rPr>
          <w:i/>
        </w:rPr>
        <w:t>.</w:t>
      </w:r>
      <w:r w:rsidRPr="00E55976">
        <w:t>»</w:t>
      </w:r>
    </w:p>
    <w:p w:rsidR="002D42EF" w:rsidRPr="00E51F00" w:rsidRDefault="002D42EF" w:rsidP="00C208E4">
      <w:pPr>
        <w:pStyle w:val="H23G"/>
        <w:numPr>
          <w:ilvl w:val="2"/>
          <w:numId w:val="10"/>
        </w:numPr>
      </w:pPr>
      <w:r w:rsidRPr="00E51F00">
        <w:t xml:space="preserve">Absence d’influence des motifs sécuritaires sur l’extradition </w:t>
      </w:r>
    </w:p>
    <w:p w:rsidR="002D42EF" w:rsidRPr="005D65CE" w:rsidRDefault="002D42EF" w:rsidP="002D42EF">
      <w:pPr>
        <w:pStyle w:val="SingleTxtG"/>
      </w:pPr>
      <w:r w:rsidRPr="00E51F00">
        <w:t>58</w:t>
      </w:r>
      <w:r w:rsidRPr="005D65CE">
        <w:t>.</w:t>
      </w:r>
      <w:r w:rsidRPr="005D65CE">
        <w:tab/>
        <w:t xml:space="preserve">Les motifs d’extradition ou de refus d’extrader sont déterminés dans la loi contre la torture ou </w:t>
      </w:r>
      <w:r>
        <w:t xml:space="preserve">dans </w:t>
      </w:r>
      <w:r w:rsidRPr="005D65CE">
        <w:t xml:space="preserve">les traités. Il n’est pas fait pas référence à des préoccupations sécuritaires, </w:t>
      </w:r>
      <w:r>
        <w:t>entre autres</w:t>
      </w:r>
      <w:r w:rsidRPr="005D65CE">
        <w:t xml:space="preserve"> la lutte contre le terrorisme, les circonstances tirées de l’état d’exception, la sécurité nationale</w:t>
      </w:r>
      <w:r>
        <w:t>.</w:t>
      </w:r>
    </w:p>
    <w:p w:rsidR="002D42EF" w:rsidRPr="005D65CE" w:rsidRDefault="002D42EF" w:rsidP="002D42EF">
      <w:pPr>
        <w:pStyle w:val="SingleTxtG"/>
      </w:pPr>
      <w:r w:rsidRPr="005D65CE">
        <w:t>59.</w:t>
      </w:r>
      <w:r w:rsidRPr="005D65CE">
        <w:tab/>
        <w:t xml:space="preserve">Durant les situations d’exception, les dispositions de l’article 3 commun aux quatre </w:t>
      </w:r>
      <w:r>
        <w:t>Instruments</w:t>
      </w:r>
      <w:r w:rsidRPr="005D65CE">
        <w:t xml:space="preserve"> de</w:t>
      </w:r>
      <w:r>
        <w:t>s</w:t>
      </w:r>
      <w:r w:rsidRPr="005D65CE">
        <w:t xml:space="preserve"> Convention</w:t>
      </w:r>
      <w:r>
        <w:t>s</w:t>
      </w:r>
      <w:r w:rsidRPr="005D65CE">
        <w:t xml:space="preserve"> de Genève peuvent être appliquées dès le début d’un conflit, même si l’état de guerre n’est pas reconnu. </w:t>
      </w:r>
      <w:r>
        <w:t>À</w:t>
      </w:r>
      <w:r w:rsidRPr="005D65CE">
        <w:t xml:space="preserve"> cet effet, sont et demeurent prohibé</w:t>
      </w:r>
      <w:r>
        <w:t>e</w:t>
      </w:r>
      <w:r w:rsidRPr="005D65CE">
        <w:t xml:space="preserve">s en tout temps et en tout lieu à l’égard de toute personne civile ou militaire: </w:t>
      </w:r>
    </w:p>
    <w:p w:rsidR="002D42EF" w:rsidRPr="005D65CE" w:rsidRDefault="002D42EF" w:rsidP="002D42EF">
      <w:pPr>
        <w:pStyle w:val="SingleTxtG"/>
        <w:ind w:firstLine="567"/>
      </w:pPr>
      <w:r w:rsidRPr="005D65CE">
        <w:t>a)</w:t>
      </w:r>
      <w:r w:rsidRPr="005D65CE">
        <w:tab/>
        <w:t xml:space="preserve">Les atteintes portées à la vie et à l’intégrité corporelle, notamment le meurtre sous toutes ses formes, les mutilations, les traitements cruels, </w:t>
      </w:r>
      <w:r>
        <w:t xml:space="preserve">la </w:t>
      </w:r>
      <w:r w:rsidRPr="005D65CE">
        <w:t xml:space="preserve">torture et </w:t>
      </w:r>
      <w:r>
        <w:t xml:space="preserve">le </w:t>
      </w:r>
      <w:r w:rsidRPr="005D65CE">
        <w:t>supplice;</w:t>
      </w:r>
    </w:p>
    <w:p w:rsidR="002D42EF" w:rsidRPr="005D65CE" w:rsidRDefault="002D42EF" w:rsidP="002D42EF">
      <w:pPr>
        <w:pStyle w:val="SingleTxtG"/>
        <w:ind w:firstLine="567"/>
      </w:pPr>
      <w:r w:rsidRPr="005D65CE">
        <w:t>b)</w:t>
      </w:r>
      <w:r w:rsidRPr="005D65CE">
        <w:tab/>
        <w:t>Les atteintes à la dignité des personnes, notamment les traitements humiliants et dégradants.</w:t>
      </w:r>
    </w:p>
    <w:p w:rsidR="002D42EF" w:rsidRPr="005D65CE" w:rsidRDefault="002D42EF" w:rsidP="002D42EF">
      <w:pPr>
        <w:pStyle w:val="SingleTxtG"/>
      </w:pPr>
      <w:r w:rsidRPr="005D65CE">
        <w:t>60.</w:t>
      </w:r>
      <w:r w:rsidRPr="005D65CE">
        <w:tab/>
        <w:t xml:space="preserve">Pour </w:t>
      </w:r>
      <w:r>
        <w:t xml:space="preserve">ce qui est de </w:t>
      </w:r>
      <w:r w:rsidRPr="005D65CE">
        <w:t>l’application de cet article 19, l’équivalent de l’article 3 de la Convention, il est interdit d</w:t>
      </w:r>
      <w:r>
        <w:t>’expulser une personne vers un É</w:t>
      </w:r>
      <w:r w:rsidRPr="005D65CE">
        <w:t>tat où elle pourrait courir un risque réel d’être soumise à la torture. Il ne sera pas procédé à un renvoi d’</w:t>
      </w:r>
      <w:r>
        <w:t xml:space="preserve">un </w:t>
      </w:r>
      <w:r w:rsidRPr="005D65CE">
        <w:t xml:space="preserve">individu dans un autre pays en vertu d’une mesure d’extradition, d’expulsion ou de refoulement, lorsque ce pays est notoirement reconnu comme tortionnaire. </w:t>
      </w:r>
    </w:p>
    <w:p w:rsidR="002D42EF" w:rsidRPr="005D65CE" w:rsidRDefault="002D42EF" w:rsidP="002D42EF">
      <w:pPr>
        <w:pStyle w:val="SingleTxtG"/>
      </w:pPr>
      <w:r w:rsidRPr="005D65CE">
        <w:t>61.</w:t>
      </w:r>
      <w:r w:rsidRPr="005D65CE">
        <w:tab/>
        <w:t>Cependant, à défaut d’extradition ou d’expulsion, les autorités malgaches doivent veiller à ce que les auteurs d’actes de tortures ou de traitements cruels, inhumains ou dégradants soient jugés devant les tribunaux suivant la législation en vigueur.</w:t>
      </w:r>
    </w:p>
    <w:p w:rsidR="002D42EF" w:rsidRPr="005D65CE" w:rsidRDefault="002D42EF" w:rsidP="002D42EF">
      <w:pPr>
        <w:pStyle w:val="SingleTxtG"/>
      </w:pPr>
      <w:r w:rsidRPr="005D65CE">
        <w:t>62.</w:t>
      </w:r>
      <w:r w:rsidRPr="005D65CE">
        <w:tab/>
        <w:t>L’obligation de poursuivre l’auteur présumé d’actes de torture ne dépend pas de l’existence préalable d’une demande d’extradition à son encontre. Madagascar poursuivra</w:t>
      </w:r>
      <w:r>
        <w:t xml:space="preserve"> </w:t>
      </w:r>
      <w:r w:rsidRPr="005D65CE">
        <w:t xml:space="preserve">en justice un tortionnaire présumé en l’absence de </w:t>
      </w:r>
      <w:r>
        <w:t xml:space="preserve">toute </w:t>
      </w:r>
      <w:r w:rsidRPr="005D65CE">
        <w:t>demande d’extradition, sauf si les éléments de preuve pour le poursuivre sont insuffisants.</w:t>
      </w:r>
    </w:p>
    <w:p w:rsidR="002D42EF" w:rsidRPr="005D65CE" w:rsidRDefault="002D42EF" w:rsidP="002D42EF">
      <w:pPr>
        <w:pStyle w:val="SingleTxtG"/>
      </w:pPr>
      <w:r w:rsidRPr="005D65CE">
        <w:t>63.</w:t>
      </w:r>
      <w:r w:rsidRPr="005D65CE">
        <w:tab/>
        <w:t>Selon l’Article 4 de l’Accord de coopération franco-malagasy de 1973, tous les faits qualifiés de crime peuvent entraîner l’extradition de son auteur et l’Article 6 prévoit la Protection et l’Assistance internes du présumé coupable.</w:t>
      </w:r>
    </w:p>
    <w:p w:rsidR="002D42EF" w:rsidRPr="005D65CE" w:rsidRDefault="002D42EF" w:rsidP="002D42EF">
      <w:pPr>
        <w:pStyle w:val="SingleTxtG"/>
      </w:pPr>
      <w:r w:rsidRPr="005D65CE">
        <w:t>64.</w:t>
      </w:r>
      <w:r w:rsidRPr="005D65CE">
        <w:tab/>
        <w:t xml:space="preserve">A défaut, l’Administration judiciaire peut aussi appliquer les dispositions du </w:t>
      </w:r>
      <w:r w:rsidRPr="001901A8">
        <w:t xml:space="preserve">Traité type des Nations </w:t>
      </w:r>
      <w:r w:rsidRPr="00591BC9">
        <w:t>Unies 45116</w:t>
      </w:r>
      <w:r w:rsidRPr="001901A8">
        <w:t>.</w:t>
      </w:r>
    </w:p>
    <w:p w:rsidR="002D42EF" w:rsidRPr="005D65CE" w:rsidRDefault="002D42EF" w:rsidP="002D42EF">
      <w:pPr>
        <w:pStyle w:val="SingleTxtG"/>
      </w:pPr>
      <w:r w:rsidRPr="005D65CE">
        <w:t>65.</w:t>
      </w:r>
      <w:r w:rsidRPr="005D65CE">
        <w:tab/>
      </w:r>
      <w:r>
        <w:t>À</w:t>
      </w:r>
      <w:r w:rsidRPr="005D65CE">
        <w:t xml:space="preserve"> la question de savoir si la législation et les pratiques adoptées en matière de terrorisme, d’état d’exception, de sécurité nationale ou autres constituent un obstacle à la mise en œuvre de cette interdiction, Madagascar n’est pas, à ce jour, confronté à de telles situations.</w:t>
      </w:r>
    </w:p>
    <w:p w:rsidR="002D42EF" w:rsidRPr="005D65CE" w:rsidRDefault="002D42EF" w:rsidP="002D42EF">
      <w:pPr>
        <w:pStyle w:val="SingleTxtG"/>
      </w:pPr>
      <w:r w:rsidRPr="005D65CE">
        <w:t>66.</w:t>
      </w:r>
      <w:r w:rsidRPr="005D65CE">
        <w:tab/>
        <w:t>Le refoulement</w:t>
      </w:r>
      <w:r w:rsidRPr="00321C7A">
        <w:rPr>
          <w:sz w:val="18"/>
          <w:szCs w:val="18"/>
          <w:vertAlign w:val="superscript"/>
        </w:rPr>
        <w:footnoteReference w:id="4"/>
      </w:r>
      <w:r w:rsidRPr="005D65CE">
        <w:t xml:space="preserve"> ou l’expulsion d’un étranger </w:t>
      </w:r>
      <w:r>
        <w:t>sont</w:t>
      </w:r>
      <w:r w:rsidRPr="005D65CE">
        <w:t xml:space="preserve"> organisé</w:t>
      </w:r>
      <w:r>
        <w:t>s</w:t>
      </w:r>
      <w:r w:rsidRPr="005D65CE">
        <w:t xml:space="preserve"> suivant les formes et conditions prévues aux articles 12 à 14 de la Loi </w:t>
      </w:r>
      <w:r w:rsidRPr="00C14D2A">
        <w:t>n</w:t>
      </w:r>
      <w:r w:rsidRPr="00C14D2A">
        <w:rPr>
          <w:vertAlign w:val="superscript"/>
        </w:rPr>
        <w:t>o</w:t>
      </w:r>
      <w:r>
        <w:t xml:space="preserve"> 62-006 du </w:t>
      </w:r>
      <w:r w:rsidRPr="005D65CE">
        <w:t>6 juin 1962 fixant l’organisation et le contrôle de l’immigration.</w:t>
      </w:r>
    </w:p>
    <w:p w:rsidR="002D42EF" w:rsidRPr="005D65CE" w:rsidRDefault="002D42EF" w:rsidP="00C208E4">
      <w:pPr>
        <w:pStyle w:val="H23G"/>
        <w:numPr>
          <w:ilvl w:val="2"/>
          <w:numId w:val="10"/>
        </w:numPr>
      </w:pPr>
      <w:r w:rsidRPr="005D65CE">
        <w:t xml:space="preserve">Autorité habilitée à prononcer l’extradition </w:t>
      </w:r>
    </w:p>
    <w:p w:rsidR="002D42EF" w:rsidRPr="005D65CE" w:rsidRDefault="002D42EF" w:rsidP="002D42EF">
      <w:pPr>
        <w:pStyle w:val="SingleTxtG"/>
      </w:pPr>
      <w:r w:rsidRPr="005D65CE">
        <w:t>67.</w:t>
      </w:r>
      <w:r w:rsidRPr="005D65CE">
        <w:tab/>
        <w:t>En matière d’extradition, le Ministre de la Justice est l’autorité habilitée à prononcer l’extradition par Arrêté sur la base d’un Accord de coopération bilatéral d’extradition ou sur la base d’une entente diplomatique de réciprocité.</w:t>
      </w:r>
    </w:p>
    <w:p w:rsidR="002D42EF" w:rsidRPr="005D65CE" w:rsidRDefault="002D42EF" w:rsidP="002D42EF">
      <w:pPr>
        <w:pStyle w:val="SingleTxtG"/>
      </w:pPr>
      <w:r w:rsidRPr="005D65CE">
        <w:t>68.</w:t>
      </w:r>
      <w:r w:rsidRPr="005D65CE">
        <w:tab/>
        <w:t xml:space="preserve">L’extradition peut être refusée notamment </w:t>
      </w:r>
      <w:r>
        <w:t>dans les</w:t>
      </w:r>
      <w:r w:rsidRPr="005D65CE">
        <w:t xml:space="preserve"> cas </w:t>
      </w:r>
      <w:r>
        <w:t>suivants</w:t>
      </w:r>
      <w:r w:rsidRPr="005D65CE">
        <w:t>:</w:t>
      </w:r>
    </w:p>
    <w:p w:rsidR="002D42EF" w:rsidRPr="005D65CE" w:rsidRDefault="002D42EF" w:rsidP="002D42EF">
      <w:pPr>
        <w:pStyle w:val="Bullet1G"/>
        <w:numPr>
          <w:ilvl w:val="0"/>
          <w:numId w:val="1"/>
        </w:numPr>
      </w:pPr>
      <w:r>
        <w:t xml:space="preserve">Infractions politiques </w:t>
      </w:r>
      <w:r w:rsidRPr="005D65CE">
        <w:t>ou connexes à celles-ci;</w:t>
      </w:r>
    </w:p>
    <w:p w:rsidR="002D42EF" w:rsidRPr="005D65CE" w:rsidRDefault="002D42EF" w:rsidP="002D42EF">
      <w:pPr>
        <w:pStyle w:val="Bullet1G"/>
        <w:numPr>
          <w:ilvl w:val="0"/>
          <w:numId w:val="1"/>
        </w:numPr>
      </w:pPr>
      <w:r>
        <w:t>A</w:t>
      </w:r>
      <w:r w:rsidRPr="005D65CE">
        <w:t>bsence de double incrimination;</w:t>
      </w:r>
    </w:p>
    <w:p w:rsidR="002D42EF" w:rsidRPr="005D65CE" w:rsidRDefault="002D42EF" w:rsidP="002D42EF">
      <w:pPr>
        <w:pStyle w:val="Bullet1G"/>
        <w:numPr>
          <w:ilvl w:val="0"/>
          <w:numId w:val="1"/>
        </w:numPr>
      </w:pPr>
      <w:r>
        <w:t>I</w:t>
      </w:r>
      <w:r w:rsidRPr="005D65CE">
        <w:t>nfractions considérées comme manquement</w:t>
      </w:r>
      <w:r>
        <w:t>s</w:t>
      </w:r>
      <w:r w:rsidRPr="005D65CE">
        <w:t xml:space="preserve"> aux obligations militaires;</w:t>
      </w:r>
    </w:p>
    <w:p w:rsidR="002D42EF" w:rsidRPr="005D65CE" w:rsidRDefault="002D42EF" w:rsidP="002D42EF">
      <w:pPr>
        <w:pStyle w:val="Bullet1G"/>
        <w:numPr>
          <w:ilvl w:val="0"/>
          <w:numId w:val="1"/>
        </w:numPr>
      </w:pPr>
      <w:r>
        <w:t>I</w:t>
      </w:r>
      <w:r w:rsidRPr="005D65CE">
        <w:t>nfractions déjà définitivement jugées par la juridiction malgache;</w:t>
      </w:r>
    </w:p>
    <w:p w:rsidR="002D42EF" w:rsidRPr="005D65CE" w:rsidRDefault="002D42EF" w:rsidP="002D42EF">
      <w:pPr>
        <w:pStyle w:val="Bullet1G"/>
        <w:numPr>
          <w:ilvl w:val="0"/>
          <w:numId w:val="1"/>
        </w:numPr>
      </w:pPr>
      <w:r>
        <w:t>P</w:t>
      </w:r>
      <w:r w:rsidRPr="005D65CE">
        <w:t>rescription de l’action ou de la peine suivant la légi</w:t>
      </w:r>
      <w:r>
        <w:t>slation malgache ou celle de l’É</w:t>
      </w:r>
      <w:r w:rsidRPr="005D65CE">
        <w:t>tat requérant;</w:t>
      </w:r>
    </w:p>
    <w:p w:rsidR="002D42EF" w:rsidRPr="005D65CE" w:rsidRDefault="002D42EF" w:rsidP="002D42EF">
      <w:pPr>
        <w:pStyle w:val="Bullet1G"/>
        <w:numPr>
          <w:ilvl w:val="0"/>
          <w:numId w:val="1"/>
        </w:numPr>
      </w:pPr>
      <w:r>
        <w:t>I</w:t>
      </w:r>
      <w:r w:rsidRPr="005D65CE">
        <w:t>nfractions commises en to</w:t>
      </w:r>
      <w:r>
        <w:t xml:space="preserve">talité </w:t>
      </w:r>
      <w:r w:rsidRPr="005D65CE">
        <w:t>ou en partie sur le territoire malgache;</w:t>
      </w:r>
    </w:p>
    <w:p w:rsidR="002D42EF" w:rsidRPr="005D65CE" w:rsidRDefault="002D42EF" w:rsidP="002D42EF">
      <w:pPr>
        <w:pStyle w:val="Bullet1G"/>
        <w:numPr>
          <w:ilvl w:val="0"/>
          <w:numId w:val="1"/>
        </w:numPr>
      </w:pPr>
      <w:r>
        <w:t>A</w:t>
      </w:r>
      <w:r w:rsidRPr="005D65CE">
        <w:t>mnistie</w:t>
      </w:r>
      <w:r>
        <w:t xml:space="preserve"> prononcée dans l’un des deux É</w:t>
      </w:r>
      <w:r w:rsidRPr="005D65CE">
        <w:t>tats</w:t>
      </w:r>
      <w:r>
        <w:t>.</w:t>
      </w:r>
    </w:p>
    <w:p w:rsidR="002D42EF" w:rsidRPr="005D65CE" w:rsidRDefault="002D42EF" w:rsidP="002D42EF">
      <w:pPr>
        <w:pStyle w:val="SingleTxtG"/>
      </w:pPr>
      <w:r w:rsidRPr="005D65CE">
        <w:t>69.</w:t>
      </w:r>
      <w:r w:rsidRPr="005D65CE">
        <w:tab/>
        <w:t xml:space="preserve">L’expulsion et le refoulement d’un étranger sont prononcés par Arrêté du Ministre de l’Intérieur, si sa résidence dans le pays constitue une menace pour le maintien de l’ordre public, la protection de la santé, la moralité ou la sécurité publique ou si son entrée est irrégulière ou </w:t>
      </w:r>
      <w:r>
        <w:t>si l’autorisation d</w:t>
      </w:r>
      <w:r w:rsidRPr="005D65CE">
        <w:t>e séjour</w:t>
      </w:r>
      <w:r>
        <w:t xml:space="preserve"> qui </w:t>
      </w:r>
      <w:r w:rsidRPr="005D65CE">
        <w:t xml:space="preserve">lui </w:t>
      </w:r>
      <w:r>
        <w:t xml:space="preserve">a été </w:t>
      </w:r>
      <w:r w:rsidRPr="005D65CE">
        <w:t>accordé</w:t>
      </w:r>
      <w:r>
        <w:t>e</w:t>
      </w:r>
      <w:r w:rsidRPr="005D65CE">
        <w:t xml:space="preserve"> est expiré</w:t>
      </w:r>
      <w:r>
        <w:t>e</w:t>
      </w:r>
      <w:r w:rsidRPr="005D65CE">
        <w:t xml:space="preserve">. </w:t>
      </w:r>
    </w:p>
    <w:p w:rsidR="002D42EF" w:rsidRPr="005D65CE" w:rsidRDefault="002D42EF" w:rsidP="00C208E4">
      <w:pPr>
        <w:pStyle w:val="H23G"/>
        <w:numPr>
          <w:ilvl w:val="2"/>
          <w:numId w:val="10"/>
        </w:numPr>
      </w:pPr>
      <w:r w:rsidRPr="005D65CE">
        <w:t>Recours contre une décision d’expulsion ou de refoulement</w:t>
      </w:r>
    </w:p>
    <w:p w:rsidR="002D42EF" w:rsidRPr="005D65CE" w:rsidRDefault="002D42EF" w:rsidP="002D42EF">
      <w:pPr>
        <w:pStyle w:val="SingleTxtG"/>
      </w:pPr>
      <w:r w:rsidRPr="005D65CE">
        <w:t>70.</w:t>
      </w:r>
      <w:r w:rsidRPr="005D65CE">
        <w:tab/>
        <w:t>Tout étranger expulsé ou refoulé qui désire que la décision soit remise en cause a le droit d’être entendu par une commission spéciale, assisté ou non de son conseil, huit jours après la notification</w:t>
      </w:r>
      <w:r>
        <w:t xml:space="preserve"> de la décision</w:t>
      </w:r>
      <w:r w:rsidRPr="005D65CE">
        <w:t>. Jusqu’à la décision du Ministère de l’Intérieur sur le report ou non, l’expulsion est suspendue.</w:t>
      </w:r>
    </w:p>
    <w:p w:rsidR="002D42EF" w:rsidRPr="005D65CE" w:rsidRDefault="002D42EF" w:rsidP="002D42EF">
      <w:pPr>
        <w:pStyle w:val="SingleTxtG"/>
      </w:pPr>
      <w:r w:rsidRPr="005D65CE">
        <w:t>71.</w:t>
      </w:r>
      <w:r w:rsidRPr="005D65CE">
        <w:tab/>
        <w:t>En cas de rejet de la demande de remise en cause, le plai</w:t>
      </w:r>
      <w:r>
        <w:t>gnant peut saisir le Conseil d’É</w:t>
      </w:r>
      <w:r w:rsidRPr="005D65CE">
        <w:t>tat.</w:t>
      </w:r>
    </w:p>
    <w:p w:rsidR="002D42EF" w:rsidRPr="005D65CE" w:rsidRDefault="002D42EF" w:rsidP="002D42EF">
      <w:pPr>
        <w:pStyle w:val="SingleTxtG"/>
      </w:pPr>
      <w:r w:rsidRPr="005D65CE">
        <w:t>72.</w:t>
      </w:r>
      <w:r w:rsidRPr="005D65CE">
        <w:tab/>
        <w:t xml:space="preserve">La conduite des étrangers expulsés ou refoulés à la frontière est à la charge de la Police Nationale. </w:t>
      </w:r>
    </w:p>
    <w:p w:rsidR="002D42EF" w:rsidRPr="005D65CE" w:rsidRDefault="002D42EF" w:rsidP="002D42EF">
      <w:pPr>
        <w:pStyle w:val="SingleTxtG"/>
      </w:pPr>
      <w:r w:rsidRPr="005D65CE">
        <w:t>73.</w:t>
      </w:r>
      <w:r w:rsidRPr="005D65CE">
        <w:tab/>
      </w:r>
      <w:r>
        <w:t>À</w:t>
      </w:r>
      <w:r w:rsidRPr="005D65CE">
        <w:t xml:space="preserve"> ce jour, Madagascar n’a procédé à aucun cas de refoulement, d’expulsion ni d’extraditio</w:t>
      </w:r>
      <w:r>
        <w:t>n d’une personne vers un autre É</w:t>
      </w:r>
      <w:r w:rsidRPr="005D65CE">
        <w:t xml:space="preserve">tat où il y a des motifs sérieux de croire qu’elle risque d’être soumise à la torture. Aucune demande dans ce sens n’a été adressée au Gouvernement malgache. </w:t>
      </w:r>
    </w:p>
    <w:p w:rsidR="002D42EF" w:rsidRPr="005D65CE" w:rsidRDefault="002D42EF" w:rsidP="00C208E4">
      <w:pPr>
        <w:pStyle w:val="H23G"/>
        <w:numPr>
          <w:ilvl w:val="2"/>
          <w:numId w:val="10"/>
        </w:numPr>
      </w:pPr>
      <w:r w:rsidRPr="005D65CE">
        <w:t>Formation spécialisée des respons</w:t>
      </w:r>
      <w:r>
        <w:t>ables en charge de l’expulsion,</w:t>
      </w:r>
      <w:r>
        <w:br/>
      </w:r>
      <w:r w:rsidRPr="005D65CE">
        <w:t xml:space="preserve">du refoulement ou de l’extradition des étrangers </w:t>
      </w:r>
    </w:p>
    <w:p w:rsidR="002D42EF" w:rsidRPr="005D65CE" w:rsidRDefault="002D42EF" w:rsidP="002D42EF">
      <w:pPr>
        <w:pStyle w:val="SingleTxtG"/>
      </w:pPr>
      <w:r w:rsidRPr="005D65CE">
        <w:t>74.</w:t>
      </w:r>
      <w:r w:rsidRPr="005D65CE">
        <w:tab/>
        <w:t xml:space="preserve">En l’état actuel, il n’existe pas de formation spécifique dispensée aux fonctionnaires en charge de l’expulsion, du refoulement ou de l’extradition des étrangers. Par contre, de telles formations sont intégrées dans </w:t>
      </w:r>
      <w:r w:rsidRPr="00D815B9">
        <w:t>d’autres modules d’enseignement destinés aux</w:t>
      </w:r>
      <w:r>
        <w:t xml:space="preserve"> </w:t>
      </w:r>
      <w:r w:rsidRPr="005D65CE">
        <w:t>responsables de l’application de</w:t>
      </w:r>
      <w:r>
        <w:t>s</w:t>
      </w:r>
      <w:r w:rsidRPr="005D65CE">
        <w:t xml:space="preserve"> loi</w:t>
      </w:r>
      <w:r>
        <w:t>s</w:t>
      </w:r>
      <w:r w:rsidRPr="005D65CE">
        <w:t xml:space="preserve">. </w:t>
      </w:r>
    </w:p>
    <w:p w:rsidR="002D42EF" w:rsidRPr="000151F6" w:rsidRDefault="002D42EF" w:rsidP="002D42EF">
      <w:pPr>
        <w:pStyle w:val="SingleTxtG"/>
        <w:ind w:left="1701"/>
        <w:jc w:val="left"/>
        <w:rPr>
          <w:b/>
        </w:rPr>
      </w:pPr>
      <w:r w:rsidRPr="000151F6">
        <w:rPr>
          <w:b/>
          <w:bCs/>
        </w:rPr>
        <w:t>A</w:t>
      </w:r>
      <w:r w:rsidRPr="000151F6">
        <w:rPr>
          <w:b/>
        </w:rPr>
        <w:t>rticle 4</w:t>
      </w:r>
      <w:r w:rsidRPr="000151F6">
        <w:rPr>
          <w:b/>
        </w:rPr>
        <w:br/>
        <w:t>Incrimination et répression de la torture et de la tentative de torture</w:t>
      </w:r>
    </w:p>
    <w:p w:rsidR="002D42EF" w:rsidRPr="000151F6" w:rsidRDefault="002D42EF" w:rsidP="002D42EF">
      <w:pPr>
        <w:pStyle w:val="SingleTxtG"/>
        <w:ind w:left="1701"/>
        <w:rPr>
          <w:b/>
        </w:rPr>
      </w:pPr>
      <w:r w:rsidRPr="000151F6">
        <w:rPr>
          <w:b/>
        </w:rPr>
        <w:t xml:space="preserve">«1. </w:t>
      </w:r>
      <w:r>
        <w:rPr>
          <w:b/>
        </w:rPr>
        <w:tab/>
        <w:t>Tout É</w:t>
      </w:r>
      <w:r w:rsidRPr="000151F6">
        <w:rPr>
          <w:b/>
        </w:rPr>
        <w:t>tat partie veille à ce que tous les actes de torture constituent des infractions au regard de son droit pénal. Il en est de même de la tentative de pratiquer la torture ou de tout acte commis par n’importe quelle personne qui constitue une complicité ou une participation à l’acte de torture.</w:t>
      </w:r>
    </w:p>
    <w:p w:rsidR="002D42EF" w:rsidRPr="005D65CE" w:rsidRDefault="002D42EF" w:rsidP="002D42EF">
      <w:pPr>
        <w:pStyle w:val="SingleTxtG"/>
        <w:ind w:left="1701"/>
        <w:rPr>
          <w:b/>
          <w:bCs/>
          <w:iCs/>
        </w:rPr>
      </w:pPr>
      <w:r w:rsidRPr="005D65CE">
        <w:rPr>
          <w:b/>
          <w:bCs/>
          <w:iCs/>
        </w:rPr>
        <w:t xml:space="preserve">2. </w:t>
      </w:r>
      <w:r>
        <w:rPr>
          <w:b/>
          <w:bCs/>
          <w:iCs/>
        </w:rPr>
        <w:tab/>
        <w:t>Tout É</w:t>
      </w:r>
      <w:r w:rsidRPr="005D65CE">
        <w:rPr>
          <w:b/>
          <w:bCs/>
          <w:iCs/>
        </w:rPr>
        <w:t>tat partie rend ces infractions passibles de peines appropriées qui prennent en considération leur gravité</w:t>
      </w:r>
      <w:r>
        <w:rPr>
          <w:b/>
          <w:bCs/>
          <w:iCs/>
        </w:rPr>
        <w:t>.</w:t>
      </w:r>
      <w:r w:rsidRPr="005D65CE">
        <w:rPr>
          <w:b/>
          <w:bCs/>
          <w:iCs/>
        </w:rPr>
        <w:t>»</w:t>
      </w:r>
    </w:p>
    <w:p w:rsidR="002D42EF" w:rsidRPr="005D65CE" w:rsidRDefault="002D42EF" w:rsidP="00C208E4">
      <w:pPr>
        <w:pStyle w:val="H23G"/>
        <w:numPr>
          <w:ilvl w:val="2"/>
          <w:numId w:val="10"/>
        </w:numPr>
      </w:pPr>
      <w:r w:rsidRPr="005D65CE">
        <w:t>Dispositions pénales relatives à l’interdiction</w:t>
      </w:r>
      <w:r>
        <w:t xml:space="preserve"> de la torture et autres peines</w:t>
      </w:r>
      <w:r>
        <w:br/>
      </w:r>
      <w:r w:rsidRPr="005D65CE">
        <w:t>ou mauvais traitements cruels, inhumains ou dégradants</w:t>
      </w:r>
    </w:p>
    <w:p w:rsidR="002D42EF" w:rsidRPr="005D65CE" w:rsidRDefault="002D42EF" w:rsidP="002D42EF">
      <w:pPr>
        <w:pStyle w:val="SingleTxtG"/>
      </w:pPr>
      <w:r w:rsidRPr="005D65CE">
        <w:t>75.</w:t>
      </w:r>
      <w:r w:rsidRPr="005D65CE">
        <w:tab/>
        <w:t>La loi nationale antitorture a érigé en infraction</w:t>
      </w:r>
      <w:r>
        <w:t>s</w:t>
      </w:r>
      <w:r w:rsidRPr="005D65CE">
        <w:t xml:space="preserve"> pénale</w:t>
      </w:r>
      <w:r>
        <w:t>s</w:t>
      </w:r>
      <w:r w:rsidRPr="005D65CE">
        <w:t xml:space="preserve"> autonome</w:t>
      </w:r>
      <w:r>
        <w:t>s</w:t>
      </w:r>
      <w:r w:rsidRPr="005D65CE">
        <w:t xml:space="preserve"> les actes de torture et autres peines ou traitements cruels, inhumains ou dégradants. Des peines appropriées sont encourues suivant la gravité des actes. </w:t>
      </w:r>
    </w:p>
    <w:p w:rsidR="002D42EF" w:rsidRPr="005D65CE" w:rsidRDefault="002D42EF" w:rsidP="002D42EF">
      <w:pPr>
        <w:pStyle w:val="SingleTxtG"/>
      </w:pPr>
      <w:r w:rsidRPr="005D65CE">
        <w:t>76.</w:t>
      </w:r>
      <w:r w:rsidRPr="005D65CE">
        <w:tab/>
        <w:t>Les actes de torture sont passibles des peines prévu</w:t>
      </w:r>
      <w:r>
        <w:t>e</w:t>
      </w:r>
      <w:r w:rsidRPr="005D65CE">
        <w:t xml:space="preserve">s aux articles 10 à 12. </w:t>
      </w:r>
    </w:p>
    <w:p w:rsidR="002D42EF" w:rsidRPr="005D65CE" w:rsidRDefault="002D42EF" w:rsidP="002D42EF">
      <w:pPr>
        <w:pStyle w:val="SingleTxtG"/>
        <w:ind w:left="1701"/>
        <w:rPr>
          <w:i/>
        </w:rPr>
      </w:pPr>
      <w:r>
        <w:t xml:space="preserve">Article 10: </w:t>
      </w:r>
      <w:r w:rsidRPr="00441285">
        <w:t>«</w:t>
      </w:r>
      <w:r w:rsidRPr="005D65CE">
        <w:rPr>
          <w:i/>
        </w:rPr>
        <w:t xml:space="preserve">Quiconque aura commis l’acte visé à l’article 2 </w:t>
      </w:r>
      <w:r w:rsidRPr="005D65CE">
        <w:t>(actes de torture)</w:t>
      </w:r>
      <w:r w:rsidRPr="005D65CE">
        <w:rPr>
          <w:i/>
        </w:rPr>
        <w:t xml:space="preserve"> de la présente loi sera puni de 2 à 5 ans d’emprisonnement</w:t>
      </w:r>
      <w:r>
        <w:rPr>
          <w:i/>
        </w:rPr>
        <w:t>.</w:t>
      </w:r>
      <w:r w:rsidRPr="00441285">
        <w:t>»</w:t>
      </w:r>
    </w:p>
    <w:p w:rsidR="002D42EF" w:rsidRPr="005D65CE" w:rsidRDefault="002D42EF" w:rsidP="002D42EF">
      <w:pPr>
        <w:pStyle w:val="SingleTxtG"/>
        <w:ind w:left="1701"/>
        <w:rPr>
          <w:i/>
        </w:rPr>
      </w:pPr>
      <w:r>
        <w:t xml:space="preserve">Article 11: </w:t>
      </w:r>
      <w:r w:rsidRPr="00441285">
        <w:t>«</w:t>
      </w:r>
      <w:r w:rsidRPr="005D65CE">
        <w:rPr>
          <w:i/>
        </w:rPr>
        <w:t xml:space="preserve">I. La peine encourue est de 5 à 10 ans d’emprisonnement </w:t>
      </w:r>
    </w:p>
    <w:p w:rsidR="002D42EF" w:rsidRPr="005D65CE" w:rsidRDefault="002D42EF" w:rsidP="002D42EF">
      <w:pPr>
        <w:pStyle w:val="SingleTxtG"/>
        <w:ind w:left="1701"/>
        <w:rPr>
          <w:i/>
        </w:rPr>
      </w:pPr>
      <w:r>
        <w:rPr>
          <w:i/>
        </w:rPr>
        <w:t>1.</w:t>
      </w:r>
      <w:r>
        <w:rPr>
          <w:i/>
        </w:rPr>
        <w:tab/>
      </w:r>
      <w:r w:rsidRPr="005D65CE">
        <w:rPr>
          <w:i/>
        </w:rPr>
        <w:t>Si l’acte de torture a été commis sur un mineur de moins de 18 ans ou sur une femme enceinte en état de grossesse apparente ou connue de l’auteur.</w:t>
      </w:r>
    </w:p>
    <w:p w:rsidR="002D42EF" w:rsidRPr="005D65CE" w:rsidRDefault="002D42EF" w:rsidP="002D42EF">
      <w:pPr>
        <w:pStyle w:val="SingleTxtG"/>
        <w:ind w:left="1701"/>
        <w:rPr>
          <w:i/>
        </w:rPr>
      </w:pPr>
      <w:r>
        <w:rPr>
          <w:i/>
        </w:rPr>
        <w:t>2.</w:t>
      </w:r>
      <w:r>
        <w:rPr>
          <w:i/>
        </w:rPr>
        <w:tab/>
      </w:r>
      <w:r w:rsidRPr="005D65CE">
        <w:rPr>
          <w:i/>
        </w:rPr>
        <w:t>Si l’acte de torture a été commis à l’aide d’appareil spécifiquement destiné à la torture.</w:t>
      </w:r>
    </w:p>
    <w:p w:rsidR="002D42EF" w:rsidRPr="005D65CE" w:rsidRDefault="002D42EF" w:rsidP="002D42EF">
      <w:pPr>
        <w:pStyle w:val="SingleTxtG"/>
        <w:ind w:left="1701"/>
        <w:outlineLvl w:val="0"/>
        <w:rPr>
          <w:i/>
        </w:rPr>
      </w:pPr>
      <w:r>
        <w:rPr>
          <w:i/>
        </w:rPr>
        <w:t>II.</w:t>
      </w:r>
      <w:r>
        <w:rPr>
          <w:i/>
        </w:rPr>
        <w:tab/>
      </w:r>
      <w:r w:rsidRPr="005D65CE">
        <w:rPr>
          <w:i/>
        </w:rPr>
        <w:t>La peine encourue est celle des travaux forcés à temps:</w:t>
      </w:r>
    </w:p>
    <w:p w:rsidR="002D42EF" w:rsidRPr="005D65CE" w:rsidRDefault="002D42EF" w:rsidP="002D42EF">
      <w:pPr>
        <w:pStyle w:val="SingleTxtG"/>
        <w:ind w:left="1701"/>
        <w:rPr>
          <w:i/>
        </w:rPr>
      </w:pPr>
      <w:r>
        <w:rPr>
          <w:i/>
        </w:rPr>
        <w:t>1.</w:t>
      </w:r>
      <w:r>
        <w:rPr>
          <w:i/>
        </w:rPr>
        <w:tab/>
      </w:r>
      <w:r w:rsidRPr="005D65CE">
        <w:rPr>
          <w:i/>
        </w:rPr>
        <w:t>Si l’acte de torture a entrainé l’infirmité de la victime</w:t>
      </w:r>
    </w:p>
    <w:p w:rsidR="002D42EF" w:rsidRPr="005D65CE" w:rsidRDefault="002D42EF" w:rsidP="002D42EF">
      <w:pPr>
        <w:pStyle w:val="SingleTxtG"/>
        <w:ind w:left="1701"/>
        <w:rPr>
          <w:i/>
        </w:rPr>
      </w:pPr>
      <w:r>
        <w:rPr>
          <w:i/>
        </w:rPr>
        <w:t>2.</w:t>
      </w:r>
      <w:r>
        <w:rPr>
          <w:i/>
        </w:rPr>
        <w:tab/>
      </w:r>
      <w:r w:rsidRPr="005D65CE">
        <w:rPr>
          <w:i/>
        </w:rPr>
        <w:t>Si l’acte de torture a été suivi de mutilation, amputation, privation de l’usage d’un organe de sens, de la perte de l’organe de reproduction.</w:t>
      </w:r>
    </w:p>
    <w:p w:rsidR="002D42EF" w:rsidRPr="005D65CE" w:rsidRDefault="002D42EF" w:rsidP="002D42EF">
      <w:pPr>
        <w:pStyle w:val="SingleTxtG"/>
        <w:ind w:left="1701"/>
        <w:outlineLvl w:val="0"/>
        <w:rPr>
          <w:i/>
        </w:rPr>
      </w:pPr>
      <w:r w:rsidRPr="005D65CE">
        <w:rPr>
          <w:i/>
        </w:rPr>
        <w:t>III.</w:t>
      </w:r>
      <w:r>
        <w:rPr>
          <w:i/>
        </w:rPr>
        <w:tab/>
      </w:r>
      <w:r w:rsidRPr="005D65CE">
        <w:rPr>
          <w:i/>
        </w:rPr>
        <w:t>L’auteur encourt la peine de travaux forcés à perpétuité si l’acte de torture a entrainé la mort de la victime ou s’il a été suivi ou précédé d’un viol.</w:t>
      </w:r>
      <w:r w:rsidRPr="00441285">
        <w:t>»</w:t>
      </w:r>
    </w:p>
    <w:p w:rsidR="002D42EF" w:rsidRPr="005D65CE" w:rsidRDefault="002D42EF" w:rsidP="002D42EF">
      <w:pPr>
        <w:pStyle w:val="SingleTxtG"/>
        <w:ind w:left="1701"/>
      </w:pPr>
      <w:r>
        <w:t xml:space="preserve">Article 12: </w:t>
      </w:r>
      <w:r w:rsidRPr="00441285">
        <w:t>«</w:t>
      </w:r>
      <w:r w:rsidRPr="005D65CE">
        <w:rPr>
          <w:i/>
        </w:rPr>
        <w:t>Sans préjudice des peines prévues aux articles 10 et 11 de la présente loi, la dégradation civique visée à l’article 34 du Code Pénal peut être prononcée en tout ou partie</w:t>
      </w:r>
      <w:r>
        <w:rPr>
          <w:i/>
        </w:rPr>
        <w:t>.</w:t>
      </w:r>
      <w:r w:rsidRPr="00441285">
        <w:t>»</w:t>
      </w:r>
    </w:p>
    <w:p w:rsidR="002D42EF" w:rsidRPr="005D65CE" w:rsidRDefault="002D42EF" w:rsidP="00C208E4">
      <w:pPr>
        <w:pStyle w:val="H23G"/>
        <w:numPr>
          <w:ilvl w:val="2"/>
          <w:numId w:val="10"/>
        </w:numPr>
      </w:pPr>
      <w:r w:rsidRPr="005D65CE">
        <w:t>Prescription des infractions de torture ou autres peines ou mauvais traitements cruels, inhumains ou dégradants</w:t>
      </w:r>
    </w:p>
    <w:p w:rsidR="002D42EF" w:rsidRPr="005D65CE" w:rsidRDefault="002D42EF" w:rsidP="002D42EF">
      <w:pPr>
        <w:pStyle w:val="SingleTxtG"/>
      </w:pPr>
      <w:r w:rsidRPr="005D65CE">
        <w:t>77.</w:t>
      </w:r>
      <w:r w:rsidRPr="005D65CE">
        <w:tab/>
        <w:t>La prescription de l’action publique pour les infractions de torture qualifiées de délit</w:t>
      </w:r>
      <w:r>
        <w:t>s</w:t>
      </w:r>
      <w:r w:rsidRPr="005D65CE">
        <w:t xml:space="preserve"> est de trois ans. Pour celles qualifiées de crime</w:t>
      </w:r>
      <w:r>
        <w:t>s</w:t>
      </w:r>
      <w:r w:rsidRPr="005D65CE">
        <w:t xml:space="preserve">, elle est de dix ans. </w:t>
      </w:r>
    </w:p>
    <w:p w:rsidR="002D42EF" w:rsidRPr="005D65CE" w:rsidRDefault="002D42EF" w:rsidP="002D42EF">
      <w:pPr>
        <w:pStyle w:val="SingleTxtG"/>
      </w:pPr>
      <w:r w:rsidRPr="005D65CE">
        <w:t>78.</w:t>
      </w:r>
      <w:r w:rsidRPr="005D65CE">
        <w:tab/>
        <w:t>En l’état actuel, Madagascar ne dispose pas encore de base de données sur l’application effective de cet article. Des efforts sont entrepris pour vulgariser le texte et former les responsables de l’application de la loi.</w:t>
      </w:r>
    </w:p>
    <w:p w:rsidR="002D42EF" w:rsidRPr="008B78E4" w:rsidRDefault="002D42EF" w:rsidP="00C208E4">
      <w:pPr>
        <w:pStyle w:val="H23G"/>
        <w:numPr>
          <w:ilvl w:val="2"/>
          <w:numId w:val="10"/>
        </w:numPr>
      </w:pPr>
      <w:r w:rsidRPr="008B78E4">
        <w:t>Mesures disciplinaires à l’encontre des fonctionnaires présumés avoir commis des actes de torture</w:t>
      </w:r>
    </w:p>
    <w:p w:rsidR="002D42EF" w:rsidRPr="005D65CE" w:rsidRDefault="002D42EF" w:rsidP="002D42EF">
      <w:pPr>
        <w:pStyle w:val="SingleTxtG"/>
      </w:pPr>
      <w:r w:rsidRPr="005D65CE">
        <w:t>79.</w:t>
      </w:r>
      <w:r w:rsidRPr="005D65CE">
        <w:tab/>
        <w:t>Les fonctionnaires responsables de l’application des lois font l’objet d’</w:t>
      </w:r>
      <w:r>
        <w:t xml:space="preserve">une </w:t>
      </w:r>
      <w:r w:rsidRPr="005D65CE">
        <w:t>enquête en cas de plainte pour atteinte à l’intégrité physique de la personne arrêtée. Outre la poursuite pénale, ils peuvent faire l’objet d’une poursuite disciplinaire.</w:t>
      </w:r>
    </w:p>
    <w:p w:rsidR="002D42EF" w:rsidRPr="005D65CE" w:rsidRDefault="002D42EF" w:rsidP="002D42EF">
      <w:pPr>
        <w:pStyle w:val="SingleTxtG"/>
      </w:pPr>
      <w:r w:rsidRPr="005D65CE">
        <w:t>80.</w:t>
      </w:r>
      <w:r w:rsidRPr="005D65CE">
        <w:tab/>
        <w:t>La poursuite de ces personnels nécessite toutefois une autorisation préalable. Pour les Gendarmes, cette autorisation émane du Ministre chargé de la Gendarmerie nationale. Quant à la Police Nationale, l’autorisation de poursuite est délivrée par le Ministre chargé de la Sécurité publique. Pour le Personnel Pénitentiaire, elle émane du Garde des Sceaux, Ministre de la Justice.</w:t>
      </w:r>
    </w:p>
    <w:p w:rsidR="002D42EF" w:rsidRPr="00AB7192" w:rsidRDefault="002D42EF" w:rsidP="00C208E4">
      <w:pPr>
        <w:pStyle w:val="H23G"/>
        <w:numPr>
          <w:ilvl w:val="2"/>
          <w:numId w:val="10"/>
        </w:numPr>
      </w:pPr>
      <w:r w:rsidRPr="00AB7192">
        <w:t>Proportionnalité de la peine par rapport à la gravité des faits</w:t>
      </w:r>
    </w:p>
    <w:p w:rsidR="002D42EF" w:rsidRPr="005D65CE" w:rsidRDefault="002D42EF" w:rsidP="002D42EF">
      <w:pPr>
        <w:pStyle w:val="SingleTxtG"/>
      </w:pPr>
      <w:r w:rsidRPr="005D65CE">
        <w:t>81.</w:t>
      </w:r>
      <w:r w:rsidRPr="005D65CE">
        <w:tab/>
        <w:t>Les sanctions prononcées sont proportionn</w:t>
      </w:r>
      <w:r>
        <w:t>ell</w:t>
      </w:r>
      <w:r w:rsidRPr="005D65CE">
        <w:t>es à</w:t>
      </w:r>
      <w:r>
        <w:t xml:space="preserve"> </w:t>
      </w:r>
      <w:r w:rsidRPr="005D65CE">
        <w:t xml:space="preserve">la gravité des faits reprochés. L’agent fautif encourt: </w:t>
      </w:r>
    </w:p>
    <w:p w:rsidR="002D42EF" w:rsidRPr="005D65CE" w:rsidRDefault="002D42EF" w:rsidP="002D42EF">
      <w:pPr>
        <w:pStyle w:val="Bullet1G"/>
        <w:numPr>
          <w:ilvl w:val="0"/>
          <w:numId w:val="1"/>
        </w:numPr>
      </w:pPr>
      <w:r w:rsidRPr="005D65CE">
        <w:t>L’avertissement;</w:t>
      </w:r>
    </w:p>
    <w:p w:rsidR="002D42EF" w:rsidRPr="005D65CE" w:rsidRDefault="002D42EF" w:rsidP="002D42EF">
      <w:pPr>
        <w:pStyle w:val="Bullet1G"/>
        <w:numPr>
          <w:ilvl w:val="0"/>
          <w:numId w:val="1"/>
        </w:numPr>
      </w:pPr>
      <w:r w:rsidRPr="005D65CE">
        <w:t>Le blâme;</w:t>
      </w:r>
    </w:p>
    <w:p w:rsidR="002D42EF" w:rsidRPr="005D65CE" w:rsidRDefault="002D42EF" w:rsidP="002D42EF">
      <w:pPr>
        <w:pStyle w:val="Bullet1G"/>
        <w:numPr>
          <w:ilvl w:val="0"/>
          <w:numId w:val="1"/>
        </w:numPr>
      </w:pPr>
      <w:r w:rsidRPr="005D65CE">
        <w:t>L’abaissement d’échelon;</w:t>
      </w:r>
    </w:p>
    <w:p w:rsidR="002D42EF" w:rsidRPr="005D65CE" w:rsidRDefault="002D42EF" w:rsidP="002D42EF">
      <w:pPr>
        <w:pStyle w:val="Bullet1G"/>
        <w:numPr>
          <w:ilvl w:val="0"/>
          <w:numId w:val="1"/>
        </w:numPr>
      </w:pPr>
      <w:r w:rsidRPr="005D65CE">
        <w:t>La suspension de fonction;</w:t>
      </w:r>
    </w:p>
    <w:p w:rsidR="002D42EF" w:rsidRPr="005D65CE" w:rsidRDefault="002D42EF" w:rsidP="002D42EF">
      <w:pPr>
        <w:pStyle w:val="Bullet1G"/>
        <w:numPr>
          <w:ilvl w:val="0"/>
          <w:numId w:val="1"/>
        </w:numPr>
      </w:pPr>
      <w:r w:rsidRPr="005D65CE">
        <w:t>L’exclusion temporaire de fonction;</w:t>
      </w:r>
    </w:p>
    <w:p w:rsidR="002D42EF" w:rsidRPr="005D65CE" w:rsidRDefault="002D42EF" w:rsidP="002D42EF">
      <w:pPr>
        <w:pStyle w:val="Bullet1G"/>
        <w:numPr>
          <w:ilvl w:val="0"/>
          <w:numId w:val="1"/>
        </w:numPr>
      </w:pPr>
      <w:r w:rsidRPr="005D65CE">
        <w:t>La mise à la retraite d’office;</w:t>
      </w:r>
    </w:p>
    <w:p w:rsidR="002D42EF" w:rsidRPr="005D65CE" w:rsidRDefault="002D42EF" w:rsidP="002D42EF">
      <w:pPr>
        <w:pStyle w:val="Bullet1G"/>
        <w:numPr>
          <w:ilvl w:val="0"/>
          <w:numId w:val="1"/>
        </w:numPr>
      </w:pPr>
      <w:r w:rsidRPr="005D65CE">
        <w:t>La révocation.</w:t>
      </w:r>
    </w:p>
    <w:p w:rsidR="002D42EF" w:rsidRPr="005D65CE" w:rsidRDefault="002D42EF" w:rsidP="002D42EF">
      <w:pPr>
        <w:pStyle w:val="SingleTxtG"/>
        <w:keepNext/>
        <w:ind w:left="1701"/>
        <w:jc w:val="left"/>
        <w:rPr>
          <w:b/>
        </w:rPr>
      </w:pPr>
      <w:r w:rsidRPr="005D65CE">
        <w:rPr>
          <w:b/>
        </w:rPr>
        <w:t>Article 5</w:t>
      </w:r>
      <w:r>
        <w:rPr>
          <w:b/>
        </w:rPr>
        <w:br/>
      </w:r>
      <w:r w:rsidRPr="005D65CE">
        <w:rPr>
          <w:b/>
        </w:rPr>
        <w:t>Compétence juridictionnelle</w:t>
      </w:r>
    </w:p>
    <w:p w:rsidR="002D42EF" w:rsidRPr="005D65CE" w:rsidRDefault="002D42EF" w:rsidP="002D42EF">
      <w:pPr>
        <w:pStyle w:val="SingleTxtG"/>
        <w:ind w:left="1701"/>
        <w:rPr>
          <w:b/>
          <w:bCs/>
          <w:iCs/>
        </w:rPr>
      </w:pPr>
      <w:r>
        <w:rPr>
          <w:b/>
          <w:bCs/>
          <w:iCs/>
        </w:rPr>
        <w:t xml:space="preserve">«1. </w:t>
      </w:r>
      <w:r>
        <w:rPr>
          <w:b/>
          <w:bCs/>
          <w:iCs/>
        </w:rPr>
        <w:tab/>
        <w:t>Tout É</w:t>
      </w:r>
      <w:r w:rsidRPr="005D65CE">
        <w:rPr>
          <w:b/>
          <w:bCs/>
          <w:iCs/>
        </w:rPr>
        <w:t>tat partie prend les mesures nécessaires pour établir sa compétence aux fins de connaître des infractions visées à l’article 4 dans les cas suivants:</w:t>
      </w:r>
    </w:p>
    <w:p w:rsidR="002D42EF" w:rsidRPr="00AB7192" w:rsidRDefault="002D42EF" w:rsidP="002D42EF">
      <w:pPr>
        <w:pStyle w:val="SingleTxtG"/>
        <w:ind w:left="1701" w:firstLine="567"/>
        <w:rPr>
          <w:b/>
          <w:bCs/>
          <w:iCs/>
          <w:spacing w:val="-2"/>
        </w:rPr>
      </w:pPr>
      <w:r w:rsidRPr="005D65CE">
        <w:rPr>
          <w:b/>
          <w:bCs/>
          <w:iCs/>
        </w:rPr>
        <w:t>a)</w:t>
      </w:r>
      <w:r w:rsidRPr="005D65CE">
        <w:rPr>
          <w:b/>
          <w:bCs/>
          <w:iCs/>
        </w:rPr>
        <w:tab/>
      </w:r>
      <w:r w:rsidRPr="00AB7192">
        <w:rPr>
          <w:b/>
          <w:bCs/>
          <w:iCs/>
          <w:spacing w:val="-2"/>
        </w:rPr>
        <w:t>Quand l’infraction a été commise sur tout territoire sous la juridiction dudit État ou à bord d’aéronef</w:t>
      </w:r>
      <w:r>
        <w:rPr>
          <w:b/>
          <w:bCs/>
          <w:iCs/>
          <w:spacing w:val="-2"/>
        </w:rPr>
        <w:t>s</w:t>
      </w:r>
      <w:r w:rsidRPr="00AB7192">
        <w:rPr>
          <w:b/>
          <w:bCs/>
          <w:iCs/>
          <w:spacing w:val="-2"/>
        </w:rPr>
        <w:t xml:space="preserve"> ou de navires immatriculés dans cet État;</w:t>
      </w:r>
    </w:p>
    <w:p w:rsidR="002D42EF" w:rsidRPr="005D65CE" w:rsidRDefault="002D42EF" w:rsidP="002D42EF">
      <w:pPr>
        <w:pStyle w:val="SingleTxtG"/>
        <w:ind w:left="1701" w:firstLine="567"/>
        <w:rPr>
          <w:b/>
          <w:bCs/>
          <w:iCs/>
        </w:rPr>
      </w:pPr>
      <w:r w:rsidRPr="005D65CE">
        <w:rPr>
          <w:b/>
          <w:bCs/>
          <w:iCs/>
        </w:rPr>
        <w:t>b)</w:t>
      </w:r>
      <w:r w:rsidRPr="005D65CE">
        <w:rPr>
          <w:b/>
          <w:bCs/>
          <w:iCs/>
        </w:rPr>
        <w:tab/>
        <w:t>Quand l’auteur présumé de l’infract</w:t>
      </w:r>
      <w:r>
        <w:rPr>
          <w:b/>
          <w:bCs/>
          <w:iCs/>
        </w:rPr>
        <w:t>ion est un ressortissant dudit É</w:t>
      </w:r>
      <w:r w:rsidRPr="005D65CE">
        <w:rPr>
          <w:b/>
          <w:bCs/>
          <w:iCs/>
        </w:rPr>
        <w:t>tat;</w:t>
      </w:r>
    </w:p>
    <w:p w:rsidR="002D42EF" w:rsidRPr="005D65CE" w:rsidRDefault="002D42EF" w:rsidP="002D42EF">
      <w:pPr>
        <w:pStyle w:val="SingleTxtG"/>
        <w:ind w:left="1701" w:firstLine="567"/>
        <w:rPr>
          <w:b/>
          <w:bCs/>
          <w:iCs/>
        </w:rPr>
      </w:pPr>
      <w:r w:rsidRPr="005D65CE">
        <w:rPr>
          <w:b/>
          <w:bCs/>
          <w:iCs/>
        </w:rPr>
        <w:t>c)</w:t>
      </w:r>
      <w:r w:rsidRPr="005D65CE">
        <w:rPr>
          <w:b/>
          <w:bCs/>
          <w:iCs/>
        </w:rPr>
        <w:tab/>
        <w:t>Quand la vi</w:t>
      </w:r>
      <w:r>
        <w:rPr>
          <w:b/>
          <w:bCs/>
          <w:iCs/>
        </w:rPr>
        <w:t>ctime est un ressortissant dudit É</w:t>
      </w:r>
      <w:r w:rsidRPr="005D65CE">
        <w:rPr>
          <w:b/>
          <w:bCs/>
          <w:iCs/>
        </w:rPr>
        <w:t>tat et que ce dernier le juge approprié</w:t>
      </w:r>
      <w:r>
        <w:rPr>
          <w:b/>
          <w:bCs/>
          <w:iCs/>
        </w:rPr>
        <w:t>.</w:t>
      </w:r>
    </w:p>
    <w:p w:rsidR="002D42EF" w:rsidRPr="005D65CE" w:rsidRDefault="002D42EF" w:rsidP="002D42EF">
      <w:pPr>
        <w:pStyle w:val="SingleTxtG"/>
        <w:ind w:left="1701"/>
        <w:rPr>
          <w:b/>
          <w:bCs/>
          <w:iCs/>
        </w:rPr>
      </w:pPr>
      <w:r>
        <w:rPr>
          <w:b/>
          <w:bCs/>
          <w:iCs/>
        </w:rPr>
        <w:t xml:space="preserve">2. </w:t>
      </w:r>
      <w:r>
        <w:rPr>
          <w:b/>
          <w:bCs/>
          <w:iCs/>
        </w:rPr>
        <w:tab/>
        <w:t>Tout É</w:t>
      </w:r>
      <w:r w:rsidRPr="005D65CE">
        <w:rPr>
          <w:b/>
          <w:bCs/>
          <w:iCs/>
        </w:rPr>
        <w:t>tat partie prend également les mesures nécessaires pour établir sa compétence aux fins de connaître desdites infractions dans le cas où l’auteur présumé de celles-ci se trouve sur tout territoire s</w:t>
      </w:r>
      <w:r>
        <w:rPr>
          <w:b/>
          <w:bCs/>
          <w:iCs/>
        </w:rPr>
        <w:t>ous sa juridiction et où ledit É</w:t>
      </w:r>
      <w:r w:rsidRPr="005D65CE">
        <w:rPr>
          <w:b/>
          <w:bCs/>
          <w:iCs/>
        </w:rPr>
        <w:t>tat ne l’extrade pas conforméme</w:t>
      </w:r>
      <w:r>
        <w:rPr>
          <w:b/>
          <w:bCs/>
          <w:iCs/>
        </w:rPr>
        <w:t>nt à l’article 8 vers l’un des É</w:t>
      </w:r>
      <w:r w:rsidRPr="005D65CE">
        <w:rPr>
          <w:b/>
          <w:bCs/>
          <w:iCs/>
        </w:rPr>
        <w:t>tats visé</w:t>
      </w:r>
      <w:r>
        <w:rPr>
          <w:b/>
          <w:bCs/>
          <w:iCs/>
        </w:rPr>
        <w:t>s</w:t>
      </w:r>
      <w:r w:rsidRPr="005D65CE">
        <w:rPr>
          <w:b/>
          <w:bCs/>
          <w:iCs/>
        </w:rPr>
        <w:t xml:space="preserve"> au paragraphe </w:t>
      </w:r>
      <w:r>
        <w:rPr>
          <w:b/>
          <w:bCs/>
          <w:iCs/>
        </w:rPr>
        <w:t>1</w:t>
      </w:r>
      <w:r w:rsidRPr="005D65CE">
        <w:rPr>
          <w:b/>
          <w:bCs/>
          <w:iCs/>
        </w:rPr>
        <w:t xml:space="preserve"> du présent article</w:t>
      </w:r>
      <w:r>
        <w:rPr>
          <w:b/>
          <w:bCs/>
          <w:iCs/>
        </w:rPr>
        <w:t>.</w:t>
      </w:r>
    </w:p>
    <w:p w:rsidR="002D42EF" w:rsidRPr="005D65CE" w:rsidRDefault="002D42EF" w:rsidP="002D42EF">
      <w:pPr>
        <w:pStyle w:val="SingleTxtG"/>
        <w:ind w:left="1701"/>
        <w:rPr>
          <w:b/>
          <w:bCs/>
          <w:iCs/>
        </w:rPr>
      </w:pPr>
      <w:r>
        <w:rPr>
          <w:b/>
          <w:bCs/>
          <w:iCs/>
        </w:rPr>
        <w:t>3.</w:t>
      </w:r>
      <w:r w:rsidRPr="005D65CE">
        <w:rPr>
          <w:b/>
          <w:bCs/>
          <w:iCs/>
        </w:rPr>
        <w:t xml:space="preserve"> </w:t>
      </w:r>
      <w:r>
        <w:rPr>
          <w:b/>
          <w:bCs/>
          <w:iCs/>
        </w:rPr>
        <w:tab/>
      </w:r>
      <w:r w:rsidRPr="005D65CE">
        <w:rPr>
          <w:b/>
          <w:bCs/>
          <w:iCs/>
        </w:rPr>
        <w:t>La présente Convention n’écarte aucune compétence pénale exercée conformément aux lois nationales</w:t>
      </w:r>
      <w:r>
        <w:rPr>
          <w:b/>
          <w:bCs/>
          <w:iCs/>
        </w:rPr>
        <w:t>.</w:t>
      </w:r>
      <w:r w:rsidRPr="005D65CE">
        <w:rPr>
          <w:b/>
          <w:bCs/>
          <w:iCs/>
        </w:rPr>
        <w:t>»</w:t>
      </w:r>
    </w:p>
    <w:p w:rsidR="002D42EF" w:rsidRPr="005D65CE" w:rsidRDefault="002D42EF" w:rsidP="002D42EF">
      <w:pPr>
        <w:pStyle w:val="SingleTxtG"/>
      </w:pPr>
      <w:r w:rsidRPr="005F20B2">
        <w:t>82.</w:t>
      </w:r>
      <w:r w:rsidRPr="005F20B2">
        <w:tab/>
        <w:t xml:space="preserve">Madagascar a établi la compétence de la juridiction malgache aux fins de connaître des infractions de torture ou de traitements cruels, inhumains </w:t>
      </w:r>
      <w:r>
        <w:t>ou</w:t>
      </w:r>
      <w:r w:rsidRPr="005F20B2">
        <w:t xml:space="preserve"> dégradants passibles de</w:t>
      </w:r>
      <w:r>
        <w:t xml:space="preserve">s </w:t>
      </w:r>
      <w:r w:rsidRPr="005F20B2">
        <w:t>peines prévues</w:t>
      </w:r>
      <w:r w:rsidRPr="005D65CE">
        <w:t xml:space="preserve"> aux articles 10 à 12 de la loi.</w:t>
      </w:r>
    </w:p>
    <w:p w:rsidR="002D42EF" w:rsidRPr="005D65CE" w:rsidRDefault="002D42EF" w:rsidP="002D42EF">
      <w:pPr>
        <w:pStyle w:val="SingleTxtG"/>
        <w:rPr>
          <w:i/>
        </w:rPr>
      </w:pPr>
      <w:r w:rsidRPr="005D65CE">
        <w:t>83.</w:t>
      </w:r>
      <w:r w:rsidRPr="005D65CE">
        <w:tab/>
        <w:t xml:space="preserve">L’article 18 stipule que: </w:t>
      </w:r>
      <w:r w:rsidRPr="00AB7192">
        <w:t>«</w:t>
      </w:r>
      <w:r w:rsidRPr="005D65CE">
        <w:rPr>
          <w:i/>
        </w:rPr>
        <w:t>Les juridictions malgaches sont compétentes pour poursuivre, juger et punir toute personne qui a</w:t>
      </w:r>
      <w:r>
        <w:rPr>
          <w:i/>
        </w:rPr>
        <w:t>urait commis un acte de torture,</w:t>
      </w:r>
    </w:p>
    <w:p w:rsidR="002D42EF" w:rsidRPr="00AB7192" w:rsidRDefault="002D42EF" w:rsidP="002D42EF">
      <w:pPr>
        <w:pStyle w:val="Bullet1G"/>
        <w:numPr>
          <w:ilvl w:val="0"/>
          <w:numId w:val="1"/>
        </w:numPr>
        <w:rPr>
          <w:i/>
        </w:rPr>
      </w:pPr>
      <w:r w:rsidRPr="00AB7192">
        <w:rPr>
          <w:i/>
        </w:rPr>
        <w:t>sur le territoire de la République Malgache</w:t>
      </w:r>
    </w:p>
    <w:p w:rsidR="002D42EF" w:rsidRPr="00AB7192" w:rsidRDefault="002D42EF" w:rsidP="002D42EF">
      <w:pPr>
        <w:pStyle w:val="Bullet1G"/>
        <w:numPr>
          <w:ilvl w:val="0"/>
          <w:numId w:val="1"/>
        </w:numPr>
        <w:rPr>
          <w:b/>
          <w:i/>
          <w:u w:val="single"/>
        </w:rPr>
      </w:pPr>
      <w:r w:rsidRPr="00AB7192">
        <w:rPr>
          <w:i/>
        </w:rPr>
        <w:t>à bord d’un navire immatriculé suivant la loi malgache, ou à identifier conformément à cette loi</w:t>
      </w:r>
    </w:p>
    <w:p w:rsidR="002D42EF" w:rsidRPr="005D65CE" w:rsidRDefault="002D42EF" w:rsidP="002D42EF">
      <w:pPr>
        <w:pStyle w:val="Bullet1G"/>
        <w:numPr>
          <w:ilvl w:val="0"/>
          <w:numId w:val="1"/>
        </w:numPr>
        <w:rPr>
          <w:b/>
          <w:i/>
          <w:u w:val="single"/>
          <w:lang w:val="pt-PT"/>
        </w:rPr>
      </w:pPr>
      <w:r w:rsidRPr="005D65CE">
        <w:rPr>
          <w:i/>
        </w:rPr>
        <w:t>à</w:t>
      </w:r>
      <w:r w:rsidRPr="005D65CE">
        <w:rPr>
          <w:i/>
          <w:lang w:val="pt-PT"/>
        </w:rPr>
        <w:t xml:space="preserve"> bord d’un a</w:t>
      </w:r>
      <w:r>
        <w:rPr>
          <w:i/>
          <w:lang w:val="pt-PT"/>
        </w:rPr>
        <w:t>é</w:t>
      </w:r>
      <w:r w:rsidRPr="005D65CE">
        <w:rPr>
          <w:i/>
          <w:lang w:val="pt-PT"/>
        </w:rPr>
        <w:t>ronef immatriculé à</w:t>
      </w:r>
      <w:r>
        <w:rPr>
          <w:i/>
          <w:lang w:val="pt-PT"/>
        </w:rPr>
        <w:t xml:space="preserve"> </w:t>
      </w:r>
      <w:r w:rsidRPr="005D65CE">
        <w:rPr>
          <w:i/>
          <w:lang w:val="pt-PT"/>
        </w:rPr>
        <w:t>Madagascar</w:t>
      </w:r>
    </w:p>
    <w:p w:rsidR="002D42EF" w:rsidRPr="00AB7192" w:rsidRDefault="002D42EF" w:rsidP="002D42EF">
      <w:pPr>
        <w:pStyle w:val="Bullet1G"/>
        <w:numPr>
          <w:ilvl w:val="0"/>
          <w:numId w:val="1"/>
        </w:numPr>
        <w:rPr>
          <w:b/>
          <w:i/>
          <w:u w:val="single"/>
        </w:rPr>
      </w:pPr>
      <w:r w:rsidRPr="00AB7192">
        <w:rPr>
          <w:i/>
        </w:rPr>
        <w:t>dont l’auteur a la nationalité malagasy</w:t>
      </w:r>
    </w:p>
    <w:p w:rsidR="002D42EF" w:rsidRPr="00AB7192" w:rsidRDefault="002D42EF" w:rsidP="002D42EF">
      <w:pPr>
        <w:pStyle w:val="Bullet1G"/>
        <w:numPr>
          <w:ilvl w:val="0"/>
          <w:numId w:val="1"/>
        </w:numPr>
        <w:rPr>
          <w:b/>
          <w:i/>
          <w:u w:val="single"/>
        </w:rPr>
      </w:pPr>
      <w:r w:rsidRPr="00AB7192">
        <w:rPr>
          <w:i/>
        </w:rPr>
        <w:t>dont le plaignant ou la victime a la nationalité malagasy</w:t>
      </w:r>
    </w:p>
    <w:p w:rsidR="002D42EF" w:rsidRPr="00AB7192" w:rsidRDefault="002D42EF" w:rsidP="002D42EF">
      <w:pPr>
        <w:pStyle w:val="Bullet1G"/>
        <w:numPr>
          <w:ilvl w:val="0"/>
          <w:numId w:val="1"/>
        </w:numPr>
        <w:rPr>
          <w:b/>
          <w:i/>
          <w:u w:val="single"/>
        </w:rPr>
      </w:pPr>
      <w:r w:rsidRPr="00AB7192">
        <w:rPr>
          <w:i/>
        </w:rPr>
        <w:t>dont l’auteur se trouve à Madagascar après la perpétration de celui-ci</w:t>
      </w:r>
      <w:r>
        <w:rPr>
          <w:i/>
        </w:rPr>
        <w:t>.</w:t>
      </w:r>
      <w:r w:rsidRPr="00AB7192">
        <w:t>»</w:t>
      </w:r>
    </w:p>
    <w:p w:rsidR="002D42EF" w:rsidRPr="005D65CE" w:rsidRDefault="002D42EF" w:rsidP="002D42EF">
      <w:pPr>
        <w:pStyle w:val="SingleTxtG"/>
      </w:pPr>
      <w:r w:rsidRPr="005D65CE">
        <w:t>84.</w:t>
      </w:r>
      <w:r w:rsidRPr="005D65CE">
        <w:tab/>
        <w:t>Outre les critères de compétence classiques, cet article a étendu la possibilité de poursuivre et de juger:</w:t>
      </w:r>
    </w:p>
    <w:p w:rsidR="002D42EF" w:rsidRPr="005D65CE" w:rsidRDefault="002D42EF" w:rsidP="002D42EF">
      <w:pPr>
        <w:pStyle w:val="Bullet1G"/>
        <w:numPr>
          <w:ilvl w:val="0"/>
          <w:numId w:val="1"/>
        </w:numPr>
      </w:pPr>
      <w:r>
        <w:t>U</w:t>
      </w:r>
      <w:r w:rsidRPr="005D65CE">
        <w:t>ne personne qui a commis une infraction de torture à l’étranger lorsqu’elle est résidente ou arrêtée à Madagascar;</w:t>
      </w:r>
    </w:p>
    <w:p w:rsidR="002D42EF" w:rsidRPr="005D65CE" w:rsidRDefault="002D42EF" w:rsidP="002D42EF">
      <w:pPr>
        <w:pStyle w:val="Bullet1G"/>
        <w:numPr>
          <w:ilvl w:val="0"/>
          <w:numId w:val="1"/>
        </w:numPr>
      </w:pPr>
      <w:r>
        <w:t>U</w:t>
      </w:r>
      <w:r w:rsidRPr="005D65CE">
        <w:t>ne personne de nationalité malgache auteur ou victime d’actes de torture commis à l’étranger.</w:t>
      </w:r>
    </w:p>
    <w:p w:rsidR="002D42EF" w:rsidRPr="005D65CE" w:rsidRDefault="002D42EF" w:rsidP="002D42EF">
      <w:pPr>
        <w:pStyle w:val="SingleTxtG"/>
      </w:pPr>
      <w:r w:rsidRPr="005D65CE">
        <w:t>85.</w:t>
      </w:r>
      <w:r w:rsidRPr="005D65CE">
        <w:tab/>
        <w:t>Madagascar peut répondre favorablement à une demande d’extradition si les conditions d’extradition sont réunies.</w:t>
      </w:r>
    </w:p>
    <w:p w:rsidR="002D42EF" w:rsidRPr="005D65CE" w:rsidRDefault="002D42EF" w:rsidP="002D42EF">
      <w:pPr>
        <w:pStyle w:val="SingleTxtG"/>
      </w:pPr>
      <w:r w:rsidRPr="005D65CE">
        <w:t>86.</w:t>
      </w:r>
      <w:r w:rsidRPr="005D65CE">
        <w:tab/>
      </w:r>
      <w:r>
        <w:t>À</w:t>
      </w:r>
      <w:r w:rsidRPr="005D65CE">
        <w:t xml:space="preserve"> ce jour, Madagascar n’a reçu aucune demande d’extradition fondée sur la poursuite d’auteurs d’actes de torture commis à l’étranger. </w:t>
      </w:r>
    </w:p>
    <w:p w:rsidR="002D42EF" w:rsidRPr="005D65CE" w:rsidRDefault="002D42EF" w:rsidP="002D42EF">
      <w:pPr>
        <w:pStyle w:val="SingleTxtG"/>
        <w:rPr>
          <w:b/>
          <w:u w:val="single"/>
        </w:rPr>
      </w:pPr>
      <w:r w:rsidRPr="005D65CE">
        <w:t>87.</w:t>
      </w:r>
      <w:r w:rsidRPr="005D65CE">
        <w:tab/>
        <w:t>Pour la poursuite et le jugement des actes de torture, les règles du Code de Procédure Pénale Malagasy sont applicables.</w:t>
      </w:r>
    </w:p>
    <w:p w:rsidR="002D42EF" w:rsidRPr="005D65CE" w:rsidRDefault="002D42EF" w:rsidP="002D42EF">
      <w:pPr>
        <w:pStyle w:val="SingleTxtG"/>
      </w:pPr>
      <w:r w:rsidRPr="005D65CE">
        <w:t>88.</w:t>
      </w:r>
      <w:r w:rsidRPr="005D65CE">
        <w:tab/>
        <w:t>En matière de poursuite</w:t>
      </w:r>
      <w:r>
        <w:t>s</w:t>
      </w:r>
      <w:r w:rsidRPr="005D65CE">
        <w:t>, le Procureur de la République est compétent pour mettre en mouvement l’action publique lorsque les infractions de torture ont été commises dans le ressort de sa juridiction, ou lorsque l’auteur réside ou a été arrêté dans sa circonscription même pour d’autres motifs.</w:t>
      </w:r>
    </w:p>
    <w:p w:rsidR="002D42EF" w:rsidRPr="005D65CE" w:rsidRDefault="002D42EF" w:rsidP="002D42EF">
      <w:pPr>
        <w:pStyle w:val="SingleTxtG"/>
      </w:pPr>
      <w:r w:rsidRPr="005D65CE">
        <w:t>89.</w:t>
      </w:r>
      <w:r w:rsidRPr="005D65CE">
        <w:tab/>
        <w:t xml:space="preserve">En matière d’information, les mêmes critères de compétence sont retenus. </w:t>
      </w:r>
      <w:r>
        <w:t>À</w:t>
      </w:r>
      <w:r w:rsidRPr="005D65CE">
        <w:t xml:space="preserve"> Madagascar, il existe deux types d’informations: information sommaire et instruction préparatoire.</w:t>
      </w:r>
    </w:p>
    <w:p w:rsidR="002D42EF" w:rsidRPr="005D65CE" w:rsidRDefault="002D42EF" w:rsidP="002D42EF">
      <w:pPr>
        <w:pStyle w:val="SingleTxtG"/>
      </w:pPr>
      <w:r w:rsidRPr="005D65CE">
        <w:t>90.</w:t>
      </w:r>
      <w:r w:rsidRPr="005D65CE">
        <w:tab/>
        <w:t>En matière d’information sommaire, le Procureur de la République est habilité à ouvrir une procédure d’information contre les auteurs d’infractions qualifiées de délit</w:t>
      </w:r>
      <w:r>
        <w:t>s</w:t>
      </w:r>
      <w:r w:rsidRPr="005D65CE">
        <w:t xml:space="preserve"> ou de crime</w:t>
      </w:r>
      <w:r>
        <w:t>s</w:t>
      </w:r>
      <w:r w:rsidRPr="005D65CE">
        <w:t xml:space="preserve"> non passible</w:t>
      </w:r>
      <w:r>
        <w:t>s</w:t>
      </w:r>
      <w:r w:rsidRPr="005D65CE">
        <w:t xml:space="preserve"> de </w:t>
      </w:r>
      <w:r>
        <w:t xml:space="preserve">la </w:t>
      </w:r>
      <w:r w:rsidRPr="005D65CE">
        <w:t xml:space="preserve">peine de mort ou de </w:t>
      </w:r>
      <w:r>
        <w:t xml:space="preserve">la </w:t>
      </w:r>
      <w:r w:rsidRPr="005D65CE">
        <w:t xml:space="preserve">peine de travaux forcés à perpétuité. Dans ce cas, la durée de la détention préventive est limitée à trois mois. </w:t>
      </w:r>
    </w:p>
    <w:p w:rsidR="002D42EF" w:rsidRPr="005D65CE" w:rsidRDefault="002D42EF" w:rsidP="002D42EF">
      <w:pPr>
        <w:pStyle w:val="SingleTxtG"/>
      </w:pPr>
      <w:r w:rsidRPr="005D65CE">
        <w:t>91.</w:t>
      </w:r>
      <w:r w:rsidRPr="005D65CE">
        <w:tab/>
        <w:t xml:space="preserve">En matière d’instruction préparatoire, le juge d’instruction saisi par un réquisitoire introductif du Procureur procède à l’information. Cette procédure est obligatoire lorsque la peine encourue est la peine de mort ou </w:t>
      </w:r>
      <w:r>
        <w:t>l</w:t>
      </w:r>
      <w:r w:rsidRPr="005D65CE">
        <w:t>es travaux forcés à perpétuité.</w:t>
      </w:r>
    </w:p>
    <w:p w:rsidR="002D42EF" w:rsidRPr="005D65CE" w:rsidRDefault="002D42EF" w:rsidP="002D42EF">
      <w:pPr>
        <w:pStyle w:val="SingleTxtG"/>
      </w:pPr>
      <w:r w:rsidRPr="005D65CE">
        <w:t>92.</w:t>
      </w:r>
      <w:r w:rsidRPr="005D65CE">
        <w:tab/>
        <w:t>Le tribunal correctionnel est compétent pour juger les infractions de torture qualifiées de délits et la Cour Criminelle pour juger celles qualifiées de crimes.</w:t>
      </w:r>
    </w:p>
    <w:p w:rsidR="002D42EF" w:rsidRPr="005D65CE" w:rsidRDefault="002D42EF" w:rsidP="002D42EF">
      <w:pPr>
        <w:pStyle w:val="SingleTxtG"/>
      </w:pPr>
      <w:r w:rsidRPr="005D65CE">
        <w:t>93.</w:t>
      </w:r>
      <w:r w:rsidRPr="005D65CE">
        <w:tab/>
        <w:t>Lorsqu’une personne étr</w:t>
      </w:r>
      <w:r>
        <w:t>angère ressortissant d’un des É</w:t>
      </w:r>
      <w:r w:rsidRPr="005D65CE">
        <w:t xml:space="preserve">tats </w:t>
      </w:r>
      <w:r>
        <w:t>p</w:t>
      </w:r>
      <w:r w:rsidRPr="005D65CE">
        <w:t xml:space="preserve">arties à la Convention </w:t>
      </w:r>
      <w:r>
        <w:t xml:space="preserve">et </w:t>
      </w:r>
      <w:r w:rsidRPr="005D65CE">
        <w:t xml:space="preserve">suspectée d’avoir commis des actes de torture se trouve sur le territoire malgache, les autorités judiciaires malgaches prennent des mesures pour </w:t>
      </w:r>
      <w:r>
        <w:t>ouvrir une</w:t>
      </w:r>
      <w:r w:rsidRPr="005D65CE">
        <w:t xml:space="preserve"> enquête</w:t>
      </w:r>
      <w:r>
        <w:t xml:space="preserve"> sur celle-ci</w:t>
      </w:r>
      <w:r w:rsidRPr="005D65CE">
        <w:t xml:space="preserve">, </w:t>
      </w:r>
      <w:r>
        <w:t xml:space="preserve">la </w:t>
      </w:r>
      <w:r w:rsidRPr="005D65CE">
        <w:t>poursuiv</w:t>
      </w:r>
      <w:r>
        <w:t>r</w:t>
      </w:r>
      <w:r w:rsidRPr="005D65CE">
        <w:t xml:space="preserve">e et </w:t>
      </w:r>
      <w:r>
        <w:t xml:space="preserve">la </w:t>
      </w:r>
      <w:r w:rsidRPr="005D65CE">
        <w:t>juge</w:t>
      </w:r>
      <w:r>
        <w:t>r</w:t>
      </w:r>
      <w:r w:rsidRPr="005D65CE">
        <w:t xml:space="preserve">. </w:t>
      </w:r>
    </w:p>
    <w:p w:rsidR="002D42EF" w:rsidRPr="005D65CE" w:rsidRDefault="002D42EF" w:rsidP="002D42EF">
      <w:pPr>
        <w:pStyle w:val="SingleTxtG"/>
        <w:ind w:left="1701"/>
        <w:jc w:val="left"/>
        <w:rPr>
          <w:b/>
        </w:rPr>
      </w:pPr>
      <w:r>
        <w:rPr>
          <w:b/>
        </w:rPr>
        <w:t>Article 6</w:t>
      </w:r>
      <w:r>
        <w:rPr>
          <w:b/>
        </w:rPr>
        <w:br/>
      </w:r>
      <w:r w:rsidRPr="005D65CE">
        <w:rPr>
          <w:b/>
        </w:rPr>
        <w:t>Détention préventive</w:t>
      </w:r>
    </w:p>
    <w:p w:rsidR="002D42EF" w:rsidRPr="005D65CE" w:rsidRDefault="002D42EF" w:rsidP="002D42EF">
      <w:pPr>
        <w:pStyle w:val="SingleTxtG"/>
        <w:ind w:left="1701"/>
        <w:rPr>
          <w:b/>
        </w:rPr>
      </w:pPr>
      <w:r>
        <w:rPr>
          <w:b/>
        </w:rPr>
        <w:t>«1.</w:t>
      </w:r>
      <w:r>
        <w:rPr>
          <w:b/>
        </w:rPr>
        <w:tab/>
      </w:r>
      <w:r w:rsidRPr="005D65CE">
        <w:rPr>
          <w:b/>
        </w:rPr>
        <w:t>S’il estime que les circonstances le justifient, après avoir examiné les rensei</w:t>
      </w:r>
      <w:r>
        <w:rPr>
          <w:b/>
        </w:rPr>
        <w:t>gnements dont il dispose, tout É</w:t>
      </w:r>
      <w:r w:rsidRPr="005D65CE">
        <w:rPr>
          <w:b/>
        </w:rPr>
        <w:t>tat partie sur le territoire duquel se trouve une personne soupçonné</w:t>
      </w:r>
      <w:r>
        <w:rPr>
          <w:b/>
        </w:rPr>
        <w:t>e</w:t>
      </w:r>
      <w:r w:rsidRPr="005D65CE">
        <w:rPr>
          <w:b/>
        </w:rPr>
        <w:t xml:space="preserve"> d’avoir commis</w:t>
      </w:r>
      <w:r>
        <w:rPr>
          <w:b/>
        </w:rPr>
        <w:t xml:space="preserve"> </w:t>
      </w:r>
      <w:r w:rsidRPr="005D65CE">
        <w:rPr>
          <w:b/>
        </w:rPr>
        <w:t>une infraction visée à l’article</w:t>
      </w:r>
      <w:r>
        <w:rPr>
          <w:b/>
        </w:rPr>
        <w:t xml:space="preserve"> </w:t>
      </w:r>
      <w:r w:rsidRPr="005D65CE">
        <w:rPr>
          <w:b/>
        </w:rPr>
        <w:t>4 assure la détention de cette personne ou prend toutes autres mesures juridiques nécessaires pour assurer sa présence. Cette détention et ces mesures doivent être co</w:t>
      </w:r>
      <w:r>
        <w:rPr>
          <w:b/>
        </w:rPr>
        <w:t>nformes à la législation dudit É</w:t>
      </w:r>
      <w:r w:rsidRPr="005D65CE">
        <w:rPr>
          <w:b/>
        </w:rPr>
        <w:t xml:space="preserve">tat; elles ne peuvent être maintenues que pendant le délai nécessaire à l’engagement </w:t>
      </w:r>
      <w:r>
        <w:rPr>
          <w:b/>
        </w:rPr>
        <w:t>de</w:t>
      </w:r>
      <w:r w:rsidRPr="005D65CE">
        <w:rPr>
          <w:b/>
        </w:rPr>
        <w:t xml:space="preserve"> poursuites pénales ou d’une procédure d’extradition</w:t>
      </w:r>
      <w:r>
        <w:rPr>
          <w:b/>
        </w:rPr>
        <w:t>.</w:t>
      </w:r>
    </w:p>
    <w:p w:rsidR="002D42EF" w:rsidRPr="005D65CE" w:rsidRDefault="002D42EF" w:rsidP="002D42EF">
      <w:pPr>
        <w:pStyle w:val="SingleTxtG"/>
        <w:ind w:left="1701"/>
        <w:rPr>
          <w:b/>
        </w:rPr>
      </w:pPr>
      <w:r>
        <w:rPr>
          <w:b/>
        </w:rPr>
        <w:t>2.</w:t>
      </w:r>
      <w:r>
        <w:rPr>
          <w:b/>
        </w:rPr>
        <w:tab/>
        <w:t>Ledit É</w:t>
      </w:r>
      <w:r w:rsidRPr="005D65CE">
        <w:rPr>
          <w:b/>
        </w:rPr>
        <w:t>tat procède immédiatement à une enquête préliminaire en vue d’établir les faits</w:t>
      </w:r>
      <w:r>
        <w:rPr>
          <w:b/>
        </w:rPr>
        <w:t>.</w:t>
      </w:r>
    </w:p>
    <w:p w:rsidR="002D42EF" w:rsidRPr="005D65CE" w:rsidRDefault="002D42EF" w:rsidP="002D42EF">
      <w:pPr>
        <w:pStyle w:val="SingleTxtG"/>
        <w:ind w:left="1701"/>
        <w:rPr>
          <w:b/>
        </w:rPr>
      </w:pPr>
      <w:r>
        <w:rPr>
          <w:b/>
        </w:rPr>
        <w:t>3.</w:t>
      </w:r>
      <w:r>
        <w:rPr>
          <w:b/>
        </w:rPr>
        <w:tab/>
      </w:r>
      <w:r w:rsidRPr="005D65CE">
        <w:rPr>
          <w:b/>
        </w:rPr>
        <w:t>Toute personne détenue en application du paragraphe 1 du présent article peut communiquer immédiatement avec le plus pro</w:t>
      </w:r>
      <w:r>
        <w:rPr>
          <w:b/>
        </w:rPr>
        <w:t>che représentant qualifié de l’É</w:t>
      </w:r>
      <w:r w:rsidRPr="005D65CE">
        <w:rPr>
          <w:b/>
        </w:rPr>
        <w:t>tat dont elle a la nationalité ou, s’il s’agit d’une personne apatr</w:t>
      </w:r>
      <w:r>
        <w:rPr>
          <w:b/>
        </w:rPr>
        <w:t>ide, avec le représentant de l’É</w:t>
      </w:r>
      <w:r w:rsidRPr="005D65CE">
        <w:rPr>
          <w:b/>
        </w:rPr>
        <w:t>tat ou elle réside</w:t>
      </w:r>
      <w:r>
        <w:rPr>
          <w:b/>
        </w:rPr>
        <w:t xml:space="preserve"> habituellement</w:t>
      </w:r>
      <w:r w:rsidRPr="005D65CE">
        <w:rPr>
          <w:b/>
        </w:rPr>
        <w:t>.</w:t>
      </w:r>
    </w:p>
    <w:p w:rsidR="002D42EF" w:rsidRPr="005D65CE" w:rsidRDefault="002D42EF" w:rsidP="002D42EF">
      <w:pPr>
        <w:pStyle w:val="SingleTxtG"/>
        <w:ind w:left="1701"/>
        <w:rPr>
          <w:b/>
        </w:rPr>
      </w:pPr>
      <w:r>
        <w:rPr>
          <w:b/>
        </w:rPr>
        <w:t>4.</w:t>
      </w:r>
      <w:r>
        <w:rPr>
          <w:b/>
        </w:rPr>
        <w:tab/>
        <w:t>Lorsqu’un É</w:t>
      </w:r>
      <w:r w:rsidRPr="005D65CE">
        <w:rPr>
          <w:b/>
        </w:rPr>
        <w:t>tat a mis une personne en détention, conformément aux dispositions du présent article, il avise immédiatement</w:t>
      </w:r>
      <w:r>
        <w:rPr>
          <w:b/>
        </w:rPr>
        <w:t xml:space="preserve"> </w:t>
      </w:r>
      <w:r w:rsidRPr="005D65CE">
        <w:rPr>
          <w:b/>
        </w:rPr>
        <w:t>de cette détention et des circo</w:t>
      </w:r>
      <w:r>
        <w:rPr>
          <w:b/>
        </w:rPr>
        <w:t>nstances qui la justifient les É</w:t>
      </w:r>
      <w:r w:rsidRPr="005D65CE">
        <w:rPr>
          <w:b/>
        </w:rPr>
        <w:t xml:space="preserve">tats visés au </w:t>
      </w:r>
      <w:r>
        <w:rPr>
          <w:b/>
        </w:rPr>
        <w:t>paragraphe 1 de l’article 5. L’É</w:t>
      </w:r>
      <w:r w:rsidRPr="005D65CE">
        <w:rPr>
          <w:b/>
        </w:rPr>
        <w:t>tat qui procède à l’enquête préliminaire visée au paragraphe 2 du présent article en communique</w:t>
      </w:r>
      <w:r>
        <w:rPr>
          <w:b/>
        </w:rPr>
        <w:t xml:space="preserve"> </w:t>
      </w:r>
      <w:r w:rsidRPr="005D65CE">
        <w:rPr>
          <w:b/>
        </w:rPr>
        <w:t>rapi</w:t>
      </w:r>
      <w:r>
        <w:rPr>
          <w:b/>
        </w:rPr>
        <w:t>dement les conclusions auxdits É</w:t>
      </w:r>
      <w:r w:rsidRPr="005D65CE">
        <w:rPr>
          <w:b/>
        </w:rPr>
        <w:t>tats et leur indique s’il entend exercer sa compétence</w:t>
      </w:r>
      <w:r>
        <w:rPr>
          <w:b/>
        </w:rPr>
        <w:t>.</w:t>
      </w:r>
      <w:r w:rsidRPr="005D65CE">
        <w:rPr>
          <w:b/>
        </w:rPr>
        <w:t>»</w:t>
      </w:r>
    </w:p>
    <w:p w:rsidR="002D42EF" w:rsidRPr="005D65CE" w:rsidRDefault="002D42EF" w:rsidP="00C208E4">
      <w:pPr>
        <w:pStyle w:val="H23G"/>
        <w:numPr>
          <w:ilvl w:val="2"/>
          <w:numId w:val="10"/>
        </w:numPr>
      </w:pPr>
      <w:r w:rsidRPr="005D65CE">
        <w:t>Dispositions juridiques internes relatives à la détention provisoire</w:t>
      </w:r>
    </w:p>
    <w:p w:rsidR="002D42EF" w:rsidRPr="005D65CE" w:rsidRDefault="002D42EF" w:rsidP="002D42EF">
      <w:pPr>
        <w:pStyle w:val="SingleTxtG"/>
      </w:pPr>
      <w:r w:rsidRPr="005D65CE">
        <w:t>94.</w:t>
      </w:r>
      <w:r w:rsidRPr="005D65CE">
        <w:tab/>
        <w:t xml:space="preserve">En application des dispositions de cet article, Madagascar a adopté la loi </w:t>
      </w:r>
      <w:r w:rsidRPr="00C14D2A">
        <w:t>n</w:t>
      </w:r>
      <w:r w:rsidRPr="00C14D2A">
        <w:rPr>
          <w:vertAlign w:val="superscript"/>
        </w:rPr>
        <w:t>o</w:t>
      </w:r>
      <w:r>
        <w:t xml:space="preserve"> </w:t>
      </w:r>
      <w:r w:rsidRPr="005D65CE">
        <w:t>2007-021 du 30 juillet 2007 modifiant et complétant certaines dispositions du Code de Procédure Pénal</w:t>
      </w:r>
      <w:r>
        <w:t>e</w:t>
      </w:r>
      <w:r w:rsidRPr="005D65CE">
        <w:t xml:space="preserve"> relative à la détention préventive et portant limitation de la durée de celle-ci.</w:t>
      </w:r>
    </w:p>
    <w:p w:rsidR="002D42EF" w:rsidRPr="005D65CE" w:rsidRDefault="002D42EF" w:rsidP="002D42EF">
      <w:pPr>
        <w:pStyle w:val="SingleTxtG"/>
      </w:pPr>
      <w:r w:rsidRPr="005D65CE">
        <w:t>95.</w:t>
      </w:r>
      <w:r w:rsidRPr="005D65CE">
        <w:tab/>
        <w:t>La durée de la détention préventive est de six mois</w:t>
      </w:r>
      <w:r>
        <w:t xml:space="preserve">. Cette durée peut être </w:t>
      </w:r>
      <w:r w:rsidRPr="005D65CE">
        <w:t>prorog</w:t>
      </w:r>
      <w:r>
        <w:t>é</w:t>
      </w:r>
      <w:r w:rsidRPr="005D65CE">
        <w:t>e</w:t>
      </w:r>
      <w:r>
        <w:t xml:space="preserve"> </w:t>
      </w:r>
      <w:r w:rsidRPr="005D65CE">
        <w:t>de trois mois et renouvel</w:t>
      </w:r>
      <w:r>
        <w:t>é</w:t>
      </w:r>
      <w:r w:rsidRPr="005D65CE">
        <w:t xml:space="preserve">e une fois en matière de délit. </w:t>
      </w:r>
    </w:p>
    <w:p w:rsidR="002D42EF" w:rsidRPr="005D65CE" w:rsidRDefault="002D42EF" w:rsidP="002D42EF">
      <w:pPr>
        <w:pStyle w:val="SingleTxtG"/>
      </w:pPr>
      <w:r w:rsidRPr="005D65CE">
        <w:t>96.</w:t>
      </w:r>
      <w:r w:rsidRPr="005D65CE">
        <w:tab/>
        <w:t>Ce délai est de huit mois</w:t>
      </w:r>
      <w:r>
        <w:t xml:space="preserve"> et peut être </w:t>
      </w:r>
      <w:r w:rsidRPr="005D65CE">
        <w:t>prorog</w:t>
      </w:r>
      <w:r>
        <w:t xml:space="preserve">é </w:t>
      </w:r>
      <w:r w:rsidRPr="005D65CE">
        <w:t>de six mois et renouvel</w:t>
      </w:r>
      <w:r>
        <w:t xml:space="preserve">é </w:t>
      </w:r>
      <w:r w:rsidRPr="005D65CE">
        <w:t>une fois pour quatre mois en matière de crime.</w:t>
      </w:r>
      <w:r>
        <w:t xml:space="preserve"> Dans le cas </w:t>
      </w:r>
      <w:r w:rsidRPr="005D65CE">
        <w:t>d</w:t>
      </w:r>
      <w:r>
        <w:t>’un</w:t>
      </w:r>
      <w:r w:rsidRPr="005D65CE">
        <w:t xml:space="preserve">e procédure d’information sommaire diligentée par le Procureur de la République, la durée de la détention préventive est limitée à trois mois. </w:t>
      </w:r>
    </w:p>
    <w:p w:rsidR="002D42EF" w:rsidRPr="005D65CE" w:rsidRDefault="002D42EF" w:rsidP="002D42EF">
      <w:pPr>
        <w:pStyle w:val="SingleTxtG"/>
      </w:pPr>
      <w:r w:rsidRPr="005D65CE">
        <w:t>97.</w:t>
      </w:r>
      <w:r w:rsidRPr="005D65CE">
        <w:tab/>
        <w:t xml:space="preserve">En </w:t>
      </w:r>
      <w:r>
        <w:t>c</w:t>
      </w:r>
      <w:r w:rsidRPr="005D65CE">
        <w:t xml:space="preserve">e </w:t>
      </w:r>
      <w:r>
        <w:t xml:space="preserve">qui concerne la </w:t>
      </w:r>
      <w:r w:rsidRPr="005D65CE">
        <w:t>procédure d’instruction préparatoire, l’article 3 §1 de cette loi fixe la durée de la détention préventive comme suit:</w:t>
      </w:r>
    </w:p>
    <w:p w:rsidR="002D42EF" w:rsidRPr="005D65CE" w:rsidRDefault="002D42EF" w:rsidP="002D42EF">
      <w:pPr>
        <w:pStyle w:val="Bullet1G"/>
        <w:numPr>
          <w:ilvl w:val="0"/>
          <w:numId w:val="1"/>
        </w:numPr>
      </w:pPr>
      <w:r>
        <w:t>S</w:t>
      </w:r>
      <w:r w:rsidRPr="005D65CE">
        <w:t>ix mois en matière correctionnelle avec une possibilité de prorogation de trois mois renouvelable une fois;</w:t>
      </w:r>
    </w:p>
    <w:p w:rsidR="002D42EF" w:rsidRPr="005D65CE" w:rsidRDefault="002D42EF" w:rsidP="002D42EF">
      <w:pPr>
        <w:pStyle w:val="Bullet1G"/>
        <w:numPr>
          <w:ilvl w:val="0"/>
          <w:numId w:val="1"/>
        </w:numPr>
      </w:pPr>
      <w:r>
        <w:t>H</w:t>
      </w:r>
      <w:r w:rsidRPr="005D65CE">
        <w:t>uit mois en matière criminelle avec une possibilité de prorogation de six mois renouvelable une fois pour une durée limitée à quatre mois.</w:t>
      </w:r>
    </w:p>
    <w:p w:rsidR="002D42EF" w:rsidRPr="005D65CE" w:rsidRDefault="002D42EF" w:rsidP="002D42EF">
      <w:pPr>
        <w:pStyle w:val="SingleTxtG"/>
      </w:pPr>
      <w:r w:rsidRPr="005D65CE">
        <w:t>98.</w:t>
      </w:r>
      <w:r w:rsidRPr="005D65CE">
        <w:tab/>
        <w:t xml:space="preserve">Les innovations apportées par cette loi résident dans la différenciation des délais de détention </w:t>
      </w:r>
      <w:r w:rsidRPr="0025067B">
        <w:t>dans les affaires correctionnelles et criminelles</w:t>
      </w:r>
      <w:r w:rsidRPr="005D65CE">
        <w:t xml:space="preserve">. Ce qui n’était pas le cas auparavant. Par ailleurs, la durée de détention </w:t>
      </w:r>
      <w:r w:rsidRPr="00E46A62">
        <w:t>dans les affaires correctionnelles</w:t>
      </w:r>
      <w:r>
        <w:t xml:space="preserve"> a diminué, passant de </w:t>
      </w:r>
      <w:r w:rsidRPr="005D65CE">
        <w:t>2</w:t>
      </w:r>
      <w:r>
        <w:t>0 à 12</w:t>
      </w:r>
      <w:r w:rsidRPr="005D65CE">
        <w:t xml:space="preserve"> mois</w:t>
      </w:r>
      <w:r>
        <w:t>, alors qu’</w:t>
      </w:r>
      <w:r w:rsidRPr="005D65CE">
        <w:t>en matière criminelle, elle</w:t>
      </w:r>
      <w:r>
        <w:t xml:space="preserve"> </w:t>
      </w:r>
      <w:r w:rsidRPr="005D65CE">
        <w:t xml:space="preserve">est </w:t>
      </w:r>
      <w:r w:rsidRPr="005724CE">
        <w:t>passée de 20 mois à 18 mois.</w:t>
      </w:r>
    </w:p>
    <w:p w:rsidR="002D42EF" w:rsidRPr="005D65CE" w:rsidRDefault="002D42EF" w:rsidP="002D42EF">
      <w:pPr>
        <w:pStyle w:val="SingleTxtG"/>
      </w:pPr>
      <w:r w:rsidRPr="005D65CE">
        <w:t>99.</w:t>
      </w:r>
      <w:r w:rsidRPr="005D65CE">
        <w:tab/>
        <w:t>La durée de la détention préventive consécutive à une Ordonnance de prise de corps à exécution immédiate est de 30 mois</w:t>
      </w:r>
      <w:r>
        <w:t xml:space="preserve">. Auparavant, </w:t>
      </w:r>
      <w:r w:rsidRPr="005D65CE">
        <w:t xml:space="preserve">elle était illimitée. </w:t>
      </w:r>
    </w:p>
    <w:p w:rsidR="002D42EF" w:rsidRPr="005D65CE" w:rsidRDefault="002D42EF" w:rsidP="002D42EF">
      <w:pPr>
        <w:pStyle w:val="SingleTxtG"/>
      </w:pPr>
      <w:r w:rsidRPr="005D65CE">
        <w:t>100.</w:t>
      </w:r>
      <w:r w:rsidRPr="005D65CE">
        <w:tab/>
        <w:t xml:space="preserve">La décision de mettre sous détention préventive a lieu pour s’assurer de la présence de la personne poursuivie lors du procès et pour éviter la fuite, </w:t>
      </w:r>
      <w:r>
        <w:t xml:space="preserve">mais aussi </w:t>
      </w:r>
      <w:r w:rsidRPr="005D65CE">
        <w:t xml:space="preserve">le risque de récidive ou de collusion avec des témoins. </w:t>
      </w:r>
    </w:p>
    <w:p w:rsidR="002D42EF" w:rsidRPr="005D65CE" w:rsidRDefault="002D42EF" w:rsidP="002D42EF">
      <w:pPr>
        <w:pStyle w:val="SingleTxtG"/>
      </w:pPr>
      <w:r w:rsidRPr="005D65CE">
        <w:t>101.</w:t>
      </w:r>
      <w:r w:rsidRPr="005D65CE">
        <w:tab/>
        <w:t xml:space="preserve">Le ressortissant étranger poursuivi et mis en détention bénéficie de l’assistance de la Représentation Diplomatique dont il relève par le biais d’un avis de poursuite et de détention émanant du Ministère de la Justice adressé à l’Ambassade concerné par le canal du Ministère des Affaires </w:t>
      </w:r>
      <w:proofErr w:type="spellStart"/>
      <w:r w:rsidRPr="005D65CE">
        <w:t>Etrangères</w:t>
      </w:r>
      <w:proofErr w:type="spellEnd"/>
      <w:r w:rsidRPr="005D65CE">
        <w:t>. L’avis de poursuite</w:t>
      </w:r>
      <w:r w:rsidRPr="00321C7A">
        <w:rPr>
          <w:sz w:val="18"/>
          <w:szCs w:val="18"/>
          <w:vertAlign w:val="superscript"/>
        </w:rPr>
        <w:footnoteReference w:id="5"/>
      </w:r>
      <w:r w:rsidRPr="005D65CE">
        <w:t xml:space="preserve"> </w:t>
      </w:r>
      <w:r>
        <w:t xml:space="preserve">qui est </w:t>
      </w:r>
      <w:r w:rsidRPr="005D65CE">
        <w:t xml:space="preserve">communiqué à la Représentation Diplomatique contient un exposé des faits, les charges qui pèsent sur l’inculpé, ses moyens de défense, ainsi que l’inculpation dont il fait l’objet. </w:t>
      </w:r>
    </w:p>
    <w:p w:rsidR="002D42EF" w:rsidRPr="005D65CE" w:rsidRDefault="002D42EF" w:rsidP="002D42EF">
      <w:pPr>
        <w:pStyle w:val="SingleTxtG"/>
      </w:pPr>
      <w:r w:rsidRPr="00E46A62">
        <w:t>102.</w:t>
      </w:r>
      <w:r w:rsidRPr="00E46A62">
        <w:tab/>
        <w:t>Aucun cas de poursuites et de mise en détention d’un ressortissant étranger poursuivi pour avoir commis l’infraction de torture ne s’est encore présenté.</w:t>
      </w:r>
    </w:p>
    <w:p w:rsidR="002D42EF" w:rsidRPr="005D65CE" w:rsidRDefault="002D42EF" w:rsidP="002D42EF">
      <w:pPr>
        <w:pStyle w:val="SingleTxtG"/>
      </w:pPr>
      <w:r w:rsidRPr="005D65CE">
        <w:t>103.</w:t>
      </w:r>
      <w:r w:rsidRPr="005D65CE">
        <w:tab/>
        <w:t>Un avis</w:t>
      </w:r>
      <w:r>
        <w:t xml:space="preserve"> est adressé aux autres É</w:t>
      </w:r>
      <w:r w:rsidRPr="005D65CE">
        <w:t>tats également compétents avec indication des circonstances justifiant l</w:t>
      </w:r>
      <w:r>
        <w:t>es</w:t>
      </w:r>
      <w:r w:rsidRPr="005D65CE">
        <w:t xml:space="preserve"> poursuite</w:t>
      </w:r>
      <w:r>
        <w:t>s</w:t>
      </w:r>
      <w:r w:rsidRPr="005D65CE">
        <w:t xml:space="preserve"> et la détention, ainsi que l’intention de Madagascar de retenir sa propre compétence.</w:t>
      </w:r>
    </w:p>
    <w:p w:rsidR="002D42EF" w:rsidRPr="005D65CE" w:rsidRDefault="002D42EF" w:rsidP="00C208E4">
      <w:pPr>
        <w:pStyle w:val="H23G"/>
        <w:numPr>
          <w:ilvl w:val="2"/>
          <w:numId w:val="10"/>
        </w:numPr>
      </w:pPr>
      <w:r w:rsidRPr="005D65CE">
        <w:t xml:space="preserve">Autorités en charge de décider de la détention provisoire </w:t>
      </w:r>
    </w:p>
    <w:p w:rsidR="002D42EF" w:rsidRPr="005D65CE" w:rsidRDefault="002D42EF" w:rsidP="002D42EF">
      <w:pPr>
        <w:pStyle w:val="SingleTxtG"/>
      </w:pPr>
      <w:r w:rsidRPr="005D65CE">
        <w:t>104.</w:t>
      </w:r>
      <w:r w:rsidRPr="005D65CE">
        <w:tab/>
        <w:t xml:space="preserve">Les autorités judiciaires en charge d’appliquer les aspects de l’article 6 sont: </w:t>
      </w:r>
    </w:p>
    <w:p w:rsidR="002D42EF" w:rsidRPr="005D65CE" w:rsidRDefault="002D42EF" w:rsidP="002D42EF">
      <w:pPr>
        <w:pStyle w:val="Bullet1G"/>
        <w:numPr>
          <w:ilvl w:val="0"/>
          <w:numId w:val="1"/>
        </w:numPr>
      </w:pPr>
      <w:r>
        <w:t>L</w:t>
      </w:r>
      <w:r w:rsidRPr="005D65CE">
        <w:t>e Procureur de la République en matière d’information sommaire;</w:t>
      </w:r>
    </w:p>
    <w:p w:rsidR="002D42EF" w:rsidRPr="005D65CE" w:rsidRDefault="002D42EF" w:rsidP="002D42EF">
      <w:pPr>
        <w:pStyle w:val="Bullet1G"/>
        <w:numPr>
          <w:ilvl w:val="0"/>
          <w:numId w:val="1"/>
        </w:numPr>
      </w:pPr>
      <w:r>
        <w:t>L</w:t>
      </w:r>
      <w:r w:rsidRPr="005D65CE">
        <w:t>e Juge d’instruction en matière d’instruction préparatoire;</w:t>
      </w:r>
    </w:p>
    <w:p w:rsidR="002D42EF" w:rsidRPr="005D65CE" w:rsidRDefault="002D42EF" w:rsidP="002D42EF">
      <w:pPr>
        <w:pStyle w:val="Bullet1G"/>
        <w:numPr>
          <w:ilvl w:val="0"/>
          <w:numId w:val="1"/>
        </w:numPr>
      </w:pPr>
      <w:r>
        <w:t>L</w:t>
      </w:r>
      <w:r w:rsidRPr="005D65CE">
        <w:t>es Chambres de détention préventive en matière de demande de prorogation et de liberté provisoire;</w:t>
      </w:r>
    </w:p>
    <w:p w:rsidR="002D42EF" w:rsidRPr="005D65CE" w:rsidRDefault="002D42EF" w:rsidP="002D42EF">
      <w:pPr>
        <w:pStyle w:val="Bullet1G"/>
        <w:numPr>
          <w:ilvl w:val="0"/>
          <w:numId w:val="1"/>
        </w:numPr>
      </w:pPr>
      <w:r>
        <w:t>L</w:t>
      </w:r>
      <w:r w:rsidRPr="005D65CE">
        <w:t>a Chambre d’accusation en matière de liberté provisoire et d’Ordonnance de prise de corps à exécution immédiate;</w:t>
      </w:r>
    </w:p>
    <w:p w:rsidR="002D42EF" w:rsidRPr="005D65CE" w:rsidRDefault="002D42EF" w:rsidP="002D42EF">
      <w:pPr>
        <w:pStyle w:val="Bullet1G"/>
        <w:numPr>
          <w:ilvl w:val="0"/>
          <w:numId w:val="1"/>
        </w:numPr>
      </w:pPr>
      <w:r>
        <w:t>L</w:t>
      </w:r>
      <w:r w:rsidRPr="005D65CE">
        <w:t xml:space="preserve">es juridictions de jugement saisies en cas de demande de liberté provisoire ou lorsqu’il s’agit de statuer sur l’opportunité de </w:t>
      </w:r>
      <w:r>
        <w:t xml:space="preserve">la </w:t>
      </w:r>
      <w:r w:rsidRPr="005D65CE">
        <w:t>prorogation.</w:t>
      </w:r>
    </w:p>
    <w:p w:rsidR="002D42EF" w:rsidRPr="005D65CE" w:rsidRDefault="002D42EF" w:rsidP="002D42EF">
      <w:pPr>
        <w:pStyle w:val="SingleTxtG"/>
        <w:ind w:left="1701"/>
        <w:jc w:val="left"/>
      </w:pPr>
      <w:r w:rsidRPr="005D65CE">
        <w:rPr>
          <w:b/>
        </w:rPr>
        <w:t>Article 7</w:t>
      </w:r>
      <w:r>
        <w:rPr>
          <w:b/>
        </w:rPr>
        <w:br/>
      </w:r>
      <w:r w:rsidRPr="005D65CE">
        <w:rPr>
          <w:b/>
        </w:rPr>
        <w:t>Procédure</w:t>
      </w:r>
    </w:p>
    <w:p w:rsidR="002D42EF" w:rsidRPr="005D65CE" w:rsidRDefault="002D42EF" w:rsidP="002D42EF">
      <w:pPr>
        <w:pStyle w:val="SingleTxtG"/>
        <w:ind w:left="1701"/>
        <w:rPr>
          <w:b/>
          <w:bCs/>
        </w:rPr>
      </w:pPr>
      <w:r>
        <w:rPr>
          <w:b/>
          <w:bCs/>
        </w:rPr>
        <w:t>«1.</w:t>
      </w:r>
      <w:r>
        <w:rPr>
          <w:b/>
          <w:bCs/>
        </w:rPr>
        <w:tab/>
        <w:t>L’É</w:t>
      </w:r>
      <w:r w:rsidRPr="005D65CE">
        <w:rPr>
          <w:b/>
          <w:bCs/>
        </w:rPr>
        <w:t>tat partie sur le territoire sous la juridiction duquel l’auteur d’une infraction visée à l’article 4 est découvert, s’il n’extrade pas ce dernier, soumet l’affaire, dans les cas visées à l’article 5,</w:t>
      </w:r>
      <w:r>
        <w:rPr>
          <w:b/>
          <w:bCs/>
        </w:rPr>
        <w:t xml:space="preserve"> </w:t>
      </w:r>
      <w:r w:rsidRPr="005D65CE">
        <w:rPr>
          <w:b/>
          <w:bCs/>
        </w:rPr>
        <w:t>à ses autorités compétentes pour l’exercice de l’action pénale.</w:t>
      </w:r>
    </w:p>
    <w:p w:rsidR="002D42EF" w:rsidRPr="005D65CE" w:rsidRDefault="002D42EF" w:rsidP="002D42EF">
      <w:pPr>
        <w:pStyle w:val="SingleTxtG"/>
        <w:ind w:left="1701"/>
        <w:rPr>
          <w:b/>
          <w:bCs/>
        </w:rPr>
      </w:pPr>
      <w:r>
        <w:rPr>
          <w:b/>
          <w:bCs/>
        </w:rPr>
        <w:t>2.</w:t>
      </w:r>
      <w:r>
        <w:rPr>
          <w:b/>
          <w:bCs/>
        </w:rPr>
        <w:tab/>
      </w:r>
      <w:r w:rsidRPr="005D65CE">
        <w:rPr>
          <w:b/>
          <w:bCs/>
        </w:rPr>
        <w:t xml:space="preserve">Ces autorités prennent leur décision dans les mêmes conditions que pour toute infraction de droit commun de caractère </w:t>
      </w:r>
      <w:r>
        <w:rPr>
          <w:b/>
          <w:bCs/>
        </w:rPr>
        <w:t>grave en vertu du droit de cet É</w:t>
      </w:r>
      <w:r w:rsidRPr="005D65CE">
        <w:rPr>
          <w:b/>
          <w:bCs/>
        </w:rPr>
        <w:t>tat</w:t>
      </w:r>
      <w:r>
        <w:rPr>
          <w:b/>
          <w:bCs/>
        </w:rPr>
        <w:t>. D</w:t>
      </w:r>
      <w:r w:rsidRPr="005D65CE">
        <w:rPr>
          <w:b/>
          <w:bCs/>
        </w:rPr>
        <w:t xml:space="preserve">ans les cas visés au paragraphe 2 de l’article 5, les règles de preuve qui s’appliquent aux poursuites et à la condamnation ne sont en aucune façon </w:t>
      </w:r>
      <w:r w:rsidRPr="008C2C38">
        <w:rPr>
          <w:b/>
          <w:bCs/>
          <w:spacing w:val="-3"/>
        </w:rPr>
        <w:t>moins rigoureuses que celles qui s’appliquent dans les cas visés au paragraphe 1 de</w:t>
      </w:r>
      <w:r w:rsidRPr="005D65CE">
        <w:rPr>
          <w:b/>
          <w:bCs/>
        </w:rPr>
        <w:t xml:space="preserve"> l’article 5.</w:t>
      </w:r>
    </w:p>
    <w:p w:rsidR="002D42EF" w:rsidRPr="005D65CE" w:rsidRDefault="002D42EF" w:rsidP="002D42EF">
      <w:pPr>
        <w:pStyle w:val="SingleTxtG"/>
        <w:ind w:left="1701"/>
        <w:rPr>
          <w:b/>
        </w:rPr>
      </w:pPr>
      <w:r>
        <w:rPr>
          <w:b/>
          <w:bCs/>
        </w:rPr>
        <w:t>3.</w:t>
      </w:r>
      <w:r>
        <w:rPr>
          <w:b/>
          <w:bCs/>
        </w:rPr>
        <w:tab/>
      </w:r>
      <w:r w:rsidRPr="005D65CE">
        <w:rPr>
          <w:b/>
          <w:bCs/>
        </w:rPr>
        <w:t>Toute personne poursuivie pour l’une quelconque des infractions visées à l’article 4 bénéficie de la garantie d’un traitement équitable à tous les stades de la procédure</w:t>
      </w:r>
      <w:r>
        <w:rPr>
          <w:b/>
          <w:bCs/>
        </w:rPr>
        <w:t>.</w:t>
      </w:r>
      <w:r w:rsidRPr="005D65CE">
        <w:rPr>
          <w:b/>
          <w:bCs/>
        </w:rPr>
        <w:t>»</w:t>
      </w:r>
    </w:p>
    <w:p w:rsidR="002D42EF" w:rsidRPr="005D65CE" w:rsidRDefault="002D42EF" w:rsidP="002D42EF">
      <w:pPr>
        <w:pStyle w:val="SingleTxtG"/>
      </w:pPr>
      <w:r w:rsidRPr="005D65CE">
        <w:t>105.</w:t>
      </w:r>
      <w:r w:rsidRPr="005D65CE">
        <w:tab/>
        <w:t xml:space="preserve">Pour l’application des dispositions de cet article, Madagascar a adopté les mesures </w:t>
      </w:r>
      <w:r>
        <w:t>énumérées ci-après.</w:t>
      </w:r>
    </w:p>
    <w:p w:rsidR="002D42EF" w:rsidRPr="00CB1375" w:rsidRDefault="002D42EF" w:rsidP="00C208E4">
      <w:pPr>
        <w:pStyle w:val="H23G"/>
        <w:numPr>
          <w:ilvl w:val="2"/>
          <w:numId w:val="10"/>
        </w:numPr>
      </w:pPr>
      <w:r w:rsidRPr="00CB1375">
        <w:t>Droit à l’assistance d’un conseil</w:t>
      </w:r>
    </w:p>
    <w:p w:rsidR="002D42EF" w:rsidRPr="00CB1375" w:rsidRDefault="002D42EF" w:rsidP="002D42EF">
      <w:pPr>
        <w:pStyle w:val="SingleTxtG"/>
      </w:pPr>
      <w:r w:rsidRPr="00CB1375">
        <w:t>106.</w:t>
      </w:r>
      <w:r w:rsidRPr="00CB1375">
        <w:tab/>
        <w:t xml:space="preserve">Le droit à l’assistance d’un conseil est garanti par l’article 53 du Code de Procédure Pénale qui prévoit que: </w:t>
      </w:r>
      <w:r w:rsidRPr="00CB1375">
        <w:rPr>
          <w:iCs/>
        </w:rPr>
        <w:t>«</w:t>
      </w:r>
      <w:r w:rsidRPr="00CB1375">
        <w:rPr>
          <w:i/>
          <w:iCs/>
        </w:rPr>
        <w:t>L’officier de police judiciaire, lors de la première audition de toute personne soupçonnée d’avoir commis un crime ou un délit, doit l’avertir de son droit de choisir un défenseur parmi les avocats inscrits au barreau de Madagascar ou un agent d’affaires ou toute personne de son choix sous réserve des dispositions légales en vigueur. Mention de l’accomplissement de cette formalité doit être faite au procès-verbal d’audition à peine de nullité de la procédure et sans préjudice de l’application contre l’officier de police judiciaire des dispositions de l’article 112 alinéa 2 du présent Code.</w:t>
      </w:r>
      <w:r w:rsidRPr="00CB1375">
        <w:rPr>
          <w:iCs/>
        </w:rPr>
        <w:t>»</w:t>
      </w:r>
    </w:p>
    <w:p w:rsidR="002D42EF" w:rsidRPr="00CB1375" w:rsidRDefault="002D42EF" w:rsidP="00C208E4">
      <w:pPr>
        <w:pStyle w:val="H23G"/>
        <w:numPr>
          <w:ilvl w:val="2"/>
          <w:numId w:val="10"/>
        </w:numPr>
      </w:pPr>
      <w:r w:rsidRPr="00CB1375">
        <w:t>Traitement équitable à tous les stades de la procédure</w:t>
      </w:r>
    </w:p>
    <w:p w:rsidR="002D42EF" w:rsidRPr="005D65CE" w:rsidRDefault="002D42EF" w:rsidP="002D42EF">
      <w:pPr>
        <w:pStyle w:val="SingleTxtG"/>
        <w:rPr>
          <w:i/>
        </w:rPr>
      </w:pPr>
      <w:r w:rsidRPr="00CB1375">
        <w:t>107.</w:t>
      </w:r>
      <w:r w:rsidRPr="00CB1375">
        <w:tab/>
        <w:t>L’auteur</w:t>
      </w:r>
      <w:r w:rsidRPr="005D65CE">
        <w:t xml:space="preserve"> présumé d’une infraction bénéficie des mesures de protection garanties par l’article 13 de la Constitution qui dispose que: </w:t>
      </w:r>
      <w:r w:rsidRPr="002604D7">
        <w:t>«</w:t>
      </w:r>
      <w:r>
        <w:rPr>
          <w:i/>
        </w:rPr>
        <w:t>l’É</w:t>
      </w:r>
      <w:r w:rsidRPr="005D65CE">
        <w:rPr>
          <w:i/>
        </w:rPr>
        <w:t>tat garantit la plénitude et l’inviolabilité des droits de la défense devant toutes les juridictions et à tous les stades de la procédure, y compris celui de l’enquête préliminaire au niveau de la Police judiciaire ou du Parquet</w:t>
      </w:r>
      <w:r w:rsidRPr="002604D7">
        <w:t>.»</w:t>
      </w:r>
      <w:r w:rsidRPr="005D65CE">
        <w:rPr>
          <w:i/>
        </w:rPr>
        <w:t xml:space="preserve"> </w:t>
      </w:r>
    </w:p>
    <w:p w:rsidR="002D42EF" w:rsidRPr="005D65CE" w:rsidRDefault="002D42EF" w:rsidP="002D42EF">
      <w:pPr>
        <w:pStyle w:val="SingleTxtG"/>
      </w:pPr>
      <w:r w:rsidRPr="005D65CE">
        <w:t>108.</w:t>
      </w:r>
      <w:r w:rsidRPr="005D65CE">
        <w:tab/>
        <w:t xml:space="preserve">Le droit à l’assistance d’un conseil est garanti par l’article 53 du Code de Procédure Pénale qui prévoit que: </w:t>
      </w:r>
      <w:r w:rsidRPr="002604D7">
        <w:rPr>
          <w:iCs/>
        </w:rPr>
        <w:t>«</w:t>
      </w:r>
      <w:r w:rsidRPr="005D65CE">
        <w:rPr>
          <w:i/>
          <w:iCs/>
        </w:rPr>
        <w:t>L’officier de police judiciaire, lors de la première audition de toute personne soupçonnée d’avoir commis un crime ou un délit, doit l’avertir de son droit de choisir un défenseur parmi les avocats inscrits au barreau de Madagascar ou un agent d’affaires ou toute personne de son choix sous réserve des dispositions légales en vigueur. Mention de l’accomplissement de cette formalité doit être faite au procès-verbal d’audition à peine de nullité de la procédure et sans préjudice de l’application contre l’officier de police judiciaire des dispositions de l’article 112 alinéa 2 du présent Code</w:t>
      </w:r>
      <w:r w:rsidRPr="002604D7">
        <w:rPr>
          <w:iCs/>
        </w:rPr>
        <w:t>.»</w:t>
      </w:r>
    </w:p>
    <w:p w:rsidR="002D42EF" w:rsidRPr="005D65CE" w:rsidRDefault="002D42EF" w:rsidP="002D42EF">
      <w:pPr>
        <w:pStyle w:val="SingleTxtG"/>
      </w:pPr>
      <w:r w:rsidRPr="005D65CE">
        <w:t>109.</w:t>
      </w:r>
      <w:r w:rsidRPr="005D65CE">
        <w:tab/>
        <w:t xml:space="preserve">Cette loi vise à empêcher la pratique de la torture pendant la garde à vue. Son application a permis de réduire de manière significative les allégations de torture pendant les enquêtes préliminaires. </w:t>
      </w:r>
    </w:p>
    <w:p w:rsidR="002D42EF" w:rsidRPr="005D65CE" w:rsidRDefault="002D42EF" w:rsidP="00C208E4">
      <w:pPr>
        <w:pStyle w:val="H23G"/>
        <w:numPr>
          <w:ilvl w:val="2"/>
          <w:numId w:val="10"/>
        </w:numPr>
      </w:pPr>
      <w:r w:rsidRPr="005D65CE">
        <w:t xml:space="preserve">Présomption d’innocence </w:t>
      </w:r>
    </w:p>
    <w:p w:rsidR="002D42EF" w:rsidRPr="008F578E" w:rsidRDefault="002D42EF" w:rsidP="002D42EF">
      <w:pPr>
        <w:pStyle w:val="SingleTxtG"/>
      </w:pPr>
      <w:r w:rsidRPr="005D65CE">
        <w:t>110.</w:t>
      </w:r>
      <w:r w:rsidRPr="005D65CE">
        <w:tab/>
        <w:t>Tout prévenu ou accusé est présumé innocent jusqu’à ce que sa culpabilité soit établie par une décision définitive prononcée par une juridiction pénal</w:t>
      </w:r>
      <w:r>
        <w:t>e</w:t>
      </w:r>
      <w:r w:rsidRPr="005D65CE">
        <w:t>, conformément à l’article 7 de la Constitution malgache qui dispose</w:t>
      </w:r>
      <w:r>
        <w:t xml:space="preserve"> que</w:t>
      </w:r>
      <w:r w:rsidRPr="005D65CE">
        <w:t>: «</w:t>
      </w:r>
      <w:r w:rsidRPr="005D65CE">
        <w:rPr>
          <w:i/>
        </w:rPr>
        <w:t>Toute personne a droit à ce que sa cause soit entendue. Ce droit comprend:</w:t>
      </w:r>
      <w:r>
        <w:t xml:space="preserve"> </w:t>
      </w:r>
      <w:r w:rsidRPr="005D65CE">
        <w:rPr>
          <w:i/>
        </w:rPr>
        <w:t>(…) b- le droit à la présomption d’innocence jusqu’à ce que sa culpabilité soit établie par une juridiction compétente</w:t>
      </w:r>
      <w:r>
        <w:rPr>
          <w:i/>
        </w:rPr>
        <w:t>.</w:t>
      </w:r>
      <w:r w:rsidRPr="008F578E">
        <w:t>»</w:t>
      </w:r>
    </w:p>
    <w:p w:rsidR="002D42EF" w:rsidRPr="005D65CE" w:rsidRDefault="002D42EF" w:rsidP="002D42EF">
      <w:pPr>
        <w:pStyle w:val="SingleTxtG"/>
      </w:pPr>
      <w:r w:rsidRPr="005D65CE">
        <w:t>111.</w:t>
      </w:r>
      <w:r w:rsidRPr="005D65CE">
        <w:tab/>
        <w:t xml:space="preserve">De cette protection il découle que la personne arrêtée a le droit à ce que son image ne soit </w:t>
      </w:r>
      <w:r>
        <w:t xml:space="preserve">pas </w:t>
      </w:r>
      <w:r w:rsidRPr="005D65CE">
        <w:t>publié</w:t>
      </w:r>
      <w:r>
        <w:t>e</w:t>
      </w:r>
      <w:r w:rsidRPr="005D65CE">
        <w:t xml:space="preserve"> dans des journaux à visage découvert. </w:t>
      </w:r>
    </w:p>
    <w:p w:rsidR="002D42EF" w:rsidRPr="005D65CE" w:rsidRDefault="002D42EF" w:rsidP="00C208E4">
      <w:pPr>
        <w:pStyle w:val="H23G"/>
        <w:numPr>
          <w:ilvl w:val="2"/>
          <w:numId w:val="10"/>
        </w:numPr>
      </w:pPr>
      <w:r>
        <w:t>É</w:t>
      </w:r>
      <w:r w:rsidRPr="005D65CE">
        <w:t>galité devant les tribunaux</w:t>
      </w:r>
    </w:p>
    <w:p w:rsidR="002D42EF" w:rsidRPr="005D65CE" w:rsidRDefault="002D42EF" w:rsidP="002D42EF">
      <w:pPr>
        <w:pStyle w:val="SingleTxtG"/>
      </w:pPr>
      <w:r w:rsidRPr="005D65CE">
        <w:t>112.</w:t>
      </w:r>
      <w:r w:rsidRPr="005D65CE">
        <w:tab/>
        <w:t>Selon l’article 8 de la Constitution</w:t>
      </w:r>
      <w:r>
        <w:t>:</w:t>
      </w:r>
      <w:r w:rsidRPr="005D65CE">
        <w:t xml:space="preserve"> </w:t>
      </w:r>
      <w:r w:rsidRPr="0078051C">
        <w:t>«</w:t>
      </w:r>
      <w:r w:rsidRPr="005D65CE">
        <w:rPr>
          <w:i/>
        </w:rPr>
        <w:t>tous les individus sont égaux en droit</w:t>
      </w:r>
      <w:r w:rsidRPr="0078051C">
        <w:t>»</w:t>
      </w:r>
      <w:r>
        <w:t xml:space="preserve">. </w:t>
      </w:r>
      <w:r w:rsidRPr="005D65CE">
        <w:t>De cette protection constitutionnelle il découle que les étrangers, au même titre que les nationaux, bénéficient d</w:t>
      </w:r>
      <w:r>
        <w:t>’un</w:t>
      </w:r>
      <w:r w:rsidRPr="005D65CE">
        <w:t xml:space="preserve"> traitement égal devant la justice. </w:t>
      </w:r>
    </w:p>
    <w:p w:rsidR="002D42EF" w:rsidRPr="005D65CE" w:rsidRDefault="002D42EF" w:rsidP="002D42EF">
      <w:pPr>
        <w:pStyle w:val="SingleTxtG"/>
      </w:pPr>
      <w:r w:rsidRPr="005D65CE">
        <w:t>113.</w:t>
      </w:r>
      <w:r w:rsidRPr="005D65CE">
        <w:tab/>
      </w:r>
      <w:r>
        <w:t>À</w:t>
      </w:r>
      <w:r w:rsidRPr="005D65CE">
        <w:t xml:space="preserve"> ce titre, les règles </w:t>
      </w:r>
      <w:r>
        <w:t>qui régissent l</w:t>
      </w:r>
      <w:r w:rsidRPr="005D65CE">
        <w:t>’administration de la preuve en matière de torture sont les mêmes aussi bien pour les nationaux que pour les étrangers. Ces derniers</w:t>
      </w:r>
      <w:r>
        <w:t xml:space="preserve"> </w:t>
      </w:r>
      <w:r w:rsidRPr="005D65CE">
        <w:t xml:space="preserve">bénéficient d’un égal accès à la justice sans discrimination fondée sur leur nationalité. Ils ont droit à l’exercice effectif des droits d’exercer des voies de recours dont l’opposition, l’appel et le droit de se pourvoir en cassation. </w:t>
      </w:r>
    </w:p>
    <w:p w:rsidR="002D42EF" w:rsidRPr="005D65CE" w:rsidRDefault="002D42EF" w:rsidP="002D42EF">
      <w:pPr>
        <w:pStyle w:val="SingleTxtG"/>
      </w:pPr>
      <w:r w:rsidRPr="005D65CE">
        <w:t>114.</w:t>
      </w:r>
      <w:r w:rsidRPr="005D65CE">
        <w:tab/>
        <w:t xml:space="preserve">Les règles de compétence étendues consacrées dans la loi </w:t>
      </w:r>
      <w:r w:rsidRPr="00C14D2A">
        <w:t>n</w:t>
      </w:r>
      <w:r w:rsidRPr="00C14D2A">
        <w:rPr>
          <w:vertAlign w:val="superscript"/>
        </w:rPr>
        <w:t>o</w:t>
      </w:r>
      <w:r>
        <w:t xml:space="preserve"> </w:t>
      </w:r>
      <w:r w:rsidRPr="005D65CE">
        <w:t xml:space="preserve">2008-008 s’appliquent également </w:t>
      </w:r>
      <w:r>
        <w:t>à l’</w:t>
      </w:r>
      <w:r w:rsidRPr="005D65CE">
        <w:t xml:space="preserve">étranger qui aurait commis des actes de torture dans un autre pays. </w:t>
      </w:r>
    </w:p>
    <w:p w:rsidR="002D42EF" w:rsidRPr="005D65CE" w:rsidRDefault="002D42EF" w:rsidP="002D42EF">
      <w:pPr>
        <w:pStyle w:val="SingleTxtG"/>
      </w:pPr>
      <w:r w:rsidRPr="005D65CE">
        <w:t>115.</w:t>
      </w:r>
      <w:r w:rsidRPr="005D65CE">
        <w:tab/>
        <w:t>En droit interne, les infractions peuvent être établies par tou</w:t>
      </w:r>
      <w:r>
        <w:t>s</w:t>
      </w:r>
      <w:r w:rsidRPr="005D65CE">
        <w:t xml:space="preserve"> moyen</w:t>
      </w:r>
      <w:r>
        <w:t>s</w:t>
      </w:r>
      <w:r w:rsidRPr="005D65CE">
        <w:t xml:space="preserve"> de preuve </w:t>
      </w:r>
      <w:r>
        <w:t xml:space="preserve">visés aux </w:t>
      </w:r>
      <w:r w:rsidRPr="005D65CE">
        <w:t xml:space="preserve"> articles 374 à 394 du Code de Procédure Pénale: </w:t>
      </w:r>
    </w:p>
    <w:p w:rsidR="002D42EF" w:rsidRPr="005D65CE" w:rsidRDefault="002D42EF" w:rsidP="002D42EF">
      <w:pPr>
        <w:pStyle w:val="Bullet1G"/>
        <w:numPr>
          <w:ilvl w:val="0"/>
          <w:numId w:val="1"/>
        </w:numPr>
      </w:pPr>
      <w:r>
        <w:t>L’a</w:t>
      </w:r>
      <w:r w:rsidRPr="005D65CE">
        <w:t>veu;</w:t>
      </w:r>
    </w:p>
    <w:p w:rsidR="002D42EF" w:rsidRPr="005D65CE" w:rsidRDefault="002D42EF" w:rsidP="002D42EF">
      <w:pPr>
        <w:pStyle w:val="Bullet1G"/>
        <w:numPr>
          <w:ilvl w:val="0"/>
          <w:numId w:val="1"/>
        </w:numPr>
      </w:pPr>
      <w:r>
        <w:t>La p</w:t>
      </w:r>
      <w:r w:rsidRPr="005D65CE">
        <w:t>reuve par témoins;</w:t>
      </w:r>
    </w:p>
    <w:p w:rsidR="002D42EF" w:rsidRPr="005D65CE" w:rsidRDefault="002D42EF" w:rsidP="002D42EF">
      <w:pPr>
        <w:pStyle w:val="Bullet1G"/>
        <w:numPr>
          <w:ilvl w:val="0"/>
          <w:numId w:val="1"/>
        </w:numPr>
      </w:pPr>
      <w:r>
        <w:t>D</w:t>
      </w:r>
      <w:r w:rsidRPr="005D65CE">
        <w:t>e manière générale, les procès</w:t>
      </w:r>
      <w:r>
        <w:t>-</w:t>
      </w:r>
      <w:r w:rsidRPr="005D65CE">
        <w:t>verbaux et les rapports constatant l’infraction;</w:t>
      </w:r>
    </w:p>
    <w:p w:rsidR="002D42EF" w:rsidRPr="005D65CE" w:rsidRDefault="002D42EF" w:rsidP="002D42EF">
      <w:pPr>
        <w:pStyle w:val="Bullet1G"/>
        <w:numPr>
          <w:ilvl w:val="0"/>
          <w:numId w:val="1"/>
        </w:numPr>
      </w:pPr>
      <w:r>
        <w:t>L</w:t>
      </w:r>
      <w:r w:rsidRPr="005D65CE">
        <w:t xml:space="preserve">es rapports d’expertise médico-légale. </w:t>
      </w:r>
    </w:p>
    <w:p w:rsidR="002D42EF" w:rsidRPr="005D65CE" w:rsidRDefault="002D42EF" w:rsidP="002D42EF">
      <w:pPr>
        <w:pStyle w:val="SingleTxtG"/>
      </w:pPr>
      <w:r w:rsidRPr="005D65CE">
        <w:t>116.</w:t>
      </w:r>
      <w:r w:rsidRPr="005D65CE">
        <w:tab/>
      </w:r>
      <w:r>
        <w:t xml:space="preserve">Un </w:t>
      </w:r>
      <w:r w:rsidRPr="005D65CE">
        <w:t>expert peut être appelé à témoigner à l’audience s’il y a lieu après avoir prêté serment.</w:t>
      </w:r>
    </w:p>
    <w:p w:rsidR="002D42EF" w:rsidRPr="005D65CE" w:rsidRDefault="002D42EF" w:rsidP="002D42EF">
      <w:pPr>
        <w:pStyle w:val="SingleTxtG"/>
      </w:pPr>
      <w:r w:rsidRPr="005D65CE">
        <w:t>117.</w:t>
      </w:r>
      <w:r w:rsidRPr="005D65CE">
        <w:tab/>
        <w:t xml:space="preserve">L’application des mesures mentionnées ci-dessus est constante pour les autres infractions. L’application concrète de ces mesures </w:t>
      </w:r>
      <w:r>
        <w:t>dans</w:t>
      </w:r>
      <w:r w:rsidRPr="005D65CE">
        <w:t xml:space="preserve"> les cas de torture et autres mauvais traitements n’a pas encore fait l’objet d</w:t>
      </w:r>
      <w:r>
        <w:t>’un</w:t>
      </w:r>
      <w:r w:rsidRPr="005D65CE">
        <w:t xml:space="preserve"> recensement. </w:t>
      </w:r>
    </w:p>
    <w:p w:rsidR="002D42EF" w:rsidRPr="005D65CE" w:rsidRDefault="002D42EF" w:rsidP="002D42EF">
      <w:pPr>
        <w:pStyle w:val="SingleTxtG"/>
        <w:ind w:left="1701"/>
        <w:jc w:val="left"/>
        <w:rPr>
          <w:b/>
        </w:rPr>
      </w:pPr>
      <w:r>
        <w:rPr>
          <w:b/>
        </w:rPr>
        <w:t xml:space="preserve">Article </w:t>
      </w:r>
      <w:r w:rsidRPr="005D65CE">
        <w:rPr>
          <w:b/>
        </w:rPr>
        <w:t>8</w:t>
      </w:r>
      <w:r>
        <w:rPr>
          <w:b/>
        </w:rPr>
        <w:br/>
      </w:r>
      <w:r w:rsidRPr="005D65CE">
        <w:rPr>
          <w:b/>
        </w:rPr>
        <w:t>Extradition</w:t>
      </w:r>
    </w:p>
    <w:p w:rsidR="002D42EF" w:rsidRPr="005D65CE" w:rsidRDefault="002D42EF" w:rsidP="002D42EF">
      <w:pPr>
        <w:pStyle w:val="SingleTxtG"/>
        <w:ind w:left="1701"/>
        <w:rPr>
          <w:b/>
          <w:bCs/>
        </w:rPr>
      </w:pPr>
      <w:r>
        <w:rPr>
          <w:b/>
          <w:bCs/>
        </w:rPr>
        <w:t>«1.</w:t>
      </w:r>
      <w:r>
        <w:rPr>
          <w:b/>
          <w:bCs/>
        </w:rPr>
        <w:tab/>
      </w:r>
      <w:r w:rsidRPr="005D65CE">
        <w:rPr>
          <w:b/>
          <w:bCs/>
        </w:rPr>
        <w:t>Les infractions visées à l’article 4 sont de plein droit comprises dans tout tra</w:t>
      </w:r>
      <w:r>
        <w:rPr>
          <w:b/>
          <w:bCs/>
        </w:rPr>
        <w:t>ité d’extradition conclu entre États parties. Les É</w:t>
      </w:r>
      <w:r w:rsidRPr="005D65CE">
        <w:rPr>
          <w:b/>
          <w:bCs/>
        </w:rPr>
        <w:t xml:space="preserve">tats parties s’engagent à comprendre lesdites infractions dans tout traité d’extradition à conclure entre eux. </w:t>
      </w:r>
    </w:p>
    <w:p w:rsidR="002D42EF" w:rsidRPr="005D65CE" w:rsidRDefault="002D42EF" w:rsidP="002D42EF">
      <w:pPr>
        <w:pStyle w:val="SingleTxtG"/>
        <w:ind w:left="1701"/>
        <w:rPr>
          <w:b/>
          <w:bCs/>
        </w:rPr>
      </w:pPr>
      <w:r>
        <w:rPr>
          <w:b/>
          <w:bCs/>
        </w:rPr>
        <w:t>2.</w:t>
      </w:r>
      <w:r>
        <w:rPr>
          <w:b/>
          <w:bCs/>
        </w:rPr>
        <w:tab/>
        <w:t>Si un É</w:t>
      </w:r>
      <w:r w:rsidRPr="005D65CE">
        <w:rPr>
          <w:b/>
          <w:bCs/>
        </w:rPr>
        <w:t>tat partie qui subordonne l’extradition à l’existence d’un traité est saisi d’une dema</w:t>
      </w:r>
      <w:r>
        <w:rPr>
          <w:b/>
          <w:bCs/>
        </w:rPr>
        <w:t>nde d’extradition par un autre É</w:t>
      </w:r>
      <w:r w:rsidRPr="005D65CE">
        <w:rPr>
          <w:b/>
          <w:bCs/>
        </w:rPr>
        <w:t>tat partie avec lequel il n’est pas lié par un traité d’extradition, il peut considérer la présente Convention comme constituant la base juridique de l’extradition en ce qui concerne lesdites infractions. L’extradition est subordonnée aux autres condit</w:t>
      </w:r>
      <w:r>
        <w:rPr>
          <w:b/>
          <w:bCs/>
        </w:rPr>
        <w:t>ions prévues par le droit de l’É</w:t>
      </w:r>
      <w:r w:rsidRPr="005D65CE">
        <w:rPr>
          <w:b/>
          <w:bCs/>
        </w:rPr>
        <w:t>tat requis.</w:t>
      </w:r>
    </w:p>
    <w:p w:rsidR="002D42EF" w:rsidRPr="005D65CE" w:rsidRDefault="002D42EF" w:rsidP="002D42EF">
      <w:pPr>
        <w:pStyle w:val="SingleTxtG"/>
        <w:ind w:left="1701"/>
        <w:rPr>
          <w:b/>
          <w:bCs/>
        </w:rPr>
      </w:pPr>
      <w:r>
        <w:rPr>
          <w:b/>
          <w:bCs/>
        </w:rPr>
        <w:t xml:space="preserve">3. </w:t>
      </w:r>
      <w:r>
        <w:rPr>
          <w:b/>
          <w:bCs/>
        </w:rPr>
        <w:tab/>
        <w:t>Les É</w:t>
      </w:r>
      <w:r w:rsidRPr="005D65CE">
        <w:rPr>
          <w:b/>
          <w:bCs/>
        </w:rPr>
        <w:t>tats</w:t>
      </w:r>
      <w:r>
        <w:rPr>
          <w:b/>
          <w:bCs/>
        </w:rPr>
        <w:t xml:space="preserve"> </w:t>
      </w:r>
      <w:r w:rsidRPr="005D65CE">
        <w:rPr>
          <w:b/>
          <w:bCs/>
        </w:rPr>
        <w:t>parties qui ne subordonnent pas l’extradition à l’existence d’un traité reconnaissant lesdites infractions comme cas d’extradition entre eux dans les condit</w:t>
      </w:r>
      <w:r>
        <w:rPr>
          <w:b/>
          <w:bCs/>
        </w:rPr>
        <w:t>ions prévues par le droit de l’É</w:t>
      </w:r>
      <w:r w:rsidRPr="005D65CE">
        <w:rPr>
          <w:b/>
          <w:bCs/>
        </w:rPr>
        <w:t>tat requis.</w:t>
      </w:r>
    </w:p>
    <w:p w:rsidR="002D42EF" w:rsidRPr="005D65CE" w:rsidRDefault="002D42EF" w:rsidP="002D42EF">
      <w:pPr>
        <w:pStyle w:val="SingleTxtG"/>
        <w:ind w:left="1701"/>
        <w:rPr>
          <w:b/>
          <w:bCs/>
        </w:rPr>
      </w:pPr>
      <w:r>
        <w:rPr>
          <w:b/>
          <w:bCs/>
        </w:rPr>
        <w:t>4.</w:t>
      </w:r>
      <w:r>
        <w:rPr>
          <w:b/>
          <w:bCs/>
        </w:rPr>
        <w:tab/>
        <w:t>Entre É</w:t>
      </w:r>
      <w:r w:rsidRPr="005D65CE">
        <w:rPr>
          <w:b/>
          <w:bCs/>
        </w:rPr>
        <w:t xml:space="preserve">tats parties lesdites infractions sont considérées aux fins d’extradition comme ayant été commises tant au lieu de leur perpétration que sur le territoire sous la juridiction des </w:t>
      </w:r>
      <w:r>
        <w:rPr>
          <w:b/>
          <w:bCs/>
        </w:rPr>
        <w:t>É</w:t>
      </w:r>
      <w:r w:rsidRPr="005D65CE">
        <w:rPr>
          <w:b/>
          <w:bCs/>
        </w:rPr>
        <w:t>tats</w:t>
      </w:r>
      <w:r>
        <w:rPr>
          <w:b/>
          <w:bCs/>
        </w:rPr>
        <w:t xml:space="preserve"> </w:t>
      </w:r>
      <w:r w:rsidRPr="005D65CE">
        <w:rPr>
          <w:b/>
          <w:bCs/>
        </w:rPr>
        <w:t>tenus d’établir leur compétence en vertu du paragraphe 1 de l’article 5</w:t>
      </w:r>
      <w:r>
        <w:rPr>
          <w:b/>
          <w:bCs/>
        </w:rPr>
        <w:t>.»</w:t>
      </w:r>
    </w:p>
    <w:p w:rsidR="002D42EF" w:rsidRPr="005D65CE" w:rsidRDefault="002D42EF" w:rsidP="002D42EF">
      <w:pPr>
        <w:pStyle w:val="SingleTxtG"/>
      </w:pPr>
      <w:r w:rsidRPr="005D65CE">
        <w:t>118.</w:t>
      </w:r>
      <w:r w:rsidRPr="005D65CE">
        <w:tab/>
        <w:t xml:space="preserve">Madagascar considère la torture et les infractions connexes comme des infractions justifiant l’extradition sous certaines conditions. </w:t>
      </w:r>
    </w:p>
    <w:p w:rsidR="002D42EF" w:rsidRPr="00380200" w:rsidRDefault="002D42EF" w:rsidP="002D42EF">
      <w:pPr>
        <w:pStyle w:val="SingleTxtG"/>
      </w:pPr>
      <w:r w:rsidRPr="00380200">
        <w:t>119.</w:t>
      </w:r>
      <w:r w:rsidRPr="00380200">
        <w:tab/>
        <w:t xml:space="preserve">Il </w:t>
      </w:r>
      <w:r>
        <w:t>est partie à l’</w:t>
      </w:r>
      <w:r w:rsidRPr="00380200">
        <w:t xml:space="preserve">Accord de coopération franco-malgache de 1973 comportant des dispositions sur l’extradition et l’entraide judiciaire. </w:t>
      </w:r>
    </w:p>
    <w:p w:rsidR="002D42EF" w:rsidRPr="005D65CE" w:rsidRDefault="002D42EF" w:rsidP="002D42EF">
      <w:pPr>
        <w:pStyle w:val="SingleTxtG"/>
      </w:pPr>
      <w:r w:rsidRPr="00380200">
        <w:t>120.</w:t>
      </w:r>
      <w:r w:rsidRPr="00380200">
        <w:tab/>
        <w:t>Aux termes de cet Accord, les crimes et délits prévus par les législations respectives</w:t>
      </w:r>
      <w:r>
        <w:t xml:space="preserve"> </w:t>
      </w:r>
      <w:r w:rsidRPr="005D65CE">
        <w:t xml:space="preserve">des deux pays constituent des cas d’extradition. </w:t>
      </w:r>
    </w:p>
    <w:p w:rsidR="002D42EF" w:rsidRPr="005D65CE" w:rsidRDefault="002D42EF" w:rsidP="00710239">
      <w:pPr>
        <w:pStyle w:val="SingleTxtG"/>
        <w:keepNext/>
      </w:pPr>
      <w:r w:rsidRPr="005D65CE">
        <w:t>121.</w:t>
      </w:r>
      <w:r w:rsidRPr="005D65CE">
        <w:tab/>
        <w:t>L’extradition peut être accordée à l’exclusion des cas suivants:</w:t>
      </w:r>
    </w:p>
    <w:p w:rsidR="002D42EF" w:rsidRPr="005D65CE" w:rsidRDefault="002D42EF" w:rsidP="002D42EF">
      <w:pPr>
        <w:pStyle w:val="Bullet1G"/>
        <w:numPr>
          <w:ilvl w:val="0"/>
          <w:numId w:val="1"/>
        </w:numPr>
      </w:pPr>
      <w:r>
        <w:t>L</w:t>
      </w:r>
      <w:r w:rsidRPr="005D65CE">
        <w:t>es infractions ont été définitive</w:t>
      </w:r>
      <w:r>
        <w:t>ment jugées dans l’un des deux É</w:t>
      </w:r>
      <w:r w:rsidRPr="005D65CE">
        <w:t>tats;</w:t>
      </w:r>
    </w:p>
    <w:p w:rsidR="002D42EF" w:rsidRPr="005D65CE" w:rsidRDefault="002D42EF" w:rsidP="002D42EF">
      <w:pPr>
        <w:pStyle w:val="Bullet1G"/>
        <w:numPr>
          <w:ilvl w:val="0"/>
          <w:numId w:val="1"/>
        </w:numPr>
      </w:pPr>
      <w:r>
        <w:t>L</w:t>
      </w:r>
      <w:r w:rsidRPr="005D65CE">
        <w:t>a prescription de l’action publique ou de la peine est acquise;</w:t>
      </w:r>
    </w:p>
    <w:p w:rsidR="002D42EF" w:rsidRPr="005D65CE" w:rsidRDefault="002D42EF" w:rsidP="002D42EF">
      <w:pPr>
        <w:pStyle w:val="Bullet1G"/>
        <w:numPr>
          <w:ilvl w:val="0"/>
          <w:numId w:val="1"/>
        </w:numPr>
      </w:pPr>
      <w:r>
        <w:t>L</w:t>
      </w:r>
      <w:r w:rsidRPr="005D65CE">
        <w:t>es infractions ont été commises en tot</w:t>
      </w:r>
      <w:r>
        <w:t>alité</w:t>
      </w:r>
      <w:r w:rsidRPr="005D65CE">
        <w:t xml:space="preserve"> ou en</w:t>
      </w:r>
      <w:r>
        <w:t xml:space="preserve"> partie sur le territoire de l’É</w:t>
      </w:r>
      <w:r w:rsidRPr="005D65CE">
        <w:t>tat requis;</w:t>
      </w:r>
    </w:p>
    <w:p w:rsidR="002D42EF" w:rsidRPr="005D65CE" w:rsidRDefault="002D42EF" w:rsidP="002D42EF">
      <w:pPr>
        <w:pStyle w:val="Bullet1G"/>
        <w:numPr>
          <w:ilvl w:val="0"/>
          <w:numId w:val="1"/>
        </w:numPr>
      </w:pPr>
      <w:r>
        <w:t>L</w:t>
      </w:r>
      <w:r w:rsidRPr="005D65CE">
        <w:t>es infractions ayant été co</w:t>
      </w:r>
      <w:r>
        <w:t>mmises hors du territoire de l’É</w:t>
      </w:r>
      <w:r w:rsidRPr="005D65CE">
        <w:t>tat r</w:t>
      </w:r>
      <w:r>
        <w:t>equérant par un étranger à cet État, la législation de l’É</w:t>
      </w:r>
      <w:r w:rsidRPr="005D65CE">
        <w:t xml:space="preserve">tat requis n’autorise pas la poursuite des mêmes infractions </w:t>
      </w:r>
      <w:r>
        <w:t xml:space="preserve">commises </w:t>
      </w:r>
      <w:r w:rsidRPr="005D65CE">
        <w:t>hors de son territoire par un étranger;</w:t>
      </w:r>
    </w:p>
    <w:p w:rsidR="002D42EF" w:rsidRPr="005D65CE" w:rsidRDefault="002D42EF" w:rsidP="002D42EF">
      <w:pPr>
        <w:pStyle w:val="Bullet1G"/>
        <w:numPr>
          <w:ilvl w:val="0"/>
          <w:numId w:val="1"/>
        </w:numPr>
      </w:pPr>
      <w:r>
        <w:t>U</w:t>
      </w:r>
      <w:r w:rsidRPr="005D65CE">
        <w:t>ne amnistie est inte</w:t>
      </w:r>
      <w:r>
        <w:t>rvenue dans l’É</w:t>
      </w:r>
      <w:r w:rsidRPr="005D65CE">
        <w:t xml:space="preserve">tat requérant ou une </w:t>
      </w:r>
      <w:r>
        <w:t>amnistie est intervenue dans l’É</w:t>
      </w:r>
      <w:r w:rsidRPr="005D65CE">
        <w:t>tat requis à la condition que, dans ce dernier cas, l’infraction soit au nombre de celles qui peu</w:t>
      </w:r>
      <w:r>
        <w:t>vent être poursuivies dans cet É</w:t>
      </w:r>
      <w:r w:rsidRPr="005D65CE">
        <w:t>tat lorsqu’elles ont été commises hors de son territoire par un étranger.</w:t>
      </w:r>
    </w:p>
    <w:p w:rsidR="002D42EF" w:rsidRPr="000B7AC5" w:rsidRDefault="002D42EF" w:rsidP="002D42EF">
      <w:pPr>
        <w:pStyle w:val="SingleTxtG"/>
      </w:pPr>
      <w:r w:rsidRPr="000B7AC5">
        <w:t>122.</w:t>
      </w:r>
      <w:r w:rsidRPr="000B7AC5">
        <w:tab/>
      </w:r>
      <w:r>
        <w:t xml:space="preserve">Compte tenu que </w:t>
      </w:r>
      <w:r w:rsidRPr="000B7AC5">
        <w:t xml:space="preserve">Madagascar et la France </w:t>
      </w:r>
      <w:r>
        <w:t>sont</w:t>
      </w:r>
      <w:r w:rsidRPr="000B7AC5">
        <w:t xml:space="preserve"> </w:t>
      </w:r>
      <w:r>
        <w:t>p</w:t>
      </w:r>
      <w:r w:rsidRPr="000B7AC5">
        <w:t xml:space="preserve">arties à la Convention et </w:t>
      </w:r>
      <w:r>
        <w:t>que les deux États ont</w:t>
      </w:r>
      <w:r w:rsidRPr="000B7AC5">
        <w:t xml:space="preserve"> incriminé dans leur législation interne les actes de torture, les réponses aux demandes d’extradition sont subordonnées aux conditions énumérées ci-dessus. </w:t>
      </w:r>
    </w:p>
    <w:p w:rsidR="002D42EF" w:rsidRPr="000B7AC5" w:rsidRDefault="002D42EF" w:rsidP="002D42EF">
      <w:pPr>
        <w:pStyle w:val="SingleTxtG"/>
      </w:pPr>
      <w:r w:rsidRPr="000B7AC5">
        <w:t>123.</w:t>
      </w:r>
      <w:r w:rsidRPr="000B7AC5">
        <w:tab/>
        <w:t>Lorsqu’une d</w:t>
      </w:r>
      <w:r>
        <w:t>emande émane d’un É</w:t>
      </w:r>
      <w:r w:rsidRPr="000B7AC5">
        <w:t xml:space="preserve">tat </w:t>
      </w:r>
      <w:r>
        <w:t>p</w:t>
      </w:r>
      <w:r w:rsidRPr="000B7AC5">
        <w:t>artie à la Convention avec lequel Madagascar n’est pas lié par un traité, il peut considérer la Convention comme base juridique d’extradition.</w:t>
      </w:r>
    </w:p>
    <w:p w:rsidR="002D42EF" w:rsidRPr="005D65CE" w:rsidRDefault="002D42EF" w:rsidP="002D42EF">
      <w:pPr>
        <w:pStyle w:val="SingleTxtG"/>
      </w:pPr>
      <w:r w:rsidRPr="000B7AC5">
        <w:t>124.</w:t>
      </w:r>
      <w:r w:rsidRPr="000B7AC5">
        <w:tab/>
      </w:r>
      <w:r>
        <w:t>À</w:t>
      </w:r>
      <w:r w:rsidRPr="005D65CE">
        <w:t xml:space="preserve"> ce jour, Madagascar n’a pas reçu de demande d’extradition de personnes présumées auteurs d’actes de torture ou de mauvais traitements.</w:t>
      </w:r>
    </w:p>
    <w:p w:rsidR="002D42EF" w:rsidRPr="005D65CE" w:rsidRDefault="002D42EF" w:rsidP="002D42EF">
      <w:pPr>
        <w:pStyle w:val="SingleTxtG"/>
        <w:ind w:left="1701"/>
        <w:jc w:val="left"/>
        <w:rPr>
          <w:b/>
        </w:rPr>
      </w:pPr>
      <w:r w:rsidRPr="005D65CE">
        <w:rPr>
          <w:b/>
        </w:rPr>
        <w:t>Article 9</w:t>
      </w:r>
      <w:r>
        <w:rPr>
          <w:b/>
        </w:rPr>
        <w:br/>
      </w:r>
      <w:r w:rsidRPr="005D65CE">
        <w:rPr>
          <w:b/>
        </w:rPr>
        <w:t>Entraide Judiciaire</w:t>
      </w:r>
    </w:p>
    <w:p w:rsidR="002D42EF" w:rsidRPr="005D65CE" w:rsidRDefault="002D42EF" w:rsidP="002D42EF">
      <w:pPr>
        <w:pStyle w:val="SingleTxtG"/>
        <w:ind w:left="1701"/>
        <w:rPr>
          <w:b/>
        </w:rPr>
      </w:pPr>
      <w:r>
        <w:rPr>
          <w:b/>
        </w:rPr>
        <w:t>«1.</w:t>
      </w:r>
      <w:r>
        <w:rPr>
          <w:b/>
        </w:rPr>
        <w:tab/>
        <w:t>Les É</w:t>
      </w:r>
      <w:r w:rsidRPr="005D65CE">
        <w:rPr>
          <w:b/>
        </w:rPr>
        <w:t>tats parties s’accordent l’entraide judiciaire la plus large possible dans toute procédure pénale relative aux infractions visées à l’article 4, y compris en ce qui concerne la communication de tous les éléments de preuve dont ils disposent et qui son</w:t>
      </w:r>
      <w:r>
        <w:rPr>
          <w:b/>
        </w:rPr>
        <w:t>t</w:t>
      </w:r>
      <w:r w:rsidRPr="005D65CE">
        <w:rPr>
          <w:b/>
        </w:rPr>
        <w:t xml:space="preserve"> nécessaires aux fins de la procédure.</w:t>
      </w:r>
    </w:p>
    <w:p w:rsidR="002D42EF" w:rsidRPr="005D65CE" w:rsidRDefault="002D42EF" w:rsidP="002D42EF">
      <w:pPr>
        <w:pStyle w:val="SingleTxtG"/>
        <w:ind w:left="1701"/>
        <w:rPr>
          <w:b/>
        </w:rPr>
      </w:pPr>
      <w:r>
        <w:rPr>
          <w:b/>
        </w:rPr>
        <w:t>2.</w:t>
      </w:r>
      <w:r>
        <w:rPr>
          <w:b/>
        </w:rPr>
        <w:tab/>
        <w:t>Les É</w:t>
      </w:r>
      <w:r w:rsidRPr="005D65CE">
        <w:rPr>
          <w:b/>
        </w:rPr>
        <w:t>tats parties s’acquittent de leurs obligations en vertu du paragraphe 1 du présent article en conformité avec tout traité d’entraide judiciaire qui peut exister entre eux</w:t>
      </w:r>
      <w:r>
        <w:rPr>
          <w:b/>
        </w:rPr>
        <w:t>.</w:t>
      </w:r>
      <w:r w:rsidRPr="005D65CE">
        <w:rPr>
          <w:b/>
        </w:rPr>
        <w:t>»</w:t>
      </w:r>
    </w:p>
    <w:p w:rsidR="002D42EF" w:rsidRPr="005D65CE" w:rsidRDefault="002D42EF" w:rsidP="002D42EF">
      <w:pPr>
        <w:pStyle w:val="SingleTxtG"/>
      </w:pPr>
      <w:r w:rsidRPr="005D65CE">
        <w:t>125.</w:t>
      </w:r>
      <w:r w:rsidRPr="005D65CE">
        <w:tab/>
        <w:t>Madagascar a conclu, en 1973, un Accord de coopération prévoyant l’entraide judiciaire en matière pénale avec la France. Cette coopération d’entraide judiciaire s’applique en matière de torture érigée en infraction pénale dans la</w:t>
      </w:r>
      <w:r>
        <w:t xml:space="preserve"> </w:t>
      </w:r>
      <w:r w:rsidRPr="005D65CE">
        <w:t xml:space="preserve">législation des deux </w:t>
      </w:r>
      <w:r>
        <w:t>p</w:t>
      </w:r>
      <w:r w:rsidRPr="005D65CE">
        <w:t>arties.</w:t>
      </w:r>
      <w:r>
        <w:t xml:space="preserve"> </w:t>
      </w:r>
    </w:p>
    <w:p w:rsidR="002D42EF" w:rsidRPr="000B7AC5" w:rsidRDefault="002D42EF" w:rsidP="002D42EF">
      <w:pPr>
        <w:pStyle w:val="SingleTxtG"/>
      </w:pPr>
      <w:r w:rsidRPr="000B7AC5">
        <w:t>126.</w:t>
      </w:r>
      <w:r w:rsidRPr="000B7AC5">
        <w:tab/>
        <w:t xml:space="preserve">Par ailleurs, Madagascar, à travers une Plate-forme de Coopération Opérationnelle Unique (PCOU), peut échanger des renseignements et des informations sur la localisation, l’arrestation et l’interpellation des tortionnaires avec les pays membres de la Commission de l’Océan Indien (COI). </w:t>
      </w:r>
    </w:p>
    <w:p w:rsidR="002D42EF" w:rsidRPr="000B7AC5" w:rsidRDefault="002D42EF" w:rsidP="002D42EF">
      <w:pPr>
        <w:pStyle w:val="SingleTxtG"/>
      </w:pPr>
      <w:r w:rsidRPr="000B7AC5">
        <w:t>127.</w:t>
      </w:r>
      <w:r w:rsidRPr="000B7AC5">
        <w:tab/>
        <w:t>Cette Plate-forme est composée des éléments du Ministère de la Justice, de la Police Nationale et de la Gendarmerie.</w:t>
      </w:r>
    </w:p>
    <w:p w:rsidR="002D42EF" w:rsidRPr="000B7AC5" w:rsidRDefault="002D42EF" w:rsidP="002D42EF">
      <w:pPr>
        <w:pStyle w:val="SingleTxtG"/>
      </w:pPr>
      <w:r w:rsidRPr="000B7AC5">
        <w:t>128.</w:t>
      </w:r>
      <w:r w:rsidRPr="000B7AC5">
        <w:tab/>
        <w:t xml:space="preserve">La coopération internationale en matière criminelle, établie à travers </w:t>
      </w:r>
      <w:r w:rsidRPr="00640F84">
        <w:t>l’Organisation internationale de police criminelle (OIPC/Interpol) est l’une des conc</w:t>
      </w:r>
      <w:r w:rsidRPr="000B7AC5">
        <w:t>rétisations de l’entraide judiciaire internationale.</w:t>
      </w:r>
    </w:p>
    <w:p w:rsidR="002D42EF" w:rsidRPr="005D65CE" w:rsidRDefault="002D42EF" w:rsidP="002D42EF">
      <w:pPr>
        <w:pStyle w:val="SingleTxtG"/>
      </w:pPr>
      <w:r w:rsidRPr="000B7AC5">
        <w:t>129.</w:t>
      </w:r>
      <w:r w:rsidRPr="000B7AC5">
        <w:tab/>
        <w:t xml:space="preserve">Madagascar </w:t>
      </w:r>
      <w:r>
        <w:t>est devenu membre d</w:t>
      </w:r>
      <w:r w:rsidRPr="000B7AC5">
        <w:t>’Interpol le 04 septembre 1961. L’</w:t>
      </w:r>
      <w:r>
        <w:t>action d’</w:t>
      </w:r>
      <w:r w:rsidRPr="000B7AC5">
        <w:t xml:space="preserve">Interpol </w:t>
      </w:r>
      <w:r w:rsidRPr="00B05B03">
        <w:t>consiste à</w:t>
      </w:r>
      <w:r>
        <w:t xml:space="preserve"> </w:t>
      </w:r>
      <w:r w:rsidRPr="00B05B03">
        <w:t>participer à des échanges</w:t>
      </w:r>
      <w:r w:rsidRPr="005D65CE">
        <w:t xml:space="preserve"> de renseignements et</w:t>
      </w:r>
      <w:r>
        <w:t xml:space="preserve"> à </w:t>
      </w:r>
      <w:r w:rsidRPr="005D65CE">
        <w:t>proc</w:t>
      </w:r>
      <w:r>
        <w:t>é</w:t>
      </w:r>
      <w:r w:rsidRPr="005D65CE">
        <w:t>de</w:t>
      </w:r>
      <w:r>
        <w:t>r,</w:t>
      </w:r>
      <w:r w:rsidRPr="005D65CE">
        <w:t xml:space="preserve"> au besoin, </w:t>
      </w:r>
      <w:r>
        <w:t>à des</w:t>
      </w:r>
      <w:r w:rsidRPr="005D65CE">
        <w:t xml:space="preserve"> arrestations en collaboration avec la Direction de la Police Judiciaire. </w:t>
      </w:r>
      <w:r w:rsidRPr="00200651">
        <w:t>Il exécute également la commission rogatoire par l’intermédiaire du Bureau Central National et l’Interpol.</w:t>
      </w:r>
    </w:p>
    <w:p w:rsidR="002D42EF" w:rsidRPr="005D65CE" w:rsidRDefault="002D42EF" w:rsidP="002D42EF">
      <w:pPr>
        <w:pStyle w:val="SingleTxtG"/>
      </w:pPr>
      <w:r w:rsidRPr="005D65CE">
        <w:t>130.</w:t>
      </w:r>
      <w:r w:rsidRPr="005D65CE">
        <w:tab/>
      </w:r>
      <w:r>
        <w:t>L</w:t>
      </w:r>
      <w:r w:rsidRPr="005D65CE">
        <w:t>es demandes d’entraide judiciaire pour poursui</w:t>
      </w:r>
      <w:r>
        <w:t>vr</w:t>
      </w:r>
      <w:r w:rsidRPr="005D65CE">
        <w:t xml:space="preserve">e </w:t>
      </w:r>
      <w:r>
        <w:t>l</w:t>
      </w:r>
      <w:r w:rsidRPr="005D65CE">
        <w:t>es auteurs d’infractions autres que la torture sont fréquentes</w:t>
      </w:r>
      <w:r>
        <w:t>,</w:t>
      </w:r>
      <w:r w:rsidRPr="005D65CE">
        <w:t xml:space="preserve"> et </w:t>
      </w:r>
      <w:r>
        <w:t xml:space="preserve">elles </w:t>
      </w:r>
      <w:r w:rsidRPr="005D65CE">
        <w:t xml:space="preserve">sont traitées. </w:t>
      </w:r>
    </w:p>
    <w:p w:rsidR="002D42EF" w:rsidRPr="005D65CE" w:rsidRDefault="002D42EF" w:rsidP="002D42EF">
      <w:pPr>
        <w:pStyle w:val="SingleTxtG"/>
      </w:pPr>
      <w:r w:rsidRPr="005D65CE">
        <w:t>131.</w:t>
      </w:r>
      <w:r w:rsidRPr="005D65CE">
        <w:tab/>
        <w:t xml:space="preserve">Madagascar est disposé à répondre favorablement à toute demande d’entraide judiciaire </w:t>
      </w:r>
      <w:r>
        <w:t>impliquant des cas</w:t>
      </w:r>
      <w:r w:rsidRPr="005D65CE">
        <w:t xml:space="preserve"> de torture. Cependant, aucune demande dans ce sens n’a été reçue à ce jour. </w:t>
      </w:r>
    </w:p>
    <w:p w:rsidR="002D42EF" w:rsidRPr="005D65CE" w:rsidRDefault="002D42EF" w:rsidP="002D42EF">
      <w:pPr>
        <w:pStyle w:val="SingleTxtG"/>
        <w:ind w:left="1701"/>
        <w:jc w:val="left"/>
        <w:rPr>
          <w:b/>
        </w:rPr>
      </w:pPr>
      <w:r w:rsidRPr="005D65CE">
        <w:rPr>
          <w:b/>
        </w:rPr>
        <w:t>Article 10</w:t>
      </w:r>
      <w:r>
        <w:rPr>
          <w:b/>
        </w:rPr>
        <w:br/>
      </w:r>
      <w:r w:rsidRPr="005D65CE">
        <w:rPr>
          <w:b/>
        </w:rPr>
        <w:t>Enseignement et information</w:t>
      </w:r>
      <w:r>
        <w:rPr>
          <w:b/>
        </w:rPr>
        <w:t xml:space="preserve"> </w:t>
      </w:r>
      <w:r w:rsidRPr="005D65CE">
        <w:rPr>
          <w:b/>
        </w:rPr>
        <w:t>concernant l’interdiction de la torture</w:t>
      </w:r>
    </w:p>
    <w:p w:rsidR="002D42EF" w:rsidRPr="005D65CE" w:rsidRDefault="002D42EF" w:rsidP="002D42EF">
      <w:pPr>
        <w:pStyle w:val="SingleTxtG"/>
        <w:ind w:left="1701"/>
        <w:rPr>
          <w:b/>
        </w:rPr>
      </w:pPr>
      <w:r>
        <w:rPr>
          <w:b/>
        </w:rPr>
        <w:t>«1.</w:t>
      </w:r>
      <w:r w:rsidRPr="005D65CE">
        <w:rPr>
          <w:b/>
        </w:rPr>
        <w:t xml:space="preserve"> </w:t>
      </w:r>
      <w:r>
        <w:rPr>
          <w:b/>
        </w:rPr>
        <w:tab/>
        <w:t>Tout É</w:t>
      </w:r>
      <w:r w:rsidRPr="005D65CE">
        <w:rPr>
          <w:b/>
        </w:rPr>
        <w:t>tat partie veille à ce que l’enseignement et l’information concernant l’interdiction de la torture fassent partie intégrante de la formation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w:t>
      </w:r>
    </w:p>
    <w:p w:rsidR="002D42EF" w:rsidRPr="005D65CE" w:rsidRDefault="002D42EF" w:rsidP="002D42EF">
      <w:pPr>
        <w:pStyle w:val="SingleTxtG"/>
        <w:ind w:left="1701"/>
        <w:rPr>
          <w:b/>
        </w:rPr>
      </w:pPr>
      <w:r>
        <w:rPr>
          <w:b/>
        </w:rPr>
        <w:t>2.</w:t>
      </w:r>
      <w:r>
        <w:rPr>
          <w:b/>
        </w:rPr>
        <w:tab/>
        <w:t>Tout É</w:t>
      </w:r>
      <w:r w:rsidRPr="005D65CE">
        <w:rPr>
          <w:b/>
        </w:rPr>
        <w:t>tat partie incorpore ladite interdiction aux règles ou instructions édictées en ce qui concerne les obligations et les attributions de telles personnes</w:t>
      </w:r>
      <w:r>
        <w:rPr>
          <w:b/>
        </w:rPr>
        <w:t>.</w:t>
      </w:r>
      <w:r w:rsidRPr="005D65CE">
        <w:rPr>
          <w:b/>
        </w:rPr>
        <w:t>»</w:t>
      </w:r>
    </w:p>
    <w:p w:rsidR="002D42EF" w:rsidRPr="00DF1A78" w:rsidRDefault="002D42EF" w:rsidP="002D42EF">
      <w:pPr>
        <w:pStyle w:val="SingleTxtG"/>
      </w:pPr>
      <w:r w:rsidRPr="00DF1A78">
        <w:t>132.</w:t>
      </w:r>
      <w:r w:rsidRPr="00DF1A78">
        <w:tab/>
        <w:t xml:space="preserve">La loi </w:t>
      </w:r>
      <w:r>
        <w:t xml:space="preserve">nationale </w:t>
      </w:r>
      <w:r w:rsidRPr="00DF1A78">
        <w:t xml:space="preserve">contre la torture prévoit en son article 8 l’obligation pour l’État </w:t>
      </w:r>
      <w:r>
        <w:t xml:space="preserve">partie </w:t>
      </w:r>
      <w:r w:rsidRPr="00DF1A78">
        <w:t>de dispenser des formations à l’intention du personnel civil ou militaire chargé de l’application des lois, du personnel médical, des agents de la fonction publique et des autres personnes qui peuvent intervenir dans la garde, l’interrogatoire ou le traitement de tout individu arrêté, détenu ou emprisonné de quelque façon que ce soit.</w:t>
      </w:r>
    </w:p>
    <w:p w:rsidR="002D42EF" w:rsidRPr="00DF1A78" w:rsidRDefault="002D42EF" w:rsidP="002D42EF">
      <w:pPr>
        <w:pStyle w:val="SingleTxtG"/>
      </w:pPr>
      <w:r w:rsidRPr="00DF1A78">
        <w:t>133.</w:t>
      </w:r>
      <w:r w:rsidRPr="00DF1A78">
        <w:tab/>
        <w:t xml:space="preserve">Pour </w:t>
      </w:r>
      <w:r>
        <w:t xml:space="preserve">favoriser </w:t>
      </w:r>
      <w:r w:rsidRPr="00DF1A78">
        <w:t xml:space="preserve">l’application de l’article 10 de la Convention, des formations sur la prohibition et la prévention de la torture </w:t>
      </w:r>
      <w:r>
        <w:t>s</w:t>
      </w:r>
      <w:r w:rsidRPr="00DF1A78">
        <w:t>ont organisées chaque année, depuis 2006, à l’intention des responsables de l’application de</w:t>
      </w:r>
      <w:r>
        <w:t>s</w:t>
      </w:r>
      <w:r w:rsidRPr="00DF1A78">
        <w:t xml:space="preserve"> loi</w:t>
      </w:r>
      <w:r>
        <w:t>s, notamment</w:t>
      </w:r>
      <w:r w:rsidRPr="00DF1A78">
        <w:t xml:space="preserve"> les magistrats, les officiers de police judiciaire, les avocats</w:t>
      </w:r>
      <w:r>
        <w:t xml:space="preserve"> et</w:t>
      </w:r>
      <w:r w:rsidRPr="00DF1A78">
        <w:t xml:space="preserve"> les responsables pénitentiaires. </w:t>
      </w:r>
    </w:p>
    <w:p w:rsidR="002D42EF" w:rsidRPr="00DF1A78" w:rsidRDefault="002D42EF" w:rsidP="002D42EF">
      <w:pPr>
        <w:pStyle w:val="SingleTxtG"/>
      </w:pPr>
      <w:r w:rsidRPr="00DF1A78">
        <w:t>134.</w:t>
      </w:r>
      <w:r w:rsidRPr="00DF1A78">
        <w:tab/>
        <w:t xml:space="preserve">En outre, des formations spécifiques </w:t>
      </w:r>
      <w:r>
        <w:t>s</w:t>
      </w:r>
      <w:r w:rsidRPr="00DF1A78">
        <w:t xml:space="preserve">ont dispensées aux médecins dans le but de renforcer leur capacité à dépister </w:t>
      </w:r>
      <w:r>
        <w:t>l</w:t>
      </w:r>
      <w:r w:rsidRPr="00DF1A78">
        <w:t xml:space="preserve">es traces physiques et psychologiques de </w:t>
      </w:r>
      <w:r>
        <w:t xml:space="preserve">la </w:t>
      </w:r>
      <w:r w:rsidRPr="00DF1A78">
        <w:t>torture. Des cours de médecine légale sont dispensés au sein des Facultés de médecine et des instituts de formation paramédica</w:t>
      </w:r>
      <w:r>
        <w:t>le</w:t>
      </w:r>
      <w:r w:rsidRPr="00DF1A78">
        <w:t xml:space="preserve">. </w:t>
      </w:r>
    </w:p>
    <w:p w:rsidR="002D42EF" w:rsidRPr="00DF1A78" w:rsidRDefault="002D42EF" w:rsidP="002D42EF">
      <w:pPr>
        <w:pStyle w:val="SingleTxtG"/>
      </w:pPr>
      <w:r w:rsidRPr="00DF1A78">
        <w:t>135.</w:t>
      </w:r>
      <w:r w:rsidRPr="00DF1A78">
        <w:tab/>
        <w:t>Après la création des écoles nationales de la magistrature et des greffes, de la gendarmerie et de la police</w:t>
      </w:r>
      <w:r>
        <w:t xml:space="preserve"> et</w:t>
      </w:r>
      <w:r w:rsidRPr="00DF1A78">
        <w:t xml:space="preserve"> de l’</w:t>
      </w:r>
      <w:r>
        <w:t>A</w:t>
      </w:r>
      <w:r w:rsidRPr="00DF1A78">
        <w:t xml:space="preserve">dministration pénitentiaire, ainsi que de l’Institut de Formation Professionnelle des Avocats, des séries de formations </w:t>
      </w:r>
      <w:r>
        <w:t>aux</w:t>
      </w:r>
      <w:r w:rsidRPr="00DF1A78">
        <w:t xml:space="preserve"> droits de l’</w:t>
      </w:r>
      <w:r>
        <w:t>homme</w:t>
      </w:r>
      <w:r w:rsidRPr="00DF1A78">
        <w:t xml:space="preserve"> ont été programmées au sein de chaque établissement. </w:t>
      </w:r>
    </w:p>
    <w:p w:rsidR="002D42EF" w:rsidRPr="00DF1A78" w:rsidRDefault="002D42EF" w:rsidP="002D42EF">
      <w:pPr>
        <w:pStyle w:val="SingleTxtG"/>
      </w:pPr>
      <w:r w:rsidRPr="00DF1A78">
        <w:t>136.</w:t>
      </w:r>
      <w:r w:rsidRPr="00DF1A78">
        <w:tab/>
        <w:t>Ces formations insistent sur la prévention, la prohibition et l’interdiction de la torture et des traitements cruels, inhumains ou dégradants. Les formations dispensées tiennent compte de l’importance des circonstances aggravantes retenues par l’article11 de la loi nationale telles que la vulnérabilité des mineurs et des femmes enceintes</w:t>
      </w:r>
      <w:r>
        <w:t>.</w:t>
      </w:r>
      <w:r w:rsidRPr="00DF1A78">
        <w:t xml:space="preserve"> Ces formations font intervenir aussi bien des experts internationaux que nationaux. </w:t>
      </w:r>
    </w:p>
    <w:p w:rsidR="002D42EF" w:rsidRPr="00DF1A78" w:rsidRDefault="002D42EF" w:rsidP="002D42EF">
      <w:pPr>
        <w:pStyle w:val="SingleTxtG"/>
      </w:pPr>
      <w:r w:rsidRPr="00DF1A78">
        <w:t>137.</w:t>
      </w:r>
      <w:r w:rsidRPr="00DF1A78">
        <w:tab/>
      </w:r>
      <w:r>
        <w:t>L</w:t>
      </w:r>
      <w:r w:rsidRPr="00DF1A78">
        <w:t>es formations ultérieures</w:t>
      </w:r>
      <w:r>
        <w:t xml:space="preserve"> aborderont l</w:t>
      </w:r>
      <w:r w:rsidRPr="00DF1A78">
        <w:t>e</w:t>
      </w:r>
      <w:r>
        <w:t>s</w:t>
      </w:r>
      <w:r w:rsidRPr="00DF1A78">
        <w:t xml:space="preserve"> traitements respectueux et adaptés aux groupes vulnérables incluant les femmes, les mineurs, les groupes ethniques, religieux et autres, en ce sens que des faits non constitutifs de mauvais traitements pour les autres </w:t>
      </w:r>
      <w:r w:rsidRPr="00710239">
        <w:rPr>
          <w:spacing w:val="-3"/>
        </w:rPr>
        <w:t>peuvent constituer des violations des articles 4 et 16 de la Convention ou encore des articles 2</w:t>
      </w:r>
      <w:r w:rsidRPr="00DF1A78">
        <w:t xml:space="preserve"> et 3 de la loi nationale. </w:t>
      </w:r>
    </w:p>
    <w:p w:rsidR="002D42EF" w:rsidRPr="00DF1A78" w:rsidRDefault="002D42EF" w:rsidP="002D42EF">
      <w:pPr>
        <w:pStyle w:val="SingleTxtG"/>
      </w:pPr>
      <w:r w:rsidRPr="00DF1A78">
        <w:t>138.</w:t>
      </w:r>
      <w:r w:rsidRPr="00DF1A78">
        <w:tab/>
        <w:t xml:space="preserve">Pour </w:t>
      </w:r>
      <w:r>
        <w:t xml:space="preserve">permettre une </w:t>
      </w:r>
      <w:r w:rsidRPr="00DF1A78">
        <w:t>évaluation de l’efficacité des programmes de formation, Madagascar organise des actions de suivi, d’évaluation et de collecte de</w:t>
      </w:r>
      <w:r>
        <w:t>s</w:t>
      </w:r>
      <w:r w:rsidRPr="00DF1A78">
        <w:t xml:space="preserve"> données auprès des entités bénéficiaires</w:t>
      </w:r>
      <w:r>
        <w:t>,</w:t>
      </w:r>
      <w:r w:rsidRPr="00DF1A78">
        <w:t xml:space="preserve"> notamment auprès des tribunaux, de la police, de la gendarmerie et de l’</w:t>
      </w:r>
      <w:r>
        <w:t>A</w:t>
      </w:r>
      <w:r w:rsidRPr="00DF1A78">
        <w:t xml:space="preserve">dministration pénitentiaire. </w:t>
      </w:r>
    </w:p>
    <w:p w:rsidR="002D42EF" w:rsidRPr="005D65CE" w:rsidRDefault="002D42EF" w:rsidP="002D42EF">
      <w:pPr>
        <w:pStyle w:val="SingleTxtG"/>
        <w:ind w:left="1701"/>
        <w:jc w:val="left"/>
        <w:rPr>
          <w:b/>
        </w:rPr>
      </w:pPr>
      <w:r w:rsidRPr="005D65CE">
        <w:rPr>
          <w:b/>
        </w:rPr>
        <w:t>Article 11</w:t>
      </w:r>
      <w:r>
        <w:rPr>
          <w:b/>
        </w:rPr>
        <w:br/>
        <w:t>Surveillance −</w:t>
      </w:r>
      <w:r w:rsidRPr="005D65CE">
        <w:rPr>
          <w:b/>
        </w:rPr>
        <w:t xml:space="preserve"> traitement des personnes arrêtées ou détenues</w:t>
      </w:r>
    </w:p>
    <w:p w:rsidR="002D42EF" w:rsidRPr="005D65CE" w:rsidRDefault="002D42EF" w:rsidP="002D42EF">
      <w:pPr>
        <w:pStyle w:val="SingleTxtG"/>
        <w:ind w:left="1701"/>
        <w:rPr>
          <w:b/>
        </w:rPr>
      </w:pPr>
      <w:r>
        <w:rPr>
          <w:b/>
        </w:rPr>
        <w:t>«Tout É</w:t>
      </w:r>
      <w:r w:rsidRPr="005D65CE">
        <w:rPr>
          <w:b/>
        </w:rPr>
        <w:t>tat partie exerce une surveillance systématique sur les règles, instructions, méthodes et pratiques d’interrogatoire et sur les dispositions concernant la garde et le traitement des personnes arrêtées, détenues ou emprisonnées de quelque façon que ce soit sur tout territoire sous sa juridiction, en vue d’éviter tout cas de torture</w:t>
      </w:r>
      <w:r>
        <w:rPr>
          <w:b/>
        </w:rPr>
        <w:t>.</w:t>
      </w:r>
      <w:r w:rsidRPr="005D65CE">
        <w:rPr>
          <w:b/>
        </w:rPr>
        <w:t>»</w:t>
      </w:r>
    </w:p>
    <w:p w:rsidR="002D42EF" w:rsidRPr="005D65CE" w:rsidRDefault="002D42EF" w:rsidP="002D42EF">
      <w:pPr>
        <w:pStyle w:val="H23G"/>
        <w:ind w:firstLine="567"/>
        <w:outlineLvl w:val="0"/>
      </w:pPr>
      <w:r w:rsidRPr="005D65CE">
        <w:t>Les garanties de protection pendant la garde à vue</w:t>
      </w:r>
    </w:p>
    <w:p w:rsidR="002D42EF" w:rsidRPr="001A0607" w:rsidRDefault="002D42EF" w:rsidP="002D42EF">
      <w:pPr>
        <w:pStyle w:val="SingleTxtG"/>
      </w:pPr>
      <w:r w:rsidRPr="001A0607">
        <w:t>139.</w:t>
      </w:r>
      <w:r w:rsidRPr="001A0607">
        <w:tab/>
        <w:t>Les Officiers de Police Judiciaire sont charg</w:t>
      </w:r>
      <w:r>
        <w:t>és</w:t>
      </w:r>
      <w:r w:rsidRPr="001A0607">
        <w:t xml:space="preserve"> de rassembler les preuves et les indices en vue d’établir l’existence d’une infraction. Dans l’accomplissement de leur mission, ils agissent sous la direction et le contrôle du Procureur de la République. Ce dernier peut à tout moment procéder à des contrôles de la régularité et de la légalité de la détention pendant la garde à vue ou dans les établissements pénitentiaires. </w:t>
      </w:r>
    </w:p>
    <w:p w:rsidR="002D42EF" w:rsidRPr="001A0607" w:rsidRDefault="002D42EF" w:rsidP="002D42EF">
      <w:pPr>
        <w:pStyle w:val="SingleTxtG"/>
      </w:pPr>
      <w:r w:rsidRPr="001A0607">
        <w:t>140.</w:t>
      </w:r>
      <w:r w:rsidRPr="001A0607">
        <w:tab/>
        <w:t xml:space="preserve">Le contrôle et la direction sont concrétisés par l’obligation de rendre compte au Procureur des résultats obtenus et de transmettre </w:t>
      </w:r>
      <w:r>
        <w:t xml:space="preserve">à celui-ci </w:t>
      </w:r>
      <w:r w:rsidRPr="001A0607">
        <w:t>les procès</w:t>
      </w:r>
      <w:r>
        <w:t>-</w:t>
      </w:r>
      <w:r w:rsidRPr="001A0607">
        <w:t>verbaux d</w:t>
      </w:r>
      <w:r>
        <w:t xml:space="preserve">es </w:t>
      </w:r>
      <w:r w:rsidRPr="001A0607">
        <w:t xml:space="preserve">enquêtes </w:t>
      </w:r>
      <w:r>
        <w:t>de même que</w:t>
      </w:r>
      <w:r w:rsidRPr="001A0607">
        <w:t xml:space="preserve"> </w:t>
      </w:r>
      <w:r>
        <w:t>d</w:t>
      </w:r>
      <w:r w:rsidRPr="001A0607">
        <w:t>es informations sur le respect du délai de garde à vue.</w:t>
      </w:r>
    </w:p>
    <w:p w:rsidR="002D42EF" w:rsidRPr="001A0607" w:rsidRDefault="002D42EF" w:rsidP="002D42EF">
      <w:pPr>
        <w:pStyle w:val="SingleTxtG"/>
      </w:pPr>
      <w:r w:rsidRPr="001A0607">
        <w:t>141.</w:t>
      </w:r>
      <w:r w:rsidRPr="001A0607">
        <w:tab/>
        <w:t>Afin de prévenir tout acte de torture, l’article 53 du Code de Procédure Pénale (loi 97-036 du 30/10/97) oblige l’officier de police judiciaire, lors de la première audition de toute personne soupçonnée d’avoir commis un crime ou un délit, à l’avertir de son droit de choisir un défenseur parmi les avocats inscrits au barreau de Madagascar ou un agent d’affaires ou toute personne de son choix sous réserve des dispositions légales en vigueur. Le non-respect de cette disposition entraîne la nullité de la procédure.</w:t>
      </w:r>
    </w:p>
    <w:p w:rsidR="002D42EF" w:rsidRPr="005D65CE" w:rsidRDefault="002D42EF" w:rsidP="002D42EF">
      <w:pPr>
        <w:pStyle w:val="SingleTxtG"/>
      </w:pPr>
      <w:r w:rsidRPr="001A0607">
        <w:t>142.</w:t>
      </w:r>
      <w:r w:rsidRPr="001A0607">
        <w:tab/>
        <w:t>La présence d’un conseil dès l’enquête préliminaire permet d’éviter la pratique de</w:t>
      </w:r>
      <w:r>
        <w:t xml:space="preserve"> la </w:t>
      </w:r>
      <w:r w:rsidRPr="001A0607">
        <w:t>torture et de</w:t>
      </w:r>
      <w:r>
        <w:t>s</w:t>
      </w:r>
      <w:r w:rsidRPr="001A0607">
        <w:t xml:space="preserve"> mauvais traitements pendant</w:t>
      </w:r>
      <w:r w:rsidRPr="005D65CE">
        <w:t xml:space="preserve"> l’interrogatoire ou pendant la garde à vue. </w:t>
      </w:r>
    </w:p>
    <w:p w:rsidR="002D42EF" w:rsidRPr="005D65CE" w:rsidRDefault="002D42EF" w:rsidP="002D42EF">
      <w:pPr>
        <w:pStyle w:val="H23G"/>
        <w:ind w:firstLine="567"/>
        <w:outlineLvl w:val="0"/>
      </w:pPr>
      <w:r w:rsidRPr="005D65CE">
        <w:t xml:space="preserve">La détention dans des établissements pénitentiaires </w:t>
      </w:r>
    </w:p>
    <w:p w:rsidR="002D42EF" w:rsidRPr="001A0607" w:rsidRDefault="002D42EF" w:rsidP="002D42EF">
      <w:pPr>
        <w:pStyle w:val="SingleTxtG"/>
      </w:pPr>
      <w:r w:rsidRPr="001A0607">
        <w:t>143.</w:t>
      </w:r>
      <w:r w:rsidRPr="001A0607">
        <w:tab/>
        <w:t xml:space="preserve">La personne privée de liberté a le droit de soumettre sa détention </w:t>
      </w:r>
      <w:r>
        <w:t>à</w:t>
      </w:r>
      <w:r w:rsidRPr="001A0607">
        <w:t xml:space="preserve"> la Chambre de détention préventive </w:t>
      </w:r>
      <w:r>
        <w:t>pour en</w:t>
      </w:r>
      <w:r w:rsidRPr="001A0607">
        <w:t xml:space="preserve"> </w:t>
      </w:r>
      <w:r>
        <w:t xml:space="preserve">faire </w:t>
      </w:r>
      <w:r w:rsidRPr="001A0607">
        <w:t>contrôle</w:t>
      </w:r>
      <w:r>
        <w:t>r</w:t>
      </w:r>
      <w:r w:rsidRPr="001A0607">
        <w:t xml:space="preserve"> </w:t>
      </w:r>
      <w:r>
        <w:t xml:space="preserve">la </w:t>
      </w:r>
      <w:r w:rsidRPr="001A0607">
        <w:t xml:space="preserve">légalité en présentant une demande de mise en liberté provisoire. Elle a droit à ce que sa détention n’excède pas la durée maximale fixée par la loi. Elle a également droit à ce que sa cause soit jugée sans retard excessif. </w:t>
      </w:r>
    </w:p>
    <w:p w:rsidR="002D42EF" w:rsidRPr="001A0607" w:rsidRDefault="002D42EF" w:rsidP="002D42EF">
      <w:pPr>
        <w:pStyle w:val="SingleTxtG"/>
      </w:pPr>
      <w:r>
        <w:t xml:space="preserve">144. </w:t>
      </w:r>
      <w:r w:rsidRPr="001A0607">
        <w:t xml:space="preserve">Les détenus ont le droit de </w:t>
      </w:r>
      <w:r>
        <w:t>déposer</w:t>
      </w:r>
      <w:r w:rsidRPr="001A0607">
        <w:t xml:space="preserve"> des requêtes ou des plaintes concernant leur</w:t>
      </w:r>
      <w:r>
        <w:t>s</w:t>
      </w:r>
      <w:r w:rsidRPr="001A0607">
        <w:t xml:space="preserve"> condition</w:t>
      </w:r>
      <w:r>
        <w:t>s</w:t>
      </w:r>
      <w:r w:rsidRPr="001A0607">
        <w:t xml:space="preserve"> de détention auprès des autorités pénitentiaires et judiciaires. Cela est stipulé par les articles 123 et 124 du décret 2006-015 relatif</w:t>
      </w:r>
      <w:r>
        <w:t>s</w:t>
      </w:r>
      <w:r w:rsidRPr="001A0607">
        <w:t xml:space="preserve"> à la conduite des inspections menées au sein de l’</w:t>
      </w:r>
      <w:r>
        <w:t>A</w:t>
      </w:r>
      <w:r w:rsidRPr="001A0607">
        <w:t>dministration pénitentiaire:</w:t>
      </w:r>
    </w:p>
    <w:p w:rsidR="002D42EF" w:rsidRPr="005D65CE" w:rsidRDefault="002D42EF" w:rsidP="002D42EF">
      <w:pPr>
        <w:pStyle w:val="SingleTxtG"/>
        <w:ind w:left="1701"/>
        <w:rPr>
          <w:i/>
        </w:rPr>
      </w:pPr>
      <w:r w:rsidRPr="001A0607">
        <w:t>Article 123:</w:t>
      </w:r>
      <w:r w:rsidRPr="005D65CE">
        <w:t xml:space="preserve"> </w:t>
      </w:r>
      <w:r w:rsidRPr="001A0607">
        <w:t>«</w:t>
      </w:r>
      <w:r w:rsidRPr="005D65CE">
        <w:rPr>
          <w:i/>
        </w:rPr>
        <w:t>Toute personne détenue peut présenter des requêtes ou des plaintes relatives à la vie en détention, au Chef d’établissement. Ce dernier lui accorde audience si elle invoque un motif suffisant.</w:t>
      </w:r>
    </w:p>
    <w:p w:rsidR="002D42EF" w:rsidRPr="005D65CE" w:rsidRDefault="002D42EF" w:rsidP="002D42EF">
      <w:pPr>
        <w:pStyle w:val="SingleTxtG"/>
        <w:ind w:left="1701"/>
        <w:rPr>
          <w:i/>
        </w:rPr>
      </w:pPr>
      <w:r w:rsidRPr="005D65CE">
        <w:rPr>
          <w:i/>
        </w:rPr>
        <w:t>Chaque personne détenue peut demander à être entendue par les magistrats et les fonctionnaires chargés de l’inspection ou de la visite de l’établissement, hors la présence de tout membre du personnel de l’établissement pénitentiaire</w:t>
      </w:r>
      <w:r>
        <w:rPr>
          <w:i/>
        </w:rPr>
        <w:t>.</w:t>
      </w:r>
      <w:r w:rsidRPr="001A0607">
        <w:t>»</w:t>
      </w:r>
    </w:p>
    <w:p w:rsidR="002D42EF" w:rsidRPr="005D65CE" w:rsidRDefault="002D42EF" w:rsidP="002D42EF">
      <w:pPr>
        <w:pStyle w:val="SingleTxtG"/>
        <w:ind w:left="1701"/>
        <w:rPr>
          <w:i/>
        </w:rPr>
      </w:pPr>
      <w:r w:rsidRPr="001A0607">
        <w:t>Article 124</w:t>
      </w:r>
      <w:r w:rsidRPr="005D65CE">
        <w:t xml:space="preserve">: </w:t>
      </w:r>
      <w:r w:rsidRPr="001A0607">
        <w:t>«</w:t>
      </w:r>
      <w:r w:rsidRPr="005D65CE">
        <w:rPr>
          <w:i/>
        </w:rPr>
        <w:t>Les personnes détenues peuvent à tout moment adresser des lettres aux autorités judiciaires. Ces lettres peuvent être remises sous pli fermé. Elles font l’objet d’un enregistrement tant à l’arrivée qu’au départ, sur le registre prévu à cet effet</w:t>
      </w:r>
      <w:r>
        <w:rPr>
          <w:i/>
        </w:rPr>
        <w:t>.</w:t>
      </w:r>
      <w:r w:rsidRPr="001A0607">
        <w:t>»</w:t>
      </w:r>
      <w:r w:rsidRPr="005D65CE">
        <w:rPr>
          <w:i/>
        </w:rPr>
        <w:t xml:space="preserve"> </w:t>
      </w:r>
    </w:p>
    <w:p w:rsidR="002D42EF" w:rsidRPr="005D65CE" w:rsidRDefault="002D42EF" w:rsidP="002D42EF">
      <w:pPr>
        <w:pStyle w:val="H23G"/>
        <w:ind w:firstLine="567"/>
        <w:outlineLvl w:val="0"/>
      </w:pPr>
      <w:r w:rsidRPr="005D65CE">
        <w:t>Mécanisme indépendant de contrôle et de surveillance des lieux de détention</w:t>
      </w:r>
    </w:p>
    <w:p w:rsidR="002D42EF" w:rsidRPr="005D65CE" w:rsidRDefault="002D42EF" w:rsidP="002D42EF">
      <w:pPr>
        <w:pStyle w:val="SingleTxtG"/>
      </w:pPr>
      <w:r w:rsidRPr="005D65CE">
        <w:t>14</w:t>
      </w:r>
      <w:r>
        <w:t>5</w:t>
      </w:r>
      <w:r w:rsidRPr="005D65CE">
        <w:t>.</w:t>
      </w:r>
      <w:r w:rsidRPr="005D65CE">
        <w:tab/>
        <w:t>Les établissements pénitentiaires font l’objet de visites systématiques suivant les articles 46</w:t>
      </w:r>
      <w:r w:rsidRPr="00321C7A">
        <w:rPr>
          <w:sz w:val="18"/>
          <w:szCs w:val="18"/>
          <w:vertAlign w:val="superscript"/>
        </w:rPr>
        <w:footnoteReference w:id="6"/>
      </w:r>
      <w:r w:rsidRPr="005D65CE">
        <w:t xml:space="preserve"> et 47</w:t>
      </w:r>
      <w:r w:rsidRPr="00321C7A">
        <w:rPr>
          <w:sz w:val="18"/>
          <w:szCs w:val="18"/>
          <w:vertAlign w:val="superscript"/>
        </w:rPr>
        <w:footnoteReference w:id="7"/>
      </w:r>
      <w:r w:rsidRPr="005D65CE">
        <w:t xml:space="preserve"> du décret 2006-015 du 17 janvier 2006 portant organisation générale de l’</w:t>
      </w:r>
      <w:r>
        <w:t>A</w:t>
      </w:r>
      <w:r w:rsidRPr="005D65CE">
        <w:t>dministration pénitentiaire.</w:t>
      </w:r>
    </w:p>
    <w:p w:rsidR="002D42EF" w:rsidRPr="005D65CE" w:rsidRDefault="002D42EF" w:rsidP="002D42EF">
      <w:pPr>
        <w:pStyle w:val="SingleTxtG"/>
      </w:pPr>
      <w:r w:rsidRPr="005D65CE">
        <w:t>14</w:t>
      </w:r>
      <w:r>
        <w:t>6</w:t>
      </w:r>
      <w:r w:rsidRPr="005D65CE">
        <w:t>.</w:t>
      </w:r>
      <w:r w:rsidRPr="005D65CE">
        <w:tab/>
        <w:t xml:space="preserve">Ces visites sont effectuées par les autorités judiciaires et la </w:t>
      </w:r>
      <w:r>
        <w:t>C</w:t>
      </w:r>
      <w:r w:rsidRPr="005D65CE">
        <w:t xml:space="preserve">ommission de surveillance. </w:t>
      </w:r>
    </w:p>
    <w:p w:rsidR="002D42EF" w:rsidRPr="005D65CE" w:rsidRDefault="002D42EF" w:rsidP="002D42EF">
      <w:pPr>
        <w:pStyle w:val="SingleTxtG"/>
      </w:pPr>
      <w:r w:rsidRPr="005D65CE">
        <w:t>14</w:t>
      </w:r>
      <w:r>
        <w:t>7</w:t>
      </w:r>
      <w:r w:rsidRPr="005D65CE">
        <w:t>.</w:t>
      </w:r>
      <w:r w:rsidRPr="005D65CE">
        <w:tab/>
        <w:t>Une «Commission de surveillance»</w:t>
      </w:r>
      <w:r w:rsidRPr="006D27B6">
        <w:rPr>
          <w:sz w:val="18"/>
          <w:szCs w:val="18"/>
          <w:vertAlign w:val="superscript"/>
        </w:rPr>
        <w:footnoteReference w:id="8"/>
      </w:r>
      <w:r w:rsidRPr="005D65CE">
        <w:t xml:space="preserve"> est chargée du contrôle des établissements pénitentiaires sur les questions liées à la salubrité, la sécurité, la nourriture, l’organisation des soins, le travail et la discipline, l’observation des règlements, la tenue des greffes, l’enseignement et la préparation au retour </w:t>
      </w:r>
      <w:r>
        <w:t>dans</w:t>
      </w:r>
      <w:r w:rsidRPr="005D65CE">
        <w:t xml:space="preserve"> la société des personnes détenues. </w:t>
      </w:r>
    </w:p>
    <w:p w:rsidR="002D42EF" w:rsidRPr="005D65CE" w:rsidRDefault="002D42EF" w:rsidP="002D42EF">
      <w:pPr>
        <w:pStyle w:val="SingleTxtG"/>
      </w:pPr>
      <w:r w:rsidRPr="002A3A69">
        <w:t>148.</w:t>
      </w:r>
      <w:r w:rsidRPr="002A3A69">
        <w:tab/>
        <w:t>Cette énumération n’est pas exhaustive. La Commission peut se saisir des cas de violation des droits de l’homme, y compris pour faits de torture ou de mauvais traitements. Cette Commission doit adresser des Rapports aux autorités compétentes en cas de constat d’une violation des droits de l’homme, y compris pour faits de mauvais traitements et de torture à l’encontre de personnes privées de leur liberté.</w:t>
      </w:r>
      <w:r w:rsidRPr="005D65CE">
        <w:t xml:space="preserve"> </w:t>
      </w:r>
    </w:p>
    <w:p w:rsidR="002D42EF" w:rsidRPr="005D65CE" w:rsidRDefault="002D42EF" w:rsidP="002D42EF">
      <w:pPr>
        <w:pStyle w:val="SingleTxtG"/>
      </w:pPr>
      <w:r w:rsidRPr="005D65CE">
        <w:t>14</w:t>
      </w:r>
      <w:r>
        <w:t>9</w:t>
      </w:r>
      <w:r w:rsidRPr="005D65CE">
        <w:t>.</w:t>
      </w:r>
      <w:r w:rsidRPr="005D65CE">
        <w:tab/>
        <w:t xml:space="preserve">Suivant l’article 41 du décret 2006-015, ladite </w:t>
      </w:r>
      <w:r>
        <w:t>C</w:t>
      </w:r>
      <w:r w:rsidRPr="005D65CE">
        <w:t>ommission est composée du Président du Tribunal de Première Instance, du Procureur de la République ou son Substitut, du Chef du District ou son délégué</w:t>
      </w:r>
      <w:r>
        <w:t xml:space="preserve"> et</w:t>
      </w:r>
      <w:r w:rsidRPr="005D65CE">
        <w:t xml:space="preserve"> d’un médecin autre que celui attaché à l’établissement de deux membres du Conseil municipal.</w:t>
      </w:r>
    </w:p>
    <w:p w:rsidR="002D42EF" w:rsidRPr="005D65CE" w:rsidRDefault="002D42EF" w:rsidP="002D42EF">
      <w:pPr>
        <w:pStyle w:val="SingleTxtG"/>
      </w:pPr>
      <w:r w:rsidRPr="005D65CE">
        <w:t>1</w:t>
      </w:r>
      <w:r>
        <w:t>50</w:t>
      </w:r>
      <w:r w:rsidRPr="005D65CE">
        <w:t>.</w:t>
      </w:r>
      <w:r w:rsidRPr="005D65CE">
        <w:tab/>
        <w:t xml:space="preserve">En outre, selon l’article 42, le Président du tribunal peut associer aux travaux de la </w:t>
      </w:r>
      <w:r>
        <w:t>C</w:t>
      </w:r>
      <w:r w:rsidRPr="005D65CE">
        <w:t>ommission le bâtonnier de l’ordre des avocats ou son représentant</w:t>
      </w:r>
      <w:r>
        <w:t xml:space="preserve"> et</w:t>
      </w:r>
      <w:r w:rsidRPr="005D65CE">
        <w:t xml:space="preserve"> des représentants d’œuvres d’assistance aux personnes détenues. Dans la pratique, il s’agit d’ONG œuvrant dans le domaine de la promotion et de la protection des droits des détenus.</w:t>
      </w:r>
    </w:p>
    <w:p w:rsidR="002D42EF" w:rsidRPr="005D65CE" w:rsidRDefault="002D42EF" w:rsidP="002D42EF">
      <w:pPr>
        <w:pStyle w:val="SingleTxtG"/>
      </w:pPr>
      <w:r w:rsidRPr="005D65CE">
        <w:t>15</w:t>
      </w:r>
      <w:r>
        <w:t>1</w:t>
      </w:r>
      <w:r w:rsidRPr="005D65CE">
        <w:t>.</w:t>
      </w:r>
      <w:r w:rsidRPr="005D65CE">
        <w:tab/>
        <w:t>Madagascar accepte les visites de la part des</w:t>
      </w:r>
      <w:r>
        <w:t xml:space="preserve"> </w:t>
      </w:r>
      <w:r w:rsidRPr="005D65CE">
        <w:t>ONG nationaux</w:t>
      </w:r>
      <w:r>
        <w:t xml:space="preserve"> </w:t>
      </w:r>
      <w:r w:rsidRPr="005D65CE">
        <w:t>dont l’ACAT, ou d’organismes internationaux</w:t>
      </w:r>
      <w:r>
        <w:t>, tel</w:t>
      </w:r>
      <w:r w:rsidRPr="005D65CE">
        <w:t xml:space="preserve"> le Comité </w:t>
      </w:r>
      <w:r>
        <w:t>i</w:t>
      </w:r>
      <w:r w:rsidRPr="005D65CE">
        <w:t>nternational de la Croix</w:t>
      </w:r>
      <w:r>
        <w:t>-</w:t>
      </w:r>
      <w:r w:rsidRPr="005D65CE">
        <w:t xml:space="preserve">Rouge (CICR). </w:t>
      </w:r>
    </w:p>
    <w:p w:rsidR="002D42EF" w:rsidRPr="005D65CE" w:rsidRDefault="002D42EF" w:rsidP="002D42EF">
      <w:pPr>
        <w:pStyle w:val="H23G"/>
        <w:ind w:left="1701" w:hanging="567"/>
      </w:pPr>
      <w:r>
        <w:tab/>
      </w:r>
      <w:r w:rsidRPr="005D65CE">
        <w:t>Notification du droit d’être assisté par un avocat, d’être examiné par un médecin, d’avoir des contacts avec les membres de sa famille et notification</w:t>
      </w:r>
      <w:r w:rsidR="008627DA">
        <w:br/>
      </w:r>
      <w:r w:rsidRPr="005D65CE">
        <w:t>des autorités consulaires pour les étrangers</w:t>
      </w:r>
    </w:p>
    <w:p w:rsidR="002D42EF" w:rsidRPr="005D65CE" w:rsidRDefault="002D42EF" w:rsidP="002D42EF">
      <w:pPr>
        <w:pStyle w:val="SingleTxtG"/>
      </w:pPr>
      <w:r w:rsidRPr="005D65CE">
        <w:t>15</w:t>
      </w:r>
      <w:r>
        <w:t>2</w:t>
      </w:r>
      <w:r w:rsidRPr="005D65CE">
        <w:t>.</w:t>
      </w:r>
      <w:r w:rsidRPr="005D65CE">
        <w:tab/>
      </w:r>
      <w:r>
        <w:t>À</w:t>
      </w:r>
      <w:r w:rsidRPr="005D65CE">
        <w:t xml:space="preserve"> Madagascar, le droit de communiquer sans délai avec des avocats, des médecins, des membres de la famille et des autorités consulaires </w:t>
      </w:r>
      <w:r>
        <w:t>dans le cas d</w:t>
      </w:r>
      <w:r w:rsidRPr="005D65CE">
        <w:t xml:space="preserve">es étrangers est respecté par les enquêteurs et les autorités judiciaires. </w:t>
      </w:r>
    </w:p>
    <w:p w:rsidR="002D42EF" w:rsidRPr="005D65CE" w:rsidRDefault="002D42EF" w:rsidP="002D42EF">
      <w:pPr>
        <w:pStyle w:val="SingleTxtG"/>
        <w:rPr>
          <w:i/>
        </w:rPr>
      </w:pPr>
      <w:r w:rsidRPr="005D65CE">
        <w:t>15</w:t>
      </w:r>
      <w:r>
        <w:t>3</w:t>
      </w:r>
      <w:r w:rsidRPr="005D65CE">
        <w:t>.</w:t>
      </w:r>
      <w:r w:rsidRPr="005D65CE">
        <w:tab/>
        <w:t xml:space="preserve">L’article 4 de la loi contre la torture dispose que: </w:t>
      </w:r>
      <w:r w:rsidRPr="00483C41">
        <w:t>«</w:t>
      </w:r>
      <w:r w:rsidRPr="005D65CE">
        <w:rPr>
          <w:i/>
        </w:rPr>
        <w:t>Dès l’instant où intervient la privation de liberté d’une personne, des garanties fondamentales doivent être appliquées,</w:t>
      </w:r>
      <w:r>
        <w:rPr>
          <w:i/>
        </w:rPr>
        <w:t xml:space="preserve"> </w:t>
      </w:r>
      <w:r w:rsidRPr="005D65CE">
        <w:rPr>
          <w:i/>
        </w:rPr>
        <w:t>notamment:</w:t>
      </w:r>
    </w:p>
    <w:p w:rsidR="002D42EF" w:rsidRPr="00483C41" w:rsidRDefault="002D42EF" w:rsidP="002D42EF">
      <w:pPr>
        <w:pStyle w:val="Bullet1G"/>
        <w:numPr>
          <w:ilvl w:val="0"/>
          <w:numId w:val="1"/>
        </w:numPr>
        <w:rPr>
          <w:i/>
        </w:rPr>
      </w:pPr>
      <w:r w:rsidRPr="00483C41">
        <w:rPr>
          <w:i/>
        </w:rPr>
        <w:t>Le droit à ce qu’un membre de la famille ou toute autre personne appropriée soit informée de sa détention et du lieu de détention;</w:t>
      </w:r>
    </w:p>
    <w:p w:rsidR="002D42EF" w:rsidRPr="00483C41" w:rsidRDefault="002D42EF" w:rsidP="002D42EF">
      <w:pPr>
        <w:pStyle w:val="Bullet1G"/>
        <w:numPr>
          <w:ilvl w:val="0"/>
          <w:numId w:val="1"/>
        </w:numPr>
        <w:rPr>
          <w:i/>
        </w:rPr>
      </w:pPr>
      <w:r w:rsidRPr="00483C41">
        <w:rPr>
          <w:i/>
        </w:rPr>
        <w:t>Le droit à un examen par un médecin;</w:t>
      </w:r>
    </w:p>
    <w:p w:rsidR="002D42EF" w:rsidRPr="00483C41" w:rsidRDefault="002D42EF" w:rsidP="002D42EF">
      <w:pPr>
        <w:pStyle w:val="Bullet1G"/>
        <w:numPr>
          <w:ilvl w:val="0"/>
          <w:numId w:val="1"/>
        </w:numPr>
        <w:rPr>
          <w:i/>
        </w:rPr>
      </w:pPr>
      <w:r w:rsidRPr="00483C41">
        <w:rPr>
          <w:i/>
        </w:rPr>
        <w:t>Le droit à un avocat ou à l’assistance d’une personne de son choix;</w:t>
      </w:r>
    </w:p>
    <w:p w:rsidR="002D42EF" w:rsidRPr="00483C41" w:rsidRDefault="002D42EF" w:rsidP="002D42EF">
      <w:pPr>
        <w:pStyle w:val="Bullet1G"/>
        <w:numPr>
          <w:ilvl w:val="0"/>
          <w:numId w:val="1"/>
        </w:numPr>
        <w:rPr>
          <w:i/>
        </w:rPr>
      </w:pPr>
      <w:r w:rsidRPr="00483C41">
        <w:rPr>
          <w:i/>
        </w:rPr>
        <w:t>Le droit pour cette personne d’être informée des droits ci-dessus énumérés dans une langue qu’elle comprend;</w:t>
      </w:r>
    </w:p>
    <w:p w:rsidR="002D42EF" w:rsidRPr="00483C41" w:rsidRDefault="002D42EF" w:rsidP="002D42EF">
      <w:pPr>
        <w:pStyle w:val="Bullet1G"/>
        <w:numPr>
          <w:ilvl w:val="0"/>
          <w:numId w:val="1"/>
        </w:numPr>
        <w:rPr>
          <w:i/>
        </w:rPr>
      </w:pPr>
      <w:r w:rsidRPr="00483C41">
        <w:rPr>
          <w:i/>
        </w:rPr>
        <w:t>L’obligation pour l’autorité de détention de remplir un registre indiquant notamment, la date, l’heure et le motif de la privation de liberté</w:t>
      </w:r>
      <w:r>
        <w:rPr>
          <w:i/>
        </w:rPr>
        <w:t>.</w:t>
      </w:r>
      <w:r w:rsidRPr="00483C41">
        <w:t>»</w:t>
      </w:r>
    </w:p>
    <w:p w:rsidR="002D42EF" w:rsidRDefault="002D42EF" w:rsidP="002D42EF">
      <w:pPr>
        <w:pStyle w:val="SingleTxtG"/>
      </w:pPr>
      <w:r w:rsidRPr="005D65CE">
        <w:t>15</w:t>
      </w:r>
      <w:r>
        <w:t>4</w:t>
      </w:r>
      <w:r w:rsidRPr="005D65CE">
        <w:t>.</w:t>
      </w:r>
      <w:r w:rsidRPr="005D65CE">
        <w:tab/>
        <w:t xml:space="preserve">Concernant la notification aux autorités consulaires </w:t>
      </w:r>
      <w:r>
        <w:t>dans</w:t>
      </w:r>
      <w:r w:rsidRPr="005D65CE">
        <w:t xml:space="preserve"> les cas de poursuite</w:t>
      </w:r>
      <w:r>
        <w:t>s</w:t>
      </w:r>
      <w:r w:rsidRPr="005D65CE">
        <w:t xml:space="preserve"> et de mise en détention d’un étranger, ce dernier bénéficie de l’assistance de la Représentation Diplomatique dont il relève. Un avis de poursuite et de détention émanant du Ministère de la Justice est</w:t>
      </w:r>
      <w:r>
        <w:t xml:space="preserve"> </w:t>
      </w:r>
      <w:r w:rsidRPr="005D65CE">
        <w:t xml:space="preserve">adressé à l’Ambassade concerné par le canal du Ministère des Affaires </w:t>
      </w:r>
      <w:proofErr w:type="spellStart"/>
      <w:r w:rsidRPr="005D65CE">
        <w:t>Etrangères</w:t>
      </w:r>
      <w:proofErr w:type="spellEnd"/>
      <w:r w:rsidRPr="005D65CE">
        <w:t xml:space="preserve">. </w:t>
      </w:r>
    </w:p>
    <w:p w:rsidR="002D42EF" w:rsidRPr="005D65CE" w:rsidRDefault="002D42EF" w:rsidP="002D42EF">
      <w:pPr>
        <w:pStyle w:val="SingleTxtG"/>
      </w:pPr>
      <w:r>
        <w:t>155.</w:t>
      </w:r>
      <w:r>
        <w:tab/>
      </w:r>
      <w:r w:rsidRPr="005D65CE">
        <w:t xml:space="preserve">L’avis de poursuite communiqué à la Représentation Diplomatique contient un exposé des faits, </w:t>
      </w:r>
      <w:r>
        <w:t>d</w:t>
      </w:r>
      <w:r w:rsidRPr="005D65CE">
        <w:t>es charges qui pèsent sur l’inculpé</w:t>
      </w:r>
      <w:r>
        <w:t xml:space="preserve"> et d</w:t>
      </w:r>
      <w:r w:rsidRPr="005D65CE">
        <w:t>es moyens de défense</w:t>
      </w:r>
      <w:r>
        <w:t xml:space="preserve"> de celui-ci</w:t>
      </w:r>
      <w:r w:rsidRPr="005D65CE">
        <w:t>, ainsi que l’inculpation dont il fait l’objet.</w:t>
      </w:r>
    </w:p>
    <w:p w:rsidR="002D42EF" w:rsidRPr="005D65CE" w:rsidRDefault="002D42EF" w:rsidP="002D42EF">
      <w:pPr>
        <w:pStyle w:val="SingleTxtG"/>
      </w:pPr>
      <w:r w:rsidRPr="005D65CE">
        <w:t>15</w:t>
      </w:r>
      <w:r>
        <w:t>6</w:t>
      </w:r>
      <w:r w:rsidRPr="005D65CE">
        <w:t>.</w:t>
      </w:r>
      <w:r w:rsidRPr="005D65CE">
        <w:tab/>
        <w:t xml:space="preserve">En outre, si la personne </w:t>
      </w:r>
      <w:r>
        <w:t>qui a fait l’</w:t>
      </w:r>
      <w:r w:rsidRPr="005D65CE">
        <w:t>objet d</w:t>
      </w:r>
      <w:r>
        <w:t>u</w:t>
      </w:r>
      <w:r w:rsidRPr="005D65CE">
        <w:t xml:space="preserve"> déferrement présente des signes apparents de blessures à la sortie de </w:t>
      </w:r>
      <w:r>
        <w:t>s</w:t>
      </w:r>
      <w:r w:rsidRPr="005D65CE">
        <w:t>a garde à vue, le Procureur de la République dresse un procès</w:t>
      </w:r>
      <w:r>
        <w:t>-</w:t>
      </w:r>
      <w:r w:rsidRPr="005D65CE">
        <w:t>verbal constatant ce fait et</w:t>
      </w:r>
      <w:r>
        <w:t xml:space="preserve"> </w:t>
      </w:r>
      <w:r w:rsidRPr="005D65CE">
        <w:t xml:space="preserve">ouvre immédiatement une enquête, même en l’absence d’une plainte émanant de la victime. </w:t>
      </w:r>
    </w:p>
    <w:p w:rsidR="002D42EF" w:rsidRPr="005D65CE" w:rsidRDefault="002D42EF" w:rsidP="002D42EF">
      <w:pPr>
        <w:pStyle w:val="SingleTxtG"/>
      </w:pPr>
      <w:r w:rsidRPr="005D65CE">
        <w:t>15</w:t>
      </w:r>
      <w:r>
        <w:t>7</w:t>
      </w:r>
      <w:r w:rsidRPr="005D65CE">
        <w:t>.</w:t>
      </w:r>
      <w:r w:rsidRPr="005D65CE">
        <w:tab/>
        <w:t xml:space="preserve">Enfin, le Procureur effectue des visites périodiques et inopinées dans le but de contrôler la régularité de la tenue des registres de garde à vue, afin de prévenir des actes de torture pendant les interrogatoires ou durant la garde à vue. </w:t>
      </w:r>
    </w:p>
    <w:p w:rsidR="002D42EF" w:rsidRPr="005D65CE" w:rsidRDefault="002D42EF" w:rsidP="002D42EF">
      <w:pPr>
        <w:pStyle w:val="SingleTxtG"/>
      </w:pPr>
      <w:r w:rsidRPr="005D65CE">
        <w:t>15</w:t>
      </w:r>
      <w:r>
        <w:t>8</w:t>
      </w:r>
      <w:r w:rsidRPr="005D65CE">
        <w:t>.</w:t>
      </w:r>
      <w:r w:rsidRPr="005D65CE">
        <w:tab/>
        <w:t xml:space="preserve">Afin d’éviter la détention secrète, celle-ci doit avoir lieu dans des établissements pénitentiaires visés par le décret </w:t>
      </w:r>
      <w:r w:rsidRPr="00C14D2A">
        <w:t>n</w:t>
      </w:r>
      <w:r w:rsidRPr="00C14D2A">
        <w:rPr>
          <w:vertAlign w:val="superscript"/>
        </w:rPr>
        <w:t>o</w:t>
      </w:r>
      <w:r>
        <w:t xml:space="preserve"> </w:t>
      </w:r>
      <w:r w:rsidRPr="005D65CE">
        <w:t xml:space="preserve">2006-015 du 17 janvier 2006 portant organisation </w:t>
      </w:r>
      <w:r>
        <w:t xml:space="preserve">générale de l’Administration </w:t>
      </w:r>
      <w:r w:rsidRPr="005D65CE">
        <w:t>pénitentiaire. Les établissements pénitentiaires répartis en cinq catégories sont visés à l’article 6 dudit décret:</w:t>
      </w:r>
    </w:p>
    <w:p w:rsidR="002D42EF" w:rsidRPr="005D65CE" w:rsidRDefault="002D42EF" w:rsidP="002D42EF">
      <w:pPr>
        <w:pStyle w:val="Bullet1G"/>
        <w:numPr>
          <w:ilvl w:val="0"/>
          <w:numId w:val="1"/>
        </w:numPr>
      </w:pPr>
      <w:r w:rsidRPr="005D65CE">
        <w:t>Les maisons centrales;</w:t>
      </w:r>
    </w:p>
    <w:p w:rsidR="002D42EF" w:rsidRPr="005D65CE" w:rsidRDefault="002D42EF" w:rsidP="002D42EF">
      <w:pPr>
        <w:pStyle w:val="Bullet1G"/>
        <w:numPr>
          <w:ilvl w:val="0"/>
          <w:numId w:val="1"/>
        </w:numPr>
      </w:pPr>
      <w:r w:rsidRPr="005D65CE">
        <w:t>Les maisons de force;</w:t>
      </w:r>
    </w:p>
    <w:p w:rsidR="002D42EF" w:rsidRPr="005D65CE" w:rsidRDefault="002D42EF" w:rsidP="002D42EF">
      <w:pPr>
        <w:pStyle w:val="Bullet1G"/>
        <w:numPr>
          <w:ilvl w:val="0"/>
          <w:numId w:val="1"/>
        </w:numPr>
      </w:pPr>
      <w:r w:rsidRPr="005D65CE">
        <w:t>Les maisons de sûreté;</w:t>
      </w:r>
    </w:p>
    <w:p w:rsidR="002D42EF" w:rsidRPr="005D65CE" w:rsidRDefault="002D42EF" w:rsidP="002D42EF">
      <w:pPr>
        <w:pStyle w:val="Bullet1G"/>
        <w:numPr>
          <w:ilvl w:val="0"/>
          <w:numId w:val="1"/>
        </w:numPr>
      </w:pPr>
      <w:r w:rsidRPr="005D65CE">
        <w:t>Les établissements destinés à l’enfance délinquante;</w:t>
      </w:r>
    </w:p>
    <w:p w:rsidR="002D42EF" w:rsidRPr="005D65CE" w:rsidRDefault="002D42EF" w:rsidP="002D42EF">
      <w:pPr>
        <w:pStyle w:val="Bullet1G"/>
        <w:numPr>
          <w:ilvl w:val="0"/>
          <w:numId w:val="1"/>
        </w:numPr>
      </w:pPr>
      <w:r w:rsidRPr="005D65CE">
        <w:t>Les camps pénaux.</w:t>
      </w:r>
    </w:p>
    <w:p w:rsidR="002D42EF" w:rsidRPr="005D65CE" w:rsidRDefault="002D42EF" w:rsidP="002D42EF">
      <w:pPr>
        <w:pStyle w:val="SingleTxtG"/>
      </w:pPr>
      <w:r w:rsidRPr="005D65CE">
        <w:t>15</w:t>
      </w:r>
      <w:r>
        <w:t>9</w:t>
      </w:r>
      <w:r w:rsidRPr="005D65CE">
        <w:t>.</w:t>
      </w:r>
      <w:r w:rsidRPr="005D65CE">
        <w:tab/>
        <w:t>Les maisons centrales reçoivent:</w:t>
      </w:r>
    </w:p>
    <w:p w:rsidR="002D42EF" w:rsidRPr="005D65CE" w:rsidRDefault="002D42EF" w:rsidP="002D42EF">
      <w:pPr>
        <w:pStyle w:val="Bullet1G"/>
        <w:numPr>
          <w:ilvl w:val="0"/>
          <w:numId w:val="1"/>
        </w:numPr>
      </w:pPr>
      <w:r w:rsidRPr="005D65CE">
        <w:t>Des prévenus;</w:t>
      </w:r>
    </w:p>
    <w:p w:rsidR="002D42EF" w:rsidRPr="005D65CE" w:rsidRDefault="002D42EF" w:rsidP="002D42EF">
      <w:pPr>
        <w:pStyle w:val="Bullet1G"/>
        <w:numPr>
          <w:ilvl w:val="0"/>
          <w:numId w:val="1"/>
        </w:numPr>
      </w:pPr>
      <w:r w:rsidRPr="005D65CE">
        <w:t xml:space="preserve">Des condamnés à des peines d’emprisonnement pour crimes ou délits ou </w:t>
      </w:r>
      <w:r>
        <w:t xml:space="preserve">infractions </w:t>
      </w:r>
      <w:r w:rsidRPr="005D65CE">
        <w:t>de simple police;</w:t>
      </w:r>
    </w:p>
    <w:p w:rsidR="002D42EF" w:rsidRPr="005D65CE" w:rsidRDefault="002D42EF" w:rsidP="002D42EF">
      <w:pPr>
        <w:pStyle w:val="Bullet1G"/>
        <w:numPr>
          <w:ilvl w:val="0"/>
          <w:numId w:val="1"/>
        </w:numPr>
      </w:pPr>
      <w:r w:rsidRPr="005D65CE">
        <w:t xml:space="preserve">Des condamnés à des </w:t>
      </w:r>
      <w:r w:rsidRPr="009D16DC">
        <w:t>peines criminelles à temps</w:t>
      </w:r>
      <w:r w:rsidRPr="005D65CE">
        <w:t>;</w:t>
      </w:r>
    </w:p>
    <w:p w:rsidR="002D42EF" w:rsidRPr="005D65CE" w:rsidRDefault="002D42EF" w:rsidP="002D42EF">
      <w:pPr>
        <w:pStyle w:val="Bullet1G"/>
        <w:numPr>
          <w:ilvl w:val="0"/>
          <w:numId w:val="1"/>
        </w:numPr>
      </w:pPr>
      <w:r w:rsidRPr="005D65CE">
        <w:t>Des personnes contraintes par corps;</w:t>
      </w:r>
    </w:p>
    <w:p w:rsidR="002D42EF" w:rsidRPr="005D65CE" w:rsidRDefault="002D42EF" w:rsidP="002D42EF">
      <w:pPr>
        <w:pStyle w:val="Bullet1G"/>
        <w:numPr>
          <w:ilvl w:val="0"/>
          <w:numId w:val="1"/>
        </w:numPr>
      </w:pPr>
      <w:r w:rsidRPr="005D65CE">
        <w:t>De</w:t>
      </w:r>
      <w:r>
        <w:t>s personnes détenues en transit.</w:t>
      </w:r>
    </w:p>
    <w:p w:rsidR="002D42EF" w:rsidRPr="005D65CE" w:rsidRDefault="002D42EF" w:rsidP="002D42EF">
      <w:pPr>
        <w:pStyle w:val="SingleTxtG"/>
      </w:pPr>
      <w:r w:rsidRPr="005D65CE">
        <w:t>1</w:t>
      </w:r>
      <w:r>
        <w:t>60</w:t>
      </w:r>
      <w:r w:rsidRPr="005D65CE">
        <w:t>.</w:t>
      </w:r>
      <w:r w:rsidRPr="005D65CE">
        <w:tab/>
        <w:t>Les maisons de force reçoivent:</w:t>
      </w:r>
    </w:p>
    <w:p w:rsidR="002D42EF" w:rsidRPr="005D65CE" w:rsidRDefault="002D42EF" w:rsidP="002D42EF">
      <w:pPr>
        <w:pStyle w:val="Bullet1G"/>
        <w:numPr>
          <w:ilvl w:val="0"/>
          <w:numId w:val="1"/>
        </w:numPr>
      </w:pPr>
      <w:r w:rsidRPr="005D65CE">
        <w:t>Les condamnés aux peines criminelles à perpétuité ou à mort;</w:t>
      </w:r>
    </w:p>
    <w:p w:rsidR="002D42EF" w:rsidRPr="005D65CE" w:rsidRDefault="002D42EF" w:rsidP="002D42EF">
      <w:pPr>
        <w:pStyle w:val="Bullet1G"/>
        <w:numPr>
          <w:ilvl w:val="0"/>
          <w:numId w:val="1"/>
        </w:numPr>
      </w:pPr>
      <w:r w:rsidRPr="005D65CE">
        <w:t>Les condamnés à la relégation;</w:t>
      </w:r>
    </w:p>
    <w:p w:rsidR="002D42EF" w:rsidRPr="005D65CE" w:rsidRDefault="002D42EF" w:rsidP="002D42EF">
      <w:pPr>
        <w:pStyle w:val="Bullet1G"/>
        <w:numPr>
          <w:ilvl w:val="0"/>
          <w:numId w:val="1"/>
        </w:numPr>
      </w:pPr>
      <w:r w:rsidRPr="005D65CE">
        <w:t>Les condamnés reconnus dangereux.</w:t>
      </w:r>
    </w:p>
    <w:p w:rsidR="002D42EF" w:rsidRPr="005D65CE" w:rsidRDefault="002D42EF" w:rsidP="002D42EF">
      <w:pPr>
        <w:pStyle w:val="SingleTxtG"/>
        <w:keepNext/>
      </w:pPr>
      <w:r w:rsidRPr="005D65CE">
        <w:t>1</w:t>
      </w:r>
      <w:r>
        <w:t>61</w:t>
      </w:r>
      <w:r w:rsidRPr="005D65CE">
        <w:t>.</w:t>
      </w:r>
      <w:r w:rsidRPr="005D65CE">
        <w:tab/>
        <w:t>Les maisons de sûreté reçoivent:</w:t>
      </w:r>
    </w:p>
    <w:p w:rsidR="002D42EF" w:rsidRPr="005D65CE" w:rsidRDefault="002D42EF" w:rsidP="002D42EF">
      <w:pPr>
        <w:pStyle w:val="Bullet1G"/>
        <w:numPr>
          <w:ilvl w:val="0"/>
          <w:numId w:val="1"/>
        </w:numPr>
      </w:pPr>
      <w:r w:rsidRPr="005D65CE">
        <w:t>Des prévenus;</w:t>
      </w:r>
    </w:p>
    <w:p w:rsidR="002D42EF" w:rsidRPr="005D65CE" w:rsidRDefault="002D42EF" w:rsidP="002D42EF">
      <w:pPr>
        <w:pStyle w:val="Bullet1G"/>
        <w:numPr>
          <w:ilvl w:val="0"/>
          <w:numId w:val="1"/>
        </w:numPr>
      </w:pPr>
      <w:r w:rsidRPr="005D65CE">
        <w:t>Des condamnés à l’emprisonnement d’une durée de six mois à deux ans;</w:t>
      </w:r>
    </w:p>
    <w:p w:rsidR="002D42EF" w:rsidRPr="005D65CE" w:rsidRDefault="002D42EF" w:rsidP="002D42EF">
      <w:pPr>
        <w:pStyle w:val="Bullet1G"/>
        <w:numPr>
          <w:ilvl w:val="0"/>
          <w:numId w:val="1"/>
        </w:numPr>
      </w:pPr>
      <w:r w:rsidRPr="005D65CE">
        <w:t>Des condamnés à l’emprisonnement de simple police;</w:t>
      </w:r>
    </w:p>
    <w:p w:rsidR="002D42EF" w:rsidRPr="005D65CE" w:rsidRDefault="002D42EF" w:rsidP="002D42EF">
      <w:pPr>
        <w:pStyle w:val="Bullet1G"/>
        <w:numPr>
          <w:ilvl w:val="0"/>
          <w:numId w:val="1"/>
        </w:numPr>
      </w:pPr>
      <w:r w:rsidRPr="005D65CE">
        <w:t>Des personnes contraintes par corps;</w:t>
      </w:r>
    </w:p>
    <w:p w:rsidR="002D42EF" w:rsidRPr="005D65CE" w:rsidRDefault="002D42EF" w:rsidP="002D42EF">
      <w:pPr>
        <w:pStyle w:val="Bullet1G"/>
        <w:numPr>
          <w:ilvl w:val="0"/>
          <w:numId w:val="1"/>
        </w:numPr>
      </w:pPr>
      <w:r w:rsidRPr="005D65CE">
        <w:t>Des personnes détenues sélectionnées pour le travail, dans le cadre de la concession;</w:t>
      </w:r>
    </w:p>
    <w:p w:rsidR="002D42EF" w:rsidRPr="005D65CE" w:rsidRDefault="002D42EF" w:rsidP="002D42EF">
      <w:pPr>
        <w:pStyle w:val="Bullet1G"/>
        <w:numPr>
          <w:ilvl w:val="0"/>
          <w:numId w:val="1"/>
        </w:numPr>
      </w:pPr>
      <w:r w:rsidRPr="005D65CE">
        <w:t>Des personnes détenues en transit.</w:t>
      </w:r>
    </w:p>
    <w:p w:rsidR="002D42EF" w:rsidRPr="005D65CE" w:rsidRDefault="002D42EF" w:rsidP="002D42EF">
      <w:pPr>
        <w:pStyle w:val="SingleTxtG"/>
      </w:pPr>
      <w:r w:rsidRPr="005D65CE">
        <w:t>16</w:t>
      </w:r>
      <w:r>
        <w:t>2</w:t>
      </w:r>
      <w:r w:rsidRPr="005D65CE">
        <w:t>.</w:t>
      </w:r>
      <w:r w:rsidRPr="005D65CE">
        <w:tab/>
        <w:t>Elles sont établies au siège des tribunaux de première instance.</w:t>
      </w:r>
    </w:p>
    <w:p w:rsidR="002D42EF" w:rsidRPr="005D65CE" w:rsidRDefault="002D42EF" w:rsidP="002D42EF">
      <w:pPr>
        <w:pStyle w:val="SingleTxtG"/>
      </w:pPr>
      <w:r w:rsidRPr="005D65CE">
        <w:t>16</w:t>
      </w:r>
      <w:r>
        <w:t>3</w:t>
      </w:r>
      <w:r w:rsidRPr="005D65CE">
        <w:t>.</w:t>
      </w:r>
      <w:r w:rsidRPr="005D65CE">
        <w:tab/>
        <w:t xml:space="preserve">Les camps pénaux sont des établissements ruraux, ouverts, placés sous l’autorité du chef d’établissement de la maison centrale ou de la maison de sûreté. La création d’un camp pénal est décidée par arrêté du ministre de la justice. L’arrêté détermine les conditions particulières d’administration et de fonctionnement adaptées aux nécessités de chaque camp. </w:t>
      </w:r>
    </w:p>
    <w:p w:rsidR="002D42EF" w:rsidRPr="005D65CE" w:rsidRDefault="002D42EF" w:rsidP="002D42EF">
      <w:pPr>
        <w:pStyle w:val="SingleTxtG"/>
      </w:pPr>
      <w:r w:rsidRPr="005D65CE">
        <w:t>16</w:t>
      </w:r>
      <w:r>
        <w:t>4</w:t>
      </w:r>
      <w:r w:rsidRPr="005D65CE">
        <w:t>.</w:t>
      </w:r>
      <w:r w:rsidRPr="005D65CE">
        <w:tab/>
        <w:t xml:space="preserve">Ces camps pénaux contribuent à la réinsertion sociale des détenus par le travail agricole. </w:t>
      </w:r>
    </w:p>
    <w:p w:rsidR="002D42EF" w:rsidRPr="005D65CE" w:rsidRDefault="002D42EF" w:rsidP="002D42EF">
      <w:pPr>
        <w:pStyle w:val="SingleTxtG"/>
        <w:ind w:left="1701"/>
        <w:jc w:val="left"/>
        <w:rPr>
          <w:b/>
        </w:rPr>
      </w:pPr>
      <w:r w:rsidRPr="005D65CE">
        <w:rPr>
          <w:b/>
        </w:rPr>
        <w:t>Article 12</w:t>
      </w:r>
      <w:r>
        <w:rPr>
          <w:b/>
        </w:rPr>
        <w:br/>
      </w:r>
      <w:r w:rsidRPr="005D65CE">
        <w:rPr>
          <w:b/>
        </w:rPr>
        <w:t>Enquête impartiale en cas d’actes de torture</w:t>
      </w:r>
    </w:p>
    <w:p w:rsidR="002D42EF" w:rsidRPr="005D65CE" w:rsidRDefault="002D42EF" w:rsidP="002D42EF">
      <w:pPr>
        <w:pStyle w:val="SingleTxtG"/>
        <w:ind w:left="1701"/>
        <w:rPr>
          <w:b/>
        </w:rPr>
      </w:pPr>
      <w:r>
        <w:rPr>
          <w:b/>
        </w:rPr>
        <w:t>«Tout É</w:t>
      </w:r>
      <w:r w:rsidRPr="005D65CE">
        <w:rPr>
          <w:b/>
        </w:rPr>
        <w:t>tat partie veille à ce que les autorités compétentes procèdent immédiatement à une enquête impartiale chaque fois qu’il y a des motifs raisonnables de croire qu’un acte de torture a été commis sur tout territoire sous sa juridiction</w:t>
      </w:r>
      <w:r>
        <w:rPr>
          <w:b/>
        </w:rPr>
        <w:t>.</w:t>
      </w:r>
      <w:r w:rsidRPr="005D65CE">
        <w:rPr>
          <w:b/>
        </w:rPr>
        <w:t>»</w:t>
      </w:r>
    </w:p>
    <w:p w:rsidR="002D42EF" w:rsidRPr="005D65CE" w:rsidRDefault="002D42EF" w:rsidP="00C208E4">
      <w:pPr>
        <w:pStyle w:val="H23G"/>
        <w:numPr>
          <w:ilvl w:val="2"/>
          <w:numId w:val="10"/>
        </w:numPr>
      </w:pPr>
      <w:r w:rsidRPr="005D65CE">
        <w:t>Les autorités compétentes en matière pénale</w:t>
      </w:r>
    </w:p>
    <w:p w:rsidR="002D42EF" w:rsidRPr="005D65CE" w:rsidRDefault="002D42EF" w:rsidP="002D42EF">
      <w:pPr>
        <w:pStyle w:val="SingleTxtG"/>
      </w:pPr>
      <w:r w:rsidRPr="005D65CE">
        <w:t>16</w:t>
      </w:r>
      <w:r>
        <w:t>5</w:t>
      </w:r>
      <w:r w:rsidRPr="005D65CE">
        <w:t>.</w:t>
      </w:r>
      <w:r w:rsidRPr="005D65CE">
        <w:tab/>
        <w:t>Lorsqu’il y a des raisons de penser qu’un acte de torture ou de mauvais traitement a été commis, les Officiers de Police Judiciaire dont dépend l’auteur présumé, le Procureur de la République ou le juge d’instruction informés de cette situation peuvent prendre toutes les mesures nécessaires en vue d’une enquête immédiate pour l’établissement des faits. Les officiers de police dont dépend l’auteur présumé peuvent procéder à l’enquête et faire remplacer l’agent fautif par un autre. Il</w:t>
      </w:r>
      <w:r>
        <w:t>s</w:t>
      </w:r>
      <w:r w:rsidRPr="005D65CE">
        <w:t xml:space="preserve"> doi</w:t>
      </w:r>
      <w:r>
        <w:t>ven</w:t>
      </w:r>
      <w:r w:rsidRPr="005D65CE">
        <w:t xml:space="preserve">t rendre compte de cette situation au Procureur de la République pour lui demander les instructions sur la suite à donner. </w:t>
      </w:r>
    </w:p>
    <w:p w:rsidR="002D42EF" w:rsidRPr="009024D7" w:rsidRDefault="002D42EF" w:rsidP="002D42EF">
      <w:pPr>
        <w:pStyle w:val="SingleTxtG"/>
      </w:pPr>
      <w:r w:rsidRPr="009024D7">
        <w:t>16</w:t>
      </w:r>
      <w:r>
        <w:t>6</w:t>
      </w:r>
      <w:r w:rsidRPr="009024D7">
        <w:t>.</w:t>
      </w:r>
      <w:r w:rsidRPr="009024D7">
        <w:tab/>
        <w:t>Le Procureur de la République, au vu des informations ou des renseignements sur l’existence d’actes de torture ou de mauvais traitements, peut faire procéder à une enquête en vue de vérifier le bien-fondé des faits de torture ou de mauvais traitements allégués. Dans l’hypothèse où des charges sérieuses ont été relevées, il peut engager la poursuite et traduire l’auteur devant la juridiction pénale compétente.</w:t>
      </w:r>
    </w:p>
    <w:p w:rsidR="002D42EF" w:rsidRPr="009024D7" w:rsidRDefault="002D42EF" w:rsidP="002D42EF">
      <w:pPr>
        <w:pStyle w:val="SingleTxtG"/>
      </w:pPr>
      <w:r w:rsidRPr="009024D7">
        <w:t>16</w:t>
      </w:r>
      <w:r>
        <w:t>7</w:t>
      </w:r>
      <w:r w:rsidRPr="009024D7">
        <w:t>.</w:t>
      </w:r>
      <w:r w:rsidRPr="009024D7">
        <w:tab/>
        <w:t xml:space="preserve">Le juge d’instruction peut informer le Procureur de la République </w:t>
      </w:r>
      <w:r>
        <w:t>de</w:t>
      </w:r>
      <w:r w:rsidRPr="009024D7">
        <w:t xml:space="preserve"> l’existence éventuelle d’actes de torture ou de mauvais traitements relevés </w:t>
      </w:r>
      <w:r>
        <w:t>au</w:t>
      </w:r>
      <w:r w:rsidRPr="009024D7">
        <w:t xml:space="preserve"> cours d</w:t>
      </w:r>
      <w:r>
        <w:t>e l</w:t>
      </w:r>
      <w:r w:rsidRPr="009024D7">
        <w:t xml:space="preserve">’instruction. Le Procureur de la République apprécie la suite à donner et pourra prendre </w:t>
      </w:r>
      <w:r>
        <w:t>d</w:t>
      </w:r>
      <w:r w:rsidRPr="009024D7">
        <w:t xml:space="preserve">es mesures en vue de l’ouverture d’une enquête. Les résultats de l’enquête pourront être communiqués au juge d’instruction en vue d’aider ce dernier à la prise de décision, </w:t>
      </w:r>
      <w:r>
        <w:t xml:space="preserve">en </w:t>
      </w:r>
      <w:r w:rsidRPr="009024D7">
        <w:t>écartant les aveux obtenus par la torture.</w:t>
      </w:r>
    </w:p>
    <w:p w:rsidR="002D42EF" w:rsidRPr="005D65CE" w:rsidRDefault="002D42EF" w:rsidP="002D42EF">
      <w:pPr>
        <w:pStyle w:val="SingleTxtG"/>
      </w:pPr>
      <w:r w:rsidRPr="009024D7">
        <w:t>16</w:t>
      </w:r>
      <w:r>
        <w:t>8</w:t>
      </w:r>
      <w:r w:rsidRPr="009024D7">
        <w:t>.</w:t>
      </w:r>
      <w:r w:rsidRPr="009024D7">
        <w:tab/>
        <w:t>La poursuite de l’auteur des actes de torture fera l’objet d’une procédure distincte. Ainsi, il appartient à la juridiction pénale saisie à cet effet de prononcer une décision de condamnation</w:t>
      </w:r>
      <w:r>
        <w:t xml:space="preserve"> à l’égard</w:t>
      </w:r>
      <w:r w:rsidRPr="009024D7">
        <w:t xml:space="preserve"> </w:t>
      </w:r>
      <w:r>
        <w:t>d</w:t>
      </w:r>
      <w:r w:rsidRPr="009024D7">
        <w:t>es tortionnaires</w:t>
      </w:r>
      <w:r w:rsidRPr="005D65CE">
        <w:t xml:space="preserve"> lorsque les preuves sont jugées suffisantes.</w:t>
      </w:r>
    </w:p>
    <w:p w:rsidR="002D42EF" w:rsidRPr="005D65CE" w:rsidRDefault="002D42EF" w:rsidP="002D42EF">
      <w:pPr>
        <w:pStyle w:val="SingleTxtG"/>
      </w:pPr>
      <w:r w:rsidRPr="005D65CE">
        <w:t>16</w:t>
      </w:r>
      <w:r>
        <w:t>9</w:t>
      </w:r>
      <w:r w:rsidRPr="005D65CE">
        <w:t>.</w:t>
      </w:r>
      <w:r w:rsidRPr="005D65CE">
        <w:tab/>
        <w:t xml:space="preserve">En 2006, le Tribunal de Première Instance de Fianarantsoa a condamné un enquêteur </w:t>
      </w:r>
      <w:r>
        <w:t xml:space="preserve">à </w:t>
      </w:r>
      <w:r w:rsidRPr="005D65CE">
        <w:t xml:space="preserve">une peine de six mois d’emprisonnement assortie d’une amende de 500.000 </w:t>
      </w:r>
      <w:proofErr w:type="spellStart"/>
      <w:r w:rsidRPr="005D65CE">
        <w:t>Ariary</w:t>
      </w:r>
      <w:proofErr w:type="spellEnd"/>
      <w:r w:rsidRPr="005D65CE">
        <w:t>, pour avoir commis des coups et blessures volontaires en cours d’interrogatoire. Précisons que cette condamnation est intervenue avant la promulgation de la loi contre la torture adoptée en 2008.</w:t>
      </w:r>
    </w:p>
    <w:p w:rsidR="002D42EF" w:rsidRPr="005D65CE" w:rsidRDefault="002D42EF" w:rsidP="002D42EF">
      <w:pPr>
        <w:pStyle w:val="SingleTxtG"/>
        <w:rPr>
          <w:i/>
        </w:rPr>
      </w:pPr>
      <w:r w:rsidRPr="005D65CE">
        <w:t>1</w:t>
      </w:r>
      <w:r>
        <w:t>70</w:t>
      </w:r>
      <w:r w:rsidRPr="005D65CE">
        <w:t>.</w:t>
      </w:r>
      <w:r w:rsidRPr="005D65CE">
        <w:tab/>
        <w:t xml:space="preserve">Par application de l’article 138 </w:t>
      </w:r>
      <w:r w:rsidRPr="00F80EB8">
        <w:rPr>
          <w:i/>
        </w:rPr>
        <w:t>bis</w:t>
      </w:r>
      <w:r w:rsidRPr="005D65CE">
        <w:t xml:space="preserve"> du Code de Procédure Pénale: </w:t>
      </w:r>
      <w:r w:rsidRPr="00CD7AE3">
        <w:t>«</w:t>
      </w:r>
      <w:r w:rsidRPr="005D65CE">
        <w:rPr>
          <w:i/>
        </w:rPr>
        <w:t>la personne arrêtée peut faire l’objet d’un examen médical sur la demande de l’Officier de Police Judiciaire chargé de l’enquête dès le début de la garde à vue. Le Procureur de la République ou le magistrat qui le représente, agissant, soit d’office, soit à la requête d’un membre de la famille pourra désigner un médecin qui examinera la personne gardée à vue et lui en fera rapport. Cet examen pourra être demandé par le conseil</w:t>
      </w:r>
      <w:r w:rsidRPr="009024D7">
        <w:t>».</w:t>
      </w:r>
    </w:p>
    <w:p w:rsidR="002D42EF" w:rsidRPr="009024D7" w:rsidRDefault="002D42EF" w:rsidP="002D42EF">
      <w:pPr>
        <w:pStyle w:val="SingleTxtG"/>
      </w:pPr>
      <w:r w:rsidRPr="009024D7">
        <w:t>1</w:t>
      </w:r>
      <w:r>
        <w:t>71</w:t>
      </w:r>
      <w:r w:rsidRPr="009024D7">
        <w:t>.</w:t>
      </w:r>
      <w:r w:rsidRPr="009024D7">
        <w:tab/>
        <w:t>Le Procureur ou le juge d’instruction pourra également ordonner l’exécution des réquisitions aux fins d’expertises médico-légales en vue de l’établissement des faits de torture ou de mauvais traitements.</w:t>
      </w:r>
    </w:p>
    <w:p w:rsidR="002D42EF" w:rsidRPr="009024D7" w:rsidRDefault="002D42EF" w:rsidP="002D42EF">
      <w:pPr>
        <w:pStyle w:val="SingleTxtG"/>
      </w:pPr>
      <w:r w:rsidRPr="009024D7">
        <w:t>17</w:t>
      </w:r>
      <w:r>
        <w:t>2</w:t>
      </w:r>
      <w:r w:rsidRPr="009024D7">
        <w:t>.</w:t>
      </w:r>
      <w:r w:rsidRPr="009024D7">
        <w:tab/>
        <w:t>L’agent fautif dans cette affaire a été relevé de ses fonctions pendant le déroulement de l’enquête.</w:t>
      </w:r>
    </w:p>
    <w:p w:rsidR="002D42EF" w:rsidRPr="005D65CE" w:rsidRDefault="002D42EF" w:rsidP="002D42EF">
      <w:pPr>
        <w:pStyle w:val="SingleTxtG"/>
      </w:pPr>
      <w:r w:rsidRPr="009024D7">
        <w:t>17</w:t>
      </w:r>
      <w:r>
        <w:t>3</w:t>
      </w:r>
      <w:r w:rsidRPr="009024D7">
        <w:t>.</w:t>
      </w:r>
      <w:r w:rsidRPr="009024D7">
        <w:tab/>
        <w:t>La poursuite</w:t>
      </w:r>
      <w:r w:rsidRPr="005D65CE">
        <w:t xml:space="preserve"> pénale n’est pas exclusive d’une poursuite disciplinaire. </w:t>
      </w:r>
    </w:p>
    <w:p w:rsidR="002D42EF" w:rsidRPr="005D65CE" w:rsidRDefault="002D42EF" w:rsidP="00C208E4">
      <w:pPr>
        <w:pStyle w:val="H23G"/>
        <w:numPr>
          <w:ilvl w:val="2"/>
          <w:numId w:val="10"/>
        </w:numPr>
      </w:pPr>
      <w:r w:rsidRPr="005D65CE">
        <w:t>Les autorités compétentes sur le plan disciplinaire</w:t>
      </w:r>
    </w:p>
    <w:p w:rsidR="002D42EF" w:rsidRPr="002F20CB" w:rsidRDefault="002D42EF" w:rsidP="002D42EF">
      <w:pPr>
        <w:pStyle w:val="SingleTxtG"/>
      </w:pPr>
      <w:r w:rsidRPr="002F20CB">
        <w:t>17</w:t>
      </w:r>
      <w:r>
        <w:t>4</w:t>
      </w:r>
      <w:r w:rsidRPr="002F20CB">
        <w:t>.</w:t>
      </w:r>
      <w:r w:rsidRPr="002F20CB">
        <w:tab/>
        <w:t>L’organe doté d</w:t>
      </w:r>
      <w:r>
        <w:t>u</w:t>
      </w:r>
      <w:r w:rsidRPr="002F20CB">
        <w:t xml:space="preserve"> pouvoir disciplinaire et compétent pour engager la poursuite disciplinaire d’un magistrat fautif est le Conseil Supérieur de la Magistrature (CSM). </w:t>
      </w:r>
    </w:p>
    <w:p w:rsidR="002D42EF" w:rsidRPr="002F20CB" w:rsidRDefault="002D42EF" w:rsidP="002D42EF">
      <w:pPr>
        <w:pStyle w:val="SingleTxtG"/>
      </w:pPr>
      <w:r w:rsidRPr="002F20CB">
        <w:t>17</w:t>
      </w:r>
      <w:r>
        <w:t>5</w:t>
      </w:r>
      <w:r w:rsidRPr="002F20CB">
        <w:t>.</w:t>
      </w:r>
      <w:r w:rsidRPr="002F20CB">
        <w:tab/>
        <w:t xml:space="preserve">Au sein de la police nationale, l’autorité compétente est le Conseil de Discipline de la Police nationale (CODIS). </w:t>
      </w:r>
    </w:p>
    <w:p w:rsidR="002D42EF" w:rsidRPr="002F20CB" w:rsidRDefault="002D42EF" w:rsidP="002D42EF">
      <w:pPr>
        <w:pStyle w:val="SingleTxtG"/>
      </w:pPr>
      <w:r w:rsidRPr="002F20CB">
        <w:t>17</w:t>
      </w:r>
      <w:r>
        <w:t>6</w:t>
      </w:r>
      <w:r w:rsidRPr="002F20CB">
        <w:t>.</w:t>
      </w:r>
      <w:r w:rsidRPr="002F20CB">
        <w:tab/>
        <w:t xml:space="preserve">Au niveau de la gendarmerie, l’autorité compétente est le Conseil d’Enquête de la Gendarmerie Nationale. </w:t>
      </w:r>
    </w:p>
    <w:p w:rsidR="002D42EF" w:rsidRPr="002F20CB" w:rsidRDefault="002D42EF" w:rsidP="002D42EF">
      <w:pPr>
        <w:pStyle w:val="SingleTxtG"/>
      </w:pPr>
      <w:r w:rsidRPr="002F20CB">
        <w:t>17</w:t>
      </w:r>
      <w:r>
        <w:t>7</w:t>
      </w:r>
      <w:r w:rsidRPr="002F20CB">
        <w:t>.</w:t>
      </w:r>
      <w:r w:rsidRPr="002F20CB">
        <w:tab/>
        <w:t>Au niveau de l’</w:t>
      </w:r>
      <w:r>
        <w:t>A</w:t>
      </w:r>
      <w:r w:rsidRPr="002F20CB">
        <w:t xml:space="preserve">dministration pénitentiaire, il s’agit du Conseil Supérieur de l’Administration Pénitentiaire. </w:t>
      </w:r>
    </w:p>
    <w:p w:rsidR="002D42EF" w:rsidRPr="002F20CB" w:rsidRDefault="002D42EF" w:rsidP="002D42EF">
      <w:pPr>
        <w:pStyle w:val="SingleTxtG"/>
      </w:pPr>
      <w:r w:rsidRPr="002F20CB">
        <w:t>17</w:t>
      </w:r>
      <w:r>
        <w:t>8</w:t>
      </w:r>
      <w:r w:rsidRPr="002F20CB">
        <w:t>.</w:t>
      </w:r>
      <w:r w:rsidRPr="002F20CB">
        <w:tab/>
        <w:t xml:space="preserve">Au niveau de la Fonction Publique, le Conseil Supérieur de la Fonction Publique est doté du pouvoir disciplinaire. </w:t>
      </w:r>
    </w:p>
    <w:p w:rsidR="002D42EF" w:rsidRPr="005D65CE" w:rsidRDefault="002D42EF" w:rsidP="00C208E4">
      <w:pPr>
        <w:pStyle w:val="H23G"/>
        <w:numPr>
          <w:ilvl w:val="2"/>
          <w:numId w:val="10"/>
        </w:numPr>
      </w:pPr>
      <w:r w:rsidRPr="005D65CE">
        <w:t xml:space="preserve">Examen médical et expertise médico-légale </w:t>
      </w:r>
    </w:p>
    <w:p w:rsidR="002D42EF" w:rsidRPr="005D65CE" w:rsidRDefault="002D42EF" w:rsidP="002D42EF">
      <w:pPr>
        <w:pStyle w:val="SingleTxtG"/>
      </w:pPr>
      <w:r w:rsidRPr="005D65CE">
        <w:t>17</w:t>
      </w:r>
      <w:r>
        <w:t>9</w:t>
      </w:r>
      <w:r w:rsidRPr="005D65CE">
        <w:t>.</w:t>
      </w:r>
      <w:r w:rsidRPr="005D65CE">
        <w:tab/>
      </w:r>
      <w:r>
        <w:t>À</w:t>
      </w:r>
      <w:r w:rsidRPr="005D65CE">
        <w:t xml:space="preserve"> titre de rappel, l’article 4 de la loi contre la torture reconnaît le droit de la victime d’être examiné</w:t>
      </w:r>
      <w:r>
        <w:t>e</w:t>
      </w:r>
      <w:r w:rsidRPr="005D65CE">
        <w:t xml:space="preserve"> par un médecin. Un examen médical immédiat ou une réquisition d’expertise médicale peu</w:t>
      </w:r>
      <w:r>
        <w:t>ven</w:t>
      </w:r>
      <w:r w:rsidRPr="005D65CE">
        <w:t>t être ordonné</w:t>
      </w:r>
      <w:r>
        <w:t>s</w:t>
      </w:r>
      <w:r w:rsidRPr="005D65CE">
        <w:t xml:space="preserve"> à la demande de la victime ou de son conseil. </w:t>
      </w:r>
    </w:p>
    <w:p w:rsidR="002D42EF" w:rsidRPr="005D65CE" w:rsidRDefault="002D42EF" w:rsidP="002D42EF">
      <w:pPr>
        <w:pStyle w:val="SingleTxtG"/>
        <w:rPr>
          <w:i/>
        </w:rPr>
      </w:pPr>
      <w:r w:rsidRPr="005D65CE">
        <w:rPr>
          <w:bCs/>
        </w:rPr>
        <w:t>18</w:t>
      </w:r>
      <w:r>
        <w:rPr>
          <w:bCs/>
        </w:rPr>
        <w:t>0</w:t>
      </w:r>
      <w:r w:rsidRPr="005D65CE">
        <w:rPr>
          <w:bCs/>
        </w:rPr>
        <w:t>.</w:t>
      </w:r>
      <w:r w:rsidRPr="005D65CE">
        <w:rPr>
          <w:bCs/>
        </w:rPr>
        <w:tab/>
        <w:t xml:space="preserve">L’article 138 </w:t>
      </w:r>
      <w:r w:rsidRPr="00F80EB8">
        <w:rPr>
          <w:bCs/>
          <w:i/>
        </w:rPr>
        <w:t>bis</w:t>
      </w:r>
      <w:r w:rsidRPr="005D65CE">
        <w:t xml:space="preserve"> du Code de Procédure Pénale prescrit que: </w:t>
      </w:r>
      <w:r w:rsidRPr="002F20CB">
        <w:t>«</w:t>
      </w:r>
      <w:r w:rsidRPr="005D65CE">
        <w:rPr>
          <w:i/>
        </w:rPr>
        <w:t>Dès le début de la garde à vue la personne arrêtée peut faire l’objet d’un examen médical sur la demande de l’officier de police judiciaire chargé de l’enquête. Le procureur de la République ou le magistrat qui le représente, agissant, soit d’office, soit à la requête d’un membre de la famille pourra désigner un médecin qui examinera la personne gardée à vue et lui en fera rapport. Cet examen pourra être demandé par le conseil</w:t>
      </w:r>
      <w:r w:rsidRPr="002F20CB">
        <w:t>.»</w:t>
      </w:r>
    </w:p>
    <w:p w:rsidR="002D42EF" w:rsidRPr="005D65CE" w:rsidRDefault="002D42EF" w:rsidP="002D42EF">
      <w:pPr>
        <w:pStyle w:val="SingleTxtG"/>
      </w:pPr>
      <w:r w:rsidRPr="005D65CE">
        <w:t>1</w:t>
      </w:r>
      <w:r>
        <w:t>81</w:t>
      </w:r>
      <w:r w:rsidRPr="005D65CE">
        <w:t>.</w:t>
      </w:r>
      <w:r w:rsidRPr="005D65CE">
        <w:tab/>
        <w:t>L’examen médical immédiat ou l’expertise médico-légale intervien</w:t>
      </w:r>
      <w:r>
        <w:t>nen</w:t>
      </w:r>
      <w:r w:rsidRPr="005D65CE">
        <w:t xml:space="preserve">t </w:t>
      </w:r>
      <w:r>
        <w:t>dans</w:t>
      </w:r>
      <w:r w:rsidRPr="005D65CE">
        <w:t xml:space="preserve"> le cas des personnes victimes de blessures</w:t>
      </w:r>
      <w:r>
        <w:t xml:space="preserve"> </w:t>
      </w:r>
      <w:r w:rsidRPr="005D65CE">
        <w:t xml:space="preserve">commises avant leur présentation devant la police judiciaire. L’intérêt </w:t>
      </w:r>
      <w:r>
        <w:t>c’</w:t>
      </w:r>
      <w:r w:rsidRPr="005D65CE">
        <w:t xml:space="preserve">est de pouvoir déterminer que les lésions </w:t>
      </w:r>
      <w:r>
        <w:t xml:space="preserve">n’ont pas été </w:t>
      </w:r>
      <w:r w:rsidRPr="005D65CE">
        <w:t xml:space="preserve">causées pendant la garde à vue. </w:t>
      </w:r>
    </w:p>
    <w:p w:rsidR="002D42EF" w:rsidRPr="005D65CE" w:rsidRDefault="002D42EF" w:rsidP="002D42EF">
      <w:pPr>
        <w:pStyle w:val="SingleTxtG"/>
      </w:pPr>
      <w:r w:rsidRPr="005D65CE">
        <w:t>18</w:t>
      </w:r>
      <w:r>
        <w:t>2</w:t>
      </w:r>
      <w:r w:rsidRPr="005D65CE">
        <w:t>.</w:t>
      </w:r>
      <w:r w:rsidRPr="005D65CE">
        <w:tab/>
        <w:t>Si les lésions ont été commises avant la présentation de la personne blessée devant les Officiers de Police Judiciaire, le Procureur de la République ou le juge d’instruction, ces derniers peuvent,</w:t>
      </w:r>
      <w:r>
        <w:t xml:space="preserve"> </w:t>
      </w:r>
      <w:r w:rsidRPr="005D65CE">
        <w:t>par voie de réquisition, ordonner immédiatement l’examen médical afin de déterminer les causes de ces blessures.</w:t>
      </w:r>
      <w:r>
        <w:t xml:space="preserve"> </w:t>
      </w:r>
      <w:r w:rsidRPr="005D65CE">
        <w:t>Les auteurs de tels actes sont passibles de poursuite</w:t>
      </w:r>
      <w:r>
        <w:t>s</w:t>
      </w:r>
      <w:r w:rsidRPr="005D65CE">
        <w:t xml:space="preserve"> judiciaire</w:t>
      </w:r>
      <w:r>
        <w:t>s</w:t>
      </w:r>
      <w:r w:rsidRPr="005D65CE">
        <w:t xml:space="preserve"> </w:t>
      </w:r>
      <w:r>
        <w:t>en</w:t>
      </w:r>
      <w:r w:rsidRPr="005D65CE">
        <w:t xml:space="preserve"> application des articles 2 ou 3, 4, 10, 11 et 12 de la loi contre la torture.</w:t>
      </w:r>
    </w:p>
    <w:p w:rsidR="002D42EF" w:rsidRPr="005D65CE" w:rsidRDefault="002D42EF" w:rsidP="002D42EF">
      <w:pPr>
        <w:pStyle w:val="SingleTxtG"/>
      </w:pPr>
      <w:r w:rsidRPr="005D65CE">
        <w:t>18</w:t>
      </w:r>
      <w:r>
        <w:t>3</w:t>
      </w:r>
      <w:r w:rsidRPr="005D65CE">
        <w:t>.</w:t>
      </w:r>
      <w:r w:rsidRPr="005D65CE">
        <w:tab/>
        <w:t xml:space="preserve">Suivant l’article 79 du décret 2006-015, avant l’incarcération et dans le but de déceler les mauvais traitements avant </w:t>
      </w:r>
      <w:r>
        <w:t>l’</w:t>
      </w:r>
      <w:r w:rsidRPr="005D65CE">
        <w:t>admission dans l’établissement pénitentiaire, une visite d’incarcération est effectuée par le médecin de la prison qui établit un procès</w:t>
      </w:r>
      <w:r>
        <w:t>-</w:t>
      </w:r>
      <w:r w:rsidRPr="005D65CE">
        <w:t xml:space="preserve">verbal </w:t>
      </w:r>
      <w:r>
        <w:t xml:space="preserve">qu’il </w:t>
      </w:r>
      <w:r w:rsidRPr="005D65CE">
        <w:t>adress</w:t>
      </w:r>
      <w:r>
        <w:t>e</w:t>
      </w:r>
      <w:r w:rsidRPr="005D65CE">
        <w:t xml:space="preserve"> au chef d’établissement. Ce dernier en rend compte au Procureur de la République ou au juge d’instruction en charge du dossier qui, à leur tour, peuvent par voie de réquisition ordonner l’expertise médico-légale afin de déterminer s’il y a eu mauvais traitements ou actes de torture. </w:t>
      </w:r>
    </w:p>
    <w:p w:rsidR="002D42EF" w:rsidRPr="005D65CE" w:rsidRDefault="002D42EF" w:rsidP="002D42EF">
      <w:pPr>
        <w:pStyle w:val="SingleTxtG"/>
        <w:rPr>
          <w:i/>
        </w:rPr>
      </w:pPr>
      <w:r w:rsidRPr="005D65CE">
        <w:t>18</w:t>
      </w:r>
      <w:r>
        <w:t>4</w:t>
      </w:r>
      <w:r w:rsidRPr="005D65CE">
        <w:t>.</w:t>
      </w:r>
      <w:r w:rsidRPr="005D65CE">
        <w:tab/>
        <w:t xml:space="preserve">S’il est avéré que des charges sérieuses </w:t>
      </w:r>
      <w:r w:rsidRPr="002A3A69">
        <w:t>pèsent contre</w:t>
      </w:r>
      <w:r w:rsidRPr="005D65CE">
        <w:t xml:space="preserve"> l’agent suspecté d’avoir commis des actes de torture ou de</w:t>
      </w:r>
      <w:r>
        <w:t>s</w:t>
      </w:r>
      <w:r w:rsidRPr="005D65CE">
        <w:t xml:space="preserve"> mauvais traitements, ce dernier est relevé de ses fonctions et n’est plus habilité à</w:t>
      </w:r>
      <w:r>
        <w:t xml:space="preserve"> </w:t>
      </w:r>
      <w:r w:rsidRPr="005D65CE">
        <w:t>poursuivre l’enquête. Des mesures sont prises pour éviter tout contact</w:t>
      </w:r>
      <w:r>
        <w:t xml:space="preserve"> entre </w:t>
      </w:r>
      <w:r w:rsidRPr="005D65CE">
        <w:t xml:space="preserve">le fonctionnaire </w:t>
      </w:r>
      <w:r>
        <w:t>et s</w:t>
      </w:r>
      <w:r w:rsidRPr="005D65CE">
        <w:t xml:space="preserve">a victime présumée afin </w:t>
      </w:r>
      <w:r>
        <w:t xml:space="preserve">d’éviter </w:t>
      </w:r>
      <w:r w:rsidRPr="005D65CE">
        <w:t xml:space="preserve">que </w:t>
      </w:r>
      <w:r>
        <w:t xml:space="preserve">celle-ci ne fasse l’objet de </w:t>
      </w:r>
      <w:r w:rsidRPr="002A3A69">
        <w:t>tentatives d’intimidation ou de menaces</w:t>
      </w:r>
      <w:r>
        <w:t>,</w:t>
      </w:r>
      <w:r w:rsidRPr="005D65CE">
        <w:t xml:space="preserve"> conformément à l’article 20 de la loi contre la torture qui dispose que: </w:t>
      </w:r>
      <w:r w:rsidRPr="00EB6BED">
        <w:t>«</w:t>
      </w:r>
      <w:r>
        <w:rPr>
          <w:i/>
        </w:rPr>
        <w:t>L’É</w:t>
      </w:r>
      <w:r w:rsidRPr="005D65CE">
        <w:rPr>
          <w:i/>
        </w:rPr>
        <w:t>tat prend des mesures adéquates pour assurer la protection des victimes d’actes de torture, des témoins (…), ainsi que de leurs familles contre la violence, les menaces de violence ou toute autre forme d’intimidation ou de représailles en raison de plaintes déposées, d’auditions ou de déclarations faites, de rapports effectués ou de l’enquête</w:t>
      </w:r>
      <w:r>
        <w:rPr>
          <w:i/>
        </w:rPr>
        <w:t>.</w:t>
      </w:r>
      <w:r w:rsidRPr="00EB6BED">
        <w:t>»</w:t>
      </w:r>
    </w:p>
    <w:p w:rsidR="002D42EF" w:rsidRPr="005D65CE" w:rsidRDefault="002D42EF" w:rsidP="00C208E4">
      <w:pPr>
        <w:pStyle w:val="H23G"/>
        <w:numPr>
          <w:ilvl w:val="2"/>
          <w:numId w:val="10"/>
        </w:numPr>
      </w:pPr>
      <w:r w:rsidRPr="005D65CE">
        <w:t>Peines encourues</w:t>
      </w:r>
    </w:p>
    <w:p w:rsidR="002D42EF" w:rsidRPr="005D65CE" w:rsidRDefault="002D42EF" w:rsidP="002D42EF">
      <w:pPr>
        <w:pStyle w:val="SingleTxtG"/>
      </w:pPr>
      <w:r>
        <w:t>185.</w:t>
      </w:r>
      <w:r>
        <w:tab/>
        <w:t>À</w:t>
      </w:r>
      <w:r w:rsidRPr="005D65CE">
        <w:t xml:space="preserve"> l’issue des procédures de poursuite pour actes de torture, si les preuves sont suffisantes, les peines à prononcer par les juridictions de jugement sont celles visées </w:t>
      </w:r>
      <w:r>
        <w:t xml:space="preserve">aux </w:t>
      </w:r>
      <w:r w:rsidRPr="005D65CE">
        <w:t xml:space="preserve">articles 10, 11, 12 de la loi contre la torture. </w:t>
      </w:r>
    </w:p>
    <w:p w:rsidR="002D42EF" w:rsidRPr="005D65CE" w:rsidRDefault="002D42EF" w:rsidP="002D42EF">
      <w:pPr>
        <w:pStyle w:val="SingleTxtG"/>
        <w:ind w:left="1701"/>
        <w:jc w:val="left"/>
        <w:rPr>
          <w:b/>
        </w:rPr>
      </w:pPr>
      <w:r w:rsidRPr="005D65CE">
        <w:rPr>
          <w:b/>
        </w:rPr>
        <w:t>Article</w:t>
      </w:r>
      <w:r>
        <w:rPr>
          <w:b/>
        </w:rPr>
        <w:t xml:space="preserve"> </w:t>
      </w:r>
      <w:r w:rsidRPr="005D65CE">
        <w:rPr>
          <w:b/>
        </w:rPr>
        <w:t>13</w:t>
      </w:r>
      <w:r>
        <w:rPr>
          <w:b/>
        </w:rPr>
        <w:br/>
      </w:r>
      <w:r w:rsidRPr="005D65CE">
        <w:rPr>
          <w:b/>
        </w:rPr>
        <w:t>Droit de porter plainte</w:t>
      </w:r>
    </w:p>
    <w:p w:rsidR="002D42EF" w:rsidRPr="005D65CE" w:rsidRDefault="002D42EF" w:rsidP="002D42EF">
      <w:pPr>
        <w:pStyle w:val="SingleTxtG"/>
        <w:ind w:left="1701"/>
        <w:rPr>
          <w:b/>
        </w:rPr>
      </w:pPr>
      <w:r>
        <w:rPr>
          <w:b/>
        </w:rPr>
        <w:t>«Tout É</w:t>
      </w:r>
      <w:r w:rsidRPr="005D65CE">
        <w:rPr>
          <w:b/>
        </w:rPr>
        <w:t>tat partie assure à toute personne qui prétend avoir été soumise à la torture sur tout territoire sous sa juridiction le droit de porter plainte devant l</w:t>
      </w:r>
      <w:r>
        <w:rPr>
          <w:b/>
        </w:rPr>
        <w:t>es autorités compétentes dudit É</w:t>
      </w:r>
      <w:r w:rsidRPr="005D65CE">
        <w:rPr>
          <w:b/>
        </w:rPr>
        <w:t>tat qui procéderont immédiatement et impartialement à l’examen de sa cause. Des mesures seront prises pour assurer la protection du plaignant et des témoins contre tout mauvais traitement ou</w:t>
      </w:r>
      <w:r>
        <w:rPr>
          <w:b/>
        </w:rPr>
        <w:t xml:space="preserve"> </w:t>
      </w:r>
      <w:r w:rsidRPr="005D65CE">
        <w:rPr>
          <w:b/>
        </w:rPr>
        <w:t>toute intimidation en raison de la plainte déposée ou de toute déposition faite</w:t>
      </w:r>
      <w:r>
        <w:rPr>
          <w:b/>
        </w:rPr>
        <w:t>.</w:t>
      </w:r>
      <w:r w:rsidRPr="005D65CE">
        <w:rPr>
          <w:b/>
        </w:rPr>
        <w:t>»</w:t>
      </w:r>
    </w:p>
    <w:p w:rsidR="002D42EF" w:rsidRPr="005D65CE" w:rsidRDefault="002D42EF" w:rsidP="00C208E4">
      <w:pPr>
        <w:pStyle w:val="H23G"/>
        <w:numPr>
          <w:ilvl w:val="2"/>
          <w:numId w:val="10"/>
        </w:numPr>
      </w:pPr>
      <w:r w:rsidRPr="005D65CE">
        <w:t xml:space="preserve">Recours ouverts aux victimes </w:t>
      </w:r>
    </w:p>
    <w:p w:rsidR="002D42EF" w:rsidRPr="005D65CE" w:rsidRDefault="002D42EF" w:rsidP="002D42EF">
      <w:pPr>
        <w:pStyle w:val="SingleTxtG"/>
        <w:ind w:left="1701"/>
        <w:rPr>
          <w:b/>
        </w:rPr>
      </w:pPr>
      <w:r w:rsidRPr="005D65CE">
        <w:rPr>
          <w:b/>
        </w:rPr>
        <w:t>a.</w:t>
      </w:r>
      <w:r w:rsidRPr="005D65CE">
        <w:rPr>
          <w:b/>
        </w:rPr>
        <w:tab/>
        <w:t>Recours judiciaire</w:t>
      </w:r>
    </w:p>
    <w:p w:rsidR="002D42EF" w:rsidRPr="00700D79" w:rsidRDefault="002D42EF" w:rsidP="002D42EF">
      <w:pPr>
        <w:pStyle w:val="SingleTxtG"/>
      </w:pPr>
      <w:r w:rsidRPr="00700D79">
        <w:t>18</w:t>
      </w:r>
      <w:r>
        <w:t>6</w:t>
      </w:r>
      <w:r w:rsidRPr="00700D79">
        <w:t>.</w:t>
      </w:r>
      <w:r w:rsidRPr="00700D79">
        <w:tab/>
        <w:t xml:space="preserve">La </w:t>
      </w:r>
      <w:r w:rsidRPr="00200651">
        <w:t>rareté des plaintes pour actes de torture s’explique par la crainte de représailles et par l’absence de garantie de protection légale des victimes et des témoins avant l’adoption de la loi contre la torture</w:t>
      </w:r>
      <w:r w:rsidRPr="00700D79">
        <w:t xml:space="preserve">. </w:t>
      </w:r>
    </w:p>
    <w:p w:rsidR="002D42EF" w:rsidRPr="00700D79" w:rsidRDefault="002D42EF" w:rsidP="002D42EF">
      <w:pPr>
        <w:pStyle w:val="SingleTxtG"/>
      </w:pPr>
      <w:r w:rsidRPr="00700D79">
        <w:t>18</w:t>
      </w:r>
      <w:r>
        <w:t>7</w:t>
      </w:r>
      <w:r w:rsidRPr="00700D79">
        <w:t>.</w:t>
      </w:r>
      <w:r w:rsidRPr="00700D79">
        <w:tab/>
        <w:t xml:space="preserve">Cette loi, en ses articles 20 et 21, prévoit </w:t>
      </w:r>
      <w:r>
        <w:t>d</w:t>
      </w:r>
      <w:r w:rsidRPr="00700D79">
        <w:t xml:space="preserve">es garanties de protection et </w:t>
      </w:r>
      <w:r>
        <w:t>l</w:t>
      </w:r>
      <w:r w:rsidRPr="00700D79">
        <w:t>e droit des victimes d’obtenir la réparation des préjudices découlant d</w:t>
      </w:r>
      <w:r>
        <w:t>’</w:t>
      </w:r>
      <w:r w:rsidRPr="00700D79">
        <w:t xml:space="preserve">actes de torture ou de mauvais traitements. </w:t>
      </w:r>
    </w:p>
    <w:p w:rsidR="002D42EF" w:rsidRPr="005D65CE" w:rsidRDefault="002D42EF" w:rsidP="002D42EF">
      <w:pPr>
        <w:pStyle w:val="SingleTxtG"/>
      </w:pPr>
      <w:r w:rsidRPr="00700D79">
        <w:t>18</w:t>
      </w:r>
      <w:r>
        <w:t>8</w:t>
      </w:r>
      <w:r w:rsidRPr="00700D79">
        <w:t>.</w:t>
      </w:r>
      <w:r w:rsidRPr="00700D79">
        <w:tab/>
        <w:t>Les</w:t>
      </w:r>
      <w:r w:rsidRPr="005D65CE">
        <w:t xml:space="preserve"> victimes disposent du droit de porter plainte devant les Officiers de Police Judiciaire ou devant le Procureur de la République</w:t>
      </w:r>
      <w:r>
        <w:t>,</w:t>
      </w:r>
      <w:r w:rsidRPr="005D65CE">
        <w:t xml:space="preserve"> </w:t>
      </w:r>
      <w:r>
        <w:t>lesquels</w:t>
      </w:r>
      <w:r w:rsidRPr="005D65CE">
        <w:t xml:space="preserve"> apprécient l’opportunité de la poursuite. S’ils estiment les plaintes fondées, ils engagent la poursuite par le biais de:</w:t>
      </w:r>
    </w:p>
    <w:p w:rsidR="002D42EF" w:rsidRPr="005D65CE" w:rsidRDefault="002D42EF" w:rsidP="002D42EF">
      <w:pPr>
        <w:pStyle w:val="Bullet1G"/>
        <w:numPr>
          <w:ilvl w:val="0"/>
          <w:numId w:val="1"/>
        </w:numPr>
      </w:pPr>
      <w:r w:rsidRPr="005D65CE">
        <w:t>La citation directe;</w:t>
      </w:r>
    </w:p>
    <w:p w:rsidR="002D42EF" w:rsidRPr="005D65CE" w:rsidRDefault="002D42EF" w:rsidP="002D42EF">
      <w:pPr>
        <w:pStyle w:val="Bullet1G"/>
        <w:numPr>
          <w:ilvl w:val="0"/>
          <w:numId w:val="1"/>
        </w:numPr>
      </w:pPr>
      <w:r w:rsidRPr="005D65CE">
        <w:t>L’information sommaire;</w:t>
      </w:r>
    </w:p>
    <w:p w:rsidR="002D42EF" w:rsidRPr="005D65CE" w:rsidRDefault="002D42EF" w:rsidP="002D42EF">
      <w:pPr>
        <w:pStyle w:val="Bullet1G"/>
        <w:numPr>
          <w:ilvl w:val="0"/>
          <w:numId w:val="1"/>
        </w:numPr>
      </w:pPr>
      <w:r w:rsidRPr="005D65CE">
        <w:t>L’instruction préparatoire.</w:t>
      </w:r>
    </w:p>
    <w:p w:rsidR="002D42EF" w:rsidRPr="005D65CE" w:rsidRDefault="002D42EF" w:rsidP="002D42EF">
      <w:pPr>
        <w:pStyle w:val="SingleTxtG"/>
        <w:ind w:left="1701"/>
        <w:rPr>
          <w:b/>
        </w:rPr>
      </w:pPr>
      <w:r w:rsidRPr="005D65CE">
        <w:rPr>
          <w:b/>
        </w:rPr>
        <w:t>b.</w:t>
      </w:r>
      <w:r w:rsidRPr="005D65CE">
        <w:rPr>
          <w:b/>
        </w:rPr>
        <w:tab/>
        <w:t>Autres recours non judiciaires</w:t>
      </w:r>
    </w:p>
    <w:p w:rsidR="002D42EF" w:rsidRPr="005D65CE" w:rsidRDefault="002D42EF" w:rsidP="002D42EF">
      <w:pPr>
        <w:pStyle w:val="SingleTxtG"/>
      </w:pPr>
      <w:r w:rsidRPr="005D65CE">
        <w:t>18</w:t>
      </w:r>
      <w:r>
        <w:t>9</w:t>
      </w:r>
      <w:r w:rsidRPr="005D65CE">
        <w:t>.</w:t>
      </w:r>
      <w:r w:rsidRPr="005D65CE">
        <w:tab/>
        <w:t xml:space="preserve">En complément de ce mécanisme de dépôt de plainte auprès des autorités judiciaires, les victimes peuvent également saisir le Conseil National des Droits Humains, lequel est habilité à faire des enquêtes et </w:t>
      </w:r>
      <w:r>
        <w:t>à</w:t>
      </w:r>
      <w:r w:rsidRPr="005D65CE">
        <w:t xml:space="preserve"> saisir les autorités compétentes. Les résultats des enquêtes peuvent être exploités par les autorités compétentes en vue d’établir la réalité des faits allégués.</w:t>
      </w:r>
    </w:p>
    <w:p w:rsidR="002D42EF" w:rsidRPr="005D65CE" w:rsidRDefault="002D42EF" w:rsidP="002D42EF">
      <w:pPr>
        <w:pStyle w:val="SingleTxtG"/>
      </w:pPr>
      <w:r w:rsidRPr="005D65CE">
        <w:t>1</w:t>
      </w:r>
      <w:r>
        <w:t>90</w:t>
      </w:r>
      <w:r w:rsidRPr="005D65CE">
        <w:t>.</w:t>
      </w:r>
      <w:r>
        <w:tab/>
      </w:r>
      <w:r w:rsidRPr="005D65CE">
        <w:t xml:space="preserve">Le Conseil National des Droits Humains (CNDH), institué par la loi </w:t>
      </w:r>
      <w:r w:rsidRPr="00C14D2A">
        <w:t>n</w:t>
      </w:r>
      <w:r w:rsidRPr="00C14D2A">
        <w:rPr>
          <w:vertAlign w:val="superscript"/>
        </w:rPr>
        <w:t>o</w:t>
      </w:r>
      <w:r w:rsidRPr="005D65CE">
        <w:t xml:space="preserve"> 2008-012 du 17 juillet 2008</w:t>
      </w:r>
      <w:r>
        <w:t>,</w:t>
      </w:r>
      <w:r w:rsidRPr="005D65CE">
        <w:t xml:space="preserve"> est habilité à recevoir et examiner des plaintes individuelles ou collectives liées </w:t>
      </w:r>
      <w:r>
        <w:t>aux</w:t>
      </w:r>
      <w:r w:rsidRPr="005D65CE">
        <w:t xml:space="preserve"> violations de</w:t>
      </w:r>
      <w:r>
        <w:t>s</w:t>
      </w:r>
      <w:r w:rsidRPr="005D65CE">
        <w:t xml:space="preserve"> droits de l’</w:t>
      </w:r>
      <w:r>
        <w:t>homme</w:t>
      </w:r>
      <w:r w:rsidRPr="005D65CE">
        <w:t>.</w:t>
      </w:r>
      <w:r>
        <w:t xml:space="preserve"> </w:t>
      </w:r>
    </w:p>
    <w:p w:rsidR="002D42EF" w:rsidRPr="00EF5C68" w:rsidRDefault="002D42EF" w:rsidP="002D42EF">
      <w:pPr>
        <w:pStyle w:val="SingleTxtG"/>
      </w:pPr>
      <w:r w:rsidRPr="00EF5C68">
        <w:t>191.</w:t>
      </w:r>
      <w:r w:rsidRPr="00EF5C68">
        <w:tab/>
        <w:t xml:space="preserve">En outre, </w:t>
      </w:r>
      <w:r>
        <w:t>il</w:t>
      </w:r>
      <w:r w:rsidRPr="00EF5C68">
        <w:t xml:space="preserve"> peut procéder à des enquêtes et saisir les autorités compétentes en vertu de l’article 3 qui dispose que: </w:t>
      </w:r>
    </w:p>
    <w:p w:rsidR="002D42EF" w:rsidRPr="00EF5C68" w:rsidRDefault="002D42EF" w:rsidP="002D42EF">
      <w:pPr>
        <w:pStyle w:val="SingleTxtG"/>
        <w:ind w:left="1701"/>
        <w:rPr>
          <w:i/>
        </w:rPr>
      </w:pPr>
      <w:r w:rsidRPr="00EF5C68">
        <w:t>«</w:t>
      </w:r>
      <w:r w:rsidRPr="00EF5C68">
        <w:rPr>
          <w:i/>
        </w:rPr>
        <w:t>Le Conseil</w:t>
      </w:r>
      <w:r w:rsidRPr="00EF5C68">
        <w:rPr>
          <w:b/>
          <w:i/>
        </w:rPr>
        <w:t xml:space="preserve"> </w:t>
      </w:r>
      <w:r w:rsidRPr="00EF5C68">
        <w:rPr>
          <w:i/>
        </w:rPr>
        <w:t>procède à des études, enquêtes, et publications sur toutes les questions concernant les Droits Humains et les libertés fondamentales. Le Conseil</w:t>
      </w:r>
      <w:r w:rsidRPr="00EF5C68">
        <w:rPr>
          <w:b/>
          <w:i/>
        </w:rPr>
        <w:t xml:space="preserve"> </w:t>
      </w:r>
      <w:r w:rsidRPr="00EF5C68">
        <w:rPr>
          <w:i/>
        </w:rPr>
        <w:t>saisit les autorités compétentes sur les cas de violations liées</w:t>
      </w:r>
      <w:r w:rsidRPr="00EF5C68">
        <w:rPr>
          <w:b/>
          <w:i/>
        </w:rPr>
        <w:t>:</w:t>
      </w:r>
      <w:r w:rsidRPr="00EF5C68">
        <w:rPr>
          <w:i/>
        </w:rPr>
        <w:t xml:space="preserve"> </w:t>
      </w:r>
    </w:p>
    <w:p w:rsidR="002D42EF" w:rsidRPr="005D65CE" w:rsidRDefault="002D42EF" w:rsidP="002D42EF">
      <w:pPr>
        <w:pStyle w:val="SingleTxtG"/>
        <w:ind w:left="1701" w:firstLine="567"/>
        <w:rPr>
          <w:i/>
        </w:rPr>
      </w:pPr>
      <w:r w:rsidRPr="00EF5C68">
        <w:rPr>
          <w:i/>
        </w:rPr>
        <w:t>a)</w:t>
      </w:r>
      <w:r w:rsidRPr="00EF5C68">
        <w:rPr>
          <w:i/>
        </w:rPr>
        <w:tab/>
        <w:t>à la pratique de la torture, ou aux autres peines et traitement cruels, inhumains ou dégradants pendant la garde à vue ou pendant la détention en milieu carcéral ou dans les centres d’éducation</w:t>
      </w:r>
      <w:r w:rsidRPr="005D65CE">
        <w:rPr>
          <w:i/>
        </w:rPr>
        <w:t xml:space="preserve"> et de réinsertion; </w:t>
      </w:r>
    </w:p>
    <w:p w:rsidR="002D42EF" w:rsidRPr="005D65CE" w:rsidRDefault="002D42EF" w:rsidP="002D42EF">
      <w:pPr>
        <w:pStyle w:val="SingleTxtG"/>
        <w:ind w:left="1701" w:firstLine="567"/>
        <w:rPr>
          <w:i/>
        </w:rPr>
      </w:pPr>
      <w:r w:rsidRPr="005D65CE">
        <w:rPr>
          <w:i/>
        </w:rPr>
        <w:t>b)</w:t>
      </w:r>
      <w:r w:rsidRPr="005D65CE">
        <w:rPr>
          <w:i/>
        </w:rPr>
        <w:tab/>
        <w:t>à l’existence de lieux où se pratique la détention secrète;</w:t>
      </w:r>
    </w:p>
    <w:p w:rsidR="002D42EF" w:rsidRPr="005D65CE" w:rsidRDefault="002D42EF" w:rsidP="002D42EF">
      <w:pPr>
        <w:pStyle w:val="SingleTxtG"/>
        <w:ind w:left="1701" w:firstLine="567"/>
        <w:rPr>
          <w:i/>
        </w:rPr>
      </w:pPr>
      <w:r w:rsidRPr="005D65CE">
        <w:rPr>
          <w:i/>
        </w:rPr>
        <w:t>c)</w:t>
      </w:r>
      <w:r w:rsidRPr="005D65CE">
        <w:rPr>
          <w:i/>
        </w:rPr>
        <w:tab/>
        <w:t>aux disparitions forcées, aux transferts secrets;</w:t>
      </w:r>
    </w:p>
    <w:p w:rsidR="002D42EF" w:rsidRPr="005D65CE" w:rsidRDefault="002D42EF" w:rsidP="002D42EF">
      <w:pPr>
        <w:pStyle w:val="SingleTxtG"/>
        <w:ind w:left="1701" w:firstLine="567"/>
        <w:rPr>
          <w:i/>
        </w:rPr>
      </w:pPr>
      <w:r w:rsidRPr="005D65CE">
        <w:rPr>
          <w:i/>
        </w:rPr>
        <w:t>d)</w:t>
      </w:r>
      <w:r w:rsidRPr="005D65CE">
        <w:rPr>
          <w:i/>
        </w:rPr>
        <w:tab/>
        <w:t>à la pratique de discrimination raciale, des pires formes de travail des enfants et de traite des personnes</w:t>
      </w:r>
      <w:r>
        <w:rPr>
          <w:i/>
        </w:rPr>
        <w:t>.</w:t>
      </w:r>
      <w:r w:rsidRPr="00700D79">
        <w:t>»</w:t>
      </w:r>
    </w:p>
    <w:p w:rsidR="002D42EF" w:rsidRPr="005D65CE" w:rsidRDefault="002D42EF" w:rsidP="002D42EF">
      <w:pPr>
        <w:pStyle w:val="SingleTxtG"/>
      </w:pPr>
      <w:r w:rsidRPr="005D65CE">
        <w:t>19</w:t>
      </w:r>
      <w:r>
        <w:t>2</w:t>
      </w:r>
      <w:r w:rsidRPr="005D65CE">
        <w:t>.</w:t>
      </w:r>
      <w:r w:rsidRPr="005D65CE">
        <w:tab/>
        <w:t xml:space="preserve">Les actions menées par le Conseil peuvent aider les victimes à faire valoir leurs droits. Les enquêteurs peuvent utiliser les travaux du Conseil comme documents de base. </w:t>
      </w:r>
    </w:p>
    <w:p w:rsidR="002D42EF" w:rsidRPr="005D65CE" w:rsidRDefault="002D42EF" w:rsidP="002D42EF">
      <w:pPr>
        <w:pStyle w:val="SingleTxtG"/>
      </w:pPr>
      <w:r w:rsidRPr="005D65CE">
        <w:t>19</w:t>
      </w:r>
      <w:r>
        <w:t>3</w:t>
      </w:r>
      <w:r w:rsidRPr="005D65CE">
        <w:t>.</w:t>
      </w:r>
      <w:r w:rsidRPr="005D65CE">
        <w:tab/>
        <w:t>Enfin, l’</w:t>
      </w:r>
      <w:r>
        <w:t>o</w:t>
      </w:r>
      <w:r w:rsidRPr="005D65CE">
        <w:t xml:space="preserve">rganisation </w:t>
      </w:r>
      <w:r>
        <w:t>n</w:t>
      </w:r>
      <w:r w:rsidRPr="005D65CE">
        <w:t xml:space="preserve">on </w:t>
      </w:r>
      <w:r>
        <w:t>g</w:t>
      </w:r>
      <w:r w:rsidRPr="005D65CE">
        <w:t>ouvernementale Action Chrétienne pour l’Abolition de la Torture (ACAT) participe activement à la promotion de la lutte contre la torture en procédant à des visites périodiques des lieux de détention.</w:t>
      </w:r>
    </w:p>
    <w:p w:rsidR="002D42EF" w:rsidRPr="005D65CE" w:rsidRDefault="002D42EF" w:rsidP="00C208E4">
      <w:pPr>
        <w:pStyle w:val="H23G"/>
        <w:numPr>
          <w:ilvl w:val="2"/>
          <w:numId w:val="10"/>
        </w:numPr>
      </w:pPr>
      <w:r w:rsidRPr="005D65CE">
        <w:t>Recours ouvert</w:t>
      </w:r>
      <w:r>
        <w:t>s</w:t>
      </w:r>
      <w:r w:rsidRPr="005D65CE">
        <w:t xml:space="preserve"> au plaignant en cas de refus des autorités compétentes </w:t>
      </w:r>
    </w:p>
    <w:p w:rsidR="002D42EF" w:rsidRPr="005D65CE" w:rsidRDefault="002D42EF" w:rsidP="002D42EF">
      <w:pPr>
        <w:pStyle w:val="SingleTxtG"/>
      </w:pPr>
      <w:r w:rsidRPr="00FC4E98">
        <w:t>194.</w:t>
      </w:r>
      <w:r w:rsidRPr="00FC4E98">
        <w:tab/>
        <w:t>Dans l’hypothèse où le ministère public refuse d’engager l’action publique en se fondant sur l’inopportunité de la poursuite, la victime dispose de deux types de droit de recours</w:t>
      </w:r>
      <w:r w:rsidRPr="005D65CE">
        <w:t>:</w:t>
      </w:r>
    </w:p>
    <w:p w:rsidR="002D42EF" w:rsidRPr="005D65CE" w:rsidRDefault="002D42EF" w:rsidP="002D42EF">
      <w:pPr>
        <w:pStyle w:val="Bullet1G"/>
        <w:numPr>
          <w:ilvl w:val="0"/>
          <w:numId w:val="1"/>
        </w:numPr>
      </w:pPr>
      <w:r w:rsidRPr="005D65CE">
        <w:t xml:space="preserve">La citation directe initiée par la victime en vue de la traduction de l’auteur devant le tribunal correctionnel sans passer par la voie du parquet conformément à l’article 182 du Code de Procédure Pénale qui dispose que: </w:t>
      </w:r>
    </w:p>
    <w:p w:rsidR="002D42EF" w:rsidRPr="005D65CE" w:rsidRDefault="002D42EF" w:rsidP="002D42EF">
      <w:pPr>
        <w:pStyle w:val="SingleTxtG"/>
        <w:ind w:left="1701"/>
      </w:pPr>
      <w:r w:rsidRPr="00C53AAF">
        <w:t>«</w:t>
      </w:r>
      <w:r w:rsidRPr="005D65CE">
        <w:rPr>
          <w:i/>
        </w:rPr>
        <w:t>Toute personne qui se prétend lésée par un délit peut citer directement l’auteur de celui-ci, les personnes qui en sont civilement responsables et, le cas échéant, l’assureur de leur responsabilité devant le tribunal correctionnel</w:t>
      </w:r>
      <w:r w:rsidRPr="00C53AAF">
        <w:t>»</w:t>
      </w:r>
      <w:r w:rsidRPr="005D65CE">
        <w:t>;</w:t>
      </w:r>
    </w:p>
    <w:p w:rsidR="002D42EF" w:rsidRPr="005D65CE" w:rsidRDefault="002D42EF" w:rsidP="002D42EF">
      <w:pPr>
        <w:pStyle w:val="Bullet1G"/>
        <w:numPr>
          <w:ilvl w:val="0"/>
          <w:numId w:val="1"/>
        </w:numPr>
      </w:pPr>
      <w:r w:rsidRPr="005D65CE">
        <w:t>La constitution de partie civile devant le juge d’instruction conformément aux dispositions de l’article 183 du Code de Procédure Pénale qui dispose que:</w:t>
      </w:r>
    </w:p>
    <w:p w:rsidR="002D42EF" w:rsidRPr="005D65CE" w:rsidRDefault="002D42EF" w:rsidP="002D42EF">
      <w:pPr>
        <w:pStyle w:val="SingleTxtG"/>
        <w:ind w:left="1701"/>
      </w:pPr>
      <w:r w:rsidRPr="00C53AAF">
        <w:t>«</w:t>
      </w:r>
      <w:r w:rsidRPr="005D65CE">
        <w:rPr>
          <w:i/>
        </w:rPr>
        <w:t>Toute personne qui se prétend lésée par un crime ou un délit peut, en portant plainte, se constituer partie civile devant les juges d’instruction</w:t>
      </w:r>
      <w:r>
        <w:rPr>
          <w:i/>
        </w:rPr>
        <w:t>.</w:t>
      </w:r>
      <w:r w:rsidRPr="00C53AAF">
        <w:t>»</w:t>
      </w:r>
    </w:p>
    <w:p w:rsidR="002D42EF" w:rsidRPr="005D65CE" w:rsidRDefault="002D42EF" w:rsidP="002D42EF">
      <w:pPr>
        <w:pStyle w:val="SingleTxtG"/>
      </w:pPr>
      <w:r w:rsidRPr="005D65CE">
        <w:t>19</w:t>
      </w:r>
      <w:r>
        <w:t>5</w:t>
      </w:r>
      <w:r w:rsidRPr="005D65CE">
        <w:t>.</w:t>
      </w:r>
      <w:r w:rsidRPr="005D65CE">
        <w:tab/>
        <w:t xml:space="preserve">Dans les deux cas, l’action publique est enclenchée et la saisine de la juridiction de jugement garantie sauf s’il existe des motifs de droit empêchant cette saisine, notamment l’extinction de l’action publique par la prescription, l’amnistie, le décès de l’auteur, </w:t>
      </w:r>
      <w:r>
        <w:t>l’</w:t>
      </w:r>
      <w:r w:rsidRPr="005D65CE">
        <w:t xml:space="preserve">affaire </w:t>
      </w:r>
      <w:r>
        <w:t xml:space="preserve">a été </w:t>
      </w:r>
      <w:r w:rsidRPr="005D65CE">
        <w:t>déjà jugée</w:t>
      </w:r>
      <w:r>
        <w:t>, etc.</w:t>
      </w:r>
    </w:p>
    <w:p w:rsidR="002D42EF" w:rsidRPr="005D65CE" w:rsidRDefault="002D42EF" w:rsidP="00C208E4">
      <w:pPr>
        <w:pStyle w:val="H23G"/>
        <w:numPr>
          <w:ilvl w:val="2"/>
          <w:numId w:val="10"/>
        </w:numPr>
      </w:pPr>
      <w:r w:rsidRPr="005D65CE">
        <w:t xml:space="preserve">Mécanismes prévus pour assurer la protection des plaignants et des témoins </w:t>
      </w:r>
    </w:p>
    <w:p w:rsidR="002D42EF" w:rsidRPr="00C75684" w:rsidRDefault="002D42EF" w:rsidP="002D42EF">
      <w:pPr>
        <w:pStyle w:val="SingleTxtG"/>
      </w:pPr>
      <w:r w:rsidRPr="00C75684">
        <w:t>19</w:t>
      </w:r>
      <w:r>
        <w:t>6</w:t>
      </w:r>
      <w:r w:rsidRPr="00C75684">
        <w:t>.</w:t>
      </w:r>
      <w:r w:rsidRPr="00C75684">
        <w:tab/>
        <w:t>La protection des plaignants, des témoins, des enquêteurs, ainsi que de leur famille</w:t>
      </w:r>
      <w:r>
        <w:t xml:space="preserve"> </w:t>
      </w:r>
      <w:r w:rsidRPr="00C75684">
        <w:t xml:space="preserve"> contre tout acte d’intimidation ou de représailles en raison des plaintes pour torture ou mauvais traitements déposées est consacrée par l’article 20 de la loi contre la torture. </w:t>
      </w:r>
    </w:p>
    <w:p w:rsidR="002D42EF" w:rsidRPr="00C75684" w:rsidRDefault="002D42EF" w:rsidP="002D42EF">
      <w:pPr>
        <w:pStyle w:val="SingleTxtG"/>
      </w:pPr>
      <w:r w:rsidRPr="00C75684">
        <w:t>19</w:t>
      </w:r>
      <w:r>
        <w:t>7</w:t>
      </w:r>
      <w:r w:rsidRPr="00C75684">
        <w:t>.</w:t>
      </w:r>
      <w:r w:rsidRPr="00C75684">
        <w:tab/>
        <w:t>Cette disposition va au-delà des exigences de la Convention puisqu’elle couvre la protection des enquêteurs et de leur famille</w:t>
      </w:r>
      <w:r>
        <w:t>, qui</w:t>
      </w:r>
      <w:r w:rsidRPr="00C75684">
        <w:t xml:space="preserve"> p</w:t>
      </w:r>
      <w:r>
        <w:t>e</w:t>
      </w:r>
      <w:r w:rsidRPr="00C75684">
        <w:t>uv</w:t>
      </w:r>
      <w:r>
        <w:t>e</w:t>
      </w:r>
      <w:r w:rsidRPr="00C75684">
        <w:t>nt faire l’objet d’actes d’intimidation ou de représailles en raison de l’enquête ou des rapports effectués dans le cadre d’une plainte déposée pour torture ou mauvais traitement</w:t>
      </w:r>
      <w:r>
        <w:t>s</w:t>
      </w:r>
      <w:r w:rsidRPr="00C75684">
        <w:t xml:space="preserve">. </w:t>
      </w:r>
    </w:p>
    <w:p w:rsidR="002D42EF" w:rsidRPr="00C75684" w:rsidRDefault="002D42EF" w:rsidP="002D42EF">
      <w:pPr>
        <w:pStyle w:val="SingleTxtG"/>
      </w:pPr>
      <w:r w:rsidRPr="00C75684">
        <w:t>19</w:t>
      </w:r>
      <w:r>
        <w:t>8</w:t>
      </w:r>
      <w:r w:rsidRPr="00C75684">
        <w:t>.</w:t>
      </w:r>
      <w:r w:rsidRPr="00C75684">
        <w:tab/>
        <w:t xml:space="preserve">En l’état actuel, Madagascar ne dispose </w:t>
      </w:r>
      <w:r>
        <w:t>d’aucun</w:t>
      </w:r>
      <w:r w:rsidRPr="00C75684">
        <w:t xml:space="preserve"> service officiel spécialisé en matière de lutte contre la torture. </w:t>
      </w:r>
    </w:p>
    <w:p w:rsidR="002D42EF" w:rsidRPr="005D65CE" w:rsidRDefault="002D42EF" w:rsidP="002D42EF">
      <w:pPr>
        <w:pStyle w:val="SingleTxtG"/>
        <w:ind w:left="1701"/>
        <w:jc w:val="left"/>
        <w:rPr>
          <w:b/>
        </w:rPr>
      </w:pPr>
      <w:r w:rsidRPr="005D65CE">
        <w:rPr>
          <w:b/>
        </w:rPr>
        <w:t>Article 14</w:t>
      </w:r>
      <w:r>
        <w:rPr>
          <w:b/>
        </w:rPr>
        <w:br/>
      </w:r>
      <w:r w:rsidRPr="005D65CE">
        <w:rPr>
          <w:b/>
        </w:rPr>
        <w:t>Droit d’obtenir réparation</w:t>
      </w:r>
    </w:p>
    <w:p w:rsidR="002D42EF" w:rsidRPr="005D65CE" w:rsidRDefault="002D42EF" w:rsidP="002D42EF">
      <w:pPr>
        <w:pStyle w:val="SingleTxtG"/>
        <w:ind w:left="1701"/>
        <w:rPr>
          <w:b/>
        </w:rPr>
      </w:pPr>
      <w:r w:rsidRPr="005D65CE">
        <w:rPr>
          <w:b/>
        </w:rPr>
        <w:t xml:space="preserve">«1. </w:t>
      </w:r>
      <w:r>
        <w:rPr>
          <w:b/>
        </w:rPr>
        <w:tab/>
        <w:t>Tout É</w:t>
      </w:r>
      <w:r w:rsidRPr="005D65CE">
        <w:rPr>
          <w:b/>
        </w:rPr>
        <w:t>tat partie garantit, dans son système juridique, à la victime d’un acte de torture, le droit d’obtenir réparation et d’être indemnisée</w:t>
      </w:r>
      <w:r>
        <w:rPr>
          <w:b/>
        </w:rPr>
        <w:t xml:space="preserve"> </w:t>
      </w:r>
      <w:r w:rsidRPr="005D65CE">
        <w:rPr>
          <w:b/>
        </w:rPr>
        <w:t>équitablement et de manière adéquate, y compris les moyens nécessaires à sa réadaptation la plus complète possible. En cas de mort de la victime résultant d’un acte de torture, les ayants cause de celle-ci ont droit à indemnisation.</w:t>
      </w:r>
    </w:p>
    <w:p w:rsidR="002D42EF" w:rsidRPr="005D65CE" w:rsidRDefault="002D42EF" w:rsidP="002D42EF">
      <w:pPr>
        <w:pStyle w:val="SingleTxtG"/>
        <w:ind w:left="1701"/>
        <w:rPr>
          <w:b/>
        </w:rPr>
      </w:pPr>
      <w:r w:rsidRPr="005D65CE">
        <w:rPr>
          <w:b/>
        </w:rPr>
        <w:t xml:space="preserve">2. </w:t>
      </w:r>
      <w:r>
        <w:rPr>
          <w:b/>
        </w:rPr>
        <w:tab/>
      </w:r>
      <w:r w:rsidRPr="005D65CE">
        <w:rPr>
          <w:b/>
        </w:rPr>
        <w:t>Le présent article n’exclut aucun droit à indemnisation qu’aurait la victime ou toute autre personne en vertu des lois nationales</w:t>
      </w:r>
      <w:r>
        <w:rPr>
          <w:b/>
        </w:rPr>
        <w:t>.</w:t>
      </w:r>
      <w:r w:rsidRPr="005D65CE">
        <w:rPr>
          <w:b/>
        </w:rPr>
        <w:t>»</w:t>
      </w:r>
    </w:p>
    <w:p w:rsidR="002D42EF" w:rsidRPr="005D65CE" w:rsidRDefault="002D42EF" w:rsidP="00C208E4">
      <w:pPr>
        <w:pStyle w:val="H23G"/>
        <w:numPr>
          <w:ilvl w:val="2"/>
          <w:numId w:val="10"/>
        </w:numPr>
      </w:pPr>
      <w:r w:rsidRPr="005D65CE">
        <w:t xml:space="preserve">Procédures prévues pour indemniser les victimes de torture et leur famille ainsi que </w:t>
      </w:r>
      <w:r>
        <w:t xml:space="preserve">pour </w:t>
      </w:r>
      <w:r w:rsidRPr="005D65CE">
        <w:t>leur réadaptation sociale</w:t>
      </w:r>
    </w:p>
    <w:p w:rsidR="002D42EF" w:rsidRPr="005D65CE" w:rsidRDefault="002D42EF" w:rsidP="002D42EF">
      <w:pPr>
        <w:pStyle w:val="SingleTxtG"/>
      </w:pPr>
      <w:r w:rsidRPr="005D65CE">
        <w:t>19</w:t>
      </w:r>
      <w:r>
        <w:t>9</w:t>
      </w:r>
      <w:r w:rsidRPr="005D65CE">
        <w:t>.</w:t>
      </w:r>
      <w:r w:rsidRPr="005D65CE">
        <w:tab/>
        <w:t>La combinaison des articles 6 du Code de Procédure Pénale sur l’action civile et 21 de la loi contre la torture consacre le droit de la victime d’obtenir réparation des préjudices subis à la suite d’un acte de torture ou de mauvais traitement</w:t>
      </w:r>
      <w:r>
        <w:t>s</w:t>
      </w:r>
      <w:r w:rsidRPr="005D65CE">
        <w:t>. Outre l’indemnisation pour la réparation des préjudices matériels et moraux, la réparation visée adéquate englobe également</w:t>
      </w:r>
      <w:r>
        <w:t xml:space="preserve"> </w:t>
      </w:r>
      <w:r w:rsidRPr="005D65CE">
        <w:t>les frais de soins médicaux appropriés, de rééducation médicale et des moyens nécessaires à la réadaptation sociale.</w:t>
      </w:r>
    </w:p>
    <w:p w:rsidR="002D42EF" w:rsidRPr="005D65CE" w:rsidRDefault="002D42EF" w:rsidP="00C208E4">
      <w:pPr>
        <w:pStyle w:val="H23G"/>
        <w:numPr>
          <w:ilvl w:val="2"/>
          <w:numId w:val="10"/>
        </w:numPr>
      </w:pPr>
      <w:r w:rsidRPr="005D65CE">
        <w:t>Mise en cause de l’éventue</w:t>
      </w:r>
      <w:r>
        <w:t>lle responsabilité civile de l’É</w:t>
      </w:r>
      <w:r w:rsidRPr="005D65CE">
        <w:t>tat</w:t>
      </w:r>
    </w:p>
    <w:p w:rsidR="002D42EF" w:rsidRPr="005D65CE" w:rsidRDefault="002D42EF" w:rsidP="002D42EF">
      <w:pPr>
        <w:pStyle w:val="SingleTxtG"/>
      </w:pPr>
      <w:r>
        <w:t>200.</w:t>
      </w:r>
      <w:r>
        <w:tab/>
        <w:t>Selon l’article 21, l’É</w:t>
      </w:r>
      <w:r w:rsidRPr="005D65CE">
        <w:t>tat garantit à la victime d’un acte de torture le droit d’obtenir réparation. Dans ce sens, lorsque l’auteur n’est pas en mesure ou se trouve être dans l’impossibilité de réparer les préjudices découlant de ses actes</w:t>
      </w:r>
      <w:r>
        <w:t xml:space="preserve"> </w:t>
      </w:r>
      <w:r w:rsidRPr="005D65CE">
        <w:t>commis dans l’exercice de ses fon</w:t>
      </w:r>
      <w:r>
        <w:t>ctions, la responsabilité de l’É</w:t>
      </w:r>
      <w:r w:rsidRPr="005D65CE">
        <w:t>tat en qualité de civilement responsable du fait de ses agents peut être engagée.</w:t>
      </w:r>
    </w:p>
    <w:p w:rsidR="002D42EF" w:rsidRPr="005D65CE" w:rsidRDefault="002D42EF" w:rsidP="002D42EF">
      <w:pPr>
        <w:pStyle w:val="SingleTxtG"/>
      </w:pPr>
      <w:r>
        <w:t>201</w:t>
      </w:r>
      <w:r w:rsidRPr="005D65CE">
        <w:t>.</w:t>
      </w:r>
      <w:r w:rsidRPr="005D65CE">
        <w:tab/>
        <w:t xml:space="preserve">Afin de rendre effective l’application de la nouvelle loi contre la torture et de disposer ultérieurement de données chiffrées sur les cas de torture, Madagascar organise </w:t>
      </w:r>
      <w:r w:rsidRPr="00870DED">
        <w:t>des séries de formations</w:t>
      </w:r>
      <w:r w:rsidRPr="005D65CE">
        <w:t xml:space="preserve"> à l’intention des responsables de l’application des lois, pour faire en sorte que les cas soient invoqués devant les tribunaux et que ceux-ci les appliquent. Dans cette optique, quatre (04) formations seront tenues dans quatre ex-chefs lieux de province. </w:t>
      </w:r>
    </w:p>
    <w:p w:rsidR="002D42EF" w:rsidRPr="005D65CE" w:rsidRDefault="002D42EF" w:rsidP="002D42EF">
      <w:pPr>
        <w:pStyle w:val="SingleTxtG"/>
        <w:keepNext/>
        <w:ind w:left="1701"/>
        <w:jc w:val="left"/>
        <w:rPr>
          <w:b/>
        </w:rPr>
      </w:pPr>
      <w:r w:rsidRPr="005D65CE">
        <w:rPr>
          <w:b/>
        </w:rPr>
        <w:t>Article 15</w:t>
      </w:r>
      <w:r>
        <w:rPr>
          <w:b/>
        </w:rPr>
        <w:br/>
      </w:r>
      <w:r w:rsidRPr="005D65CE">
        <w:rPr>
          <w:b/>
        </w:rPr>
        <w:t>Irrecevabilité de toute déclaration obtenue par la torture</w:t>
      </w:r>
    </w:p>
    <w:p w:rsidR="002D42EF" w:rsidRPr="005D65CE" w:rsidRDefault="002D42EF" w:rsidP="002D42EF">
      <w:pPr>
        <w:pStyle w:val="SingleTxtG"/>
        <w:ind w:left="1701"/>
        <w:rPr>
          <w:b/>
        </w:rPr>
      </w:pPr>
      <w:r>
        <w:rPr>
          <w:b/>
        </w:rPr>
        <w:t>«Tout É</w:t>
      </w:r>
      <w:r w:rsidRPr="005D65CE">
        <w:rPr>
          <w:b/>
        </w:rPr>
        <w:t>tat</w:t>
      </w:r>
      <w:r>
        <w:rPr>
          <w:b/>
        </w:rPr>
        <w:t xml:space="preserve"> </w:t>
      </w:r>
      <w:r w:rsidRPr="005D65CE">
        <w:rPr>
          <w:b/>
        </w:rPr>
        <w:t>partie veille à ce que toute déclaration dont il est établi qu’elle a été obtenue par la torture ne puisse être invoquée comme un élément de preuve dans une procédure, si ce n’est contre la personne accusée de torture pour établir qu’une déclaration a été faite</w:t>
      </w:r>
      <w:r>
        <w:rPr>
          <w:b/>
        </w:rPr>
        <w:t>.</w:t>
      </w:r>
      <w:r w:rsidRPr="005D65CE">
        <w:rPr>
          <w:b/>
        </w:rPr>
        <w:t>»</w:t>
      </w:r>
    </w:p>
    <w:p w:rsidR="002D42EF" w:rsidRPr="005D65CE" w:rsidRDefault="002D42EF" w:rsidP="00C208E4">
      <w:pPr>
        <w:pStyle w:val="H23G"/>
        <w:numPr>
          <w:ilvl w:val="2"/>
          <w:numId w:val="10"/>
        </w:numPr>
      </w:pPr>
      <w:r w:rsidRPr="005D65CE">
        <w:t>Interdiction d’utiliser comme élément de</w:t>
      </w:r>
      <w:r>
        <w:t xml:space="preserve"> preuve une déclaration obtenue</w:t>
      </w:r>
      <w:r>
        <w:br/>
      </w:r>
      <w:r w:rsidRPr="005D65CE">
        <w:t>par la torture</w:t>
      </w:r>
    </w:p>
    <w:p w:rsidR="002D42EF" w:rsidRPr="005D65CE" w:rsidRDefault="002D42EF" w:rsidP="002D42EF">
      <w:pPr>
        <w:pStyle w:val="SingleTxtG"/>
      </w:pPr>
      <w:r>
        <w:t>202.</w:t>
      </w:r>
      <w:r w:rsidRPr="005D65CE">
        <w:tab/>
        <w:t xml:space="preserve">L’article 6 de la loi nationale contre la torture dispose que </w:t>
      </w:r>
      <w:r w:rsidRPr="00364950">
        <w:t>«</w:t>
      </w:r>
      <w:r w:rsidRPr="005D65CE">
        <w:rPr>
          <w:i/>
        </w:rPr>
        <w:t>toute déclaration dont il est établi qu’elle a été obtenue par l’usage de la torture, ne peut être invoquée comme élément de preuve dans une procédure si ce n’est que contre la personne accusée de torture, pour établir qu’une telle déclaration a été faite</w:t>
      </w:r>
      <w:r w:rsidRPr="00364950">
        <w:t>».</w:t>
      </w:r>
    </w:p>
    <w:p w:rsidR="002D42EF" w:rsidRPr="005D65CE" w:rsidRDefault="002D42EF" w:rsidP="002D42EF">
      <w:pPr>
        <w:pStyle w:val="SingleTxtG"/>
      </w:pPr>
      <w:r w:rsidRPr="005D65CE">
        <w:t>20</w:t>
      </w:r>
      <w:r>
        <w:t>3</w:t>
      </w:r>
      <w:r w:rsidRPr="005D65CE">
        <w:t>.</w:t>
      </w:r>
      <w:r w:rsidRPr="005D65CE">
        <w:tab/>
        <w:t xml:space="preserve">En cas d’aveu extorqué par l’utilisation de la torture, les juridictions pénales doivent asseoir leurs décisions sur la base d’autres éléments de preuve, à titre d’exemple la saisie de l’arme du crime comportant des traces d’empreintes digitales et de sang appartenant à l’auteur. </w:t>
      </w:r>
    </w:p>
    <w:p w:rsidR="002D42EF" w:rsidRPr="005D65CE" w:rsidRDefault="002D42EF" w:rsidP="00C208E4">
      <w:pPr>
        <w:pStyle w:val="H23G"/>
        <w:numPr>
          <w:ilvl w:val="2"/>
          <w:numId w:val="10"/>
        </w:numPr>
      </w:pPr>
      <w:r w:rsidRPr="005D65CE">
        <w:t>Admission des preuves indirectes</w:t>
      </w:r>
    </w:p>
    <w:p w:rsidR="002D42EF" w:rsidRPr="005D65CE" w:rsidRDefault="002D42EF" w:rsidP="002D42EF">
      <w:pPr>
        <w:pStyle w:val="SingleTxtG"/>
      </w:pPr>
      <w:r w:rsidRPr="005D65CE">
        <w:t>20</w:t>
      </w:r>
      <w:r>
        <w:t>4</w:t>
      </w:r>
      <w:r w:rsidRPr="005D65CE">
        <w:t>.</w:t>
      </w:r>
      <w:r w:rsidRPr="005D65CE">
        <w:tab/>
        <w:t>La législation malgache consacre la liberté de</w:t>
      </w:r>
      <w:r>
        <w:t>s</w:t>
      </w:r>
      <w:r w:rsidRPr="005D65CE">
        <w:t xml:space="preserve"> preuve</w:t>
      </w:r>
      <w:r>
        <w:t>s</w:t>
      </w:r>
      <w:r w:rsidRPr="005D65CE">
        <w:t xml:space="preserve"> en matière pénale</w:t>
      </w:r>
      <w:r>
        <w:t xml:space="preserve">, notamment </w:t>
      </w:r>
      <w:r w:rsidRPr="005D65CE">
        <w:t>l’aveu, le témoignage, les preuves matérielles</w:t>
      </w:r>
      <w:r>
        <w:t xml:space="preserve"> et</w:t>
      </w:r>
      <w:r w:rsidRPr="005D65CE">
        <w:t xml:space="preserve"> médicales, l’expertise. Ainsi, il peut asseoir sa conviction sur des éléments de preuve autres que ceux obtenus par la torture. </w:t>
      </w:r>
    </w:p>
    <w:p w:rsidR="002D42EF" w:rsidRPr="005D65CE" w:rsidRDefault="002D42EF" w:rsidP="002D42EF">
      <w:pPr>
        <w:pStyle w:val="SingleTxtG"/>
        <w:ind w:left="1701"/>
        <w:jc w:val="left"/>
        <w:rPr>
          <w:b/>
        </w:rPr>
      </w:pPr>
      <w:r w:rsidRPr="005D65CE">
        <w:rPr>
          <w:b/>
        </w:rPr>
        <w:t>Article 16</w:t>
      </w:r>
      <w:r>
        <w:rPr>
          <w:b/>
        </w:rPr>
        <w:br/>
      </w:r>
      <w:r w:rsidRPr="005D65CE">
        <w:rPr>
          <w:b/>
        </w:rPr>
        <w:t>Prohibition des peines ou traitements cruels, inhumains ou dégradants</w:t>
      </w:r>
    </w:p>
    <w:p w:rsidR="002D42EF" w:rsidRPr="005D65CE" w:rsidRDefault="002D42EF" w:rsidP="002D42EF">
      <w:pPr>
        <w:pStyle w:val="SingleTxtG"/>
        <w:ind w:left="1701"/>
        <w:rPr>
          <w:b/>
        </w:rPr>
      </w:pPr>
      <w:r>
        <w:rPr>
          <w:b/>
        </w:rPr>
        <w:t xml:space="preserve">«1. </w:t>
      </w:r>
      <w:r>
        <w:rPr>
          <w:b/>
        </w:rPr>
        <w:tab/>
        <w:t>Tout É</w:t>
      </w:r>
      <w:r w:rsidRPr="005D65CE">
        <w:rPr>
          <w:b/>
        </w:rPr>
        <w:t>tat partie s’engage à interdire dans tout territoire sous sa juridiction d’autres actes constitutifs de peines ou traitement</w:t>
      </w:r>
      <w:r>
        <w:rPr>
          <w:b/>
        </w:rPr>
        <w:t xml:space="preserve"> </w:t>
      </w:r>
      <w:r w:rsidRPr="005D65CE">
        <w:rPr>
          <w:b/>
        </w:rPr>
        <w:t>cruels, inhumains ou dégradants</w:t>
      </w:r>
      <w:r>
        <w:rPr>
          <w:b/>
        </w:rPr>
        <w:t xml:space="preserve"> </w:t>
      </w:r>
      <w:r w:rsidRPr="005D65CE">
        <w:rPr>
          <w:b/>
        </w:rPr>
        <w:t>qui ne sont pas des actes de torture telle qu’elle est définie à l’article premier</w:t>
      </w:r>
      <w:r>
        <w:rPr>
          <w:b/>
        </w:rPr>
        <w:t>,</w:t>
      </w:r>
      <w:r w:rsidRPr="005D65CE">
        <w:rPr>
          <w:b/>
        </w:rPr>
        <w:t xml:space="preserve"> lorsque de tels actes sont commis par un agent</w:t>
      </w:r>
      <w:r>
        <w:rPr>
          <w:b/>
        </w:rPr>
        <w:t xml:space="preserve"> </w:t>
      </w:r>
      <w:r w:rsidRPr="005D65CE">
        <w:rPr>
          <w:b/>
        </w:rPr>
        <w:t>de la fonction publique ou toute autre personne agissant</w:t>
      </w:r>
      <w:r>
        <w:rPr>
          <w:b/>
        </w:rPr>
        <w:t xml:space="preserve"> </w:t>
      </w:r>
      <w:r w:rsidRPr="005D65CE">
        <w:rPr>
          <w:b/>
        </w:rPr>
        <w:t>à titre officiel, ou à son instigation ou avec son consentement exprès ou tacite. En particulier, les obligations énoncées aux articles 10, 11, 12 et 13 sont applicables moyennant le remplacement de la mention de la torture par la mention d’autres formes de peines ou traitements cruels, inhumains ou dégradants.</w:t>
      </w:r>
    </w:p>
    <w:p w:rsidR="002D42EF" w:rsidRPr="005D65CE" w:rsidRDefault="002D42EF" w:rsidP="002D42EF">
      <w:pPr>
        <w:pStyle w:val="SingleTxtG"/>
        <w:ind w:left="1701"/>
        <w:rPr>
          <w:b/>
        </w:rPr>
      </w:pPr>
      <w:r w:rsidRPr="005D65CE">
        <w:rPr>
          <w:b/>
        </w:rPr>
        <w:t xml:space="preserve">2. </w:t>
      </w:r>
      <w:r>
        <w:rPr>
          <w:b/>
        </w:rPr>
        <w:tab/>
      </w:r>
      <w:r w:rsidRPr="005D65CE">
        <w:rPr>
          <w:b/>
        </w:rPr>
        <w:t>Les dispositions de la présente Convention sont sans préjudice des dispositions de tout autre instrument international ou de la loi nationale qui interdisent les peines ou traitements cruels, inhumains ou dégradants, ou qui ont trait à l’extradition ou</w:t>
      </w:r>
      <w:r>
        <w:rPr>
          <w:b/>
        </w:rPr>
        <w:t xml:space="preserve"> </w:t>
      </w:r>
      <w:r w:rsidRPr="005D65CE">
        <w:rPr>
          <w:b/>
        </w:rPr>
        <w:t>à l’expulsion</w:t>
      </w:r>
      <w:r>
        <w:rPr>
          <w:b/>
        </w:rPr>
        <w:t>.</w:t>
      </w:r>
      <w:r w:rsidRPr="005D65CE">
        <w:rPr>
          <w:b/>
        </w:rPr>
        <w:t>»</w:t>
      </w:r>
    </w:p>
    <w:p w:rsidR="002D42EF" w:rsidRPr="005D65CE" w:rsidRDefault="002D42EF" w:rsidP="00C208E4">
      <w:pPr>
        <w:pStyle w:val="H23G"/>
        <w:numPr>
          <w:ilvl w:val="2"/>
          <w:numId w:val="10"/>
        </w:numPr>
      </w:pPr>
      <w:r w:rsidRPr="005D65CE">
        <w:t>Proscription des actes constitutifs de peines ou traitements cruels, inhumains ou dégradants</w:t>
      </w:r>
    </w:p>
    <w:p w:rsidR="002D42EF" w:rsidRPr="005D65CE" w:rsidRDefault="002D42EF" w:rsidP="002D42EF">
      <w:pPr>
        <w:pStyle w:val="SingleTxtG"/>
      </w:pPr>
      <w:r w:rsidRPr="005D65CE">
        <w:t>20</w:t>
      </w:r>
      <w:r>
        <w:t>5</w:t>
      </w:r>
      <w:r w:rsidRPr="005D65CE">
        <w:t>.</w:t>
      </w:r>
      <w:r w:rsidRPr="005D65CE">
        <w:tab/>
      </w:r>
      <w:r>
        <w:t>À l’instar de</w:t>
      </w:r>
      <w:r w:rsidRPr="005D65CE">
        <w:t xml:space="preserve"> la Convention, l’article</w:t>
      </w:r>
      <w:r>
        <w:t xml:space="preserve"> </w:t>
      </w:r>
      <w:r w:rsidRPr="005D65CE">
        <w:t xml:space="preserve">3 de la loi nationale ne donne pas </w:t>
      </w:r>
      <w:r>
        <w:t>de</w:t>
      </w:r>
      <w:r w:rsidRPr="005D65CE">
        <w:t xml:space="preserve"> définition de ce qu’il faut entendre par </w:t>
      </w:r>
      <w:r>
        <w:t>«</w:t>
      </w:r>
      <w:r w:rsidRPr="005D65CE">
        <w:t>peines ou traitements cruels, inhumains ou dégradants</w:t>
      </w:r>
      <w:r>
        <w:t>»</w:t>
      </w:r>
      <w:r w:rsidRPr="005D65CE">
        <w:t xml:space="preserve">. </w:t>
      </w:r>
    </w:p>
    <w:p w:rsidR="002D42EF" w:rsidRPr="005D65CE" w:rsidRDefault="002D42EF" w:rsidP="00C208E4">
      <w:pPr>
        <w:pStyle w:val="H23G"/>
        <w:numPr>
          <w:ilvl w:val="2"/>
          <w:numId w:val="10"/>
        </w:numPr>
      </w:pPr>
      <w:r w:rsidRPr="005D65CE">
        <w:t>Mesures prises pour prévenir les actes constitutifs de mauvais traitements</w:t>
      </w:r>
    </w:p>
    <w:p w:rsidR="002D42EF" w:rsidRPr="005D65CE" w:rsidRDefault="002D42EF" w:rsidP="002D42EF">
      <w:pPr>
        <w:pStyle w:val="SingleTxtG"/>
      </w:pPr>
      <w:r w:rsidRPr="005D65CE">
        <w:t>20</w:t>
      </w:r>
      <w:r>
        <w:t>6</w:t>
      </w:r>
      <w:r w:rsidRPr="005D65CE">
        <w:t>.</w:t>
      </w:r>
      <w:r w:rsidRPr="005D65CE">
        <w:tab/>
        <w:t xml:space="preserve">Aux niveaux international et régional, pour pallier cette insuffisance, le Comité des </w:t>
      </w:r>
      <w:r>
        <w:t>droit</w:t>
      </w:r>
      <w:r w:rsidRPr="005D65CE">
        <w:t>s de l’</w:t>
      </w:r>
      <w:r>
        <w:t>homme</w:t>
      </w:r>
      <w:r w:rsidRPr="005D65CE">
        <w:t xml:space="preserve">, le Comité contre la </w:t>
      </w:r>
      <w:r>
        <w:t>t</w:t>
      </w:r>
      <w:r w:rsidRPr="005D65CE">
        <w:t>orture</w:t>
      </w:r>
      <w:r>
        <w:t xml:space="preserve"> et</w:t>
      </w:r>
      <w:r w:rsidRPr="005D65CE">
        <w:t xml:space="preserve"> la Cour </w:t>
      </w:r>
      <w:r>
        <w:t>e</w:t>
      </w:r>
      <w:r w:rsidRPr="005D65CE">
        <w:t xml:space="preserve">uropéenne des </w:t>
      </w:r>
      <w:r>
        <w:t>droit</w:t>
      </w:r>
      <w:r w:rsidRPr="005D65CE">
        <w:t>s de l’</w:t>
      </w:r>
      <w:r>
        <w:t>homme</w:t>
      </w:r>
      <w:r w:rsidRPr="005D65CE">
        <w:t xml:space="preserve"> ont, à travers leurs décisions, apporté des précisions sur les cas constitutifs de peines ou traitements cruels, inhumains ou dégradants.</w:t>
      </w:r>
    </w:p>
    <w:p w:rsidR="002D42EF" w:rsidRPr="00665AC2" w:rsidRDefault="002D42EF" w:rsidP="002D42EF">
      <w:pPr>
        <w:pStyle w:val="SingleTxtG"/>
      </w:pPr>
      <w:r w:rsidRPr="00665AC2">
        <w:t>20</w:t>
      </w:r>
      <w:r>
        <w:t>7</w:t>
      </w:r>
      <w:r w:rsidRPr="00665AC2">
        <w:t>.</w:t>
      </w:r>
      <w:r w:rsidRPr="00665AC2">
        <w:tab/>
        <w:t xml:space="preserve">Les décisions de la Cour </w:t>
      </w:r>
      <w:r>
        <w:t>e</w:t>
      </w:r>
      <w:r w:rsidRPr="00665AC2">
        <w:t xml:space="preserve">uropéenne des </w:t>
      </w:r>
      <w:r>
        <w:t>droit</w:t>
      </w:r>
      <w:r w:rsidRPr="00665AC2">
        <w:t>s de l’</w:t>
      </w:r>
      <w:r>
        <w:t>homme</w:t>
      </w:r>
      <w:r w:rsidRPr="00665AC2">
        <w:t xml:space="preserve"> peuvent aider les juges nationaux </w:t>
      </w:r>
      <w:r>
        <w:t xml:space="preserve">à </w:t>
      </w:r>
      <w:r w:rsidRPr="00665AC2">
        <w:t>déterminer si des faits sont constitutifs de peines ou traitements cruels, inhumains ou dégradants.</w:t>
      </w:r>
    </w:p>
    <w:p w:rsidR="002D42EF" w:rsidRPr="00665AC2" w:rsidRDefault="002D42EF" w:rsidP="002D42EF">
      <w:pPr>
        <w:pStyle w:val="SingleTxtG"/>
      </w:pPr>
      <w:r w:rsidRPr="00665AC2">
        <w:t>20</w:t>
      </w:r>
      <w:r>
        <w:t>8</w:t>
      </w:r>
      <w:r w:rsidRPr="00665AC2">
        <w:t>.</w:t>
      </w:r>
      <w:r w:rsidRPr="00665AC2">
        <w:tab/>
        <w:t xml:space="preserve">Ces décisions servent de références et de supports pédagogiques </w:t>
      </w:r>
      <w:r>
        <w:t xml:space="preserve">pendant </w:t>
      </w:r>
      <w:r w:rsidRPr="002B6076">
        <w:t>les séries de formations organisées à l’intention des responsables de l’application de la loi, incluant des magistrats, des officiers de police judiciaire, des responsables pénitentiaires, ainsi que des membres du barreau.</w:t>
      </w:r>
    </w:p>
    <w:p w:rsidR="002D42EF" w:rsidRPr="00665AC2" w:rsidRDefault="002D42EF" w:rsidP="002D42EF">
      <w:pPr>
        <w:pStyle w:val="SingleTxtG"/>
      </w:pPr>
      <w:r w:rsidRPr="00665AC2">
        <w:t>20</w:t>
      </w:r>
      <w:r>
        <w:t>9</w:t>
      </w:r>
      <w:r w:rsidRPr="00665AC2">
        <w:t>.</w:t>
      </w:r>
      <w:r w:rsidRPr="00665AC2">
        <w:tab/>
        <w:t xml:space="preserve">Les formations insistent sur les critères de détermination des actes considérés comme cruels, inhumains ou dégradants. </w:t>
      </w:r>
    </w:p>
    <w:p w:rsidR="002D42EF" w:rsidRPr="00665AC2" w:rsidRDefault="002D42EF" w:rsidP="002D42EF">
      <w:pPr>
        <w:pStyle w:val="SingleTxtG"/>
      </w:pPr>
      <w:r w:rsidRPr="00665AC2">
        <w:t>2</w:t>
      </w:r>
      <w:r>
        <w:t>1</w:t>
      </w:r>
      <w:r w:rsidRPr="00665AC2">
        <w:t>0.</w:t>
      </w:r>
      <w:r w:rsidRPr="00665AC2">
        <w:tab/>
        <w:t xml:space="preserve">Le Comité des </w:t>
      </w:r>
      <w:r>
        <w:t>droit</w:t>
      </w:r>
      <w:r w:rsidRPr="00665AC2">
        <w:t>s de l’</w:t>
      </w:r>
      <w:r>
        <w:t>homme</w:t>
      </w:r>
      <w:r w:rsidRPr="00665AC2">
        <w:t xml:space="preserve"> (CDH) et le Comité contre la </w:t>
      </w:r>
      <w:r>
        <w:t>t</w:t>
      </w:r>
      <w:r w:rsidRPr="00665AC2">
        <w:t xml:space="preserve">orture ont, </w:t>
      </w:r>
      <w:r>
        <w:t xml:space="preserve">dans </w:t>
      </w:r>
      <w:r w:rsidRPr="00665AC2">
        <w:t>leurs décisions, dégagé les éléments suivants pour déterminer les actes constitutifs de</w:t>
      </w:r>
      <w:r>
        <w:t xml:space="preserve">s </w:t>
      </w:r>
      <w:r w:rsidRPr="00665AC2">
        <w:t>mauvais traitements.</w:t>
      </w:r>
    </w:p>
    <w:p w:rsidR="002D42EF" w:rsidRPr="005D65CE" w:rsidRDefault="002D42EF" w:rsidP="002D42EF">
      <w:pPr>
        <w:pStyle w:val="SingleTxtG"/>
      </w:pPr>
      <w:r w:rsidRPr="00665AC2">
        <w:t>2</w:t>
      </w:r>
      <w:r>
        <w:t>11</w:t>
      </w:r>
      <w:r w:rsidRPr="00665AC2">
        <w:t>.</w:t>
      </w:r>
      <w:r w:rsidRPr="00665AC2">
        <w:tab/>
        <w:t xml:space="preserve">Sont considérés par le Comité contre la </w:t>
      </w:r>
      <w:r>
        <w:t>t</w:t>
      </w:r>
      <w:r w:rsidRPr="00665AC2">
        <w:t xml:space="preserve">orture comme </w:t>
      </w:r>
      <w:r>
        <w:t xml:space="preserve">des </w:t>
      </w:r>
      <w:r w:rsidRPr="00665AC2">
        <w:t>actes constitutifs d</w:t>
      </w:r>
      <w:r>
        <w:t>’un</w:t>
      </w:r>
      <w:r w:rsidRPr="00665AC2">
        <w:t>e violation de l’article 16</w:t>
      </w:r>
      <w:r w:rsidRPr="005D65CE">
        <w:t xml:space="preserve"> et non de l’article 1</w:t>
      </w:r>
      <w:r w:rsidRPr="00EF7266">
        <w:rPr>
          <w:vertAlign w:val="superscript"/>
        </w:rPr>
        <w:t>er</w:t>
      </w:r>
      <w:r>
        <w:t xml:space="preserve"> </w:t>
      </w:r>
      <w:r w:rsidRPr="005D65CE">
        <w:t xml:space="preserve">de la Convention les cas suivants: </w:t>
      </w:r>
    </w:p>
    <w:p w:rsidR="002D42EF" w:rsidRPr="005D65CE" w:rsidRDefault="002D42EF" w:rsidP="002D42EF">
      <w:pPr>
        <w:pStyle w:val="Bullet1G"/>
        <w:numPr>
          <w:ilvl w:val="0"/>
          <w:numId w:val="1"/>
        </w:numPr>
      </w:pPr>
      <w:r w:rsidRPr="005D65CE">
        <w:t>La détention à long terme de</w:t>
      </w:r>
      <w:r>
        <w:t>s</w:t>
      </w:r>
      <w:r w:rsidRPr="005D65CE">
        <w:t xml:space="preserve"> demandeurs d’asile pendant l’examen de leur demande;</w:t>
      </w:r>
    </w:p>
    <w:p w:rsidR="002D42EF" w:rsidRPr="005D65CE" w:rsidRDefault="002D42EF" w:rsidP="002D42EF">
      <w:pPr>
        <w:pStyle w:val="Bullet1G"/>
        <w:numPr>
          <w:ilvl w:val="0"/>
          <w:numId w:val="1"/>
        </w:numPr>
      </w:pPr>
      <w:r w:rsidRPr="005D65CE">
        <w:t>La détention dans une cellule pendant vingt-deux heures par jour sans aucune activité pour occuper le prisonnier. L’absence d’installation séparée pour les hommes, les femmes et les enfants en détention;</w:t>
      </w:r>
    </w:p>
    <w:p w:rsidR="002D42EF" w:rsidRPr="005D65CE" w:rsidRDefault="002D42EF" w:rsidP="002D42EF">
      <w:pPr>
        <w:pStyle w:val="Bullet1G"/>
        <w:numPr>
          <w:ilvl w:val="0"/>
          <w:numId w:val="1"/>
        </w:numPr>
      </w:pPr>
      <w:r w:rsidRPr="005D65CE">
        <w:t>Les cas signalés de bizutage suivi de lésions auto-infligées et de suicides dans les forces armées;</w:t>
      </w:r>
    </w:p>
    <w:p w:rsidR="002D42EF" w:rsidRPr="005D65CE" w:rsidRDefault="002D42EF" w:rsidP="002D42EF">
      <w:pPr>
        <w:pStyle w:val="Bullet1G"/>
        <w:numPr>
          <w:ilvl w:val="0"/>
          <w:numId w:val="1"/>
        </w:numPr>
      </w:pPr>
      <w:r w:rsidRPr="005D65CE">
        <w:t>L’usage abusif par les forces de l’ordre d’armes chimiques, irritantes, incapacitantes ou mécaniques dans le cadre d’opérations de contrôle de</w:t>
      </w:r>
      <w:r>
        <w:t>s</w:t>
      </w:r>
      <w:r w:rsidRPr="005D65CE">
        <w:t xml:space="preserve"> foule</w:t>
      </w:r>
      <w:r>
        <w:t>s</w:t>
      </w:r>
      <w:r w:rsidRPr="005D65CE">
        <w:t>;</w:t>
      </w:r>
    </w:p>
    <w:p w:rsidR="002D42EF" w:rsidRPr="005D65CE" w:rsidRDefault="002D42EF" w:rsidP="002D42EF">
      <w:pPr>
        <w:pStyle w:val="Bullet1G"/>
        <w:numPr>
          <w:ilvl w:val="0"/>
          <w:numId w:val="1"/>
        </w:numPr>
      </w:pPr>
      <w:r w:rsidRPr="005D65CE">
        <w:t>Les représailles, intimidations et menaces dont seraient victimes les personnes qui dénoncent des actes de torture et des mauvais traitements;</w:t>
      </w:r>
    </w:p>
    <w:p w:rsidR="002D42EF" w:rsidRPr="005D65CE" w:rsidRDefault="002D42EF" w:rsidP="002D42EF">
      <w:pPr>
        <w:pStyle w:val="Bullet1G"/>
        <w:numPr>
          <w:ilvl w:val="0"/>
          <w:numId w:val="1"/>
        </w:numPr>
      </w:pPr>
      <w:r w:rsidRPr="005D65CE">
        <w:t>Le paiement par les prisonniers d’une partie des dépenses liées à leur emprisonnement;</w:t>
      </w:r>
    </w:p>
    <w:p w:rsidR="002D42EF" w:rsidRPr="005D65CE" w:rsidRDefault="002D42EF" w:rsidP="002D42EF">
      <w:pPr>
        <w:pStyle w:val="Bullet1G"/>
        <w:numPr>
          <w:ilvl w:val="0"/>
          <w:numId w:val="1"/>
        </w:numPr>
      </w:pPr>
      <w:r w:rsidRPr="005D65CE">
        <w:t>Le port de cagoules ou de masques par les agents effectuant une expulsion forcée.</w:t>
      </w:r>
    </w:p>
    <w:p w:rsidR="002D42EF" w:rsidRPr="005D65CE" w:rsidRDefault="002D42EF" w:rsidP="002D42EF">
      <w:pPr>
        <w:pStyle w:val="SingleTxtG"/>
      </w:pPr>
      <w:r w:rsidRPr="005D65CE">
        <w:t>21</w:t>
      </w:r>
      <w:r>
        <w:t>2</w:t>
      </w:r>
      <w:r w:rsidRPr="005D65CE">
        <w:t>.</w:t>
      </w:r>
      <w:r w:rsidRPr="005D65CE">
        <w:tab/>
        <w:t xml:space="preserve">Dans l’affaire </w:t>
      </w:r>
      <w:proofErr w:type="spellStart"/>
      <w:r w:rsidRPr="004B57BA">
        <w:rPr>
          <w:i/>
          <w:iCs/>
        </w:rPr>
        <w:t>Dzemajl</w:t>
      </w:r>
      <w:proofErr w:type="spellEnd"/>
      <w:r w:rsidRPr="004B57BA">
        <w:rPr>
          <w:i/>
          <w:iCs/>
        </w:rPr>
        <w:t xml:space="preserve"> et al </w:t>
      </w:r>
      <w:r w:rsidRPr="004B57BA">
        <w:rPr>
          <w:iCs/>
        </w:rPr>
        <w:t>c.</w:t>
      </w:r>
      <w:r w:rsidRPr="004B57BA">
        <w:rPr>
          <w:i/>
          <w:iCs/>
        </w:rPr>
        <w:t xml:space="preserve"> Yougoslavie </w:t>
      </w:r>
      <w:r w:rsidRPr="004B57BA">
        <w:t>(CAT 161/00),</w:t>
      </w:r>
      <w:r w:rsidRPr="005D65CE">
        <w:t xml:space="preserve"> le Comité a conclu que l’incendie et la destruction des maisons et des biens des requérants constituaient un traitement cruel, inhumain ou dégradant. Dans cette affaire, des facteurs avaient aggravé la situation compte tenu du fait que certains requérants étaient présents au moment où le camp </w:t>
      </w:r>
      <w:r>
        <w:t>était</w:t>
      </w:r>
      <w:r w:rsidRPr="005D65CE">
        <w:t xml:space="preserve"> rasé, et du caractère hautement racial de ces attaques.</w:t>
      </w:r>
    </w:p>
    <w:p w:rsidR="002D42EF" w:rsidRPr="005D65CE" w:rsidRDefault="002D42EF" w:rsidP="002D42EF">
      <w:pPr>
        <w:pStyle w:val="SingleTxtG"/>
      </w:pPr>
      <w:r w:rsidRPr="005D65CE">
        <w:t>21</w:t>
      </w:r>
      <w:r>
        <w:t>3</w:t>
      </w:r>
      <w:r w:rsidRPr="005D65CE">
        <w:t>.</w:t>
      </w:r>
      <w:r w:rsidRPr="005D65CE">
        <w:tab/>
        <w:t xml:space="preserve">Dans l’affaire </w:t>
      </w:r>
      <w:proofErr w:type="spellStart"/>
      <w:r w:rsidRPr="004B57BA">
        <w:rPr>
          <w:i/>
          <w:iCs/>
        </w:rPr>
        <w:t>Agiza</w:t>
      </w:r>
      <w:proofErr w:type="spellEnd"/>
      <w:r w:rsidRPr="004B57BA">
        <w:rPr>
          <w:i/>
          <w:iCs/>
        </w:rPr>
        <w:t xml:space="preserve"> </w:t>
      </w:r>
      <w:r w:rsidRPr="004B57BA">
        <w:rPr>
          <w:iCs/>
        </w:rPr>
        <w:t>c.</w:t>
      </w:r>
      <w:r w:rsidRPr="004B57BA">
        <w:rPr>
          <w:i/>
          <w:iCs/>
        </w:rPr>
        <w:t xml:space="preserve"> Suède </w:t>
      </w:r>
      <w:r w:rsidRPr="004B57BA">
        <w:t>(CAT 233/2003),</w:t>
      </w:r>
      <w:r w:rsidRPr="005D65CE">
        <w:t xml:space="preserve"> le Comité a conclu que le requérant avait subi des violations de ses droits au titre de l’article 16 lors de son voyage forcé depuis la Suède vers l’Égypte avec des agents américains. Lorsqu’il avait été conduit à l’avion, il avait la tête recouverte d’une cagoule, il avait été fouillé, il avait les pieds et les mains liés et attachés à un harnais.</w:t>
      </w:r>
    </w:p>
    <w:p w:rsidR="002D42EF" w:rsidRPr="005D65CE" w:rsidRDefault="002D42EF" w:rsidP="002D42EF">
      <w:pPr>
        <w:pStyle w:val="SingleTxtG"/>
      </w:pPr>
      <w:r w:rsidRPr="005D65CE">
        <w:t>21</w:t>
      </w:r>
      <w:r>
        <w:t>4</w:t>
      </w:r>
      <w:r w:rsidRPr="005D65CE">
        <w:t>.</w:t>
      </w:r>
      <w:r w:rsidRPr="005D65CE">
        <w:tab/>
        <w:t xml:space="preserve">Pour le Comité des </w:t>
      </w:r>
      <w:r>
        <w:t>droit</w:t>
      </w:r>
      <w:r w:rsidRPr="005D65CE">
        <w:t>s de l’</w:t>
      </w:r>
      <w:r>
        <w:t>homme</w:t>
      </w:r>
      <w:r w:rsidRPr="005D65CE">
        <w:t xml:space="preserve">, les éléments suivants constituent un traitement cruel et inhumain ou dégradant: </w:t>
      </w:r>
    </w:p>
    <w:p w:rsidR="002D42EF" w:rsidRPr="005D65CE" w:rsidRDefault="002D42EF" w:rsidP="002D42EF">
      <w:pPr>
        <w:pStyle w:val="Bullet1G"/>
        <w:numPr>
          <w:ilvl w:val="0"/>
          <w:numId w:val="1"/>
        </w:numPr>
      </w:pPr>
      <w:r w:rsidRPr="005D65CE">
        <w:t>La victime a été battue jusqu’à perdre connaissance, a fait l’objet de simulation d’exécution et on lui a dénié l’accès aux soins médicaux appropriés;</w:t>
      </w:r>
    </w:p>
    <w:p w:rsidR="002D42EF" w:rsidRPr="005D65CE" w:rsidRDefault="002D42EF" w:rsidP="002D42EF">
      <w:pPr>
        <w:pStyle w:val="Bullet1G"/>
        <w:numPr>
          <w:ilvl w:val="0"/>
          <w:numId w:val="1"/>
        </w:numPr>
      </w:pPr>
      <w:r w:rsidRPr="005D65CE">
        <w:t>La victime a été rouée de coups avec une matraque, un tube en fer et des gourdins et n’a pas bénéficié de soins médicaux pour soigner ses blessures;</w:t>
      </w:r>
    </w:p>
    <w:p w:rsidR="002D42EF" w:rsidRPr="005D65CE" w:rsidRDefault="002D42EF" w:rsidP="002D42EF">
      <w:pPr>
        <w:pStyle w:val="Bullet1G"/>
        <w:numPr>
          <w:ilvl w:val="0"/>
          <w:numId w:val="1"/>
        </w:numPr>
      </w:pPr>
      <w:r w:rsidRPr="005D65CE">
        <w:t>La victime a été rouée de coups par les gardiens de prison qui l’ont menacée de mort;</w:t>
      </w:r>
    </w:p>
    <w:p w:rsidR="002D42EF" w:rsidRPr="005D65CE" w:rsidRDefault="002D42EF" w:rsidP="002D42EF">
      <w:pPr>
        <w:pStyle w:val="Bullet1G"/>
        <w:numPr>
          <w:ilvl w:val="0"/>
          <w:numId w:val="1"/>
        </w:numPr>
      </w:pPr>
      <w:r w:rsidRPr="005D65CE">
        <w:t>La victime a été incarcérée dans une cellule pendant 23 heures par jour, sans matelas ni lit, sans sanitaires, sans lumière naturelle, sans occupation d’aucune sorte, sans nourriture décente ni soins médicaux appropriés.</w:t>
      </w:r>
    </w:p>
    <w:p w:rsidR="002D42EF" w:rsidRPr="005D65CE" w:rsidRDefault="002D42EF" w:rsidP="002D42EF">
      <w:pPr>
        <w:pStyle w:val="SingleTxtG"/>
      </w:pPr>
      <w:r w:rsidRPr="005D65CE">
        <w:t>21</w:t>
      </w:r>
      <w:r>
        <w:t>5</w:t>
      </w:r>
      <w:r w:rsidRPr="005D65CE">
        <w:t>.</w:t>
      </w:r>
      <w:r w:rsidRPr="005D65CE">
        <w:tab/>
        <w:t>Au niveau national, la tenue d’ateliers de simulation et de jeux de rôle inspirés des jurisprudences ci-dessus mentionnées a pour objectif</w:t>
      </w:r>
      <w:r>
        <w:t xml:space="preserve"> </w:t>
      </w:r>
      <w:r w:rsidRPr="005D65CE">
        <w:t xml:space="preserve">l’appropriation par les responsables de l’application de la loi des critères de détermination des actes constitutifs de </w:t>
      </w:r>
      <w:r>
        <w:t xml:space="preserve">la </w:t>
      </w:r>
      <w:r w:rsidRPr="005D65CE">
        <w:t>torture et de</w:t>
      </w:r>
      <w:r>
        <w:t xml:space="preserve">s </w:t>
      </w:r>
      <w:r w:rsidRPr="005D65CE">
        <w:t>mauvais traitements.</w:t>
      </w:r>
    </w:p>
    <w:p w:rsidR="002D42EF" w:rsidRPr="005D65CE" w:rsidRDefault="002D42EF" w:rsidP="002D42EF">
      <w:pPr>
        <w:pStyle w:val="H23G"/>
        <w:numPr>
          <w:ilvl w:val="2"/>
          <w:numId w:val="10"/>
        </w:numPr>
      </w:pPr>
      <w:r w:rsidRPr="005D65CE">
        <w:t>Conditions de vie dans les centres de détention de la police et des prisons</w:t>
      </w:r>
    </w:p>
    <w:p w:rsidR="002D42EF" w:rsidRPr="005D65CE" w:rsidRDefault="002D42EF" w:rsidP="002D42EF">
      <w:pPr>
        <w:pStyle w:val="SingleTxtG"/>
        <w:ind w:left="1701"/>
        <w:outlineLvl w:val="0"/>
        <w:rPr>
          <w:b/>
        </w:rPr>
      </w:pPr>
      <w:r w:rsidRPr="005D65CE">
        <w:rPr>
          <w:b/>
        </w:rPr>
        <w:t xml:space="preserve">Conditions de vie dans les locaux de garde à vue de la police </w:t>
      </w:r>
    </w:p>
    <w:p w:rsidR="002D42EF" w:rsidRPr="005D65CE" w:rsidRDefault="002D42EF" w:rsidP="002D42EF">
      <w:pPr>
        <w:pStyle w:val="SingleTxtG"/>
      </w:pPr>
      <w:r w:rsidRPr="005D65CE">
        <w:t>21</w:t>
      </w:r>
      <w:r>
        <w:t>6</w:t>
      </w:r>
      <w:r w:rsidRPr="005D65CE">
        <w:t>.</w:t>
      </w:r>
      <w:r w:rsidRPr="005D65CE">
        <w:tab/>
        <w:t>Une personne suspectée d’avoir commis une infraction pénale peut être placée en garde à vue suivant la gravité des faits reprochés.</w:t>
      </w:r>
    </w:p>
    <w:p w:rsidR="002D42EF" w:rsidRPr="005D65CE" w:rsidRDefault="002D42EF" w:rsidP="002D42EF">
      <w:pPr>
        <w:pStyle w:val="SingleTxtG"/>
      </w:pPr>
      <w:r w:rsidRPr="005D65CE">
        <w:t>21</w:t>
      </w:r>
      <w:r>
        <w:t>7</w:t>
      </w:r>
      <w:r w:rsidRPr="005D65CE">
        <w:t>.</w:t>
      </w:r>
      <w:r w:rsidRPr="005D65CE">
        <w:tab/>
      </w:r>
      <w:r>
        <w:t>É</w:t>
      </w:r>
      <w:r w:rsidRPr="005D65CE">
        <w:t>ventuellement, dès le début de la garde à vue, la personne arrêtée peut faire l’objet d’un examen médical soit à sa demande, soit à celle de son conseil ou</w:t>
      </w:r>
      <w:r>
        <w:t xml:space="preserve"> </w:t>
      </w:r>
      <w:r w:rsidRPr="005D65CE">
        <w:t xml:space="preserve">sur l’initiative de l’Officier de Police Judiciaire en charge de l’enquête. Le Procureur de la République ou le magistrat qui le représente agissant soit d’office soit à la requête d’un membre de la famille pourra désigner un médecin qui examinera la personne gardée à vue et lui en fera rapport (article 138 </w:t>
      </w:r>
      <w:r w:rsidRPr="00EF7266">
        <w:rPr>
          <w:i/>
        </w:rPr>
        <w:t>bis</w:t>
      </w:r>
      <w:r w:rsidRPr="00D50F96">
        <w:rPr>
          <w:sz w:val="18"/>
          <w:szCs w:val="18"/>
          <w:vertAlign w:val="superscript"/>
        </w:rPr>
        <w:footnoteReference w:id="9"/>
      </w:r>
      <w:r w:rsidRPr="005D65CE">
        <w:t>).</w:t>
      </w:r>
    </w:p>
    <w:p w:rsidR="002D42EF" w:rsidRPr="005D65CE" w:rsidRDefault="002D42EF" w:rsidP="002D42EF">
      <w:pPr>
        <w:pStyle w:val="SingleTxtG"/>
      </w:pPr>
      <w:r w:rsidRPr="005D65CE">
        <w:t>21</w:t>
      </w:r>
      <w:r>
        <w:t>8</w:t>
      </w:r>
      <w:r w:rsidRPr="005D65CE">
        <w:t>.</w:t>
      </w:r>
      <w:r w:rsidRPr="005D65CE">
        <w:tab/>
        <w:t xml:space="preserve">Afin d’éviter tout risque de détention secrète, une personne placée en garde à vue doit faire systématiquement l’objet d’un enregistrement sur un registre dressé à cet effet et mentionnant le jour, la date, l’heure de l’entrée et de la libération avec indication du motif de la garde à vue et </w:t>
      </w:r>
      <w:r>
        <w:t>du</w:t>
      </w:r>
      <w:r w:rsidRPr="005D65CE">
        <w:t xml:space="preserve"> nom de l’Officier de Police Judiciaire en charge de l’enquête. Ces éléments sont reportés sur le procès</w:t>
      </w:r>
      <w:r>
        <w:t>-</w:t>
      </w:r>
      <w:r w:rsidRPr="005D65CE">
        <w:t xml:space="preserve">verbal d’enquête. </w:t>
      </w:r>
    </w:p>
    <w:p w:rsidR="002D42EF" w:rsidRPr="005D65CE" w:rsidRDefault="002D42EF" w:rsidP="002D42EF">
      <w:pPr>
        <w:pStyle w:val="SingleTxtG"/>
      </w:pPr>
      <w:r w:rsidRPr="005D65CE">
        <w:t>21</w:t>
      </w:r>
      <w:r>
        <w:t>9</w:t>
      </w:r>
      <w:r w:rsidRPr="005D65CE">
        <w:t>.</w:t>
      </w:r>
      <w:r w:rsidRPr="005D65CE">
        <w:tab/>
        <w:t>En cas de pl</w:t>
      </w:r>
      <w:r w:rsidRPr="005D65CE">
        <w:rPr>
          <w:b/>
        </w:rPr>
        <w:t>a</w:t>
      </w:r>
      <w:r w:rsidRPr="005D65CE">
        <w:t xml:space="preserve">cement en garde à vue dans un local </w:t>
      </w:r>
      <w:r w:rsidRPr="00041EAB">
        <w:t>de l</w:t>
      </w:r>
      <w:r w:rsidRPr="005D65CE">
        <w:t xml:space="preserve">a police, </w:t>
      </w:r>
      <w:r>
        <w:t>la</w:t>
      </w:r>
      <w:r w:rsidRPr="005D65CE">
        <w:t xml:space="preserve"> personne ne peut être détenue au-delà de la durée fixée par la loi. Ce délai est de 48 heures selon l’article 136</w:t>
      </w:r>
      <w:r w:rsidRPr="005D65CE">
        <w:rPr>
          <w:vertAlign w:val="superscript"/>
        </w:rPr>
        <w:footnoteReference w:id="10"/>
      </w:r>
      <w:r w:rsidRPr="005D65CE">
        <w:t xml:space="preserve"> du Code de Procédure Pénale sauf pour les exceptions visées aux articles 137 et 138 dudit Code. </w:t>
      </w:r>
    </w:p>
    <w:p w:rsidR="002D42EF" w:rsidRPr="005D65CE" w:rsidRDefault="002D42EF" w:rsidP="002D42EF">
      <w:pPr>
        <w:pStyle w:val="SingleTxtG"/>
      </w:pPr>
      <w:r>
        <w:t>220</w:t>
      </w:r>
      <w:r w:rsidRPr="005D65CE">
        <w:t>.</w:t>
      </w:r>
      <w:r>
        <w:t xml:space="preserve"> </w:t>
      </w:r>
      <w:r>
        <w:tab/>
      </w:r>
      <w:r w:rsidRPr="005D65CE">
        <w:t xml:space="preserve">La personne gardée à vue a droit à </w:t>
      </w:r>
      <w:r>
        <w:t xml:space="preserve">de </w:t>
      </w:r>
      <w:r w:rsidRPr="005D65CE">
        <w:t>la nourriture. Le local de garde à vue est pourvu de toilettes, d</w:t>
      </w:r>
      <w:r>
        <w:t>’un</w:t>
      </w:r>
      <w:r w:rsidRPr="005D65CE">
        <w:t xml:space="preserve"> banc, de lumière et d’aération.</w:t>
      </w:r>
      <w:r>
        <w:t xml:space="preserve"> </w:t>
      </w:r>
      <w:r w:rsidRPr="005D65CE">
        <w:t xml:space="preserve">Elle a le droit de communiquer librement avec son conseil. </w:t>
      </w:r>
    </w:p>
    <w:p w:rsidR="002D42EF" w:rsidRPr="005D65CE" w:rsidRDefault="002D42EF" w:rsidP="002D42EF">
      <w:pPr>
        <w:pStyle w:val="SingleTxtG"/>
      </w:pPr>
      <w:r w:rsidRPr="005D65CE">
        <w:t>2</w:t>
      </w:r>
      <w:r>
        <w:t>2</w:t>
      </w:r>
      <w:r w:rsidRPr="005D65CE">
        <w:t>1.</w:t>
      </w:r>
      <w:r w:rsidRPr="005D65CE">
        <w:tab/>
        <w:t xml:space="preserve">Quelquefois, la capacité d’accueil du local n’est pas respectée </w:t>
      </w:r>
      <w:r>
        <w:t>dans le</w:t>
      </w:r>
      <w:r w:rsidRPr="005D65CE">
        <w:t xml:space="preserve"> cas d</w:t>
      </w:r>
      <w:r>
        <w:t xml:space="preserve">es </w:t>
      </w:r>
      <w:r w:rsidRPr="005D65CE">
        <w:t>arrestation</w:t>
      </w:r>
      <w:r>
        <w:t>s</w:t>
      </w:r>
      <w:r w:rsidRPr="005D65CE">
        <w:t xml:space="preserve"> massive</w:t>
      </w:r>
      <w:r>
        <w:t>s</w:t>
      </w:r>
      <w:r w:rsidRPr="005D65CE">
        <w:t xml:space="preserve">. </w:t>
      </w:r>
    </w:p>
    <w:p w:rsidR="002D42EF" w:rsidRPr="005D65CE" w:rsidRDefault="002D42EF" w:rsidP="002D42EF">
      <w:pPr>
        <w:pStyle w:val="SingleTxtG"/>
      </w:pPr>
      <w:r w:rsidRPr="005D65CE">
        <w:t>22</w:t>
      </w:r>
      <w:r>
        <w:t>2</w:t>
      </w:r>
      <w:r w:rsidRPr="005D65CE">
        <w:t>.</w:t>
      </w:r>
      <w:r w:rsidRPr="005D65CE">
        <w:tab/>
        <w:t xml:space="preserve">Les hommes et les femmes ne sont pas gardés à vue dans un même et seul local. </w:t>
      </w:r>
    </w:p>
    <w:p w:rsidR="002D42EF" w:rsidRPr="005D65CE" w:rsidRDefault="002D42EF" w:rsidP="002D42EF">
      <w:pPr>
        <w:pStyle w:val="SingleTxtG"/>
        <w:keepNext/>
        <w:ind w:left="1701"/>
        <w:outlineLvl w:val="0"/>
        <w:rPr>
          <w:b/>
        </w:rPr>
      </w:pPr>
      <w:r w:rsidRPr="005D65CE">
        <w:rPr>
          <w:b/>
        </w:rPr>
        <w:t xml:space="preserve">Conditions de vie dans les prisons </w:t>
      </w:r>
    </w:p>
    <w:p w:rsidR="002D42EF" w:rsidRPr="005D65CE" w:rsidRDefault="002D42EF" w:rsidP="002D42EF">
      <w:pPr>
        <w:pStyle w:val="SingleTxtG"/>
      </w:pPr>
      <w:r w:rsidRPr="005D65CE">
        <w:t>22</w:t>
      </w:r>
      <w:r>
        <w:t>3</w:t>
      </w:r>
      <w:r w:rsidRPr="005D65CE">
        <w:t>.</w:t>
      </w:r>
      <w:r w:rsidRPr="005D65CE">
        <w:tab/>
        <w:t xml:space="preserve">Afin d’éviter toute détention arbitraire, les conditions d’admission </w:t>
      </w:r>
      <w:r>
        <w:t>en</w:t>
      </w:r>
      <w:r w:rsidRPr="005D65CE">
        <w:t xml:space="preserve"> centre de détention sont réglementées par les articles 558 et 559 du Code de Procédure Pénale. L’inobservation de ces dispositions expose son auteur à des poursuites disciplinaires et/ou pénales. </w:t>
      </w:r>
    </w:p>
    <w:p w:rsidR="002D42EF" w:rsidRPr="005D65CE" w:rsidRDefault="002D42EF" w:rsidP="002D42EF">
      <w:pPr>
        <w:pStyle w:val="SingleTxtG"/>
        <w:rPr>
          <w:i/>
        </w:rPr>
      </w:pPr>
      <w:r w:rsidRPr="005D65CE">
        <w:t>22</w:t>
      </w:r>
      <w:r>
        <w:t>4</w:t>
      </w:r>
      <w:r w:rsidRPr="005D65CE">
        <w:t>.</w:t>
      </w:r>
      <w:r w:rsidRPr="005D65CE">
        <w:tab/>
        <w:t xml:space="preserve">Suivant l’article 558 du Code de Procédure Pénale, </w:t>
      </w:r>
      <w:r w:rsidRPr="00AF00EA">
        <w:t>«</w:t>
      </w:r>
      <w:r w:rsidRPr="005D65CE">
        <w:rPr>
          <w:i/>
        </w:rPr>
        <w:t>Nul agent de l’administration pénitentiaire ne peut, à peine d’être poursuivi ou puni comme coupable de détention arbitraire, recevoir ni retenir aucune personne si ce n’est en vertu d’un arrêt ou jugement de condamnation, d’une ordonnance de prise de corps, d’un mandat de dépôt, d’arrêt ou d’amener, lorsque ce dernier doit être suivi d’incarcération provisoire ou d’un billet d’écrou, et sans que l’inscrip</w:t>
      </w:r>
      <w:r>
        <w:rPr>
          <w:i/>
        </w:rPr>
        <w:t xml:space="preserve">tion sur le registre d’écrou (…) </w:t>
      </w:r>
      <w:r w:rsidRPr="005D65CE">
        <w:rPr>
          <w:i/>
        </w:rPr>
        <w:t>ait été faite</w:t>
      </w:r>
      <w:r>
        <w:rPr>
          <w:i/>
        </w:rPr>
        <w:t>.</w:t>
      </w:r>
      <w:r w:rsidRPr="00AF00EA">
        <w:t>»</w:t>
      </w:r>
      <w:r w:rsidRPr="005D65CE">
        <w:rPr>
          <w:i/>
        </w:rPr>
        <w:t xml:space="preserve"> </w:t>
      </w:r>
    </w:p>
    <w:p w:rsidR="002D42EF" w:rsidRPr="005D65CE" w:rsidRDefault="002D42EF" w:rsidP="002D42EF">
      <w:pPr>
        <w:pStyle w:val="SingleTxtG"/>
      </w:pPr>
      <w:r w:rsidRPr="005D65CE">
        <w:t>22</w:t>
      </w:r>
      <w:r>
        <w:t>5</w:t>
      </w:r>
      <w:r w:rsidRPr="005D65CE">
        <w:t>.</w:t>
      </w:r>
      <w:r w:rsidRPr="005D65CE">
        <w:tab/>
        <w:t xml:space="preserve">Suivant l’article 559, </w:t>
      </w:r>
      <w:r w:rsidRPr="00AF00EA">
        <w:t>«</w:t>
      </w:r>
      <w:r w:rsidRPr="005D65CE">
        <w:rPr>
          <w:i/>
        </w:rPr>
        <w:t>Tout magistrat ou officier du ministère public, tout juge d’instruction auquel est dénoncée la détention irrégulière d’une personne dans un établissement pénitentiaire est tenu de procéder sur-le-champ aux vérifications nécessaires. Tout agent de l’administration pénitentiaire qui en est requis par un magistrat ou un officier du ministère public, ou un juge d’instruction, ou un officier de police judiciaire délégué par ceux-ci, est tenu d’exhiber au requérant ses registres, de lui laisser prendre copie de telle partie de ceux-ci qu’il estimera nécessaire, de lui montrer la personne du détenu ou de lui présenter l’ordre qui le lui défend. Tout agent qui refuse d’exécuter les prescriptions qui préc</w:t>
      </w:r>
      <w:r>
        <w:rPr>
          <w:i/>
        </w:rPr>
        <w:t>è</w:t>
      </w:r>
      <w:r w:rsidRPr="005D65CE">
        <w:rPr>
          <w:i/>
        </w:rPr>
        <w:t>dent peut être poursuivi comme coupable ou complice de détention arbitraire</w:t>
      </w:r>
      <w:r>
        <w:rPr>
          <w:i/>
        </w:rPr>
        <w:t>.</w:t>
      </w:r>
      <w:r w:rsidRPr="005D65CE">
        <w:t>»</w:t>
      </w:r>
    </w:p>
    <w:p w:rsidR="002D42EF" w:rsidRPr="005D65CE" w:rsidRDefault="002D42EF" w:rsidP="002D42EF">
      <w:pPr>
        <w:pStyle w:val="SingleTxtG"/>
      </w:pPr>
      <w:r w:rsidRPr="005D65CE">
        <w:t>22</w:t>
      </w:r>
      <w:r>
        <w:t>6</w:t>
      </w:r>
      <w:r w:rsidRPr="005D65CE">
        <w:t>.</w:t>
      </w:r>
      <w:r w:rsidRPr="005D65CE">
        <w:tab/>
        <w:t xml:space="preserve">Afin d’éviter une détention excessive ou arbitraire, la loi </w:t>
      </w:r>
      <w:r w:rsidRPr="00C14D2A">
        <w:t>n</w:t>
      </w:r>
      <w:r w:rsidRPr="00C14D2A">
        <w:rPr>
          <w:vertAlign w:val="superscript"/>
        </w:rPr>
        <w:t>o</w:t>
      </w:r>
      <w:r>
        <w:t xml:space="preserve"> </w:t>
      </w:r>
      <w:r w:rsidRPr="005D65CE">
        <w:t>2007-021 du 30 juillet 2007 modifiant et complétant certaines dispositions du Code de Procédure Pénal</w:t>
      </w:r>
      <w:r>
        <w:t>e</w:t>
      </w:r>
      <w:r w:rsidRPr="005D65CE">
        <w:t xml:space="preserve"> relative</w:t>
      </w:r>
      <w:r>
        <w:t>s</w:t>
      </w:r>
      <w:r w:rsidRPr="005D65CE">
        <w:t xml:space="preserve"> à la détention préventive et portant limitation de la durée de celle-ci vient renforcer les dispositions ci-dessus mentionnées. </w:t>
      </w:r>
    </w:p>
    <w:p w:rsidR="002D42EF" w:rsidRPr="005D65CE" w:rsidRDefault="002D42EF" w:rsidP="002D42EF">
      <w:pPr>
        <w:pStyle w:val="SingleTxtG"/>
      </w:pPr>
      <w:r w:rsidRPr="005D65CE">
        <w:t>22</w:t>
      </w:r>
      <w:r>
        <w:t>7</w:t>
      </w:r>
      <w:r w:rsidRPr="005D65CE">
        <w:t>.</w:t>
      </w:r>
      <w:r w:rsidRPr="005D65CE">
        <w:tab/>
        <w:t xml:space="preserve">Pendant leur détention, les détenus peuvent adresser des plaintes ou </w:t>
      </w:r>
      <w:r>
        <w:t xml:space="preserve">des </w:t>
      </w:r>
      <w:r w:rsidRPr="005D65CE">
        <w:t xml:space="preserve">réclamations </w:t>
      </w:r>
      <w:r>
        <w:t>aux</w:t>
      </w:r>
      <w:r w:rsidRPr="005D65CE">
        <w:t xml:space="preserve"> autorités judiciaires ou </w:t>
      </w:r>
      <w:r>
        <w:t>aux</w:t>
      </w:r>
      <w:r w:rsidRPr="005D65CE">
        <w:t xml:space="preserve"> responsables pénitentiaires</w:t>
      </w:r>
      <w:r>
        <w:t>, notamment</w:t>
      </w:r>
      <w:r w:rsidRPr="005D65CE">
        <w:t xml:space="preserve"> </w:t>
      </w:r>
      <w:r w:rsidRPr="005C6015">
        <w:t>le</w:t>
      </w:r>
      <w:r w:rsidRPr="005D65CE">
        <w:t xml:space="preserve"> Procureur de la République, le juge d’instruction</w:t>
      </w:r>
      <w:r>
        <w:t xml:space="preserve"> et</w:t>
      </w:r>
      <w:r w:rsidRPr="005D65CE">
        <w:t xml:space="preserve"> le chef d’établissement pénitentiaire. </w:t>
      </w:r>
    </w:p>
    <w:p w:rsidR="002D42EF" w:rsidRPr="005D65CE" w:rsidRDefault="002D42EF" w:rsidP="002D42EF">
      <w:pPr>
        <w:pStyle w:val="SingleTxtG"/>
        <w:rPr>
          <w:iCs/>
        </w:rPr>
      </w:pPr>
      <w:r w:rsidRPr="005D65CE">
        <w:t>22</w:t>
      </w:r>
      <w:r>
        <w:t>8</w:t>
      </w:r>
      <w:r w:rsidRPr="005D65CE">
        <w:t>.</w:t>
      </w:r>
      <w:r w:rsidRPr="005D65CE">
        <w:tab/>
        <w:t xml:space="preserve">Conformément aux prescriptions de l’article 28 du décret </w:t>
      </w:r>
      <w:r w:rsidRPr="00C14D2A">
        <w:t>n</w:t>
      </w:r>
      <w:r w:rsidRPr="00C14D2A">
        <w:rPr>
          <w:vertAlign w:val="superscript"/>
        </w:rPr>
        <w:t>o</w:t>
      </w:r>
      <w:r>
        <w:t xml:space="preserve"> </w:t>
      </w:r>
      <w:r w:rsidRPr="005D65CE">
        <w:t xml:space="preserve">2006- 015 portant </w:t>
      </w:r>
      <w:r w:rsidRPr="005C6015">
        <w:t>organisation générale de l’</w:t>
      </w:r>
      <w:r>
        <w:t>A</w:t>
      </w:r>
      <w:r w:rsidRPr="005C6015">
        <w:t xml:space="preserve">dministration pénitentiaire, </w:t>
      </w:r>
      <w:r w:rsidRPr="005C6015">
        <w:rPr>
          <w:iCs/>
        </w:rPr>
        <w:t>les hommes</w:t>
      </w:r>
      <w:r w:rsidRPr="005D65CE">
        <w:rPr>
          <w:iCs/>
        </w:rPr>
        <w:t xml:space="preserve">, les femmes et les mineurs sont incarcérés dans des établissements ou des quartiers distincts. Les personnes détenues sont surveillées par des personnes de leur sexe. Toutes dispositions doivent être prises pour qu’il ne puisse y avoir aucune communication entre les uns et les autres. Par ailleurs, les prévenus doivent être séparés des condamnés. </w:t>
      </w:r>
    </w:p>
    <w:p w:rsidR="002D42EF" w:rsidRPr="005D65CE" w:rsidRDefault="002D42EF" w:rsidP="002D42EF">
      <w:pPr>
        <w:pStyle w:val="SingleTxtG"/>
        <w:rPr>
          <w:bCs/>
          <w:i/>
        </w:rPr>
      </w:pPr>
      <w:r w:rsidRPr="005D65CE">
        <w:t>22</w:t>
      </w:r>
      <w:r>
        <w:t>9</w:t>
      </w:r>
      <w:r w:rsidRPr="005D65CE">
        <w:t>.</w:t>
      </w:r>
      <w:r w:rsidRPr="005D65CE">
        <w:tab/>
        <w:t>En application de</w:t>
      </w:r>
      <w:r>
        <w:t xml:space="preserve"> </w:t>
      </w:r>
      <w:r w:rsidRPr="005D65CE">
        <w:t xml:space="preserve">l’Ordonnance </w:t>
      </w:r>
      <w:r w:rsidRPr="00C14D2A">
        <w:t>n</w:t>
      </w:r>
      <w:r w:rsidRPr="00C14D2A">
        <w:rPr>
          <w:vertAlign w:val="superscript"/>
        </w:rPr>
        <w:t>o</w:t>
      </w:r>
      <w:r>
        <w:t> </w:t>
      </w:r>
      <w:r w:rsidRPr="005D65CE">
        <w:t>62-038 du 19 septembre 1962 fixant l’irresponsabilité pénale des mineurs de 13 ans,</w:t>
      </w:r>
      <w:r>
        <w:t xml:space="preserve"> </w:t>
      </w:r>
      <w:r w:rsidRPr="005D65CE">
        <w:t>les mineurs détenus dans les prisons de Madagascar</w:t>
      </w:r>
      <w:r>
        <w:t xml:space="preserve"> </w:t>
      </w:r>
      <w:r w:rsidRPr="005D65CE">
        <w:t xml:space="preserve">sont âgés entre 14 et 18 ans. </w:t>
      </w:r>
    </w:p>
    <w:p w:rsidR="002D42EF" w:rsidRPr="005D65CE" w:rsidRDefault="002D42EF" w:rsidP="002D42EF">
      <w:pPr>
        <w:pStyle w:val="SingleTxtG"/>
      </w:pPr>
      <w:r w:rsidRPr="005D65CE">
        <w:t>2</w:t>
      </w:r>
      <w:r>
        <w:t>30</w:t>
      </w:r>
      <w:r w:rsidRPr="005D65CE">
        <w:t>.</w:t>
      </w:r>
      <w:r w:rsidRPr="005D65CE">
        <w:tab/>
        <w:t xml:space="preserve">Les mineurs délinquants de moins de 14 ans sont placés dans les Centres de Rééducation et ne sont pas en situation de détention. Par conséquent, lorsque le mineur placé dans un centre de rééducation prend la fuite, il est considéré comme étant en fugue et non en évasion. Il n’est pas </w:t>
      </w:r>
      <w:proofErr w:type="spellStart"/>
      <w:r w:rsidRPr="005D65CE">
        <w:t>poursuivable</w:t>
      </w:r>
      <w:proofErr w:type="spellEnd"/>
      <w:r w:rsidRPr="005D65CE">
        <w:t xml:space="preserve"> et punissable pour</w:t>
      </w:r>
      <w:r>
        <w:t xml:space="preserve"> </w:t>
      </w:r>
      <w:r w:rsidRPr="005D65CE">
        <w:t xml:space="preserve">évasion. </w:t>
      </w:r>
    </w:p>
    <w:p w:rsidR="002D42EF" w:rsidRPr="005D65CE" w:rsidRDefault="002D42EF" w:rsidP="002D42EF">
      <w:pPr>
        <w:pStyle w:val="SingleTxtG"/>
      </w:pPr>
      <w:r w:rsidRPr="005D65CE">
        <w:t>2</w:t>
      </w:r>
      <w:r>
        <w:t>31</w:t>
      </w:r>
      <w:r w:rsidRPr="005D65CE">
        <w:t>.</w:t>
      </w:r>
      <w:r w:rsidRPr="005D65CE">
        <w:tab/>
        <w:t>Dans le cas d’Antananarivo, le Centre d’</w:t>
      </w:r>
      <w:proofErr w:type="spellStart"/>
      <w:r w:rsidRPr="005D65CE">
        <w:t>Anjanamasina</w:t>
      </w:r>
      <w:proofErr w:type="spellEnd"/>
      <w:r>
        <w:t xml:space="preserve"> et</w:t>
      </w:r>
      <w:r w:rsidRPr="005D65CE">
        <w:t xml:space="preserve"> le Centre «</w:t>
      </w:r>
      <w:proofErr w:type="spellStart"/>
      <w:r w:rsidRPr="005D65CE">
        <w:t>Vonjeo</w:t>
      </w:r>
      <w:proofErr w:type="spellEnd"/>
      <w:r w:rsidRPr="005D65CE">
        <w:t xml:space="preserve"> </w:t>
      </w:r>
      <w:proofErr w:type="spellStart"/>
      <w:r w:rsidRPr="005D65CE">
        <w:t>ny</w:t>
      </w:r>
      <w:proofErr w:type="spellEnd"/>
      <w:r w:rsidRPr="005D65CE">
        <w:t xml:space="preserve"> </w:t>
      </w:r>
      <w:proofErr w:type="spellStart"/>
      <w:r w:rsidRPr="005D65CE">
        <w:t>Tanora</w:t>
      </w:r>
      <w:proofErr w:type="spellEnd"/>
      <w:r w:rsidRPr="005D65CE">
        <w:t>» de</w:t>
      </w:r>
      <w:r>
        <w:t xml:space="preserve"> </w:t>
      </w:r>
      <w:proofErr w:type="spellStart"/>
      <w:r w:rsidRPr="005D65CE">
        <w:t>Faravohitra</w:t>
      </w:r>
      <w:proofErr w:type="spellEnd"/>
      <w:r>
        <w:t xml:space="preserve"> </w:t>
      </w:r>
      <w:r w:rsidRPr="005D65CE">
        <w:t>reçoivent</w:t>
      </w:r>
      <w:r>
        <w:t xml:space="preserve"> </w:t>
      </w:r>
      <w:r w:rsidRPr="005D65CE">
        <w:t>les délinquants mineurs d</w:t>
      </w:r>
      <w:r>
        <w:t>e</w:t>
      </w:r>
      <w:r w:rsidRPr="005D65CE">
        <w:t xml:space="preserve"> sexe masculin. </w:t>
      </w:r>
    </w:p>
    <w:p w:rsidR="002D42EF" w:rsidRPr="005D65CE" w:rsidRDefault="002D42EF" w:rsidP="002D42EF">
      <w:pPr>
        <w:pStyle w:val="SingleTxtG"/>
      </w:pPr>
      <w:r w:rsidRPr="005D65CE">
        <w:t>23</w:t>
      </w:r>
      <w:r>
        <w:t>2</w:t>
      </w:r>
      <w:r w:rsidRPr="005D65CE">
        <w:t>.</w:t>
      </w:r>
      <w:r w:rsidRPr="005D65CE">
        <w:tab/>
        <w:t>Les délinquants mineurs d</w:t>
      </w:r>
      <w:r>
        <w:t>e</w:t>
      </w:r>
      <w:r w:rsidRPr="005D65CE">
        <w:t xml:space="preserve"> sexe féminin sont placés dans des Centres privés par ordonnance du juge des enfants, les Centres NY AVOKO</w:t>
      </w:r>
      <w:r>
        <w:t>,</w:t>
      </w:r>
      <w:r w:rsidRPr="005D65CE">
        <w:t xml:space="preserve"> soit à </w:t>
      </w:r>
      <w:proofErr w:type="spellStart"/>
      <w:r w:rsidRPr="005D65CE">
        <w:t>Faravohitra</w:t>
      </w:r>
      <w:proofErr w:type="spellEnd"/>
      <w:r w:rsidRPr="005D65CE">
        <w:t xml:space="preserve"> soit à </w:t>
      </w:r>
      <w:proofErr w:type="spellStart"/>
      <w:r w:rsidRPr="005D65CE">
        <w:t>Ambohidratrimo</w:t>
      </w:r>
      <w:proofErr w:type="spellEnd"/>
      <w:r w:rsidRPr="005D65CE">
        <w:t>.</w:t>
      </w:r>
    </w:p>
    <w:p w:rsidR="002D42EF" w:rsidRPr="005D65CE" w:rsidRDefault="002D42EF" w:rsidP="002D42EF">
      <w:pPr>
        <w:pStyle w:val="SingleTxtG"/>
      </w:pPr>
      <w:r w:rsidRPr="005D65CE">
        <w:t>23</w:t>
      </w:r>
      <w:r>
        <w:t>3</w:t>
      </w:r>
      <w:r w:rsidRPr="005D65CE">
        <w:t>.</w:t>
      </w:r>
      <w:r w:rsidRPr="005D65CE">
        <w:tab/>
        <w:t>Dans les autres villes</w:t>
      </w:r>
      <w:r>
        <w:t>,</w:t>
      </w:r>
      <w:r w:rsidRPr="005D65CE">
        <w:t xml:space="preserve"> telles que Mahajanga, Antsirabe</w:t>
      </w:r>
      <w:r>
        <w:t xml:space="preserve"> ou</w:t>
      </w:r>
      <w:r w:rsidRPr="005D65CE">
        <w:t xml:space="preserve"> Toamasina, des Centres privés accueillent </w:t>
      </w:r>
      <w:r>
        <w:t>l</w:t>
      </w:r>
      <w:r w:rsidRPr="005D65CE">
        <w:t>es délinquants mineurs filles ou garçons.</w:t>
      </w:r>
    </w:p>
    <w:p w:rsidR="002D42EF" w:rsidRPr="005D65CE" w:rsidRDefault="002D42EF" w:rsidP="002D42EF">
      <w:pPr>
        <w:pStyle w:val="SingleTxtG"/>
      </w:pPr>
      <w:r w:rsidRPr="005D65CE">
        <w:t>23</w:t>
      </w:r>
      <w:r>
        <w:t>4</w:t>
      </w:r>
      <w:r w:rsidRPr="005D65CE">
        <w:t>.</w:t>
      </w:r>
      <w:r w:rsidRPr="005D65CE">
        <w:tab/>
      </w:r>
      <w:r>
        <w:t>À</w:t>
      </w:r>
      <w:r w:rsidRPr="005D65CE">
        <w:t xml:space="preserve"> l’instar d’autres pays, Madagascar est confronté aux problèmes engendrés par la surpopulation en milieu carcérale. </w:t>
      </w:r>
    </w:p>
    <w:p w:rsidR="0056533F" w:rsidRDefault="0056533F" w:rsidP="0056533F">
      <w:pPr>
        <w:pStyle w:val="H23G"/>
      </w:pPr>
      <w:r>
        <w:tab/>
      </w:r>
      <w:r>
        <w:tab/>
      </w:r>
      <w:r w:rsidRPr="005D65CE">
        <w:t>Le tableau ci-apr</w:t>
      </w:r>
      <w:r>
        <w:t>ès indique la situation en 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4"/>
        <w:gridCol w:w="1474"/>
        <w:gridCol w:w="1474"/>
        <w:gridCol w:w="1474"/>
        <w:gridCol w:w="1475"/>
      </w:tblGrid>
      <w:tr w:rsidR="0056533F" w:rsidRPr="00192E99" w:rsidTr="0056660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80" w:after="80" w:line="200" w:lineRule="exact"/>
              <w:rPr>
                <w:i/>
                <w:sz w:val="16"/>
              </w:rPr>
            </w:pPr>
            <w:r w:rsidRPr="00192E99">
              <w:rPr>
                <w:bCs/>
                <w:i/>
                <w:sz w:val="16"/>
              </w:rPr>
              <w:t>Catégories</w:t>
            </w:r>
          </w:p>
        </w:t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80" w:after="80" w:line="200" w:lineRule="exact"/>
              <w:jc w:val="right"/>
              <w:rPr>
                <w:i/>
                <w:sz w:val="16"/>
              </w:rPr>
            </w:pPr>
            <w:r w:rsidRPr="00192E99">
              <w:rPr>
                <w:bCs/>
                <w:i/>
                <w:sz w:val="16"/>
              </w:rPr>
              <w:t>Condamnés</w:t>
            </w:r>
          </w:p>
        </w:t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80" w:after="80" w:line="200" w:lineRule="exact"/>
              <w:jc w:val="right"/>
              <w:rPr>
                <w:i/>
                <w:sz w:val="16"/>
              </w:rPr>
            </w:pPr>
            <w:r w:rsidRPr="00192E99">
              <w:rPr>
                <w:bCs/>
                <w:i/>
                <w:sz w:val="16"/>
              </w:rPr>
              <w:t>Prévenus</w:t>
            </w:r>
          </w:p>
        </w:t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80" w:after="80" w:line="200" w:lineRule="exact"/>
              <w:jc w:val="right"/>
              <w:rPr>
                <w:i/>
                <w:sz w:val="16"/>
              </w:rPr>
            </w:pPr>
            <w:r w:rsidRPr="00192E99">
              <w:rPr>
                <w:bCs/>
                <w:i/>
                <w:sz w:val="16"/>
              </w:rPr>
              <w:t>Total</w:t>
            </w:r>
          </w:p>
        </w:tc>
        <w:tc>
          <w:tcPr>
            <w:tcW w:w="1475" w:type="dxa"/>
            <w:tcBorders>
              <w:top w:val="single" w:sz="4" w:space="0" w:color="auto"/>
              <w:bottom w:val="single" w:sz="12" w:space="0" w:color="auto"/>
            </w:tcBorders>
            <w:shd w:val="clear" w:color="auto" w:fill="auto"/>
            <w:vAlign w:val="bottom"/>
          </w:tcPr>
          <w:p w:rsidR="0056533F" w:rsidRPr="00192E99" w:rsidRDefault="0056533F" w:rsidP="00C208E4">
            <w:pPr>
              <w:spacing w:before="80" w:after="80" w:line="200" w:lineRule="exact"/>
              <w:jc w:val="right"/>
              <w:rPr>
                <w:i/>
                <w:sz w:val="16"/>
              </w:rPr>
            </w:pPr>
            <w:r w:rsidRPr="00192E99">
              <w:rPr>
                <w:bCs/>
                <w:i/>
                <w:sz w:val="16"/>
              </w:rPr>
              <w:t>Pourcentage</w:t>
            </w:r>
          </w:p>
        </w:tc>
      </w:tr>
      <w:tr w:rsidR="0056533F" w:rsidRPr="00192E99" w:rsidTr="0056660C">
        <w:tc>
          <w:tcPr>
            <w:tcW w:w="1474" w:type="dxa"/>
            <w:tcBorders>
              <w:top w:val="single" w:sz="12" w:space="0" w:color="auto"/>
            </w:tcBorders>
            <w:shd w:val="clear" w:color="auto" w:fill="auto"/>
            <w:vAlign w:val="bottom"/>
          </w:tcPr>
          <w:p w:rsidR="0056533F" w:rsidRPr="00192E99" w:rsidRDefault="0056533F" w:rsidP="00C208E4">
            <w:pPr>
              <w:spacing w:before="40" w:after="40" w:line="220" w:lineRule="exact"/>
              <w:rPr>
                <w:sz w:val="18"/>
              </w:rPr>
            </w:pPr>
            <w:r w:rsidRPr="00192E99">
              <w:rPr>
                <w:bCs/>
                <w:sz w:val="18"/>
              </w:rPr>
              <w:t>Hommes</w:t>
            </w:r>
          </w:p>
        </w:tc>
        <w:tc>
          <w:tcPr>
            <w:tcW w:w="1474" w:type="dxa"/>
            <w:tcBorders>
              <w:top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sidRPr="00192E99">
              <w:rPr>
                <w:bCs/>
                <w:sz w:val="18"/>
              </w:rPr>
              <w:t>6 907</w:t>
            </w:r>
          </w:p>
        </w:tc>
        <w:tc>
          <w:tcPr>
            <w:tcW w:w="1474" w:type="dxa"/>
            <w:tcBorders>
              <w:top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sidRPr="00192E99">
              <w:rPr>
                <w:bCs/>
                <w:sz w:val="18"/>
              </w:rPr>
              <w:t>10 034</w:t>
            </w:r>
          </w:p>
        </w:tc>
        <w:tc>
          <w:tcPr>
            <w:tcW w:w="1474" w:type="dxa"/>
            <w:tcBorders>
              <w:top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sidRPr="00192E99">
              <w:rPr>
                <w:bCs/>
                <w:sz w:val="18"/>
              </w:rPr>
              <w:t>16 941</w:t>
            </w:r>
          </w:p>
        </w:tc>
        <w:tc>
          <w:tcPr>
            <w:tcW w:w="1475" w:type="dxa"/>
            <w:tcBorders>
              <w:top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sidRPr="00192E99">
              <w:rPr>
                <w:bCs/>
                <w:sz w:val="18"/>
              </w:rPr>
              <w:t>94,11</w:t>
            </w:r>
          </w:p>
        </w:tc>
      </w:tr>
      <w:tr w:rsidR="0056533F" w:rsidRPr="00192E99" w:rsidTr="0056660C">
        <w:tc>
          <w:tcPr>
            <w:tcW w:w="1474" w:type="dxa"/>
            <w:shd w:val="clear" w:color="auto" w:fill="auto"/>
            <w:vAlign w:val="bottom"/>
          </w:tcPr>
          <w:p w:rsidR="0056533F" w:rsidRPr="00192E99" w:rsidRDefault="0056533F" w:rsidP="00C208E4">
            <w:pPr>
              <w:spacing w:before="40" w:after="40" w:line="220" w:lineRule="exact"/>
              <w:rPr>
                <w:sz w:val="18"/>
              </w:rPr>
            </w:pPr>
            <w:r w:rsidRPr="00192E99">
              <w:rPr>
                <w:bCs/>
                <w:sz w:val="18"/>
              </w:rPr>
              <w:t>Femmes</w:t>
            </w:r>
          </w:p>
        </w:tc>
        <w:tc>
          <w:tcPr>
            <w:tcW w:w="1474" w:type="dxa"/>
            <w:shd w:val="clear" w:color="auto" w:fill="auto"/>
            <w:vAlign w:val="bottom"/>
          </w:tcPr>
          <w:p w:rsidR="0056533F" w:rsidRPr="00192E99" w:rsidRDefault="0056533F" w:rsidP="00C208E4">
            <w:pPr>
              <w:spacing w:before="40" w:after="40" w:line="220" w:lineRule="exact"/>
              <w:jc w:val="right"/>
              <w:rPr>
                <w:sz w:val="18"/>
              </w:rPr>
            </w:pPr>
            <w:r w:rsidRPr="00192E99">
              <w:rPr>
                <w:bCs/>
                <w:sz w:val="18"/>
              </w:rPr>
              <w:t>250</w:t>
            </w:r>
          </w:p>
        </w:tc>
        <w:tc>
          <w:tcPr>
            <w:tcW w:w="1474" w:type="dxa"/>
            <w:shd w:val="clear" w:color="auto" w:fill="auto"/>
            <w:vAlign w:val="bottom"/>
          </w:tcPr>
          <w:p w:rsidR="0056533F" w:rsidRPr="00192E99" w:rsidRDefault="0056533F" w:rsidP="00C208E4">
            <w:pPr>
              <w:spacing w:before="40" w:after="40" w:line="220" w:lineRule="exact"/>
              <w:jc w:val="right"/>
              <w:rPr>
                <w:sz w:val="18"/>
              </w:rPr>
            </w:pPr>
            <w:r w:rsidRPr="00D34A79">
              <w:rPr>
                <w:bCs/>
                <w:sz w:val="18"/>
              </w:rPr>
              <w:t>481</w:t>
            </w:r>
          </w:p>
        </w:tc>
        <w:tc>
          <w:tcPr>
            <w:tcW w:w="1474" w:type="dxa"/>
            <w:shd w:val="clear" w:color="auto" w:fill="auto"/>
            <w:vAlign w:val="bottom"/>
          </w:tcPr>
          <w:p w:rsidR="0056533F" w:rsidRPr="00192E99" w:rsidRDefault="0056533F" w:rsidP="00C208E4">
            <w:pPr>
              <w:spacing w:before="40" w:after="40" w:line="220" w:lineRule="exact"/>
              <w:jc w:val="right"/>
              <w:rPr>
                <w:sz w:val="18"/>
              </w:rPr>
            </w:pPr>
            <w:r w:rsidRPr="00D34A79">
              <w:rPr>
                <w:bCs/>
                <w:sz w:val="18"/>
              </w:rPr>
              <w:t>731</w:t>
            </w:r>
          </w:p>
        </w:tc>
        <w:tc>
          <w:tcPr>
            <w:tcW w:w="1475" w:type="dxa"/>
            <w:shd w:val="clear" w:color="auto" w:fill="auto"/>
            <w:vAlign w:val="bottom"/>
          </w:tcPr>
          <w:p w:rsidR="0056533F" w:rsidRPr="00192E99" w:rsidRDefault="0056533F" w:rsidP="00C208E4">
            <w:pPr>
              <w:spacing w:before="40" w:after="40" w:line="220" w:lineRule="exact"/>
              <w:jc w:val="right"/>
              <w:rPr>
                <w:sz w:val="18"/>
              </w:rPr>
            </w:pPr>
            <w:r w:rsidRPr="00D34A79">
              <w:rPr>
                <w:bCs/>
                <w:sz w:val="18"/>
              </w:rPr>
              <w:t>4,06</w:t>
            </w:r>
          </w:p>
        </w:tc>
      </w:tr>
      <w:tr w:rsidR="0056533F" w:rsidRPr="00192E99" w:rsidTr="0056660C">
        <w:tc>
          <w:tcPr>
            <w:tcW w:w="1474" w:type="dxa"/>
            <w:shd w:val="clear" w:color="auto" w:fill="auto"/>
            <w:vAlign w:val="bottom"/>
          </w:tcPr>
          <w:p w:rsidR="0056533F" w:rsidRPr="00192E99" w:rsidRDefault="0056533F" w:rsidP="00C208E4">
            <w:pPr>
              <w:spacing w:before="40" w:after="40" w:line="220" w:lineRule="exact"/>
              <w:rPr>
                <w:sz w:val="18"/>
              </w:rPr>
            </w:pPr>
            <w:r w:rsidRPr="00192E99">
              <w:rPr>
                <w:bCs/>
                <w:sz w:val="18"/>
              </w:rPr>
              <w:t>Garçons</w:t>
            </w:r>
          </w:p>
        </w:tc>
        <w:tc>
          <w:tcPr>
            <w:tcW w:w="1474" w:type="dxa"/>
            <w:shd w:val="clear" w:color="auto" w:fill="auto"/>
            <w:vAlign w:val="bottom"/>
          </w:tcPr>
          <w:p w:rsidR="0056533F" w:rsidRPr="00192E99" w:rsidRDefault="0056533F" w:rsidP="00C208E4">
            <w:pPr>
              <w:spacing w:before="40" w:after="40" w:line="220" w:lineRule="exact"/>
              <w:jc w:val="right"/>
              <w:rPr>
                <w:sz w:val="18"/>
              </w:rPr>
            </w:pPr>
            <w:r w:rsidRPr="00192E99">
              <w:rPr>
                <w:bCs/>
                <w:sz w:val="18"/>
              </w:rPr>
              <w:t>57</w:t>
            </w:r>
          </w:p>
        </w:tc>
        <w:tc>
          <w:tcPr>
            <w:tcW w:w="1474" w:type="dxa"/>
            <w:shd w:val="clear" w:color="auto" w:fill="auto"/>
            <w:vAlign w:val="bottom"/>
          </w:tcPr>
          <w:p w:rsidR="0056533F" w:rsidRPr="00192E99" w:rsidRDefault="0056533F" w:rsidP="00C208E4">
            <w:pPr>
              <w:spacing w:before="40" w:after="40" w:line="220" w:lineRule="exact"/>
              <w:jc w:val="right"/>
              <w:rPr>
                <w:sz w:val="18"/>
              </w:rPr>
            </w:pPr>
            <w:r w:rsidRPr="00D34A79">
              <w:rPr>
                <w:bCs/>
                <w:sz w:val="18"/>
              </w:rPr>
              <w:t>247</w:t>
            </w:r>
          </w:p>
        </w:tc>
        <w:tc>
          <w:tcPr>
            <w:tcW w:w="1474" w:type="dxa"/>
            <w:shd w:val="clear" w:color="auto" w:fill="auto"/>
            <w:vAlign w:val="bottom"/>
          </w:tcPr>
          <w:p w:rsidR="0056533F" w:rsidRPr="00192E99" w:rsidRDefault="0056533F" w:rsidP="00C208E4">
            <w:pPr>
              <w:spacing w:before="40" w:after="40" w:line="220" w:lineRule="exact"/>
              <w:jc w:val="right"/>
              <w:rPr>
                <w:sz w:val="18"/>
              </w:rPr>
            </w:pPr>
            <w:r w:rsidRPr="00D34A79">
              <w:rPr>
                <w:bCs/>
                <w:sz w:val="18"/>
              </w:rPr>
              <w:t>304</w:t>
            </w:r>
          </w:p>
        </w:tc>
        <w:tc>
          <w:tcPr>
            <w:tcW w:w="1475" w:type="dxa"/>
            <w:shd w:val="clear" w:color="auto" w:fill="auto"/>
            <w:vAlign w:val="bottom"/>
          </w:tcPr>
          <w:p w:rsidR="0056533F" w:rsidRPr="00192E99" w:rsidRDefault="0056533F" w:rsidP="00C208E4">
            <w:pPr>
              <w:spacing w:before="40" w:after="40" w:line="220" w:lineRule="exact"/>
              <w:jc w:val="right"/>
              <w:rPr>
                <w:sz w:val="18"/>
              </w:rPr>
            </w:pPr>
            <w:r w:rsidRPr="00D34A79">
              <w:rPr>
                <w:bCs/>
                <w:sz w:val="18"/>
              </w:rPr>
              <w:t>1,68</w:t>
            </w:r>
          </w:p>
        </w:tc>
      </w:tr>
      <w:tr w:rsidR="0056533F" w:rsidRPr="00192E99" w:rsidTr="0056660C">
        <w:tc>
          <w:tcPr>
            <w:tcW w:w="1474" w:type="dxa"/>
            <w:tcBorders>
              <w:bottom w:val="single" w:sz="4" w:space="0" w:color="auto"/>
            </w:tcBorders>
            <w:shd w:val="clear" w:color="auto" w:fill="auto"/>
            <w:vAlign w:val="bottom"/>
          </w:tcPr>
          <w:p w:rsidR="0056533F" w:rsidRPr="00192E99" w:rsidRDefault="0056533F" w:rsidP="00C208E4">
            <w:pPr>
              <w:spacing w:before="40" w:after="40" w:line="220" w:lineRule="exact"/>
              <w:rPr>
                <w:sz w:val="18"/>
              </w:rPr>
            </w:pPr>
            <w:r w:rsidRPr="00192E99">
              <w:rPr>
                <w:bCs/>
                <w:sz w:val="18"/>
              </w:rPr>
              <w:t>Filles</w:t>
            </w:r>
          </w:p>
        </w:tc>
        <w:tc>
          <w:tcPr>
            <w:tcW w:w="1474" w:type="dxa"/>
            <w:tcBorders>
              <w:bottom w:val="single" w:sz="4" w:space="0" w:color="auto"/>
            </w:tcBorders>
            <w:shd w:val="clear" w:color="auto" w:fill="auto"/>
            <w:vAlign w:val="bottom"/>
          </w:tcPr>
          <w:p w:rsidR="0056533F" w:rsidRPr="00192E99" w:rsidRDefault="0056533F" w:rsidP="00C208E4">
            <w:pPr>
              <w:spacing w:before="40" w:after="40" w:line="220" w:lineRule="exact"/>
              <w:jc w:val="right"/>
              <w:rPr>
                <w:sz w:val="18"/>
              </w:rPr>
            </w:pPr>
            <w:r w:rsidRPr="00192E99">
              <w:rPr>
                <w:bCs/>
                <w:sz w:val="18"/>
              </w:rPr>
              <w:t>00</w:t>
            </w:r>
          </w:p>
        </w:tc>
        <w:tc>
          <w:tcPr>
            <w:tcW w:w="1474" w:type="dxa"/>
            <w:tcBorders>
              <w:bottom w:val="single" w:sz="4" w:space="0" w:color="auto"/>
            </w:tcBorders>
            <w:shd w:val="clear" w:color="auto" w:fill="auto"/>
            <w:vAlign w:val="bottom"/>
          </w:tcPr>
          <w:p w:rsidR="0056533F" w:rsidRPr="00192E99" w:rsidRDefault="0056533F" w:rsidP="00C208E4">
            <w:pPr>
              <w:spacing w:before="40" w:after="40" w:line="220" w:lineRule="exact"/>
              <w:jc w:val="right"/>
              <w:rPr>
                <w:sz w:val="18"/>
              </w:rPr>
            </w:pPr>
            <w:r w:rsidRPr="00D34A79">
              <w:rPr>
                <w:bCs/>
                <w:sz w:val="18"/>
              </w:rPr>
              <w:t>24</w:t>
            </w:r>
          </w:p>
        </w:tc>
        <w:tc>
          <w:tcPr>
            <w:tcW w:w="1474" w:type="dxa"/>
            <w:tcBorders>
              <w:bottom w:val="single" w:sz="4" w:space="0" w:color="auto"/>
            </w:tcBorders>
            <w:shd w:val="clear" w:color="auto" w:fill="auto"/>
            <w:vAlign w:val="bottom"/>
          </w:tcPr>
          <w:p w:rsidR="0056533F" w:rsidRPr="00192E99" w:rsidRDefault="0056533F" w:rsidP="00C208E4">
            <w:pPr>
              <w:spacing w:before="40" w:after="40" w:line="220" w:lineRule="exact"/>
              <w:jc w:val="right"/>
              <w:rPr>
                <w:sz w:val="18"/>
              </w:rPr>
            </w:pPr>
            <w:r w:rsidRPr="00D34A79">
              <w:rPr>
                <w:bCs/>
                <w:sz w:val="18"/>
              </w:rPr>
              <w:t>24</w:t>
            </w:r>
          </w:p>
        </w:tc>
        <w:tc>
          <w:tcPr>
            <w:tcW w:w="1475" w:type="dxa"/>
            <w:tcBorders>
              <w:bottom w:val="single" w:sz="4" w:space="0" w:color="auto"/>
            </w:tcBorders>
            <w:shd w:val="clear" w:color="auto" w:fill="auto"/>
            <w:vAlign w:val="bottom"/>
          </w:tcPr>
          <w:p w:rsidR="0056533F" w:rsidRPr="00192E99" w:rsidRDefault="0056533F" w:rsidP="00C208E4">
            <w:pPr>
              <w:spacing w:before="40" w:after="40" w:line="220" w:lineRule="exact"/>
              <w:jc w:val="right"/>
              <w:rPr>
                <w:sz w:val="18"/>
              </w:rPr>
            </w:pPr>
            <w:r w:rsidRPr="00D34A79">
              <w:rPr>
                <w:bCs/>
                <w:sz w:val="18"/>
              </w:rPr>
              <w:t>0,13</w:t>
            </w:r>
          </w:p>
        </w:tc>
      </w:tr>
      <w:tr w:rsidR="0056533F" w:rsidRPr="00722539" w:rsidTr="0056660C">
        <w:tc>
          <w:tcPr>
            <w:tcW w:w="1474" w:type="dxa"/>
            <w:tcBorders>
              <w:top w:val="single" w:sz="4" w:space="0" w:color="auto"/>
              <w:bottom w:val="single" w:sz="4" w:space="0" w:color="auto"/>
            </w:tcBorders>
            <w:shd w:val="clear" w:color="auto" w:fill="auto"/>
            <w:vAlign w:val="bottom"/>
          </w:tcPr>
          <w:p w:rsidR="0056533F" w:rsidRPr="00722539" w:rsidRDefault="0056533F" w:rsidP="00C208E4">
            <w:pPr>
              <w:spacing w:before="40" w:after="40" w:line="220" w:lineRule="exact"/>
              <w:ind w:left="284"/>
              <w:rPr>
                <w:b/>
                <w:sz w:val="18"/>
              </w:rPr>
            </w:pPr>
            <w:r w:rsidRPr="00722539">
              <w:rPr>
                <w:b/>
                <w:bCs/>
                <w:sz w:val="18"/>
              </w:rPr>
              <w:t>Total</w:t>
            </w:r>
          </w:p>
        </w:tc>
        <w:tc>
          <w:tcPr>
            <w:tcW w:w="1474" w:type="dxa"/>
            <w:tcBorders>
              <w:top w:val="single" w:sz="4" w:space="0" w:color="auto"/>
              <w:bottom w:val="single" w:sz="4" w:space="0" w:color="auto"/>
            </w:tcBorders>
            <w:shd w:val="clear" w:color="auto" w:fill="auto"/>
            <w:vAlign w:val="bottom"/>
          </w:tcPr>
          <w:p w:rsidR="0056533F" w:rsidRPr="00722539" w:rsidRDefault="0056533F" w:rsidP="00C208E4">
            <w:pPr>
              <w:spacing w:before="40" w:after="40" w:line="220" w:lineRule="exact"/>
              <w:jc w:val="right"/>
              <w:rPr>
                <w:b/>
                <w:sz w:val="18"/>
              </w:rPr>
            </w:pPr>
            <w:r w:rsidRPr="00722539">
              <w:rPr>
                <w:b/>
                <w:bCs/>
                <w:sz w:val="18"/>
              </w:rPr>
              <w:t>7 214</w:t>
            </w:r>
          </w:p>
        </w:tc>
        <w:tc>
          <w:tcPr>
            <w:tcW w:w="1474" w:type="dxa"/>
            <w:tcBorders>
              <w:top w:val="single" w:sz="4" w:space="0" w:color="auto"/>
              <w:bottom w:val="single" w:sz="4" w:space="0" w:color="auto"/>
            </w:tcBorders>
            <w:shd w:val="clear" w:color="auto" w:fill="auto"/>
            <w:vAlign w:val="bottom"/>
          </w:tcPr>
          <w:p w:rsidR="0056533F" w:rsidRPr="00722539" w:rsidRDefault="0056533F" w:rsidP="00C208E4">
            <w:pPr>
              <w:spacing w:before="40" w:after="40" w:line="220" w:lineRule="exact"/>
              <w:jc w:val="right"/>
              <w:rPr>
                <w:b/>
                <w:sz w:val="18"/>
              </w:rPr>
            </w:pPr>
            <w:r w:rsidRPr="00722539">
              <w:rPr>
                <w:b/>
                <w:bCs/>
                <w:sz w:val="18"/>
              </w:rPr>
              <w:t>10 786</w:t>
            </w:r>
          </w:p>
        </w:tc>
        <w:tc>
          <w:tcPr>
            <w:tcW w:w="1474" w:type="dxa"/>
            <w:tcBorders>
              <w:top w:val="single" w:sz="4" w:space="0" w:color="auto"/>
              <w:bottom w:val="single" w:sz="4" w:space="0" w:color="auto"/>
            </w:tcBorders>
            <w:shd w:val="clear" w:color="auto" w:fill="auto"/>
            <w:vAlign w:val="bottom"/>
          </w:tcPr>
          <w:p w:rsidR="0056533F" w:rsidRPr="00722539" w:rsidRDefault="0056533F" w:rsidP="00C208E4">
            <w:pPr>
              <w:spacing w:before="40" w:after="40" w:line="220" w:lineRule="exact"/>
              <w:jc w:val="right"/>
              <w:rPr>
                <w:b/>
                <w:sz w:val="18"/>
              </w:rPr>
            </w:pPr>
            <w:r w:rsidRPr="00722539">
              <w:rPr>
                <w:b/>
                <w:bCs/>
                <w:sz w:val="18"/>
              </w:rPr>
              <w:t>18 000</w:t>
            </w:r>
          </w:p>
        </w:tc>
        <w:tc>
          <w:tcPr>
            <w:tcW w:w="1475" w:type="dxa"/>
            <w:tcBorders>
              <w:top w:val="single" w:sz="4" w:space="0" w:color="auto"/>
              <w:bottom w:val="single" w:sz="4" w:space="0" w:color="auto"/>
            </w:tcBorders>
            <w:shd w:val="clear" w:color="auto" w:fill="auto"/>
            <w:vAlign w:val="bottom"/>
          </w:tcPr>
          <w:p w:rsidR="0056533F" w:rsidRPr="00722539" w:rsidRDefault="0056533F" w:rsidP="00C208E4">
            <w:pPr>
              <w:spacing w:before="40" w:after="40" w:line="220" w:lineRule="exact"/>
              <w:jc w:val="right"/>
              <w:rPr>
                <w:b/>
                <w:sz w:val="18"/>
              </w:rPr>
            </w:pPr>
            <w:r w:rsidRPr="00722539">
              <w:rPr>
                <w:b/>
                <w:sz w:val="18"/>
              </w:rPr>
              <w:t>-</w:t>
            </w:r>
          </w:p>
        </w:tc>
      </w:tr>
      <w:tr w:rsidR="0056533F" w:rsidRPr="00192E99" w:rsidTr="0056660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40" w:after="40" w:line="220" w:lineRule="exact"/>
              <w:rPr>
                <w:sz w:val="18"/>
              </w:rPr>
            </w:pPr>
            <w:r w:rsidRPr="00192E99">
              <w:rPr>
                <w:bCs/>
                <w:sz w:val="18"/>
              </w:rPr>
              <w:t>Pourcentage</w:t>
            </w:r>
          </w:p>
        </w:t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Pr>
                <w:bCs/>
                <w:sz w:val="18"/>
              </w:rPr>
              <w:t>40,</w:t>
            </w:r>
            <w:r w:rsidRPr="00192E99">
              <w:rPr>
                <w:bCs/>
                <w:sz w:val="18"/>
              </w:rPr>
              <w:t>007</w:t>
            </w:r>
          </w:p>
        </w:t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sidRPr="00D34A79">
              <w:rPr>
                <w:bCs/>
                <w:sz w:val="18"/>
              </w:rPr>
              <w:t>59,92</w:t>
            </w:r>
          </w:p>
        </w:tc>
        <w:tc>
          <w:tcPr>
            <w:tcW w:w="1474" w:type="dxa"/>
            <w:tcBorders>
              <w:top w:val="single" w:sz="4" w:space="0" w:color="auto"/>
              <w:bottom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Pr>
                <w:sz w:val="18"/>
              </w:rPr>
              <w:t>-</w:t>
            </w:r>
          </w:p>
        </w:tc>
        <w:tc>
          <w:tcPr>
            <w:tcW w:w="1475" w:type="dxa"/>
            <w:tcBorders>
              <w:top w:val="single" w:sz="4" w:space="0" w:color="auto"/>
              <w:bottom w:val="single" w:sz="12" w:space="0" w:color="auto"/>
            </w:tcBorders>
            <w:shd w:val="clear" w:color="auto" w:fill="auto"/>
            <w:vAlign w:val="bottom"/>
          </w:tcPr>
          <w:p w:rsidR="0056533F" w:rsidRPr="00192E99" w:rsidRDefault="0056533F" w:rsidP="00C208E4">
            <w:pPr>
              <w:spacing w:before="40" w:after="40" w:line="220" w:lineRule="exact"/>
              <w:jc w:val="right"/>
              <w:rPr>
                <w:sz w:val="18"/>
              </w:rPr>
            </w:pPr>
            <w:r w:rsidRPr="00D34A79">
              <w:rPr>
                <w:bCs/>
                <w:sz w:val="18"/>
              </w:rPr>
              <w:t>100</w:t>
            </w:r>
          </w:p>
        </w:tc>
      </w:tr>
    </w:tbl>
    <w:p w:rsidR="0056533F" w:rsidRPr="00722539" w:rsidRDefault="0056533F" w:rsidP="00C46E61">
      <w:pPr>
        <w:pStyle w:val="SingleTxtG"/>
        <w:spacing w:before="120"/>
        <w:ind w:right="0" w:firstLine="170"/>
        <w:rPr>
          <w:bCs/>
          <w:i/>
          <w:sz w:val="18"/>
          <w:szCs w:val="18"/>
        </w:rPr>
      </w:pPr>
      <w:r w:rsidRPr="00722539">
        <w:rPr>
          <w:bCs/>
          <w:i/>
          <w:sz w:val="18"/>
          <w:szCs w:val="18"/>
        </w:rPr>
        <w:t>Source: Service de Contrôle de la détention et de la statistique/DGAP/MINJUS</w:t>
      </w:r>
      <w:r>
        <w:rPr>
          <w:bCs/>
          <w:i/>
          <w:sz w:val="18"/>
          <w:szCs w:val="18"/>
        </w:rPr>
        <w:t>.</w:t>
      </w:r>
    </w:p>
    <w:p w:rsidR="00B4191B" w:rsidRPr="005D65CE" w:rsidRDefault="00B4191B" w:rsidP="00B4191B">
      <w:pPr>
        <w:pStyle w:val="SingleTxtG"/>
        <w:spacing w:before="240"/>
      </w:pPr>
      <w:r w:rsidRPr="005D65CE">
        <w:t>23</w:t>
      </w:r>
      <w:r>
        <w:t>5</w:t>
      </w:r>
      <w:r w:rsidRPr="005D65CE">
        <w:t>.</w:t>
      </w:r>
      <w:r w:rsidRPr="005D65CE">
        <w:tab/>
        <w:t xml:space="preserve">Des efforts ont été entrepris pour remédier à cette situation. C’est dans ce sens que la loi </w:t>
      </w:r>
      <w:r w:rsidRPr="00C14D2A">
        <w:t>n</w:t>
      </w:r>
      <w:r w:rsidRPr="00C14D2A">
        <w:rPr>
          <w:vertAlign w:val="superscript"/>
        </w:rPr>
        <w:t>o</w:t>
      </w:r>
      <w:r>
        <w:t> </w:t>
      </w:r>
      <w:r w:rsidRPr="005D65CE">
        <w:t>2007-021 du 30 juillet 2007 modifiant et complétant certaines dispositions du Code de Procédure Pénal</w:t>
      </w:r>
      <w:r>
        <w:t>e</w:t>
      </w:r>
      <w:r w:rsidRPr="005D65CE">
        <w:t xml:space="preserve"> relative</w:t>
      </w:r>
      <w:r>
        <w:t>s</w:t>
      </w:r>
      <w:r w:rsidRPr="005D65CE">
        <w:t xml:space="preserve"> à la détention préventive et portant limitation de la durée de celle-ci a été adoptée. </w:t>
      </w:r>
    </w:p>
    <w:p w:rsidR="00B4191B" w:rsidRPr="005D65CE" w:rsidRDefault="00B4191B" w:rsidP="00B4191B">
      <w:pPr>
        <w:pStyle w:val="SingleTxtG"/>
      </w:pPr>
      <w:r w:rsidRPr="005D65CE">
        <w:t>23</w:t>
      </w:r>
      <w:r>
        <w:t>6</w:t>
      </w:r>
      <w:r w:rsidRPr="005D65CE">
        <w:t>.</w:t>
      </w:r>
      <w:r w:rsidRPr="005D65CE">
        <w:tab/>
        <w:t>Des actions ont été également entreprises pour redynamiser la procédure de la libération conditionnelle. Cette mesure permet à un détenu condamné, ayant exécuté la moitié de sa peine, de purger la peine restante en dehors de la prison s’il rempli</w:t>
      </w:r>
      <w:r>
        <w:t>t</w:t>
      </w:r>
      <w:r w:rsidRPr="005D65CE">
        <w:t xml:space="preserve"> les conditions requises</w:t>
      </w:r>
      <w:r>
        <w:t>,</w:t>
      </w:r>
      <w:r w:rsidRPr="005D65CE">
        <w:t xml:space="preserve"> notamment une bonne conduite pendant son incarcération. </w:t>
      </w:r>
    </w:p>
    <w:p w:rsidR="00B4191B" w:rsidRPr="005D65CE" w:rsidRDefault="00B4191B" w:rsidP="00B4191B">
      <w:pPr>
        <w:pStyle w:val="SingleTxtG"/>
      </w:pPr>
      <w:r w:rsidRPr="005D65CE">
        <w:t>23</w:t>
      </w:r>
      <w:r>
        <w:t>7</w:t>
      </w:r>
      <w:r w:rsidRPr="005D65CE">
        <w:t>.</w:t>
      </w:r>
      <w:r w:rsidRPr="005D65CE">
        <w:tab/>
        <w:t>Par ailleurs, un programme de désengorgement des établissements excessivement surpeuplés a permis d’affecter le surplus de détenus dans d’autres établissements moins peuplés.</w:t>
      </w:r>
    </w:p>
    <w:p w:rsidR="00B4191B" w:rsidRPr="005D65CE" w:rsidRDefault="00B4191B" w:rsidP="00B4191B">
      <w:pPr>
        <w:pStyle w:val="SingleTxtG"/>
        <w:keepNext/>
        <w:ind w:left="1701" w:hanging="567"/>
        <w:jc w:val="left"/>
        <w:rPr>
          <w:b/>
        </w:rPr>
      </w:pPr>
      <w:r>
        <w:tab/>
      </w:r>
      <w:r w:rsidRPr="005D65CE">
        <w:rPr>
          <w:b/>
        </w:rPr>
        <w:t xml:space="preserve">Violences entre détenus ou contre les agents pénitentiaires et poursuites disciplinaires y afférentes </w:t>
      </w:r>
    </w:p>
    <w:p w:rsidR="00B4191B" w:rsidRPr="005D65CE" w:rsidRDefault="00B4191B" w:rsidP="00B4191B">
      <w:pPr>
        <w:pStyle w:val="SingleTxtG"/>
      </w:pPr>
      <w:r w:rsidRPr="005D65CE">
        <w:t>23</w:t>
      </w:r>
      <w:r>
        <w:t>8</w:t>
      </w:r>
      <w:r w:rsidRPr="005D65CE">
        <w:t>.</w:t>
      </w:r>
      <w:r w:rsidRPr="005D65CE">
        <w:tab/>
        <w:t xml:space="preserve">Les violences entre détenus constitutives de faute disciplinaire sont énumérées </w:t>
      </w:r>
      <w:r>
        <w:t xml:space="preserve">dans </w:t>
      </w:r>
      <w:r w:rsidRPr="005D65CE">
        <w:t>les articles 125, 126 et 127 du décret n°</w:t>
      </w:r>
      <w:r>
        <w:t xml:space="preserve"> </w:t>
      </w:r>
      <w:r w:rsidRPr="0074563F">
        <w:t>2006-015 portant organisation</w:t>
      </w:r>
      <w:r>
        <w:t xml:space="preserve"> </w:t>
      </w:r>
      <w:r w:rsidRPr="005D65CE">
        <w:t>générale de l’</w:t>
      </w:r>
      <w:r>
        <w:t>A</w:t>
      </w:r>
      <w:r w:rsidRPr="005D65CE">
        <w:t xml:space="preserve">dministration pénitentiaire: </w:t>
      </w:r>
    </w:p>
    <w:p w:rsidR="00B4191B" w:rsidRPr="005D65CE" w:rsidRDefault="00B4191B" w:rsidP="00B4191B">
      <w:pPr>
        <w:pStyle w:val="SingleTxtG"/>
        <w:ind w:left="1701"/>
      </w:pPr>
      <w:r w:rsidRPr="005D65CE">
        <w:t xml:space="preserve">Article 125: </w:t>
      </w:r>
      <w:r w:rsidRPr="008C6097">
        <w:t>«</w:t>
      </w:r>
      <w:r w:rsidRPr="005D65CE">
        <w:rPr>
          <w:i/>
        </w:rPr>
        <w:t>Les fautes disciplinaires sont classées, suivant leur gravité en deux classes</w:t>
      </w:r>
      <w:r>
        <w:rPr>
          <w:i/>
        </w:rPr>
        <w:t>.</w:t>
      </w:r>
      <w:r w:rsidRPr="008C6097">
        <w:t>»</w:t>
      </w:r>
    </w:p>
    <w:p w:rsidR="00B4191B" w:rsidRPr="005D65CE" w:rsidRDefault="00B4191B" w:rsidP="00B4191B">
      <w:pPr>
        <w:pStyle w:val="SingleTxtG"/>
        <w:ind w:left="1701"/>
      </w:pPr>
      <w:r w:rsidRPr="005D65CE">
        <w:t xml:space="preserve">Article 126: </w:t>
      </w:r>
      <w:r w:rsidRPr="008C6097">
        <w:t>«</w:t>
      </w:r>
      <w:r w:rsidRPr="005D65CE">
        <w:rPr>
          <w:i/>
        </w:rPr>
        <w:t>Constitue une faute disciplinaire du premier degré, le fait pour une personne détenue:</w:t>
      </w:r>
    </w:p>
    <w:p w:rsidR="00B4191B" w:rsidRPr="005D65CE" w:rsidRDefault="00B4191B" w:rsidP="00B4191B">
      <w:pPr>
        <w:pStyle w:val="SingleTxtG"/>
        <w:ind w:left="1701"/>
        <w:rPr>
          <w:i/>
        </w:rPr>
      </w:pPr>
      <w:r>
        <w:rPr>
          <w:i/>
        </w:rPr>
        <w:t>1.</w:t>
      </w:r>
      <w:r w:rsidRPr="005D65CE">
        <w:rPr>
          <w:i/>
        </w:rPr>
        <w:t xml:space="preserve"> </w:t>
      </w:r>
      <w:r>
        <w:rPr>
          <w:i/>
        </w:rPr>
        <w:tab/>
      </w:r>
      <w:r w:rsidRPr="005D65CE">
        <w:rPr>
          <w:i/>
        </w:rPr>
        <w:t>d’exercer des violences physiques à l’encontre d’un membre du personnel de l’établissement ou d’une personne en mission ou en visite dans l’établissement pénitentiaire;</w:t>
      </w:r>
    </w:p>
    <w:p w:rsidR="00B4191B" w:rsidRPr="005D65CE" w:rsidRDefault="00B4191B" w:rsidP="00B4191B">
      <w:pPr>
        <w:pStyle w:val="SingleTxtG"/>
        <w:ind w:left="1701"/>
        <w:rPr>
          <w:i/>
        </w:rPr>
      </w:pPr>
      <w:r>
        <w:rPr>
          <w:i/>
        </w:rPr>
        <w:t>2.</w:t>
      </w:r>
      <w:r>
        <w:rPr>
          <w:i/>
        </w:rPr>
        <w:tab/>
      </w:r>
      <w:r w:rsidRPr="005D65CE">
        <w:rPr>
          <w:i/>
        </w:rPr>
        <w:t>de participer à toute action collective à</w:t>
      </w:r>
      <w:r>
        <w:rPr>
          <w:i/>
        </w:rPr>
        <w:t xml:space="preserve"> </w:t>
      </w:r>
      <w:r w:rsidRPr="005D65CE">
        <w:rPr>
          <w:i/>
        </w:rPr>
        <w:t>compromettre la sécurité de l’établissement;</w:t>
      </w:r>
    </w:p>
    <w:p w:rsidR="00B4191B" w:rsidRPr="005D65CE" w:rsidRDefault="00B4191B" w:rsidP="00B4191B">
      <w:pPr>
        <w:pStyle w:val="SingleTxtG"/>
        <w:ind w:left="1701"/>
        <w:rPr>
          <w:i/>
        </w:rPr>
      </w:pPr>
      <w:r>
        <w:rPr>
          <w:i/>
        </w:rPr>
        <w:t>3.</w:t>
      </w:r>
      <w:r>
        <w:rPr>
          <w:i/>
        </w:rPr>
        <w:tab/>
      </w:r>
      <w:r w:rsidRPr="005D65CE">
        <w:rPr>
          <w:i/>
        </w:rPr>
        <w:t>de détenir des stupéfiants ou tous objets ou substances dangereux pour la sécurité des personnes et de l’établissement, ou de faire trafic de tels objets ou substances;</w:t>
      </w:r>
    </w:p>
    <w:p w:rsidR="00B4191B" w:rsidRPr="005D65CE" w:rsidRDefault="00B4191B" w:rsidP="00B4191B">
      <w:pPr>
        <w:pStyle w:val="SingleTxtG"/>
        <w:ind w:left="1701"/>
        <w:rPr>
          <w:i/>
        </w:rPr>
      </w:pPr>
      <w:r>
        <w:rPr>
          <w:i/>
        </w:rPr>
        <w:t>4.</w:t>
      </w:r>
      <w:r>
        <w:rPr>
          <w:i/>
        </w:rPr>
        <w:tab/>
      </w:r>
      <w:r w:rsidRPr="005D65CE">
        <w:rPr>
          <w:i/>
        </w:rPr>
        <w:t>d’obtenir ou de tenter d’obtenir par menace de violence ou contrainte un engagement ou une renonciation ou la remise d’un bien quelconque ou une relation sexuelle;</w:t>
      </w:r>
    </w:p>
    <w:p w:rsidR="00B4191B" w:rsidRPr="005D65CE" w:rsidRDefault="00B4191B" w:rsidP="00B4191B">
      <w:pPr>
        <w:pStyle w:val="SingleTxtG"/>
        <w:ind w:left="1701"/>
        <w:rPr>
          <w:i/>
        </w:rPr>
      </w:pPr>
      <w:r>
        <w:rPr>
          <w:i/>
        </w:rPr>
        <w:t>5.</w:t>
      </w:r>
      <w:r>
        <w:rPr>
          <w:i/>
        </w:rPr>
        <w:tab/>
      </w:r>
      <w:r w:rsidRPr="005D65CE">
        <w:rPr>
          <w:i/>
        </w:rPr>
        <w:t>d’exercer des violences physiques à l’égard d’un codétenu;</w:t>
      </w:r>
    </w:p>
    <w:p w:rsidR="00B4191B" w:rsidRPr="005D65CE" w:rsidRDefault="00B4191B" w:rsidP="00B4191B">
      <w:pPr>
        <w:pStyle w:val="SingleTxtG"/>
        <w:ind w:left="1701"/>
        <w:rPr>
          <w:i/>
        </w:rPr>
      </w:pPr>
      <w:r>
        <w:rPr>
          <w:i/>
        </w:rPr>
        <w:t>6.</w:t>
      </w:r>
      <w:r>
        <w:rPr>
          <w:i/>
        </w:rPr>
        <w:tab/>
      </w:r>
      <w:r w:rsidRPr="005D65CE">
        <w:rPr>
          <w:i/>
        </w:rPr>
        <w:t>de participer à une évasion ou à une tentative d’évasion;</w:t>
      </w:r>
    </w:p>
    <w:p w:rsidR="00B4191B" w:rsidRPr="005D65CE" w:rsidRDefault="00B4191B" w:rsidP="00B4191B">
      <w:pPr>
        <w:pStyle w:val="SingleTxtG"/>
        <w:ind w:left="1701"/>
        <w:rPr>
          <w:i/>
        </w:rPr>
      </w:pPr>
      <w:r>
        <w:rPr>
          <w:i/>
        </w:rPr>
        <w:t>7.</w:t>
      </w:r>
      <w:r>
        <w:rPr>
          <w:i/>
        </w:rPr>
        <w:tab/>
      </w:r>
      <w:r w:rsidRPr="005D65CE">
        <w:rPr>
          <w:i/>
        </w:rPr>
        <w:t>de causer délibérément des dommages aux locaux ou au matériel affecté à l’établissement;</w:t>
      </w:r>
    </w:p>
    <w:p w:rsidR="00B4191B" w:rsidRPr="005D65CE" w:rsidRDefault="00B4191B" w:rsidP="00B4191B">
      <w:pPr>
        <w:pStyle w:val="SingleTxtG"/>
        <w:ind w:left="1701"/>
        <w:rPr>
          <w:i/>
        </w:rPr>
      </w:pPr>
      <w:r>
        <w:rPr>
          <w:i/>
        </w:rPr>
        <w:t>8.</w:t>
      </w:r>
      <w:r>
        <w:rPr>
          <w:i/>
        </w:rPr>
        <w:tab/>
      </w:r>
      <w:r w:rsidRPr="005D65CE">
        <w:rPr>
          <w:i/>
        </w:rPr>
        <w:t>de commettre intentionnellement des actes de nature à mettre en danger la sécurité d’autrui;</w:t>
      </w:r>
    </w:p>
    <w:p w:rsidR="00B4191B" w:rsidRPr="005D65CE" w:rsidRDefault="00B4191B" w:rsidP="00B4191B">
      <w:pPr>
        <w:pStyle w:val="SingleTxtG"/>
        <w:ind w:left="1701"/>
        <w:rPr>
          <w:i/>
        </w:rPr>
      </w:pPr>
      <w:r>
        <w:rPr>
          <w:i/>
        </w:rPr>
        <w:t>9.</w:t>
      </w:r>
      <w:r>
        <w:rPr>
          <w:i/>
        </w:rPr>
        <w:tab/>
      </w:r>
      <w:r w:rsidRPr="005D65CE">
        <w:rPr>
          <w:i/>
        </w:rPr>
        <w:t>d’inciter un codétenu à commettre l’un des actes énumérés par le présent article</w:t>
      </w:r>
      <w:r>
        <w:rPr>
          <w:i/>
        </w:rPr>
        <w:t>.</w:t>
      </w:r>
      <w:r w:rsidRPr="008C6097">
        <w:t>»</w:t>
      </w:r>
    </w:p>
    <w:p w:rsidR="00B4191B" w:rsidRPr="005D65CE" w:rsidRDefault="00B4191B" w:rsidP="00B4191B">
      <w:pPr>
        <w:pStyle w:val="SingleTxtG"/>
        <w:ind w:left="1701"/>
        <w:rPr>
          <w:bCs/>
          <w:i/>
        </w:rPr>
      </w:pPr>
      <w:r w:rsidRPr="005D65CE">
        <w:rPr>
          <w:bCs/>
        </w:rPr>
        <w:t>Article 127: «</w:t>
      </w:r>
      <w:r w:rsidRPr="005D65CE">
        <w:rPr>
          <w:bCs/>
          <w:i/>
        </w:rPr>
        <w:t>Constitue une faute disciplinaire du deuxième degré le fait pour une personne détenue:</w:t>
      </w:r>
    </w:p>
    <w:p w:rsidR="00B4191B" w:rsidRPr="005D65CE" w:rsidRDefault="00B4191B" w:rsidP="00B4191B">
      <w:pPr>
        <w:pStyle w:val="SingleTxtG"/>
        <w:ind w:left="1701"/>
        <w:rPr>
          <w:bCs/>
          <w:i/>
        </w:rPr>
      </w:pPr>
      <w:r>
        <w:rPr>
          <w:bCs/>
          <w:i/>
        </w:rPr>
        <w:t>1.</w:t>
      </w:r>
      <w:r>
        <w:rPr>
          <w:bCs/>
          <w:i/>
        </w:rPr>
        <w:tab/>
      </w:r>
      <w:r w:rsidRPr="005D65CE">
        <w:rPr>
          <w:bCs/>
          <w:i/>
        </w:rPr>
        <w:t>de proférer des insultes ou des menaces à l’égard d’un membre du personnel de l’établissement ou d’une personne en mission ou en visite au sein de l’établissement pénitentiaire;</w:t>
      </w:r>
    </w:p>
    <w:p w:rsidR="00B4191B" w:rsidRPr="005D65CE" w:rsidRDefault="00B4191B" w:rsidP="00B4191B">
      <w:pPr>
        <w:pStyle w:val="SingleTxtG"/>
        <w:ind w:left="1701"/>
        <w:rPr>
          <w:bCs/>
          <w:i/>
        </w:rPr>
      </w:pPr>
      <w:r>
        <w:rPr>
          <w:bCs/>
          <w:i/>
        </w:rPr>
        <w:t>2.</w:t>
      </w:r>
      <w:r>
        <w:rPr>
          <w:bCs/>
          <w:i/>
        </w:rPr>
        <w:tab/>
      </w:r>
      <w:r w:rsidRPr="005D65CE">
        <w:rPr>
          <w:bCs/>
          <w:i/>
        </w:rPr>
        <w:t>de commettre ou de tenter de commettre des vols ou toute autre atteinte frauduleuse à la propriété d’autrui;</w:t>
      </w:r>
    </w:p>
    <w:p w:rsidR="00B4191B" w:rsidRPr="005D65CE" w:rsidRDefault="00B4191B" w:rsidP="00B4191B">
      <w:pPr>
        <w:pStyle w:val="SingleTxtG"/>
        <w:ind w:left="1701"/>
        <w:rPr>
          <w:bCs/>
          <w:i/>
        </w:rPr>
      </w:pPr>
      <w:r>
        <w:rPr>
          <w:bCs/>
          <w:i/>
        </w:rPr>
        <w:t>3.</w:t>
      </w:r>
      <w:r>
        <w:rPr>
          <w:bCs/>
          <w:i/>
        </w:rPr>
        <w:tab/>
      </w:r>
      <w:r w:rsidRPr="005D65CE">
        <w:rPr>
          <w:bCs/>
          <w:i/>
        </w:rPr>
        <w:t>de refuser de se soumettre à une mesure de sécurité définie par les règlements et instructions de service;</w:t>
      </w:r>
    </w:p>
    <w:p w:rsidR="00B4191B" w:rsidRPr="005D65CE" w:rsidRDefault="00B4191B" w:rsidP="00B4191B">
      <w:pPr>
        <w:pStyle w:val="SingleTxtG"/>
        <w:ind w:left="1701"/>
        <w:rPr>
          <w:bCs/>
          <w:i/>
        </w:rPr>
      </w:pPr>
      <w:r>
        <w:rPr>
          <w:bCs/>
          <w:i/>
        </w:rPr>
        <w:t>4.</w:t>
      </w:r>
      <w:r>
        <w:rPr>
          <w:bCs/>
          <w:i/>
        </w:rPr>
        <w:tab/>
      </w:r>
      <w:r w:rsidRPr="005D65CE">
        <w:rPr>
          <w:bCs/>
          <w:i/>
        </w:rPr>
        <w:t>de refuser d’obtempérer aux injonctions des membres du personnel de l’établissement;</w:t>
      </w:r>
    </w:p>
    <w:p w:rsidR="00B4191B" w:rsidRPr="005D65CE" w:rsidRDefault="00B4191B" w:rsidP="00B4191B">
      <w:pPr>
        <w:pStyle w:val="SingleTxtG"/>
        <w:ind w:left="1701"/>
        <w:rPr>
          <w:bCs/>
          <w:i/>
        </w:rPr>
      </w:pPr>
      <w:r>
        <w:rPr>
          <w:bCs/>
          <w:i/>
        </w:rPr>
        <w:t>5.</w:t>
      </w:r>
      <w:r>
        <w:rPr>
          <w:bCs/>
          <w:i/>
        </w:rPr>
        <w:tab/>
      </w:r>
      <w:r w:rsidRPr="005D65CE">
        <w:rPr>
          <w:bCs/>
          <w:i/>
        </w:rPr>
        <w:t xml:space="preserve"> de se livrer à des trafics, des échanges non autorisés par les règlements ou tractations avec des codétenus ou des personnes extérieures;</w:t>
      </w:r>
    </w:p>
    <w:p w:rsidR="00B4191B" w:rsidRPr="005D65CE" w:rsidRDefault="00B4191B" w:rsidP="00B4191B">
      <w:pPr>
        <w:pStyle w:val="SingleTxtG"/>
        <w:ind w:left="1701"/>
        <w:rPr>
          <w:bCs/>
          <w:i/>
        </w:rPr>
      </w:pPr>
      <w:r w:rsidRPr="005D65CE">
        <w:rPr>
          <w:bCs/>
          <w:i/>
        </w:rPr>
        <w:t>6</w:t>
      </w:r>
      <w:r>
        <w:rPr>
          <w:bCs/>
          <w:i/>
        </w:rPr>
        <w:t>.</w:t>
      </w:r>
      <w:r>
        <w:rPr>
          <w:bCs/>
          <w:i/>
        </w:rPr>
        <w:tab/>
      </w:r>
      <w:r w:rsidRPr="005D65CE">
        <w:rPr>
          <w:bCs/>
          <w:i/>
        </w:rPr>
        <w:t xml:space="preserve"> de provoquer un tapage de nature à troubler l’ordre de l’établissement;</w:t>
      </w:r>
    </w:p>
    <w:p w:rsidR="00B4191B" w:rsidRPr="005D65CE" w:rsidRDefault="00B4191B" w:rsidP="00B4191B">
      <w:pPr>
        <w:pStyle w:val="SingleTxtG"/>
        <w:ind w:left="1701"/>
        <w:rPr>
          <w:bCs/>
          <w:i/>
        </w:rPr>
      </w:pPr>
      <w:r>
        <w:rPr>
          <w:bCs/>
          <w:i/>
        </w:rPr>
        <w:t>7.</w:t>
      </w:r>
      <w:r>
        <w:rPr>
          <w:bCs/>
          <w:i/>
        </w:rPr>
        <w:tab/>
      </w:r>
      <w:r w:rsidRPr="005D65CE">
        <w:rPr>
          <w:bCs/>
          <w:i/>
        </w:rPr>
        <w:t>de tenter d’obtenir d’un membre du personnel de l’établissement ou d’une personne en mission au sein de l’établissement un avantage quelconque par des offres, des promesses, des dons ou des présents;</w:t>
      </w:r>
    </w:p>
    <w:p w:rsidR="00B4191B" w:rsidRPr="005D65CE" w:rsidRDefault="00B4191B" w:rsidP="00B4191B">
      <w:pPr>
        <w:pStyle w:val="SingleTxtG"/>
        <w:ind w:left="1701"/>
        <w:rPr>
          <w:bCs/>
          <w:i/>
        </w:rPr>
      </w:pPr>
      <w:r>
        <w:rPr>
          <w:bCs/>
          <w:i/>
        </w:rPr>
        <w:t>8.</w:t>
      </w:r>
      <w:r>
        <w:rPr>
          <w:bCs/>
          <w:i/>
        </w:rPr>
        <w:tab/>
      </w:r>
      <w:r w:rsidRPr="005D65CE">
        <w:rPr>
          <w:bCs/>
          <w:i/>
        </w:rPr>
        <w:t xml:space="preserve"> d’inciter un codétenu à commettre l’un des manquements énumérés au présent article;</w:t>
      </w:r>
    </w:p>
    <w:p w:rsidR="00B4191B" w:rsidRPr="005D65CE" w:rsidRDefault="00B4191B" w:rsidP="00B4191B">
      <w:pPr>
        <w:pStyle w:val="SingleTxtG"/>
        <w:ind w:left="1701"/>
        <w:rPr>
          <w:bCs/>
          <w:i/>
        </w:rPr>
      </w:pPr>
      <w:r>
        <w:rPr>
          <w:bCs/>
          <w:i/>
        </w:rPr>
        <w:t>9.</w:t>
      </w:r>
      <w:r>
        <w:rPr>
          <w:bCs/>
          <w:i/>
        </w:rPr>
        <w:tab/>
      </w:r>
      <w:r w:rsidRPr="005D65CE">
        <w:rPr>
          <w:bCs/>
          <w:i/>
        </w:rPr>
        <w:t xml:space="preserve"> de se soustraire frauduleusement à ses obligations d’entretien des locaux ou de sa personne</w:t>
      </w:r>
      <w:r>
        <w:rPr>
          <w:bCs/>
          <w:i/>
        </w:rPr>
        <w:t>.</w:t>
      </w:r>
      <w:r w:rsidRPr="005D65CE">
        <w:rPr>
          <w:bCs/>
          <w:i/>
        </w:rPr>
        <w:t>»</w:t>
      </w:r>
    </w:p>
    <w:p w:rsidR="00B4191B" w:rsidRPr="005D65CE" w:rsidRDefault="00B4191B" w:rsidP="00B4191B">
      <w:pPr>
        <w:pStyle w:val="SingleTxtG"/>
        <w:keepNext/>
        <w:ind w:left="1701" w:hanging="567"/>
        <w:outlineLvl w:val="0"/>
        <w:rPr>
          <w:b/>
        </w:rPr>
      </w:pPr>
      <w:r>
        <w:tab/>
      </w:r>
      <w:r>
        <w:rPr>
          <w:b/>
        </w:rPr>
        <w:t>Procédure de poursuite</w:t>
      </w:r>
    </w:p>
    <w:p w:rsidR="00B4191B" w:rsidRPr="005D65CE" w:rsidRDefault="00B4191B" w:rsidP="00B4191B">
      <w:pPr>
        <w:pStyle w:val="SingleTxtG"/>
        <w:rPr>
          <w:bCs/>
          <w:i/>
        </w:rPr>
      </w:pPr>
      <w:r w:rsidRPr="005D65CE">
        <w:rPr>
          <w:bCs/>
        </w:rPr>
        <w:t>23</w:t>
      </w:r>
      <w:r>
        <w:rPr>
          <w:bCs/>
        </w:rPr>
        <w:t>9</w:t>
      </w:r>
      <w:r w:rsidRPr="005D65CE">
        <w:rPr>
          <w:bCs/>
        </w:rPr>
        <w:t>.</w:t>
      </w:r>
      <w:r w:rsidRPr="005D65CE">
        <w:rPr>
          <w:bCs/>
        </w:rPr>
        <w:tab/>
        <w:t>Les articles 132 à 133 indiquent les procédures de poursuite d’un détenu auteur d</w:t>
      </w:r>
      <w:r>
        <w:rPr>
          <w:bCs/>
        </w:rPr>
        <w:t>’un</w:t>
      </w:r>
      <w:r w:rsidRPr="005D65CE">
        <w:rPr>
          <w:bCs/>
        </w:rPr>
        <w:t>e faute disciplinaire à</w:t>
      </w:r>
      <w:r>
        <w:rPr>
          <w:bCs/>
        </w:rPr>
        <w:t xml:space="preserve"> </w:t>
      </w:r>
      <w:r w:rsidRPr="005D65CE">
        <w:rPr>
          <w:bCs/>
        </w:rPr>
        <w:t>l’égard de codétenus ou d</w:t>
      </w:r>
      <w:r>
        <w:rPr>
          <w:bCs/>
        </w:rPr>
        <w:t>’</w:t>
      </w:r>
      <w:r w:rsidRPr="005D65CE">
        <w:rPr>
          <w:bCs/>
        </w:rPr>
        <w:t>agents pénitentiaires.</w:t>
      </w:r>
      <w:r>
        <w:rPr>
          <w:bCs/>
        </w:rPr>
        <w:t xml:space="preserve"> </w:t>
      </w:r>
    </w:p>
    <w:p w:rsidR="00B4191B" w:rsidRPr="005D65CE" w:rsidRDefault="00B4191B" w:rsidP="00B4191B">
      <w:pPr>
        <w:pStyle w:val="SingleTxtG"/>
        <w:ind w:left="1701"/>
        <w:rPr>
          <w:bCs/>
        </w:rPr>
      </w:pPr>
      <w:r w:rsidRPr="005D65CE">
        <w:rPr>
          <w:bCs/>
        </w:rPr>
        <w:t xml:space="preserve">Article 132: </w:t>
      </w:r>
      <w:r w:rsidRPr="005844A1">
        <w:rPr>
          <w:bCs/>
          <w:i/>
        </w:rPr>
        <w:t>«</w:t>
      </w:r>
      <w:r w:rsidRPr="005D65CE">
        <w:rPr>
          <w:bCs/>
          <w:i/>
        </w:rPr>
        <w:t>En cas d’engagement des poursuites disciplinaires, la personne détenue est convoquée devant le chef d’établissement pour être entendue sur les faits qui lui sont reprochés. La décision sur la sanction disciplinaire est prononcée en présence de la personne détenue, après indication des motifs</w:t>
      </w:r>
      <w:r>
        <w:rPr>
          <w:bCs/>
          <w:i/>
        </w:rPr>
        <w:t>.</w:t>
      </w:r>
      <w:r w:rsidRPr="005844A1">
        <w:rPr>
          <w:bCs/>
        </w:rPr>
        <w:t>»</w:t>
      </w:r>
    </w:p>
    <w:p w:rsidR="00B4191B" w:rsidRPr="005D65CE" w:rsidRDefault="00B4191B" w:rsidP="00B4191B">
      <w:pPr>
        <w:pStyle w:val="SingleTxtG"/>
        <w:ind w:left="1701"/>
        <w:rPr>
          <w:bCs/>
        </w:rPr>
      </w:pPr>
      <w:r w:rsidRPr="005D65CE">
        <w:rPr>
          <w:bCs/>
        </w:rPr>
        <w:t xml:space="preserve">Article 133: </w:t>
      </w:r>
      <w:r w:rsidRPr="005844A1">
        <w:rPr>
          <w:bCs/>
        </w:rPr>
        <w:t>«</w:t>
      </w:r>
      <w:r w:rsidRPr="005D65CE">
        <w:rPr>
          <w:bCs/>
          <w:i/>
        </w:rPr>
        <w:t>Dans le délai de 5 jours à compter de la décision prononçant une sanction disciplinaire, le chef d’établissement avise le directeur régional de la décision. Si la personne détenue est prévenue, il rend compte également au magistrat ou à la juridiction en charge du dossier et au Procureur de la République</w:t>
      </w:r>
      <w:r>
        <w:rPr>
          <w:bCs/>
          <w:i/>
        </w:rPr>
        <w:t>.</w:t>
      </w:r>
      <w:r w:rsidRPr="005844A1">
        <w:rPr>
          <w:bCs/>
        </w:rPr>
        <w:t>»</w:t>
      </w:r>
    </w:p>
    <w:p w:rsidR="00B4191B" w:rsidRPr="005D65CE" w:rsidRDefault="00B4191B" w:rsidP="00B4191B">
      <w:pPr>
        <w:pStyle w:val="SingleTxtG"/>
        <w:keepNext/>
        <w:ind w:left="1701" w:hanging="567"/>
        <w:outlineLvl w:val="0"/>
        <w:rPr>
          <w:b/>
          <w:bCs/>
        </w:rPr>
      </w:pPr>
      <w:r>
        <w:rPr>
          <w:bCs/>
        </w:rPr>
        <w:tab/>
      </w:r>
      <w:r w:rsidRPr="005D65CE">
        <w:rPr>
          <w:b/>
          <w:bCs/>
        </w:rPr>
        <w:t>Sanctions disciplinaires</w:t>
      </w:r>
    </w:p>
    <w:p w:rsidR="00B4191B" w:rsidRPr="005D65CE" w:rsidRDefault="00B4191B" w:rsidP="00B4191B">
      <w:pPr>
        <w:pStyle w:val="SingleTxtG"/>
        <w:rPr>
          <w:bCs/>
          <w:i/>
        </w:rPr>
      </w:pPr>
      <w:r w:rsidRPr="005D65CE">
        <w:rPr>
          <w:bCs/>
        </w:rPr>
        <w:t>2</w:t>
      </w:r>
      <w:r>
        <w:rPr>
          <w:bCs/>
        </w:rPr>
        <w:t>40</w:t>
      </w:r>
      <w:r w:rsidRPr="005D65CE">
        <w:rPr>
          <w:bCs/>
        </w:rPr>
        <w:t>.</w:t>
      </w:r>
      <w:r w:rsidRPr="005D65CE">
        <w:rPr>
          <w:bCs/>
        </w:rPr>
        <w:tab/>
        <w:t xml:space="preserve">Les articles 134 à 138 définissent les types de sanction </w:t>
      </w:r>
      <w:r>
        <w:rPr>
          <w:bCs/>
        </w:rPr>
        <w:t>relevant de</w:t>
      </w:r>
      <w:r w:rsidRPr="005D65CE">
        <w:rPr>
          <w:bCs/>
        </w:rPr>
        <w:t xml:space="preserve"> chaque catégorie de fautes. </w:t>
      </w:r>
    </w:p>
    <w:p w:rsidR="00B4191B" w:rsidRPr="005D65CE" w:rsidRDefault="00B4191B" w:rsidP="00B4191B">
      <w:pPr>
        <w:pStyle w:val="SingleTxtG"/>
        <w:ind w:left="1701"/>
        <w:rPr>
          <w:i/>
        </w:rPr>
      </w:pPr>
      <w:r w:rsidRPr="005D65CE">
        <w:t xml:space="preserve">Article 134: </w:t>
      </w:r>
      <w:r w:rsidRPr="005844A1">
        <w:t>«</w:t>
      </w:r>
      <w:r w:rsidRPr="005D65CE">
        <w:rPr>
          <w:i/>
        </w:rPr>
        <w:t>Peuvent être prononcées quelle que soit la faute disciplinaire, les sanctions disciplinaires suivantes:</w:t>
      </w:r>
    </w:p>
    <w:p w:rsidR="00B4191B" w:rsidRPr="005D65CE" w:rsidRDefault="00B4191B" w:rsidP="00B4191B">
      <w:pPr>
        <w:pStyle w:val="SingleTxtG"/>
        <w:ind w:left="1701"/>
        <w:rPr>
          <w:i/>
        </w:rPr>
      </w:pPr>
      <w:r>
        <w:rPr>
          <w:i/>
        </w:rPr>
        <w:t>1.</w:t>
      </w:r>
      <w:r w:rsidRPr="005D65CE">
        <w:rPr>
          <w:i/>
        </w:rPr>
        <w:tab/>
        <w:t>l’avertissement;</w:t>
      </w:r>
    </w:p>
    <w:p w:rsidR="00B4191B" w:rsidRPr="005D65CE" w:rsidRDefault="00B4191B" w:rsidP="00B4191B">
      <w:pPr>
        <w:pStyle w:val="SingleTxtG"/>
        <w:ind w:left="1701"/>
        <w:rPr>
          <w:i/>
        </w:rPr>
      </w:pPr>
      <w:r>
        <w:rPr>
          <w:i/>
        </w:rPr>
        <w:t>2.</w:t>
      </w:r>
      <w:r w:rsidRPr="005D65CE">
        <w:rPr>
          <w:i/>
        </w:rPr>
        <w:tab/>
        <w:t>la mise à pied d’un emploi temporaire ou définitif lorsque la faute disciplinaire a été commise au cours ou à l’occasion du travail;</w:t>
      </w:r>
    </w:p>
    <w:p w:rsidR="00B4191B" w:rsidRPr="005D65CE" w:rsidRDefault="00B4191B" w:rsidP="00B4191B">
      <w:pPr>
        <w:pStyle w:val="SingleTxtG"/>
        <w:ind w:left="1701"/>
        <w:rPr>
          <w:i/>
        </w:rPr>
      </w:pPr>
      <w:r>
        <w:rPr>
          <w:i/>
        </w:rPr>
        <w:t>3.</w:t>
      </w:r>
      <w:r w:rsidRPr="005D65CE">
        <w:rPr>
          <w:i/>
        </w:rPr>
        <w:tab/>
        <w:t>la suppression de l’accès au parloir pendant une période maximum d’un mois lorsque la faute a été commise au cours ou à l’occasion d’une visite;</w:t>
      </w:r>
    </w:p>
    <w:p w:rsidR="00B4191B" w:rsidRPr="005D65CE" w:rsidRDefault="00B4191B" w:rsidP="00B4191B">
      <w:pPr>
        <w:pStyle w:val="SingleTxtG"/>
        <w:ind w:left="1701"/>
        <w:rPr>
          <w:i/>
        </w:rPr>
      </w:pPr>
      <w:r>
        <w:rPr>
          <w:i/>
        </w:rPr>
        <w:t>4.</w:t>
      </w:r>
      <w:r w:rsidRPr="005D65CE">
        <w:rPr>
          <w:i/>
        </w:rPr>
        <w:tab/>
        <w:t>avec l’accord de la personne détenue, l’exécution d’un travail de nettoyage des locaux ou d’entretien lorsque la faute disciplinaire est en relation avec un manquement aux règles d’hygiène ou la commission de dommage ou de dégradation. En cas de refus, le chef d’établissement recourt à une autre sanction;</w:t>
      </w:r>
    </w:p>
    <w:p w:rsidR="00B4191B" w:rsidRPr="005844A1" w:rsidRDefault="00B4191B" w:rsidP="00B4191B">
      <w:pPr>
        <w:pStyle w:val="SingleTxtG"/>
        <w:ind w:left="1701"/>
      </w:pPr>
      <w:r>
        <w:t>5.</w:t>
      </w:r>
      <w:r w:rsidRPr="005D65CE">
        <w:tab/>
      </w:r>
      <w:r w:rsidRPr="005D65CE">
        <w:rPr>
          <w:i/>
        </w:rPr>
        <w:t>la mise en cellule disciplinaire pour une période maximum de 15 jours si la faute est du deuxième degré et de 30 jours si la faute est du premier degré. Cette sanction peut être assortie d’une mesure de sursis</w:t>
      </w:r>
      <w:r w:rsidRPr="005844A1">
        <w:t>.»</w:t>
      </w:r>
    </w:p>
    <w:p w:rsidR="00B4191B" w:rsidRPr="005D65CE" w:rsidRDefault="00B4191B" w:rsidP="00B4191B">
      <w:pPr>
        <w:pStyle w:val="SingleTxtG"/>
        <w:ind w:left="1701"/>
        <w:rPr>
          <w:i/>
        </w:rPr>
      </w:pPr>
      <w:r w:rsidRPr="005D65CE">
        <w:t>Article 135: «</w:t>
      </w:r>
      <w:r w:rsidRPr="005D65CE">
        <w:rPr>
          <w:i/>
        </w:rPr>
        <w:t>La mise en cellule disciplinaire consiste dans le placement de la personne détenue dans une cellule aménagée à cet effet et qu’elle doit occuper seule. La sanction emporte pendant toute sa durée la privation des visites à l’exception de son défenseur et de toutes les activités.</w:t>
      </w:r>
    </w:p>
    <w:p w:rsidR="00B4191B" w:rsidRPr="005D65CE" w:rsidRDefault="00B4191B" w:rsidP="00B4191B">
      <w:pPr>
        <w:pStyle w:val="SingleTxtG"/>
        <w:ind w:left="1701"/>
        <w:rPr>
          <w:i/>
        </w:rPr>
      </w:pPr>
      <w:r w:rsidRPr="005D65CE">
        <w:rPr>
          <w:i/>
        </w:rPr>
        <w:t>Toutefois, les personnes détenues placées en cellule disciplinaire font une promenade d’une heure par jour dans une cour individuelle. La sanction n’emporte en outre aucune restriction à leur droit de correspondance écrite.</w:t>
      </w:r>
    </w:p>
    <w:p w:rsidR="00B4191B" w:rsidRPr="005D65CE" w:rsidRDefault="00B4191B" w:rsidP="00B4191B">
      <w:pPr>
        <w:pStyle w:val="SingleTxtG"/>
        <w:ind w:left="1701"/>
        <w:rPr>
          <w:i/>
        </w:rPr>
      </w:pPr>
      <w:r w:rsidRPr="005D65CE">
        <w:rPr>
          <w:i/>
        </w:rPr>
        <w:t>La mise en cellule disciplinaire ne peut être prononcée à l’encontre des mineurs de seize ans</w:t>
      </w:r>
      <w:r>
        <w:rPr>
          <w:i/>
        </w:rPr>
        <w:t>.</w:t>
      </w:r>
      <w:r w:rsidRPr="005844A1">
        <w:t>»</w:t>
      </w:r>
    </w:p>
    <w:p w:rsidR="00B4191B" w:rsidRPr="005D65CE" w:rsidRDefault="00B4191B" w:rsidP="00B4191B">
      <w:pPr>
        <w:pStyle w:val="SingleTxtG"/>
        <w:ind w:left="1701"/>
        <w:rPr>
          <w:i/>
        </w:rPr>
      </w:pPr>
      <w:r w:rsidRPr="005D65CE">
        <w:t>Article 136: «</w:t>
      </w:r>
      <w:r w:rsidRPr="005D65CE">
        <w:rPr>
          <w:i/>
        </w:rPr>
        <w:t>La personne détenue placée en cellule disciplinaire conserve ses vêtements, dispose d’une couverture si les conditions climatiques l’exigent et doit être nourrie de manière suffisante</w:t>
      </w:r>
      <w:r>
        <w:rPr>
          <w:i/>
        </w:rPr>
        <w:t>.</w:t>
      </w:r>
      <w:r w:rsidRPr="005844A1">
        <w:t>»</w:t>
      </w:r>
    </w:p>
    <w:p w:rsidR="00B4191B" w:rsidRPr="005D65CE" w:rsidRDefault="00B4191B" w:rsidP="00B4191B">
      <w:pPr>
        <w:pStyle w:val="SingleTxtG"/>
        <w:ind w:left="1701"/>
      </w:pPr>
      <w:r w:rsidRPr="005D65CE">
        <w:t>Article 137: «</w:t>
      </w:r>
      <w:r w:rsidRPr="005D65CE">
        <w:rPr>
          <w:i/>
        </w:rPr>
        <w:t>La cellule disciplinaire doit avoir pour le moins, une longueur de deux mètres, une largeur d’un mètre et une hauteur de deux mètres et demie. Elle est équipée d’une structure pour le couchage et l’hygiène de la personne détenue</w:t>
      </w:r>
      <w:r>
        <w:rPr>
          <w:i/>
        </w:rPr>
        <w:t>.</w:t>
      </w:r>
      <w:r w:rsidRPr="005844A1">
        <w:t>»</w:t>
      </w:r>
    </w:p>
    <w:p w:rsidR="00B4191B" w:rsidRPr="005D65CE" w:rsidRDefault="00B4191B" w:rsidP="00B4191B">
      <w:pPr>
        <w:pStyle w:val="SingleTxtG"/>
        <w:ind w:left="1701"/>
      </w:pPr>
      <w:r w:rsidRPr="005D65CE">
        <w:t>Article 138: «</w:t>
      </w:r>
      <w:r w:rsidRPr="005D65CE">
        <w:rPr>
          <w:i/>
        </w:rPr>
        <w:t>La liste des personnes présentes au quartier disciplinaire est communiquée quotidiennement à l’équipe médicale qui doit examiner sur place chaque personne détenue au moins deux fois par semaine. La sanction est suspendue si le médecin constate que son exécution est de nature à compromettre la santé du détenu</w:t>
      </w:r>
      <w:r>
        <w:rPr>
          <w:i/>
        </w:rPr>
        <w:t>.</w:t>
      </w:r>
      <w:r w:rsidRPr="005844A1">
        <w:t>»</w:t>
      </w:r>
    </w:p>
    <w:p w:rsidR="00B4191B" w:rsidRPr="005D65CE" w:rsidRDefault="00B4191B" w:rsidP="00B4191B">
      <w:pPr>
        <w:pStyle w:val="SingleTxtG"/>
        <w:keepNext/>
        <w:ind w:left="1701" w:hanging="567"/>
        <w:outlineLvl w:val="0"/>
        <w:rPr>
          <w:b/>
          <w:i/>
        </w:rPr>
      </w:pPr>
      <w:r>
        <w:rPr>
          <w:b/>
        </w:rPr>
        <w:tab/>
      </w:r>
      <w:r w:rsidRPr="005D65CE">
        <w:rPr>
          <w:b/>
        </w:rPr>
        <w:t>Nourriture, conditions médicales et sanitaires</w:t>
      </w:r>
    </w:p>
    <w:p w:rsidR="00B4191B" w:rsidRPr="005D65CE" w:rsidRDefault="00B4191B" w:rsidP="00B4191B">
      <w:pPr>
        <w:pStyle w:val="SingleTxtG"/>
      </w:pPr>
      <w:r w:rsidRPr="005D65CE">
        <w:t>2</w:t>
      </w:r>
      <w:r>
        <w:t>41</w:t>
      </w:r>
      <w:r w:rsidRPr="005D65CE">
        <w:t>.</w:t>
      </w:r>
      <w:r w:rsidRPr="005D65CE">
        <w:tab/>
        <w:t xml:space="preserve">Les articles 69 à 75 prévoient les moyens permettant d’avoir des conditions d’hygiène et de salubrité suffisantes, la dotation d’effets vestimentaires corrects, l’alimentation variée et suffisante, un espace suffisant pour dormir, ainsi qu’une promenade à l’air libre. </w:t>
      </w:r>
    </w:p>
    <w:p w:rsidR="00B4191B" w:rsidRPr="005D65CE" w:rsidRDefault="00B4191B" w:rsidP="00B4191B">
      <w:pPr>
        <w:pStyle w:val="SingleTxtG"/>
      </w:pPr>
      <w:r>
        <w:t>242.</w:t>
      </w:r>
      <w:r>
        <w:tab/>
      </w:r>
      <w:r w:rsidRPr="005D65CE">
        <w:t xml:space="preserve">Des efforts particuliers ont été </w:t>
      </w:r>
      <w:r>
        <w:t>faits</w:t>
      </w:r>
      <w:r w:rsidRPr="005D65CE">
        <w:t xml:space="preserve"> pour améliorer les conditions d’alimentation et d’hygiène </w:t>
      </w:r>
      <w:r>
        <w:t>grâce à</w:t>
      </w:r>
      <w:r w:rsidRPr="005D65CE">
        <w:t xml:space="preserve"> l’augmentation du budget alloué à l’</w:t>
      </w:r>
      <w:r>
        <w:t>A</w:t>
      </w:r>
      <w:r w:rsidRPr="005D65CE">
        <w:t xml:space="preserve">dministration pénitentiaire. </w:t>
      </w:r>
    </w:p>
    <w:p w:rsidR="00B4191B" w:rsidRPr="005D65CE" w:rsidRDefault="00B4191B" w:rsidP="00B4191B">
      <w:pPr>
        <w:pStyle w:val="SingleTxtG"/>
      </w:pPr>
      <w:r w:rsidRPr="005D65CE">
        <w:t>24</w:t>
      </w:r>
      <w:r>
        <w:t>3</w:t>
      </w:r>
      <w:r w:rsidRPr="005D65CE">
        <w:t>.</w:t>
      </w:r>
      <w:r w:rsidRPr="005D65CE">
        <w:tab/>
      </w:r>
      <w:r>
        <w:t>En</w:t>
      </w:r>
      <w:r w:rsidRPr="005D65CE">
        <w:t xml:space="preserve"> application des articles 76 à 81, les établissements pénitentiaires disposent de</w:t>
      </w:r>
      <w:r>
        <w:t>s</w:t>
      </w:r>
      <w:r w:rsidRPr="005D65CE">
        <w:t xml:space="preserve"> services de médecins</w:t>
      </w:r>
      <w:r>
        <w:t xml:space="preserve"> et</w:t>
      </w:r>
      <w:r w:rsidRPr="005D65CE">
        <w:t xml:space="preserve"> d’installations pour les femmes enceintes. Les détenus bénéficient de visites médicales périodiques. Chaque détenu bénéficie d’un suivi médical individualisé et dispose d’un dossier médical personnel. En cas de besoin, un détenu a le droit </w:t>
      </w:r>
      <w:r>
        <w:t>d’</w:t>
      </w:r>
      <w:r w:rsidRPr="005D65CE">
        <w:t xml:space="preserve">être admis dans un établissement hospitalier spécialisé. </w:t>
      </w:r>
    </w:p>
    <w:p w:rsidR="00B4191B" w:rsidRPr="005D65CE" w:rsidRDefault="00B4191B" w:rsidP="00B4191B">
      <w:pPr>
        <w:pStyle w:val="SingleTxtG"/>
      </w:pPr>
      <w:r w:rsidRPr="005D65CE">
        <w:t>24</w:t>
      </w:r>
      <w:r>
        <w:t>4</w:t>
      </w:r>
      <w:r w:rsidRPr="005D65CE">
        <w:t>.</w:t>
      </w:r>
      <w:r w:rsidRPr="005D65CE">
        <w:tab/>
        <w:t>Les maladies les plus fréquentes dans les établissements pénitentiaires sont les maladies dermatologiques, les infections respiratoires, les maladies aggravées par la malnutrition</w:t>
      </w:r>
      <w:r>
        <w:t xml:space="preserve"> et</w:t>
      </w:r>
      <w:r w:rsidRPr="005D65CE">
        <w:t xml:space="preserve"> les infections sexuelles transmissibles.</w:t>
      </w:r>
    </w:p>
    <w:p w:rsidR="00FF1DBD" w:rsidRDefault="00B4191B" w:rsidP="00B4191B">
      <w:pPr>
        <w:pStyle w:val="SingleTxtG"/>
      </w:pPr>
      <w:r w:rsidRPr="005D65CE">
        <w:t>24</w:t>
      </w:r>
      <w:r>
        <w:t>5</w:t>
      </w:r>
      <w:r w:rsidRPr="005D65CE">
        <w:t>.</w:t>
      </w:r>
      <w:r w:rsidRPr="005D65CE">
        <w:tab/>
      </w:r>
      <w:r>
        <w:t>Quelques</w:t>
      </w:r>
      <w:r w:rsidRPr="005D65CE">
        <w:t xml:space="preserve"> informations sur la situation médico-sanitaire des détenus </w:t>
      </w:r>
      <w:r>
        <w:t>en</w:t>
      </w:r>
      <w:r w:rsidRPr="005D65CE">
        <w:t xml:space="preserve"> 2006:</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4"/>
        <w:gridCol w:w="1377"/>
      </w:tblGrid>
      <w:tr w:rsidR="008D768D" w:rsidRPr="005D65CE" w:rsidTr="008D768D">
        <w:trPr>
          <w:trHeight w:val="20"/>
        </w:trPr>
        <w:tc>
          <w:tcPr>
            <w:tcW w:w="5994" w:type="dxa"/>
            <w:tcMar>
              <w:left w:w="0" w:type="dxa"/>
              <w:right w:w="0" w:type="dxa"/>
            </w:tcMar>
          </w:tcPr>
          <w:p w:rsidR="008D768D" w:rsidRPr="005D65CE" w:rsidRDefault="008D768D" w:rsidP="00C208E4">
            <w:pPr>
              <w:pStyle w:val="SingleTxtG"/>
              <w:spacing w:before="40"/>
              <w:ind w:left="57" w:right="0"/>
              <w:jc w:val="left"/>
              <w:rPr>
                <w:bCs/>
              </w:rPr>
            </w:pPr>
            <w:r w:rsidRPr="005D65CE">
              <w:rPr>
                <w:bCs/>
              </w:rPr>
              <w:t>Nombre des Délégations de la Circonscription pénitentiaire</w:t>
            </w:r>
          </w:p>
        </w:tc>
        <w:tc>
          <w:tcPr>
            <w:tcW w:w="1377" w:type="dxa"/>
            <w:tcMar>
              <w:left w:w="0" w:type="dxa"/>
              <w:right w:w="0" w:type="dxa"/>
            </w:tcMar>
            <w:vAlign w:val="bottom"/>
          </w:tcPr>
          <w:p w:rsidR="008D768D" w:rsidRPr="005D65CE" w:rsidRDefault="008D768D" w:rsidP="00C208E4">
            <w:pPr>
              <w:pStyle w:val="SingleTxtG"/>
              <w:spacing w:before="40"/>
              <w:ind w:left="0" w:right="57"/>
              <w:jc w:val="right"/>
              <w:rPr>
                <w:bCs/>
              </w:rPr>
            </w:pPr>
            <w:r w:rsidRPr="005D65CE">
              <w:rPr>
                <w:bCs/>
              </w:rPr>
              <w:t>14</w:t>
            </w:r>
          </w:p>
        </w:tc>
      </w:tr>
      <w:tr w:rsidR="008D768D" w:rsidRPr="005D65CE" w:rsidTr="008D768D">
        <w:trPr>
          <w:trHeight w:val="20"/>
        </w:trPr>
        <w:tc>
          <w:tcPr>
            <w:tcW w:w="5994" w:type="dxa"/>
            <w:tcMar>
              <w:left w:w="0" w:type="dxa"/>
              <w:right w:w="0" w:type="dxa"/>
            </w:tcMar>
          </w:tcPr>
          <w:p w:rsidR="008D768D" w:rsidRPr="005D65CE" w:rsidRDefault="008D768D" w:rsidP="00C208E4">
            <w:pPr>
              <w:pStyle w:val="SingleTxtG"/>
              <w:spacing w:before="40"/>
              <w:ind w:left="57" w:right="0"/>
              <w:jc w:val="left"/>
              <w:rPr>
                <w:bCs/>
              </w:rPr>
            </w:pPr>
            <w:r w:rsidRPr="005D65CE">
              <w:rPr>
                <w:bCs/>
              </w:rPr>
              <w:t>Nombre d’</w:t>
            </w:r>
            <w:r>
              <w:rPr>
                <w:bCs/>
              </w:rPr>
              <w:t>É</w:t>
            </w:r>
            <w:r w:rsidRPr="005D65CE">
              <w:rPr>
                <w:bCs/>
              </w:rPr>
              <w:t>tablissements</w:t>
            </w:r>
          </w:p>
        </w:tc>
        <w:tc>
          <w:tcPr>
            <w:tcW w:w="1377" w:type="dxa"/>
            <w:tcMar>
              <w:left w:w="0" w:type="dxa"/>
              <w:right w:w="0" w:type="dxa"/>
            </w:tcMar>
            <w:vAlign w:val="bottom"/>
          </w:tcPr>
          <w:p w:rsidR="008D768D" w:rsidRPr="005D65CE" w:rsidRDefault="008D768D" w:rsidP="00C208E4">
            <w:pPr>
              <w:pStyle w:val="SingleTxtG"/>
              <w:spacing w:before="40"/>
              <w:ind w:left="0" w:right="57"/>
              <w:jc w:val="right"/>
              <w:rPr>
                <w:bCs/>
              </w:rPr>
            </w:pPr>
            <w:r w:rsidRPr="005D65CE">
              <w:rPr>
                <w:bCs/>
              </w:rPr>
              <w:t>87</w:t>
            </w:r>
          </w:p>
        </w:tc>
      </w:tr>
      <w:tr w:rsidR="008D768D" w:rsidRPr="005D65CE" w:rsidTr="008D768D">
        <w:trPr>
          <w:trHeight w:val="20"/>
        </w:trPr>
        <w:tc>
          <w:tcPr>
            <w:tcW w:w="5994" w:type="dxa"/>
            <w:tcMar>
              <w:left w:w="0" w:type="dxa"/>
              <w:right w:w="0" w:type="dxa"/>
            </w:tcMar>
          </w:tcPr>
          <w:p w:rsidR="008D768D" w:rsidRPr="005D65CE" w:rsidRDefault="008D768D" w:rsidP="00C208E4">
            <w:pPr>
              <w:pStyle w:val="SingleTxtG"/>
              <w:spacing w:before="40"/>
              <w:ind w:left="57" w:right="0"/>
              <w:jc w:val="left"/>
              <w:rPr>
                <w:bCs/>
              </w:rPr>
            </w:pPr>
            <w:r w:rsidRPr="005D65CE">
              <w:rPr>
                <w:bCs/>
              </w:rPr>
              <w:t>Population carcérale</w:t>
            </w:r>
          </w:p>
        </w:tc>
        <w:tc>
          <w:tcPr>
            <w:tcW w:w="1377" w:type="dxa"/>
            <w:tcMar>
              <w:left w:w="0" w:type="dxa"/>
              <w:right w:w="0" w:type="dxa"/>
            </w:tcMar>
            <w:vAlign w:val="bottom"/>
          </w:tcPr>
          <w:p w:rsidR="008D768D" w:rsidRPr="005D65CE" w:rsidRDefault="008D768D" w:rsidP="00C208E4">
            <w:pPr>
              <w:pStyle w:val="SingleTxtG"/>
              <w:spacing w:before="40"/>
              <w:ind w:left="0" w:right="57"/>
              <w:jc w:val="right"/>
              <w:rPr>
                <w:bCs/>
              </w:rPr>
            </w:pPr>
            <w:r w:rsidRPr="005D65CE">
              <w:rPr>
                <w:bCs/>
              </w:rPr>
              <w:t>17</w:t>
            </w:r>
            <w:r>
              <w:rPr>
                <w:bCs/>
              </w:rPr>
              <w:t xml:space="preserve"> </w:t>
            </w:r>
            <w:r w:rsidRPr="005D65CE">
              <w:rPr>
                <w:bCs/>
              </w:rPr>
              <w:t>495</w:t>
            </w:r>
          </w:p>
        </w:tc>
      </w:tr>
      <w:tr w:rsidR="008D768D" w:rsidRPr="005D65CE" w:rsidTr="008D768D">
        <w:trPr>
          <w:trHeight w:val="20"/>
        </w:trPr>
        <w:tc>
          <w:tcPr>
            <w:tcW w:w="5994" w:type="dxa"/>
            <w:tcMar>
              <w:left w:w="0" w:type="dxa"/>
              <w:right w:w="0" w:type="dxa"/>
            </w:tcMar>
          </w:tcPr>
          <w:p w:rsidR="008D768D" w:rsidRPr="005D65CE" w:rsidRDefault="008D768D" w:rsidP="00C208E4">
            <w:pPr>
              <w:pStyle w:val="SingleTxtG"/>
              <w:spacing w:before="40"/>
              <w:ind w:left="57" w:right="0"/>
              <w:jc w:val="left"/>
              <w:rPr>
                <w:bCs/>
              </w:rPr>
            </w:pPr>
            <w:r>
              <w:rPr>
                <w:bCs/>
              </w:rPr>
              <w:t>Hospitalisations</w:t>
            </w:r>
          </w:p>
        </w:tc>
        <w:tc>
          <w:tcPr>
            <w:tcW w:w="1377" w:type="dxa"/>
            <w:tcMar>
              <w:left w:w="0" w:type="dxa"/>
              <w:right w:w="0" w:type="dxa"/>
            </w:tcMar>
            <w:vAlign w:val="bottom"/>
          </w:tcPr>
          <w:p w:rsidR="008D768D" w:rsidRPr="005D65CE" w:rsidRDefault="008D768D" w:rsidP="00C208E4">
            <w:pPr>
              <w:pStyle w:val="SingleTxtG"/>
              <w:spacing w:before="40"/>
              <w:ind w:left="0" w:right="57"/>
              <w:jc w:val="right"/>
              <w:rPr>
                <w:bCs/>
              </w:rPr>
            </w:pPr>
            <w:r w:rsidRPr="005D65CE">
              <w:rPr>
                <w:bCs/>
              </w:rPr>
              <w:t>1</w:t>
            </w:r>
            <w:r>
              <w:rPr>
                <w:bCs/>
              </w:rPr>
              <w:t xml:space="preserve"> </w:t>
            </w:r>
            <w:r w:rsidRPr="005D65CE">
              <w:rPr>
                <w:bCs/>
              </w:rPr>
              <w:t>054</w:t>
            </w:r>
          </w:p>
        </w:tc>
      </w:tr>
      <w:tr w:rsidR="008D768D" w:rsidRPr="005D65CE" w:rsidTr="008D768D">
        <w:trPr>
          <w:trHeight w:val="20"/>
        </w:trPr>
        <w:tc>
          <w:tcPr>
            <w:tcW w:w="5994" w:type="dxa"/>
            <w:tcMar>
              <w:left w:w="0" w:type="dxa"/>
              <w:right w:w="0" w:type="dxa"/>
            </w:tcMar>
          </w:tcPr>
          <w:p w:rsidR="008D768D" w:rsidRPr="005D65CE" w:rsidRDefault="008D768D" w:rsidP="00C208E4">
            <w:pPr>
              <w:pStyle w:val="SingleTxtG"/>
              <w:spacing w:before="40"/>
              <w:ind w:left="57" w:right="0"/>
              <w:jc w:val="left"/>
              <w:rPr>
                <w:bCs/>
              </w:rPr>
            </w:pPr>
            <w:r w:rsidRPr="005D65CE">
              <w:rPr>
                <w:bCs/>
              </w:rPr>
              <w:t>Décès</w:t>
            </w:r>
          </w:p>
        </w:tc>
        <w:tc>
          <w:tcPr>
            <w:tcW w:w="1377" w:type="dxa"/>
            <w:tcMar>
              <w:left w:w="0" w:type="dxa"/>
              <w:right w:w="0" w:type="dxa"/>
            </w:tcMar>
            <w:vAlign w:val="bottom"/>
          </w:tcPr>
          <w:p w:rsidR="008D768D" w:rsidRPr="005D65CE" w:rsidRDefault="008D768D" w:rsidP="00C208E4">
            <w:pPr>
              <w:pStyle w:val="SingleTxtG"/>
              <w:spacing w:before="40"/>
              <w:ind w:left="0" w:right="57"/>
              <w:jc w:val="right"/>
              <w:rPr>
                <w:bCs/>
              </w:rPr>
            </w:pPr>
            <w:r w:rsidRPr="005D65CE">
              <w:rPr>
                <w:bCs/>
              </w:rPr>
              <w:t>228</w:t>
            </w:r>
          </w:p>
        </w:tc>
      </w:tr>
    </w:tbl>
    <w:p w:rsidR="008D768D" w:rsidRPr="00391D7F" w:rsidRDefault="008D768D" w:rsidP="008D768D">
      <w:pPr>
        <w:pStyle w:val="SingleTxtG"/>
        <w:spacing w:before="120"/>
        <w:ind w:firstLine="170"/>
        <w:rPr>
          <w:i/>
          <w:sz w:val="18"/>
          <w:szCs w:val="18"/>
        </w:rPr>
      </w:pPr>
      <w:r w:rsidRPr="00391D7F">
        <w:rPr>
          <w:i/>
          <w:sz w:val="18"/>
          <w:szCs w:val="18"/>
        </w:rPr>
        <w:t>Source: Service de Contrôle de la détention et de la statistique/DGAP/MINJUS</w:t>
      </w:r>
      <w:r>
        <w:rPr>
          <w:i/>
          <w:sz w:val="18"/>
          <w:szCs w:val="18"/>
        </w:rPr>
        <w:t>.</w:t>
      </w:r>
    </w:p>
    <w:p w:rsidR="008D768D" w:rsidRPr="005D65CE" w:rsidRDefault="008D768D" w:rsidP="008D768D">
      <w:pPr>
        <w:pStyle w:val="SingleTxtG"/>
        <w:tabs>
          <w:tab w:val="left" w:pos="3400"/>
          <w:tab w:val="left" w:pos="4800"/>
        </w:tabs>
        <w:spacing w:before="240"/>
        <w:ind w:left="3402" w:hanging="2268"/>
        <w:jc w:val="left"/>
        <w:rPr>
          <w:bCs/>
        </w:rPr>
      </w:pPr>
      <w:r w:rsidRPr="005D65CE">
        <w:rPr>
          <w:bCs/>
        </w:rPr>
        <w:t>Soit en pourcentage:</w:t>
      </w:r>
      <w:r>
        <w:rPr>
          <w:bCs/>
        </w:rPr>
        <w:tab/>
      </w:r>
      <w:r w:rsidRPr="005D65CE">
        <w:rPr>
          <w:bCs/>
        </w:rPr>
        <w:t>Hospitalisations:</w:t>
      </w:r>
      <w:r>
        <w:rPr>
          <w:bCs/>
        </w:rPr>
        <w:t xml:space="preserve"> </w:t>
      </w:r>
      <w:r w:rsidRPr="005D65CE">
        <w:rPr>
          <w:bCs/>
        </w:rPr>
        <w:t>6, 03 %</w:t>
      </w:r>
      <w:r>
        <w:rPr>
          <w:bCs/>
        </w:rPr>
        <w:br/>
        <w:t>Décès:</w:t>
      </w:r>
      <w:r>
        <w:rPr>
          <w:bCs/>
        </w:rPr>
        <w:tab/>
      </w:r>
      <w:r w:rsidRPr="005D65CE">
        <w:rPr>
          <w:bCs/>
        </w:rPr>
        <w:t>1, 30 %</w:t>
      </w:r>
    </w:p>
    <w:p w:rsidR="008D768D" w:rsidRPr="005D65CE" w:rsidRDefault="008D768D" w:rsidP="008D768D">
      <w:pPr>
        <w:pStyle w:val="SingleTxtG"/>
        <w:ind w:firstLine="567"/>
        <w:outlineLvl w:val="0"/>
        <w:rPr>
          <w:b/>
          <w:i/>
        </w:rPr>
      </w:pPr>
      <w:r w:rsidRPr="005D65CE">
        <w:rPr>
          <w:b/>
        </w:rPr>
        <w:t>Conditions de détention des mineurs</w:t>
      </w:r>
    </w:p>
    <w:p w:rsidR="008D768D" w:rsidRPr="005D65CE" w:rsidRDefault="008D768D" w:rsidP="008D768D">
      <w:pPr>
        <w:pStyle w:val="SingleTxtG"/>
      </w:pPr>
      <w:r w:rsidRPr="005D65CE">
        <w:t>24</w:t>
      </w:r>
      <w:r>
        <w:t>6</w:t>
      </w:r>
      <w:r w:rsidRPr="005D65CE">
        <w:t>.</w:t>
      </w:r>
      <w:r w:rsidRPr="005D65CE">
        <w:tab/>
        <w:t>Les mineurs sont affectés dans des quartiers séparés de ceux des adultes. Les mineurs détenus bénéficient de traitements adaptés à leur situation. Ils bénéficient du droit à l’éducation et à l’enseignement. Certains détenus mineurs ont pu obtenir leur diplôme de Certificat d’</w:t>
      </w:r>
      <w:r>
        <w:t>É</w:t>
      </w:r>
      <w:r w:rsidRPr="005D65CE">
        <w:t xml:space="preserve">tudes Primaires </w:t>
      </w:r>
      <w:r>
        <w:t>É</w:t>
      </w:r>
      <w:r w:rsidRPr="005D65CE">
        <w:t>lémentaires (CEPE) et Brevet d’</w:t>
      </w:r>
      <w:r>
        <w:t>É</w:t>
      </w:r>
      <w:r w:rsidRPr="005D65CE">
        <w:t xml:space="preserve">tudes du Premier Cycle (BEPC) durant leur détention. </w:t>
      </w:r>
    </w:p>
    <w:p w:rsidR="008D768D" w:rsidRDefault="008D768D" w:rsidP="008D768D">
      <w:pPr>
        <w:pStyle w:val="SingleTxtG"/>
      </w:pPr>
      <w:r w:rsidRPr="005D65CE">
        <w:t>24</w:t>
      </w:r>
      <w:r>
        <w:t>7</w:t>
      </w:r>
      <w:r w:rsidRPr="005D65CE">
        <w:t>.</w:t>
      </w:r>
      <w:r w:rsidRPr="005D65CE">
        <w:tab/>
        <w:t>Ils bénéficient également des mêmes droits que les adultes, entre autres, le droit de visite, le droit de communiquer avec les membres de leur famille</w:t>
      </w:r>
      <w:r>
        <w:t xml:space="preserve"> et</w:t>
      </w:r>
      <w:r w:rsidRPr="005D65CE">
        <w:t xml:space="preserve"> le droit d’être assisté</w:t>
      </w:r>
      <w:r>
        <w:t xml:space="preserve">s </w:t>
      </w:r>
      <w:r w:rsidRPr="005D65CE">
        <w:t>par un conseil.</w:t>
      </w:r>
    </w:p>
    <w:p w:rsidR="008D768D" w:rsidRPr="00586676" w:rsidRDefault="008D768D" w:rsidP="008D768D">
      <w:pPr>
        <w:pStyle w:val="SingleTxtG"/>
        <w:spacing w:before="240" w:after="0"/>
        <w:jc w:val="center"/>
        <w:rPr>
          <w:sz w:val="24"/>
          <w:szCs w:val="24"/>
          <w:u w:val="single"/>
        </w:rPr>
      </w:pPr>
      <w:r w:rsidRPr="00586676">
        <w:rPr>
          <w:sz w:val="24"/>
          <w:szCs w:val="24"/>
          <w:u w:val="single"/>
        </w:rPr>
        <w:tab/>
      </w:r>
      <w:r w:rsidRPr="00586676">
        <w:rPr>
          <w:sz w:val="24"/>
          <w:szCs w:val="24"/>
          <w:u w:val="single"/>
        </w:rPr>
        <w:tab/>
      </w:r>
      <w:r w:rsidRPr="00586676">
        <w:rPr>
          <w:sz w:val="24"/>
          <w:szCs w:val="24"/>
          <w:u w:val="single"/>
        </w:rPr>
        <w:tab/>
      </w:r>
    </w:p>
    <w:p w:rsidR="008D768D" w:rsidRPr="00287E79" w:rsidRDefault="008D768D" w:rsidP="008D768D">
      <w:pPr>
        <w:pStyle w:val="SingleTxtG"/>
        <w:spacing w:before="120"/>
        <w:ind w:firstLine="170"/>
      </w:pPr>
    </w:p>
    <w:sectPr w:rsidR="008D768D" w:rsidRPr="00287E79" w:rsidSect="003D55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1BE" w:rsidRDefault="00A311BE"/>
  </w:endnote>
  <w:endnote w:type="continuationSeparator" w:id="0">
    <w:p w:rsidR="00A311BE" w:rsidRDefault="00A311BE"/>
  </w:endnote>
  <w:endnote w:type="continuationNotice" w:id="1">
    <w:p w:rsidR="00A311BE" w:rsidRDefault="00A311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BE" w:rsidRPr="003D5557" w:rsidRDefault="00A311BE" w:rsidP="003D5557">
    <w:pPr>
      <w:pStyle w:val="Footer"/>
      <w:tabs>
        <w:tab w:val="right" w:pos="9638"/>
      </w:tabs>
    </w:pPr>
    <w:r w:rsidRPr="003D5557">
      <w:rPr>
        <w:b/>
        <w:sz w:val="18"/>
      </w:rPr>
      <w:fldChar w:fldCharType="begin"/>
    </w:r>
    <w:r w:rsidRPr="003D5557">
      <w:rPr>
        <w:b/>
        <w:sz w:val="18"/>
      </w:rPr>
      <w:instrText xml:space="preserve"> PAGE  \* MERGEFORMAT </w:instrText>
    </w:r>
    <w:r w:rsidRPr="003D5557">
      <w:rPr>
        <w:b/>
        <w:sz w:val="18"/>
      </w:rPr>
      <w:fldChar w:fldCharType="separate"/>
    </w:r>
    <w:r w:rsidR="00761DA2">
      <w:rPr>
        <w:b/>
        <w:noProof/>
        <w:sz w:val="18"/>
      </w:rPr>
      <w:t>36</w:t>
    </w:r>
    <w:r w:rsidRPr="003D5557">
      <w:rPr>
        <w:b/>
        <w:sz w:val="18"/>
      </w:rPr>
      <w:fldChar w:fldCharType="end"/>
    </w:r>
    <w:r>
      <w:rPr>
        <w:b/>
        <w:sz w:val="18"/>
      </w:rPr>
      <w:tab/>
    </w:r>
    <w:r>
      <w:t>GE.11-41188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BE" w:rsidRPr="003D5557" w:rsidRDefault="00A311BE" w:rsidP="003D5557">
    <w:pPr>
      <w:pStyle w:val="Footer"/>
      <w:tabs>
        <w:tab w:val="right" w:pos="9638"/>
      </w:tabs>
      <w:rPr>
        <w:b/>
        <w:sz w:val="18"/>
      </w:rPr>
    </w:pPr>
    <w:r>
      <w:t>GE.11-41188</w:t>
    </w:r>
    <w:r>
      <w:tab/>
    </w:r>
    <w:r w:rsidRPr="003D5557">
      <w:rPr>
        <w:b/>
        <w:sz w:val="18"/>
      </w:rPr>
      <w:fldChar w:fldCharType="begin"/>
    </w:r>
    <w:r w:rsidRPr="003D5557">
      <w:rPr>
        <w:b/>
        <w:sz w:val="18"/>
      </w:rPr>
      <w:instrText xml:space="preserve"> PAGE  \* MERGEFORMAT </w:instrText>
    </w:r>
    <w:r w:rsidRPr="003D5557">
      <w:rPr>
        <w:b/>
        <w:sz w:val="18"/>
      </w:rPr>
      <w:fldChar w:fldCharType="separate"/>
    </w:r>
    <w:r w:rsidR="00761DA2">
      <w:rPr>
        <w:b/>
        <w:noProof/>
        <w:sz w:val="18"/>
      </w:rPr>
      <w:t>37</w:t>
    </w:r>
    <w:r w:rsidRPr="003D555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BE" w:rsidRPr="003D5557" w:rsidRDefault="00A311B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 xml:space="preserve">11-41188  (F)    </w:t>
    </w:r>
    <w:r w:rsidRPr="009D413E">
      <w:rPr>
        <w:sz w:val="20"/>
      </w:rPr>
      <w:t>280211    280211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1BE" w:rsidRPr="00D27D5E" w:rsidRDefault="00A311BE" w:rsidP="00D27D5E">
      <w:pPr>
        <w:tabs>
          <w:tab w:val="right" w:pos="2155"/>
        </w:tabs>
        <w:spacing w:after="80"/>
        <w:ind w:left="680"/>
        <w:rPr>
          <w:u w:val="single"/>
        </w:rPr>
      </w:pPr>
      <w:r>
        <w:rPr>
          <w:u w:val="single"/>
        </w:rPr>
        <w:tab/>
      </w:r>
    </w:p>
  </w:footnote>
  <w:footnote w:type="continuationSeparator" w:id="0">
    <w:p w:rsidR="00A311BE" w:rsidRPr="00A103C4" w:rsidRDefault="00A311BE" w:rsidP="00A103C4">
      <w:pPr>
        <w:tabs>
          <w:tab w:val="right" w:pos="2155"/>
        </w:tabs>
        <w:spacing w:after="80"/>
        <w:ind w:left="680"/>
        <w:rPr>
          <w:u w:val="single"/>
        </w:rPr>
      </w:pPr>
      <w:r w:rsidRPr="00A103C4">
        <w:rPr>
          <w:u w:val="single"/>
        </w:rPr>
        <w:tab/>
      </w:r>
    </w:p>
  </w:footnote>
  <w:footnote w:type="continuationNotice" w:id="1">
    <w:p w:rsidR="00A311BE" w:rsidRDefault="00A311BE"/>
  </w:footnote>
  <w:footnote w:id="2">
    <w:p w:rsidR="00A311BE" w:rsidRPr="009F2299" w:rsidRDefault="00A311BE" w:rsidP="002D42EF">
      <w:pPr>
        <w:pStyle w:val="FootnoteText"/>
        <w:rPr>
          <w:lang w:val="fr-FR"/>
        </w:rPr>
      </w:pPr>
      <w:r w:rsidRPr="00B867CE">
        <w:tab/>
      </w:r>
      <w:r w:rsidRPr="009F2299">
        <w:t>*</w:t>
      </w:r>
      <w:r w:rsidRPr="00B867CE">
        <w:tab/>
      </w:r>
      <w:r w:rsidRPr="00B867CE">
        <w:rPr>
          <w:lang w:val="fr-FR"/>
        </w:rPr>
        <w:t>Conformément aux informations communiquées aux États parties concernant le traitement de leurs rapports, le présent document n</w:t>
      </w:r>
      <w:r>
        <w:rPr>
          <w:lang w:val="fr-FR"/>
        </w:rPr>
        <w:t>’</w:t>
      </w:r>
      <w:r w:rsidRPr="00B867CE">
        <w:rPr>
          <w:lang w:val="fr-FR"/>
        </w:rPr>
        <w:t>a pas été</w:t>
      </w:r>
      <w:r>
        <w:rPr>
          <w:lang w:val="fr-FR"/>
        </w:rPr>
        <w:t xml:space="preserve"> dûment</w:t>
      </w:r>
      <w:r w:rsidRPr="00B867CE">
        <w:rPr>
          <w:lang w:val="fr-FR"/>
        </w:rPr>
        <w:t xml:space="preserve"> revu par les services d</w:t>
      </w:r>
      <w:r>
        <w:rPr>
          <w:lang w:val="fr-FR"/>
        </w:rPr>
        <w:t>’</w:t>
      </w:r>
      <w:r w:rsidRPr="00B867CE">
        <w:rPr>
          <w:lang w:val="fr-FR"/>
        </w:rPr>
        <w:t>édition avant d</w:t>
      </w:r>
      <w:r>
        <w:rPr>
          <w:lang w:val="fr-FR"/>
        </w:rPr>
        <w:t>’</w:t>
      </w:r>
      <w:r w:rsidRPr="00B867CE">
        <w:rPr>
          <w:lang w:val="fr-FR"/>
        </w:rPr>
        <w:t>être envoyé aux services de traduction de l</w:t>
      </w:r>
      <w:r>
        <w:rPr>
          <w:lang w:val="fr-FR"/>
        </w:rPr>
        <w:t>’</w:t>
      </w:r>
      <w:r w:rsidRPr="00B867CE">
        <w:rPr>
          <w:lang w:val="fr-FR"/>
        </w:rPr>
        <w:t>Organisation des Nations Unies.</w:t>
      </w:r>
    </w:p>
  </w:footnote>
  <w:footnote w:id="3">
    <w:p w:rsidR="00A311BE" w:rsidRPr="002B0897" w:rsidRDefault="00A311BE" w:rsidP="002D42EF">
      <w:pPr>
        <w:pStyle w:val="FootnoteText"/>
        <w:rPr>
          <w:i/>
        </w:rPr>
      </w:pPr>
      <w:r>
        <w:tab/>
      </w:r>
      <w:r w:rsidRPr="00B867CE">
        <w:rPr>
          <w:rStyle w:val="FootnoteReference"/>
        </w:rPr>
        <w:footnoteRef/>
      </w:r>
      <w:r w:rsidRPr="00B867CE">
        <w:t xml:space="preserve"> </w:t>
      </w:r>
      <w:r>
        <w:tab/>
      </w:r>
      <w:r w:rsidRPr="002B0897">
        <w:rPr>
          <w:i/>
        </w:rPr>
        <w:t>«L’officier de police judiciaire, lors de la première audition de toute personne soupçonnée d’avoir commis un crime ou un délit, doit l’avertir de son droit de choisir un défenseur parmi les avocats inscrits au barreau de Madagascar ou un agent d’affaires ou toute personne de son choix sous réserve des dispositions légales en vigueur.</w:t>
      </w:r>
    </w:p>
    <w:p w:rsidR="00A311BE" w:rsidRPr="00F57D71" w:rsidRDefault="00A311BE" w:rsidP="002D42EF">
      <w:pPr>
        <w:pStyle w:val="FootnoteText"/>
      </w:pPr>
      <w:r>
        <w:rPr>
          <w:i/>
          <w:iCs/>
          <w:sz w:val="16"/>
          <w:szCs w:val="16"/>
        </w:rPr>
        <w:tab/>
      </w:r>
      <w:r>
        <w:rPr>
          <w:i/>
          <w:iCs/>
          <w:sz w:val="16"/>
          <w:szCs w:val="16"/>
        </w:rPr>
        <w:tab/>
      </w:r>
      <w:r w:rsidRPr="00F57D71">
        <w:rPr>
          <w:i/>
        </w:rPr>
        <w:t>Mention de l’accomplissement de cette formalité doit être faite au procès-verbal d’audition à peine de nullité de la procédure et sans préjudice de l’application contre l’officier de police judiciaire des dispositions de l’article 112 alinéa 2 du présent Code</w:t>
      </w:r>
      <w:r>
        <w:rPr>
          <w:i/>
        </w:rPr>
        <w:t>.</w:t>
      </w:r>
      <w:r w:rsidRPr="00F57D71">
        <w:rPr>
          <w:i/>
        </w:rPr>
        <w:t>»</w:t>
      </w:r>
    </w:p>
  </w:footnote>
  <w:footnote w:id="4">
    <w:p w:rsidR="00A311BE" w:rsidRPr="004D5F81" w:rsidRDefault="00A311BE" w:rsidP="002D42EF">
      <w:pPr>
        <w:pStyle w:val="FootnoteText"/>
      </w:pPr>
      <w:r>
        <w:tab/>
      </w:r>
      <w:r w:rsidRPr="00B867CE">
        <w:rPr>
          <w:rStyle w:val="FootnoteReference"/>
        </w:rPr>
        <w:footnoteRef/>
      </w:r>
      <w:r w:rsidRPr="00B867CE">
        <w:t xml:space="preserve"> </w:t>
      </w:r>
      <w:r>
        <w:tab/>
      </w:r>
      <w:r w:rsidRPr="00B867CE">
        <w:t>Article 13</w:t>
      </w:r>
      <w:r>
        <w:t>:</w:t>
      </w:r>
      <w:r w:rsidRPr="00B867CE">
        <w:t xml:space="preserve"> </w:t>
      </w:r>
      <w:r>
        <w:t>«P</w:t>
      </w:r>
      <w:r w:rsidRPr="004D5F81">
        <w:t xml:space="preserve">eut également être refoulé, l’étranger admis à séjourner temporairement lorsque sa présence sur le </w:t>
      </w:r>
      <w:r>
        <w:t>T</w:t>
      </w:r>
      <w:r w:rsidRPr="004D5F81">
        <w:t>erritoire constitue une menace pour le maintien de l’ordre public, la protection de la santé, la moralité ou la sécurité publique</w:t>
      </w:r>
      <w:r>
        <w:t>.»</w:t>
      </w:r>
    </w:p>
    <w:p w:rsidR="00A311BE" w:rsidRPr="00B867CE" w:rsidRDefault="00A311BE" w:rsidP="002D42EF">
      <w:pPr>
        <w:pStyle w:val="FootnoteText"/>
      </w:pPr>
      <w:r>
        <w:tab/>
      </w:r>
      <w:r>
        <w:tab/>
      </w:r>
      <w:r w:rsidRPr="00B867CE">
        <w:t>Article 14</w:t>
      </w:r>
      <w:r>
        <w:t>:</w:t>
      </w:r>
      <w:r w:rsidRPr="00B867CE">
        <w:t xml:space="preserve"> </w:t>
      </w:r>
      <w:r w:rsidRPr="004D5F81">
        <w:rPr>
          <w:iCs/>
        </w:rPr>
        <w:t>«</w:t>
      </w:r>
      <w:r>
        <w:rPr>
          <w:iCs/>
        </w:rPr>
        <w:t>L’</w:t>
      </w:r>
      <w:r w:rsidRPr="00B867CE">
        <w:rPr>
          <w:iCs/>
        </w:rPr>
        <w:t xml:space="preserve">expulsion peut être prononcée par </w:t>
      </w:r>
      <w:r>
        <w:rPr>
          <w:iCs/>
        </w:rPr>
        <w:t>a</w:t>
      </w:r>
      <w:r w:rsidRPr="00B867CE">
        <w:rPr>
          <w:iCs/>
        </w:rPr>
        <w:t>rrêté du Ministre de l</w:t>
      </w:r>
      <w:r>
        <w:rPr>
          <w:iCs/>
        </w:rPr>
        <w:t>’i</w:t>
      </w:r>
      <w:r w:rsidRPr="00B867CE">
        <w:rPr>
          <w:iCs/>
        </w:rPr>
        <w:t>ntérieur si la résidence d</w:t>
      </w:r>
      <w:r>
        <w:rPr>
          <w:iCs/>
        </w:rPr>
        <w:t>e l’</w:t>
      </w:r>
      <w:r w:rsidRPr="00B867CE">
        <w:rPr>
          <w:iCs/>
        </w:rPr>
        <w:t xml:space="preserve">étranger sur le </w:t>
      </w:r>
      <w:r>
        <w:rPr>
          <w:iCs/>
        </w:rPr>
        <w:t>T</w:t>
      </w:r>
      <w:r w:rsidRPr="00B867CE">
        <w:rPr>
          <w:iCs/>
        </w:rPr>
        <w:t>erritoire constitue une menace pour l</w:t>
      </w:r>
      <w:r>
        <w:rPr>
          <w:iCs/>
        </w:rPr>
        <w:t>’</w:t>
      </w:r>
      <w:r w:rsidRPr="00B867CE">
        <w:rPr>
          <w:iCs/>
        </w:rPr>
        <w:t>ordre ou la sécurité publique. L</w:t>
      </w:r>
      <w:r>
        <w:rPr>
          <w:iCs/>
        </w:rPr>
        <w:t>’</w:t>
      </w:r>
      <w:r w:rsidRPr="00B867CE">
        <w:rPr>
          <w:iCs/>
        </w:rPr>
        <w:t>arrêté d</w:t>
      </w:r>
      <w:r>
        <w:rPr>
          <w:iCs/>
        </w:rPr>
        <w:t>’</w:t>
      </w:r>
      <w:r w:rsidRPr="00B867CE">
        <w:rPr>
          <w:iCs/>
        </w:rPr>
        <w:t>expulsion est rapporté, le cas échéant, dans les mêmes formes</w:t>
      </w:r>
      <w:r>
        <w:rPr>
          <w:iCs/>
        </w:rPr>
        <w:t>.</w:t>
      </w:r>
      <w:r w:rsidRPr="004D5F81">
        <w:rPr>
          <w:iCs/>
        </w:rPr>
        <w:t>»</w:t>
      </w:r>
    </w:p>
  </w:footnote>
  <w:footnote w:id="5">
    <w:p w:rsidR="00A311BE" w:rsidRPr="00B867CE" w:rsidRDefault="00A311BE" w:rsidP="002D42EF">
      <w:pPr>
        <w:pStyle w:val="FootnoteText"/>
      </w:pPr>
      <w:r>
        <w:tab/>
      </w:r>
      <w:r w:rsidRPr="00B867CE">
        <w:rPr>
          <w:rStyle w:val="FootnoteReference"/>
        </w:rPr>
        <w:footnoteRef/>
      </w:r>
      <w:r w:rsidRPr="00B867CE">
        <w:t xml:space="preserve"> </w:t>
      </w:r>
      <w:r>
        <w:tab/>
      </w:r>
      <w:r w:rsidRPr="00B867CE">
        <w:t xml:space="preserve">Des mesures administratives ont été prises dans ce sens, notamment les notes circulaires </w:t>
      </w:r>
      <w:r w:rsidRPr="00C14D2A">
        <w:t>n</w:t>
      </w:r>
      <w:r w:rsidRPr="00C14D2A">
        <w:rPr>
          <w:vertAlign w:val="superscript"/>
        </w:rPr>
        <w:t>o</w:t>
      </w:r>
      <w:r w:rsidRPr="00B867CE">
        <w:t xml:space="preserve"> 508/PG du</w:t>
      </w:r>
      <w:r>
        <w:t> </w:t>
      </w:r>
      <w:r w:rsidRPr="00B867CE">
        <w:t>27 septembre 1963 et n° 521/PG du 10 mars 2004, obligeant le Ministère Public à aviser la représentation diplomatique dont relève un ressortissant étranger inculpé et faisant l</w:t>
      </w:r>
      <w:r>
        <w:t>’</w:t>
      </w:r>
      <w:r w:rsidRPr="00B867CE">
        <w:t>objet ou non d</w:t>
      </w:r>
      <w:r>
        <w:t>’un</w:t>
      </w:r>
      <w:r w:rsidRPr="00B867CE">
        <w:t>e détention préventive.</w:t>
      </w:r>
    </w:p>
  </w:footnote>
  <w:footnote w:id="6">
    <w:p w:rsidR="00A311BE" w:rsidRPr="00483C41" w:rsidRDefault="00A311BE" w:rsidP="002D42EF">
      <w:pPr>
        <w:pStyle w:val="FootnoteText"/>
      </w:pPr>
      <w:r>
        <w:tab/>
      </w:r>
      <w:r w:rsidRPr="00B867CE">
        <w:rPr>
          <w:rStyle w:val="FootnoteReference"/>
          <w:sz w:val="16"/>
          <w:szCs w:val="16"/>
        </w:rPr>
        <w:footnoteRef/>
      </w:r>
      <w:r w:rsidRPr="00B867CE">
        <w:t xml:space="preserve"> </w:t>
      </w:r>
      <w:r>
        <w:tab/>
      </w:r>
      <w:r w:rsidRPr="00483C41">
        <w:t>«Sans préjudice des visites périodiques effectuées par les autorités judiciaires et celle de la Commission de surveillance, les établissements pénitentiaires sont soumis au contrôle de la Direction générale de l’Administration pénitentiaire, des directeurs régionaux et du Service de l’Inspection sanitaire</w:t>
      </w:r>
      <w:r>
        <w:t>».</w:t>
      </w:r>
    </w:p>
  </w:footnote>
  <w:footnote w:id="7">
    <w:p w:rsidR="00A311BE" w:rsidRPr="00483C41" w:rsidRDefault="00A311BE" w:rsidP="002D42EF">
      <w:pPr>
        <w:pStyle w:val="FootnoteText"/>
      </w:pPr>
      <w:r>
        <w:tab/>
      </w:r>
      <w:r w:rsidRPr="00B867CE">
        <w:rPr>
          <w:rStyle w:val="FootnoteReference"/>
          <w:sz w:val="16"/>
          <w:szCs w:val="16"/>
        </w:rPr>
        <w:footnoteRef/>
      </w:r>
      <w:r w:rsidRPr="00B867CE">
        <w:t xml:space="preserve"> </w:t>
      </w:r>
      <w:r>
        <w:tab/>
      </w:r>
      <w:r w:rsidRPr="00483C41">
        <w:t>«Les services du Contrôle de la détention de la statistique effectue</w:t>
      </w:r>
      <w:r>
        <w:t>nt</w:t>
      </w:r>
      <w:r w:rsidRPr="00483C41">
        <w:t xml:space="preserve"> régulièrement des inspections dans les établissements pénitentiaires et notamment dans les greffes</w:t>
      </w:r>
      <w:r>
        <w:t>».</w:t>
      </w:r>
    </w:p>
  </w:footnote>
  <w:footnote w:id="8">
    <w:p w:rsidR="00A311BE" w:rsidRPr="00B867CE" w:rsidRDefault="00A311BE" w:rsidP="002D42EF">
      <w:pPr>
        <w:pStyle w:val="FootnoteText"/>
      </w:pPr>
      <w:r>
        <w:tab/>
      </w:r>
      <w:r w:rsidRPr="00B867CE">
        <w:rPr>
          <w:rStyle w:val="FootnoteReference"/>
          <w:sz w:val="16"/>
          <w:szCs w:val="16"/>
        </w:rPr>
        <w:footnoteRef/>
      </w:r>
      <w:r w:rsidRPr="00B867CE">
        <w:t xml:space="preserve"> </w:t>
      </w:r>
      <w:r>
        <w:tab/>
      </w:r>
      <w:r w:rsidRPr="00B867CE">
        <w:t xml:space="preserve">Articles 39 à 45 du décret </w:t>
      </w:r>
      <w:r w:rsidRPr="00C14D2A">
        <w:t>n</w:t>
      </w:r>
      <w:r w:rsidRPr="00C14D2A">
        <w:rPr>
          <w:vertAlign w:val="superscript"/>
        </w:rPr>
        <w:t>o</w:t>
      </w:r>
      <w:r>
        <w:t xml:space="preserve"> </w:t>
      </w:r>
      <w:r w:rsidRPr="00B867CE">
        <w:t xml:space="preserve">2006-015 portant </w:t>
      </w:r>
      <w:r>
        <w:t>o</w:t>
      </w:r>
      <w:r w:rsidRPr="00B867CE">
        <w:t>rganisation générale de l</w:t>
      </w:r>
      <w:r>
        <w:t>’Administration pénitentiaire.</w:t>
      </w:r>
    </w:p>
  </w:footnote>
  <w:footnote w:id="9">
    <w:p w:rsidR="00A311BE" w:rsidRPr="00904458" w:rsidRDefault="00A311BE" w:rsidP="002D42EF">
      <w:pPr>
        <w:pStyle w:val="FootnoteText"/>
        <w:rPr>
          <w:i/>
        </w:rPr>
      </w:pPr>
      <w:r>
        <w:tab/>
      </w:r>
      <w:r w:rsidRPr="00B867CE">
        <w:rPr>
          <w:rStyle w:val="FootnoteReference"/>
        </w:rPr>
        <w:footnoteRef/>
      </w:r>
      <w:r w:rsidRPr="00B867CE">
        <w:t xml:space="preserve"> </w:t>
      </w:r>
      <w:r>
        <w:tab/>
      </w:r>
      <w:r w:rsidRPr="00904458">
        <w:rPr>
          <w:i/>
        </w:rPr>
        <w:t>«Dès le début de la garde à vue la personne arrêtée peut faire l’objet d’un examen médical sur la demande de l’officier de police judiciaire chargé de l’enquête. Le procureur de la République ou le magistrat qui le représente, agissant, soit d’office, soit à la requête d’un membre de la famille pourra désigner un médecin qui examinera la personne gardée à vue et lui en fera rapport. Cet examen pou</w:t>
      </w:r>
      <w:r>
        <w:rPr>
          <w:i/>
        </w:rPr>
        <w:t>rra être demandé par le conseil</w:t>
      </w:r>
      <w:r w:rsidRPr="00904458">
        <w:rPr>
          <w:i/>
        </w:rPr>
        <w:t>.</w:t>
      </w:r>
      <w:r>
        <w:rPr>
          <w:i/>
        </w:rPr>
        <w:t>»</w:t>
      </w:r>
    </w:p>
  </w:footnote>
  <w:footnote w:id="10">
    <w:p w:rsidR="00A311BE" w:rsidRPr="00904458" w:rsidRDefault="00A311BE" w:rsidP="002D42EF">
      <w:pPr>
        <w:pStyle w:val="FootnoteText"/>
        <w:rPr>
          <w:i/>
        </w:rPr>
      </w:pPr>
      <w:r>
        <w:tab/>
      </w:r>
      <w:r w:rsidRPr="00B867CE">
        <w:rPr>
          <w:rStyle w:val="FootnoteReference"/>
        </w:rPr>
        <w:footnoteRef/>
      </w:r>
      <w:r w:rsidRPr="00B867CE">
        <w:t xml:space="preserve"> </w:t>
      </w:r>
      <w:r>
        <w:tab/>
      </w:r>
      <w:r w:rsidRPr="00904458">
        <w:rPr>
          <w:i/>
        </w:rPr>
        <w:t>«Un officier de police judiciaire ne peut retenir une personne à sa disposition pour les nécessités de l’enquête préliminaire pendant plus de quarante-huit heures. Passé ce délai, la personne retenue doit obligatoirement être relâchée ou conduite devant le magistrat du ministère public. Si ce délai expire les samedi, dimanche et jours fériés, le magistrat de permanence ou l’officier du ministère public doit être avisé de l’heure à laquelle la personne sera déférée.</w:t>
      </w:r>
    </w:p>
    <w:p w:rsidR="00A311BE" w:rsidRPr="00904458" w:rsidRDefault="00A311BE" w:rsidP="002D42EF">
      <w:pPr>
        <w:pStyle w:val="FootnoteText"/>
        <w:rPr>
          <w:i/>
        </w:rPr>
      </w:pPr>
      <w:r w:rsidRPr="00904458">
        <w:rPr>
          <w:i/>
        </w:rPr>
        <w:tab/>
      </w:r>
      <w:r w:rsidRPr="00904458">
        <w:rPr>
          <w:i/>
        </w:rPr>
        <w:tab/>
        <w:t>Si le magistrat du ministère public est absent de sa résidence, ce délai est porté à trois jours. Si la résidence de l’officier de police judiciaire est située hors de la ville siège d’un tribunal ou d’une section de tribunal, il peut demander au magistrat ou à l’officier du ministère public de sa circonscription l’autorisation de prolonger la garde à vue de la personne retenue pour une durée n’excédant pas quarante-huit heures. Cette autorisation doit être confirmée par écrit et jointe au procès-verbal. Passé ce délai la personne retenue doit obligatoirement être relâchée ou conduite devant le magistrat ou l’officier du ministère public compétent</w:t>
      </w:r>
      <w:r>
        <w:rPr>
          <w:i/>
        </w:rPr>
        <w:t>.</w:t>
      </w:r>
      <w:r>
        <w:rPr>
          <w:b/>
          <w:bCs/>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BE" w:rsidRPr="003D5557" w:rsidRDefault="00A311BE">
    <w:pPr>
      <w:pStyle w:val="Header"/>
    </w:pPr>
    <w:r>
      <w:t>CAT/C/MDG/1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1BE" w:rsidRPr="003D5557" w:rsidRDefault="00A311BE" w:rsidP="003D5557">
    <w:pPr>
      <w:pStyle w:val="Header"/>
      <w:jc w:val="right"/>
    </w:pPr>
    <w:r>
      <w:t>CAT/C/MDG/1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14EB5"/>
    <w:multiLevelType w:val="hybridMultilevel"/>
    <w:tmpl w:val="21004E56"/>
    <w:lvl w:ilvl="0" w:tplc="7976304E">
      <w:start w:val="1"/>
      <w:numFmt w:val="bullet"/>
      <w:lvlText w:val=""/>
      <w:lvlJc w:val="left"/>
      <w:pPr>
        <w:tabs>
          <w:tab w:val="num" w:pos="1696"/>
        </w:tabs>
        <w:ind w:left="2830" w:hanging="567"/>
      </w:pPr>
      <w:rPr>
        <w:rFonts w:ascii="Wingdings" w:hAnsi="Wingdings" w:hint="default"/>
      </w:rPr>
    </w:lvl>
    <w:lvl w:ilvl="1" w:tplc="040C0003" w:tentative="1">
      <w:start w:val="1"/>
      <w:numFmt w:val="bullet"/>
      <w:lvlText w:val="o"/>
      <w:lvlJc w:val="left"/>
      <w:pPr>
        <w:tabs>
          <w:tab w:val="num" w:pos="2569"/>
        </w:tabs>
        <w:ind w:left="2569" w:hanging="360"/>
      </w:pPr>
      <w:rPr>
        <w:rFonts w:ascii="Courier New" w:hAnsi="Courier New" w:cs="Courier New" w:hint="default"/>
      </w:rPr>
    </w:lvl>
    <w:lvl w:ilvl="2" w:tplc="076ACA3E">
      <w:start w:val="1"/>
      <w:numFmt w:val="bullet"/>
      <w:lvlText w:val=""/>
      <w:lvlJc w:val="left"/>
      <w:pPr>
        <w:tabs>
          <w:tab w:val="num" w:pos="567"/>
        </w:tabs>
        <w:ind w:left="567" w:firstLine="567"/>
      </w:pPr>
      <w:rPr>
        <w:rFonts w:ascii="Wingdings" w:hAnsi="Wingdings" w:hint="default"/>
      </w:rPr>
    </w:lvl>
    <w:lvl w:ilvl="3" w:tplc="040C0001" w:tentative="1">
      <w:start w:val="1"/>
      <w:numFmt w:val="bullet"/>
      <w:lvlText w:val=""/>
      <w:lvlJc w:val="left"/>
      <w:pPr>
        <w:tabs>
          <w:tab w:val="num" w:pos="4009"/>
        </w:tabs>
        <w:ind w:left="4009" w:hanging="360"/>
      </w:pPr>
      <w:rPr>
        <w:rFonts w:ascii="Symbol" w:hAnsi="Symbol" w:hint="default"/>
      </w:rPr>
    </w:lvl>
    <w:lvl w:ilvl="4" w:tplc="040C0003" w:tentative="1">
      <w:start w:val="1"/>
      <w:numFmt w:val="bullet"/>
      <w:lvlText w:val="o"/>
      <w:lvlJc w:val="left"/>
      <w:pPr>
        <w:tabs>
          <w:tab w:val="num" w:pos="4729"/>
        </w:tabs>
        <w:ind w:left="4729" w:hanging="360"/>
      </w:pPr>
      <w:rPr>
        <w:rFonts w:ascii="Courier New" w:hAnsi="Courier New" w:cs="Courier New" w:hint="default"/>
      </w:rPr>
    </w:lvl>
    <w:lvl w:ilvl="5" w:tplc="040C0005" w:tentative="1">
      <w:start w:val="1"/>
      <w:numFmt w:val="bullet"/>
      <w:lvlText w:val=""/>
      <w:lvlJc w:val="left"/>
      <w:pPr>
        <w:tabs>
          <w:tab w:val="num" w:pos="5449"/>
        </w:tabs>
        <w:ind w:left="5449" w:hanging="360"/>
      </w:pPr>
      <w:rPr>
        <w:rFonts w:ascii="Wingdings" w:hAnsi="Wingdings" w:hint="default"/>
      </w:rPr>
    </w:lvl>
    <w:lvl w:ilvl="6" w:tplc="040C0001" w:tentative="1">
      <w:start w:val="1"/>
      <w:numFmt w:val="bullet"/>
      <w:lvlText w:val=""/>
      <w:lvlJc w:val="left"/>
      <w:pPr>
        <w:tabs>
          <w:tab w:val="num" w:pos="6169"/>
        </w:tabs>
        <w:ind w:left="6169" w:hanging="360"/>
      </w:pPr>
      <w:rPr>
        <w:rFonts w:ascii="Symbol" w:hAnsi="Symbol" w:hint="default"/>
      </w:rPr>
    </w:lvl>
    <w:lvl w:ilvl="7" w:tplc="040C0003" w:tentative="1">
      <w:start w:val="1"/>
      <w:numFmt w:val="bullet"/>
      <w:lvlText w:val="o"/>
      <w:lvlJc w:val="left"/>
      <w:pPr>
        <w:tabs>
          <w:tab w:val="num" w:pos="6889"/>
        </w:tabs>
        <w:ind w:left="6889" w:hanging="360"/>
      </w:pPr>
      <w:rPr>
        <w:rFonts w:ascii="Courier New" w:hAnsi="Courier New" w:cs="Courier New" w:hint="default"/>
      </w:rPr>
    </w:lvl>
    <w:lvl w:ilvl="8" w:tplc="040C0005" w:tentative="1">
      <w:start w:val="1"/>
      <w:numFmt w:val="bullet"/>
      <w:lvlText w:val=""/>
      <w:lvlJc w:val="left"/>
      <w:pPr>
        <w:tabs>
          <w:tab w:val="num" w:pos="7609"/>
        </w:tabs>
        <w:ind w:left="7609" w:hanging="360"/>
      </w:pPr>
      <w:rPr>
        <w:rFonts w:ascii="Wingdings" w:hAnsi="Wingdings" w:hint="default"/>
      </w:rPr>
    </w:lvl>
  </w:abstractNum>
  <w:abstractNum w:abstractNumId="1">
    <w:nsid w:val="1801170E"/>
    <w:multiLevelType w:val="hybridMultilevel"/>
    <w:tmpl w:val="2F702E10"/>
    <w:lvl w:ilvl="0" w:tplc="7976304E">
      <w:start w:val="1"/>
      <w:numFmt w:val="bullet"/>
      <w:lvlText w:val=""/>
      <w:lvlJc w:val="left"/>
      <w:pPr>
        <w:tabs>
          <w:tab w:val="num" w:pos="1696"/>
        </w:tabs>
        <w:ind w:left="2830" w:hanging="567"/>
      </w:pPr>
      <w:rPr>
        <w:rFonts w:ascii="Wingdings" w:hAnsi="Wingdings" w:hint="default"/>
      </w:rPr>
    </w:lvl>
    <w:lvl w:ilvl="1" w:tplc="040C0003" w:tentative="1">
      <w:start w:val="1"/>
      <w:numFmt w:val="bullet"/>
      <w:lvlText w:val="o"/>
      <w:lvlJc w:val="left"/>
      <w:pPr>
        <w:tabs>
          <w:tab w:val="num" w:pos="2569"/>
        </w:tabs>
        <w:ind w:left="2569" w:hanging="360"/>
      </w:pPr>
      <w:rPr>
        <w:rFonts w:ascii="Courier New" w:hAnsi="Courier New" w:cs="Courier New" w:hint="default"/>
      </w:rPr>
    </w:lvl>
    <w:lvl w:ilvl="2" w:tplc="AA341BA8">
      <w:start w:val="1"/>
      <w:numFmt w:val="bullet"/>
      <w:lvlText w:val=""/>
      <w:lvlJc w:val="left"/>
      <w:pPr>
        <w:tabs>
          <w:tab w:val="num" w:pos="567"/>
        </w:tabs>
        <w:ind w:left="567" w:hanging="567"/>
      </w:pPr>
      <w:rPr>
        <w:rFonts w:ascii="Wingdings" w:hAnsi="Wingdings" w:hint="default"/>
      </w:rPr>
    </w:lvl>
    <w:lvl w:ilvl="3" w:tplc="040C0001" w:tentative="1">
      <w:start w:val="1"/>
      <w:numFmt w:val="bullet"/>
      <w:lvlText w:val=""/>
      <w:lvlJc w:val="left"/>
      <w:pPr>
        <w:tabs>
          <w:tab w:val="num" w:pos="4009"/>
        </w:tabs>
        <w:ind w:left="4009" w:hanging="360"/>
      </w:pPr>
      <w:rPr>
        <w:rFonts w:ascii="Symbol" w:hAnsi="Symbol" w:hint="default"/>
      </w:rPr>
    </w:lvl>
    <w:lvl w:ilvl="4" w:tplc="040C0003" w:tentative="1">
      <w:start w:val="1"/>
      <w:numFmt w:val="bullet"/>
      <w:lvlText w:val="o"/>
      <w:lvlJc w:val="left"/>
      <w:pPr>
        <w:tabs>
          <w:tab w:val="num" w:pos="4729"/>
        </w:tabs>
        <w:ind w:left="4729" w:hanging="360"/>
      </w:pPr>
      <w:rPr>
        <w:rFonts w:ascii="Courier New" w:hAnsi="Courier New" w:cs="Courier New" w:hint="default"/>
      </w:rPr>
    </w:lvl>
    <w:lvl w:ilvl="5" w:tplc="040C0005" w:tentative="1">
      <w:start w:val="1"/>
      <w:numFmt w:val="bullet"/>
      <w:lvlText w:val=""/>
      <w:lvlJc w:val="left"/>
      <w:pPr>
        <w:tabs>
          <w:tab w:val="num" w:pos="5449"/>
        </w:tabs>
        <w:ind w:left="5449" w:hanging="360"/>
      </w:pPr>
      <w:rPr>
        <w:rFonts w:ascii="Wingdings" w:hAnsi="Wingdings" w:hint="default"/>
      </w:rPr>
    </w:lvl>
    <w:lvl w:ilvl="6" w:tplc="040C0001" w:tentative="1">
      <w:start w:val="1"/>
      <w:numFmt w:val="bullet"/>
      <w:lvlText w:val=""/>
      <w:lvlJc w:val="left"/>
      <w:pPr>
        <w:tabs>
          <w:tab w:val="num" w:pos="6169"/>
        </w:tabs>
        <w:ind w:left="6169" w:hanging="360"/>
      </w:pPr>
      <w:rPr>
        <w:rFonts w:ascii="Symbol" w:hAnsi="Symbol" w:hint="default"/>
      </w:rPr>
    </w:lvl>
    <w:lvl w:ilvl="7" w:tplc="040C0003" w:tentative="1">
      <w:start w:val="1"/>
      <w:numFmt w:val="bullet"/>
      <w:lvlText w:val="o"/>
      <w:lvlJc w:val="left"/>
      <w:pPr>
        <w:tabs>
          <w:tab w:val="num" w:pos="6889"/>
        </w:tabs>
        <w:ind w:left="6889" w:hanging="360"/>
      </w:pPr>
      <w:rPr>
        <w:rFonts w:ascii="Courier New" w:hAnsi="Courier New" w:cs="Courier New" w:hint="default"/>
      </w:rPr>
    </w:lvl>
    <w:lvl w:ilvl="8" w:tplc="040C0005" w:tentative="1">
      <w:start w:val="1"/>
      <w:numFmt w:val="bullet"/>
      <w:lvlText w:val=""/>
      <w:lvlJc w:val="left"/>
      <w:pPr>
        <w:tabs>
          <w:tab w:val="num" w:pos="7609"/>
        </w:tabs>
        <w:ind w:left="7609"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6FA6048E"/>
    <w:multiLevelType w:val="hybridMultilevel"/>
    <w:tmpl w:val="ECDC402C"/>
    <w:lvl w:ilvl="0" w:tplc="F954CACE">
      <w:start w:val="1"/>
      <w:numFmt w:val="bullet"/>
      <w:lvlText w:val="•"/>
      <w:lvlJc w:val="left"/>
      <w:pPr>
        <w:tabs>
          <w:tab w:val="num" w:pos="170"/>
        </w:tabs>
        <w:ind w:left="170" w:hanging="170"/>
      </w:pPr>
      <w:rPr>
        <w:rFonts w:ascii="Times New Roman" w:eastAsia="MS Mincho"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FDF16F4"/>
    <w:multiLevelType w:val="multilevel"/>
    <w:tmpl w:val="D7D4790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3141"/>
        </w:tabs>
        <w:ind w:left="3141" w:hanging="360"/>
      </w:pPr>
      <w:rPr>
        <w:rFonts w:ascii="Courier New" w:hAnsi="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6">
    <w:nsid w:val="73C52281"/>
    <w:multiLevelType w:val="hybridMultilevel"/>
    <w:tmpl w:val="B4F48030"/>
    <w:lvl w:ilvl="0" w:tplc="F954CACE">
      <w:start w:val="1"/>
      <w:numFmt w:val="bullet"/>
      <w:lvlText w:val="•"/>
      <w:lvlJc w:val="left"/>
      <w:pPr>
        <w:tabs>
          <w:tab w:val="num" w:pos="170"/>
        </w:tabs>
        <w:ind w:left="170" w:hanging="170"/>
      </w:pPr>
      <w:rPr>
        <w:rFonts w:ascii="Times New Roman" w:eastAsia="MS Mincho"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E5C8ED7A">
      <w:start w:val="1"/>
      <w:numFmt w:val="bullet"/>
      <w:lvlText w:val="•"/>
      <w:lvlJc w:val="left"/>
      <w:pPr>
        <w:tabs>
          <w:tab w:val="num" w:pos="170"/>
        </w:tabs>
        <w:ind w:left="1304" w:hanging="170"/>
      </w:pPr>
      <w:rPr>
        <w:rFonts w:ascii="Times New Roman" w:eastAsia="MS Mincho" w:hAnsi="Times New Roman" w:cs="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4EE1C7C"/>
    <w:multiLevelType w:val="multilevel"/>
    <w:tmpl w:val="ECDC402C"/>
    <w:lvl w:ilvl="0">
      <w:start w:val="1"/>
      <w:numFmt w:val="bullet"/>
      <w:lvlText w:val="•"/>
      <w:lvlJc w:val="left"/>
      <w:pPr>
        <w:tabs>
          <w:tab w:val="num" w:pos="170"/>
        </w:tabs>
        <w:ind w:left="170" w:hanging="170"/>
      </w:pPr>
      <w:rPr>
        <w:rFonts w:ascii="Times New Roman" w:eastAsia="MS Mincho"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75296AFA"/>
    <w:multiLevelType w:val="hybridMultilevel"/>
    <w:tmpl w:val="7F847B80"/>
    <w:lvl w:ilvl="0" w:tplc="6BA62714">
      <w:start w:val="1"/>
      <w:numFmt w:val="bullet"/>
      <w:lvlText w:val="•"/>
      <w:lvlJc w:val="left"/>
      <w:pPr>
        <w:tabs>
          <w:tab w:val="num" w:pos="2823"/>
        </w:tabs>
        <w:ind w:left="3390" w:hanging="567"/>
      </w:pPr>
      <w:rPr>
        <w:rFonts w:ascii="Times New Roman" w:eastAsia="MS Mincho" w:hAnsi="Times New Roman" w:cs="Times New Roman" w:hint="default"/>
      </w:rPr>
    </w:lvl>
    <w:lvl w:ilvl="1" w:tplc="040C0003" w:tentative="1">
      <w:start w:val="1"/>
      <w:numFmt w:val="bullet"/>
      <w:lvlText w:val="o"/>
      <w:lvlJc w:val="left"/>
      <w:pPr>
        <w:tabs>
          <w:tab w:val="num" w:pos="2568"/>
        </w:tabs>
        <w:ind w:left="2568" w:hanging="360"/>
      </w:pPr>
      <w:rPr>
        <w:rFonts w:ascii="Courier New" w:hAnsi="Courier New" w:cs="Courier New" w:hint="default"/>
      </w:rPr>
    </w:lvl>
    <w:lvl w:ilvl="2" w:tplc="040C0005">
      <w:start w:val="1"/>
      <w:numFmt w:val="bullet"/>
      <w:lvlText w:val=""/>
      <w:lvlJc w:val="left"/>
      <w:pPr>
        <w:tabs>
          <w:tab w:val="num" w:pos="3288"/>
        </w:tabs>
        <w:ind w:left="3288" w:hanging="360"/>
      </w:pPr>
      <w:rPr>
        <w:rFonts w:ascii="Wingdings" w:hAnsi="Wingdings" w:hint="default"/>
      </w:rPr>
    </w:lvl>
    <w:lvl w:ilvl="3" w:tplc="040C0001" w:tentative="1">
      <w:start w:val="1"/>
      <w:numFmt w:val="bullet"/>
      <w:lvlText w:val=""/>
      <w:lvlJc w:val="left"/>
      <w:pPr>
        <w:tabs>
          <w:tab w:val="num" w:pos="4008"/>
        </w:tabs>
        <w:ind w:left="4008" w:hanging="360"/>
      </w:pPr>
      <w:rPr>
        <w:rFonts w:ascii="Symbol" w:hAnsi="Symbol" w:hint="default"/>
      </w:rPr>
    </w:lvl>
    <w:lvl w:ilvl="4" w:tplc="040C0003" w:tentative="1">
      <w:start w:val="1"/>
      <w:numFmt w:val="bullet"/>
      <w:lvlText w:val="o"/>
      <w:lvlJc w:val="left"/>
      <w:pPr>
        <w:tabs>
          <w:tab w:val="num" w:pos="4728"/>
        </w:tabs>
        <w:ind w:left="4728" w:hanging="360"/>
      </w:pPr>
      <w:rPr>
        <w:rFonts w:ascii="Courier New" w:hAnsi="Courier New" w:cs="Courier New" w:hint="default"/>
      </w:rPr>
    </w:lvl>
    <w:lvl w:ilvl="5" w:tplc="040C0005" w:tentative="1">
      <w:start w:val="1"/>
      <w:numFmt w:val="bullet"/>
      <w:lvlText w:val=""/>
      <w:lvlJc w:val="left"/>
      <w:pPr>
        <w:tabs>
          <w:tab w:val="num" w:pos="5448"/>
        </w:tabs>
        <w:ind w:left="5448" w:hanging="360"/>
      </w:pPr>
      <w:rPr>
        <w:rFonts w:ascii="Wingdings" w:hAnsi="Wingdings" w:hint="default"/>
      </w:rPr>
    </w:lvl>
    <w:lvl w:ilvl="6" w:tplc="040C0001" w:tentative="1">
      <w:start w:val="1"/>
      <w:numFmt w:val="bullet"/>
      <w:lvlText w:val=""/>
      <w:lvlJc w:val="left"/>
      <w:pPr>
        <w:tabs>
          <w:tab w:val="num" w:pos="6168"/>
        </w:tabs>
        <w:ind w:left="6168" w:hanging="360"/>
      </w:pPr>
      <w:rPr>
        <w:rFonts w:ascii="Symbol" w:hAnsi="Symbol" w:hint="default"/>
      </w:rPr>
    </w:lvl>
    <w:lvl w:ilvl="7" w:tplc="040C0003" w:tentative="1">
      <w:start w:val="1"/>
      <w:numFmt w:val="bullet"/>
      <w:lvlText w:val="o"/>
      <w:lvlJc w:val="left"/>
      <w:pPr>
        <w:tabs>
          <w:tab w:val="num" w:pos="6888"/>
        </w:tabs>
        <w:ind w:left="6888" w:hanging="360"/>
      </w:pPr>
      <w:rPr>
        <w:rFonts w:ascii="Courier New" w:hAnsi="Courier New" w:cs="Courier New" w:hint="default"/>
      </w:rPr>
    </w:lvl>
    <w:lvl w:ilvl="8" w:tplc="040C0005" w:tentative="1">
      <w:start w:val="1"/>
      <w:numFmt w:val="bullet"/>
      <w:lvlText w:val=""/>
      <w:lvlJc w:val="left"/>
      <w:pPr>
        <w:tabs>
          <w:tab w:val="num" w:pos="7608"/>
        </w:tabs>
        <w:ind w:left="7608" w:hanging="360"/>
      </w:pPr>
      <w:rPr>
        <w:rFonts w:ascii="Wingdings" w:hAnsi="Wingdings" w:hint="default"/>
      </w:rPr>
    </w:lvl>
  </w:abstractNum>
  <w:num w:numId="1">
    <w:abstractNumId w:val="3"/>
  </w:num>
  <w:num w:numId="2">
    <w:abstractNumId w:val="3"/>
  </w:num>
  <w:num w:numId="3">
    <w:abstractNumId w:val="2"/>
  </w:num>
  <w:num w:numId="4">
    <w:abstractNumId w:val="1"/>
  </w:num>
  <w:num w:numId="5">
    <w:abstractNumId w:val="0"/>
  </w:num>
  <w:num w:numId="6">
    <w:abstractNumId w:val="5"/>
  </w:num>
  <w:num w:numId="7">
    <w:abstractNumId w:val="8"/>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5385"/>
    <w:rsid w:val="00016AC5"/>
    <w:rsid w:val="00040FE7"/>
    <w:rsid w:val="000F41F2"/>
    <w:rsid w:val="00160540"/>
    <w:rsid w:val="00192EEB"/>
    <w:rsid w:val="001A20FB"/>
    <w:rsid w:val="001D7F8A"/>
    <w:rsid w:val="001E1DF6"/>
    <w:rsid w:val="001E3FEB"/>
    <w:rsid w:val="001E4A02"/>
    <w:rsid w:val="001F3AE5"/>
    <w:rsid w:val="00201260"/>
    <w:rsid w:val="00225A8C"/>
    <w:rsid w:val="00244789"/>
    <w:rsid w:val="002659F1"/>
    <w:rsid w:val="00287E79"/>
    <w:rsid w:val="002928F9"/>
    <w:rsid w:val="00297B00"/>
    <w:rsid w:val="002A5D07"/>
    <w:rsid w:val="002D42EF"/>
    <w:rsid w:val="002E0C1D"/>
    <w:rsid w:val="003016B7"/>
    <w:rsid w:val="00311ADA"/>
    <w:rsid w:val="0031749F"/>
    <w:rsid w:val="003515AA"/>
    <w:rsid w:val="003536BF"/>
    <w:rsid w:val="00374106"/>
    <w:rsid w:val="003976D5"/>
    <w:rsid w:val="003D4E3D"/>
    <w:rsid w:val="003D5557"/>
    <w:rsid w:val="003D6C68"/>
    <w:rsid w:val="004159D0"/>
    <w:rsid w:val="00455D94"/>
    <w:rsid w:val="00463085"/>
    <w:rsid w:val="004F4B54"/>
    <w:rsid w:val="004F5E87"/>
    <w:rsid w:val="00525DBB"/>
    <w:rsid w:val="00543D5E"/>
    <w:rsid w:val="005610B3"/>
    <w:rsid w:val="0056533F"/>
    <w:rsid w:val="0056660C"/>
    <w:rsid w:val="00571F41"/>
    <w:rsid w:val="00575385"/>
    <w:rsid w:val="005B72E7"/>
    <w:rsid w:val="005D0661"/>
    <w:rsid w:val="005E0932"/>
    <w:rsid w:val="005E5D1F"/>
    <w:rsid w:val="005F7EE2"/>
    <w:rsid w:val="00611D43"/>
    <w:rsid w:val="00612D48"/>
    <w:rsid w:val="00616B45"/>
    <w:rsid w:val="00630D9B"/>
    <w:rsid w:val="00631953"/>
    <w:rsid w:val="00641B02"/>
    <w:rsid w:val="006439EC"/>
    <w:rsid w:val="006647E0"/>
    <w:rsid w:val="006B132B"/>
    <w:rsid w:val="006B4590"/>
    <w:rsid w:val="006C340C"/>
    <w:rsid w:val="0070347C"/>
    <w:rsid w:val="00710239"/>
    <w:rsid w:val="007176C1"/>
    <w:rsid w:val="00761DA2"/>
    <w:rsid w:val="007B0499"/>
    <w:rsid w:val="007F3FA0"/>
    <w:rsid w:val="007F55CB"/>
    <w:rsid w:val="00835E56"/>
    <w:rsid w:val="00844750"/>
    <w:rsid w:val="008464C8"/>
    <w:rsid w:val="008627DA"/>
    <w:rsid w:val="00894935"/>
    <w:rsid w:val="008A4FEA"/>
    <w:rsid w:val="008B44C4"/>
    <w:rsid w:val="008C0AF2"/>
    <w:rsid w:val="008D768D"/>
    <w:rsid w:val="008E675E"/>
    <w:rsid w:val="008E7FAE"/>
    <w:rsid w:val="00904458"/>
    <w:rsid w:val="00911BF7"/>
    <w:rsid w:val="00977EC8"/>
    <w:rsid w:val="009D3A8C"/>
    <w:rsid w:val="009D413E"/>
    <w:rsid w:val="009E7956"/>
    <w:rsid w:val="00A103C4"/>
    <w:rsid w:val="00A219D9"/>
    <w:rsid w:val="00A2492E"/>
    <w:rsid w:val="00A311BE"/>
    <w:rsid w:val="00A50390"/>
    <w:rsid w:val="00A56EA8"/>
    <w:rsid w:val="00AC67A1"/>
    <w:rsid w:val="00AC7977"/>
    <w:rsid w:val="00AE352C"/>
    <w:rsid w:val="00B32E2D"/>
    <w:rsid w:val="00B4191B"/>
    <w:rsid w:val="00B615B0"/>
    <w:rsid w:val="00B61990"/>
    <w:rsid w:val="00B63A55"/>
    <w:rsid w:val="00B77C99"/>
    <w:rsid w:val="00BA31B5"/>
    <w:rsid w:val="00BA490E"/>
    <w:rsid w:val="00BC554A"/>
    <w:rsid w:val="00BF0556"/>
    <w:rsid w:val="00C005F9"/>
    <w:rsid w:val="00C1562D"/>
    <w:rsid w:val="00C208E4"/>
    <w:rsid w:val="00C261F8"/>
    <w:rsid w:val="00C33100"/>
    <w:rsid w:val="00C42566"/>
    <w:rsid w:val="00C46E61"/>
    <w:rsid w:val="00CA7CAA"/>
    <w:rsid w:val="00CD1A71"/>
    <w:rsid w:val="00CD1FBB"/>
    <w:rsid w:val="00CD7AE3"/>
    <w:rsid w:val="00D016B5"/>
    <w:rsid w:val="00D034F1"/>
    <w:rsid w:val="00D27D5E"/>
    <w:rsid w:val="00DB4FBC"/>
    <w:rsid w:val="00DE6D90"/>
    <w:rsid w:val="00DF002F"/>
    <w:rsid w:val="00E01507"/>
    <w:rsid w:val="00E0244D"/>
    <w:rsid w:val="00E6332A"/>
    <w:rsid w:val="00E81E94"/>
    <w:rsid w:val="00E82607"/>
    <w:rsid w:val="00EE1A0D"/>
    <w:rsid w:val="00EE7454"/>
    <w:rsid w:val="00F65FDC"/>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D42E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semiHidden/>
    <w:rsid w:val="002D42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37</Pages>
  <Words>15874</Words>
  <Characters>87312</Characters>
  <Application>Microsoft Office Word</Application>
  <DocSecurity>4</DocSecurity>
  <Lines>727</Lines>
  <Paragraphs>205</Paragraphs>
  <ScaleCrop>false</ScaleCrop>
  <HeadingPairs>
    <vt:vector size="2" baseType="variant">
      <vt:variant>
        <vt:lpstr>Titre</vt:lpstr>
      </vt:variant>
      <vt:variant>
        <vt:i4>1</vt:i4>
      </vt:variant>
    </vt:vector>
  </HeadingPairs>
  <TitlesOfParts>
    <vt:vector size="1" baseType="lpstr">
      <vt:lpstr>CAT/C/MDG/1</vt:lpstr>
    </vt:vector>
  </TitlesOfParts>
  <Company>CSD</Company>
  <LinksUpToDate>false</LinksUpToDate>
  <CharactersWithSpaces>102981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CAT/C/MDG/1</dc:title>
  <dc:subject/>
  <dc:creator>e.bourion</dc:creator>
  <cp:keywords/>
  <dc:description/>
  <cp:lastModifiedBy>e.bourion</cp:lastModifiedBy>
  <cp:revision>2</cp:revision>
  <cp:lastPrinted>2011-02-28T14:56:00Z</cp:lastPrinted>
  <dcterms:created xsi:type="dcterms:W3CDTF">2011-02-28T15:11:00Z</dcterms:created>
  <dcterms:modified xsi:type="dcterms:W3CDTF">2011-02-28T15:11:00Z</dcterms:modified>
</cp:coreProperties>
</file>