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971" w:rsidRDefault="00833971" w:rsidP="00833971">
      <w:pPr>
        <w:spacing w:line="60" w:lineRule="exact"/>
        <w:rPr>
          <w:sz w:val="6"/>
        </w:rPr>
        <w:sectPr w:rsidR="00833971" w:rsidSect="00833971">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Pr>
        <w:commentReference w:id="0"/>
      </w:r>
    </w:p>
    <w:p w:rsidR="00833971" w:rsidRDefault="00833971" w:rsidP="00833971">
      <w:pPr>
        <w:spacing w:line="60" w:lineRule="exact"/>
        <w:rPr>
          <w:rFonts w:hint="eastAsia"/>
          <w:sz w:val="6"/>
        </w:rPr>
      </w:pP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3A6EFE" w:rsidRPr="0078626D" w:rsidRDefault="003A6EFE" w:rsidP="003A6EFE">
      <w:pPr>
        <w:pStyle w:val="SingleTxt"/>
        <w:spacing w:after="60"/>
        <w:ind w:left="0"/>
        <w:rPr>
          <w:rFonts w:ascii="SimHei" w:eastAsia="SimHei" w:hint="eastAsia"/>
          <w:color w:val="FF0000"/>
        </w:rPr>
      </w:pPr>
      <w:r w:rsidRPr="0078626D">
        <w:rPr>
          <w:rFonts w:ascii="SimHei" w:eastAsia="SimHei" w:hint="eastAsia"/>
          <w:color w:val="FF0000"/>
        </w:rPr>
        <w:t>会前工作组</w:t>
      </w:r>
    </w:p>
    <w:p w:rsidR="003A6EFE" w:rsidRPr="0078626D" w:rsidRDefault="003A6EFE" w:rsidP="003A6EFE">
      <w:pPr>
        <w:pStyle w:val="SingleTxt"/>
        <w:spacing w:after="60"/>
        <w:ind w:left="0"/>
        <w:rPr>
          <w:rFonts w:ascii="SimHei" w:eastAsia="SimHei" w:hint="eastAsia"/>
          <w:color w:val="FF0000"/>
        </w:rPr>
      </w:pPr>
      <w:r w:rsidRPr="0078626D">
        <w:rPr>
          <w:rFonts w:ascii="SimHei" w:eastAsia="SimHei" w:hint="eastAsia"/>
          <w:color w:val="FF0000"/>
        </w:rPr>
        <w:t>第三十四届会议</w:t>
      </w:r>
    </w:p>
    <w:p w:rsidR="003A6EFE" w:rsidRDefault="003A6EFE" w:rsidP="003A6EFE">
      <w:pPr>
        <w:pStyle w:val="SingleTxt"/>
        <w:spacing w:after="240"/>
        <w:ind w:left="0"/>
        <w:rPr>
          <w:rFonts w:hint="eastAsia"/>
        </w:rPr>
      </w:pPr>
      <w:r>
        <w:rPr>
          <w:rFonts w:hint="eastAsia"/>
        </w:rPr>
        <w:t>2006年1月16日至2月3日</w:t>
      </w:r>
    </w:p>
    <w:p w:rsidR="003A6EFE" w:rsidRDefault="003A6EFE" w:rsidP="003A6EF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就审议报告提出的事项和问题清单</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柬埔寨</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导言</w:t>
      </w:r>
    </w:p>
    <w:p w:rsidR="003A6EFE" w:rsidRDefault="003A6EFE" w:rsidP="003A6EFE">
      <w:pPr>
        <w:pStyle w:val="SingleTxt"/>
        <w:rPr>
          <w:rFonts w:hint="eastAsia"/>
        </w:rPr>
      </w:pPr>
      <w:r>
        <w:rPr>
          <w:rFonts w:hint="eastAsia"/>
        </w:rPr>
        <w:t>1.</w:t>
      </w:r>
      <w:r>
        <w:rPr>
          <w:rFonts w:hint="eastAsia"/>
        </w:rPr>
        <w:tab/>
        <w:t>会前工作组审查了柬埔寨的初次、第二次和第三次合并定期报告(CEDAW/C/</w:t>
      </w:r>
      <w:r>
        <w:t xml:space="preserve"> </w:t>
      </w:r>
      <w:r>
        <w:rPr>
          <w:rFonts w:hint="eastAsia"/>
        </w:rPr>
        <w:t>KHM/1-3)。</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概述</w:t>
      </w:r>
    </w:p>
    <w:p w:rsidR="003A6EFE" w:rsidRDefault="003A6EFE" w:rsidP="003A6EFE">
      <w:pPr>
        <w:pStyle w:val="SingleTxt"/>
        <w:rPr>
          <w:rFonts w:hint="eastAsia"/>
        </w:rPr>
      </w:pPr>
      <w:r>
        <w:rPr>
          <w:rFonts w:hint="eastAsia"/>
        </w:rPr>
        <w:t>2.</w:t>
      </w:r>
      <w:r w:rsidR="00212625">
        <w:tab/>
      </w:r>
      <w:r>
        <w:rPr>
          <w:rFonts w:hint="eastAsia"/>
        </w:rPr>
        <w:t>请说明编写初次、第二次和第三次合并定期报告的过程，着重说明柬埔寨人权委员会在这方面所起的作用，说明是否与民间社会和非政府组织进行了协商，报告是否得到内阁批准并提交给国民议会。</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第1和第2条</w:t>
      </w:r>
    </w:p>
    <w:p w:rsidR="003A6EFE" w:rsidRDefault="003A6EFE" w:rsidP="003A6EFE">
      <w:pPr>
        <w:pStyle w:val="SingleTxt"/>
        <w:rPr>
          <w:rFonts w:hint="eastAsia"/>
        </w:rPr>
      </w:pPr>
      <w:r>
        <w:rPr>
          <w:rFonts w:hint="eastAsia"/>
        </w:rPr>
        <w:t>3.</w:t>
      </w:r>
      <w:r>
        <w:rPr>
          <w:rFonts w:hint="eastAsia"/>
        </w:rPr>
        <w:tab/>
        <w:t>报告指出，国际人权盟约所列各项权利得到柬埔寨王国《宪法》的保护，国际盟约和公约所有原则都高于国内法(第49段)。根据报告第313段，任何与《公约》不符的法律都不得执行。请澄清《公约》在该国内法律系统中的地位，明确说明法庭在审理案件时是否适用《公约》，《公约》的标准是否高于国内法。</w:t>
      </w:r>
    </w:p>
    <w:p w:rsidR="003A6EFE" w:rsidRDefault="003A6EFE" w:rsidP="003A6EFE">
      <w:pPr>
        <w:pStyle w:val="SingleTxt"/>
        <w:rPr>
          <w:rFonts w:hint="eastAsia"/>
        </w:rPr>
      </w:pPr>
      <w:r>
        <w:rPr>
          <w:rFonts w:hint="eastAsia"/>
        </w:rPr>
        <w:t>4.</w:t>
      </w:r>
      <w:r>
        <w:rPr>
          <w:rFonts w:hint="eastAsia"/>
        </w:rPr>
        <w:tab/>
        <w:t>报告指出，“歧视妇女”已经得到法律和法律文件的承认和使用，但实际运用中各领域仍存在一些漏洞(第64段)。请说明做了哪些努力来消除报告提到的漏洞。特别要明确说明是否有投诉机制、补救办法和制裁措施，防止对妇女进行歧视，以及如何监测适用法律禁止歧视的情况。</w:t>
      </w:r>
    </w:p>
    <w:p w:rsidR="003A6EFE" w:rsidRDefault="003A6EFE" w:rsidP="003A6EFE">
      <w:pPr>
        <w:pStyle w:val="SingleTxt"/>
        <w:rPr>
          <w:rFonts w:hint="eastAsia"/>
        </w:rPr>
      </w:pPr>
      <w:r>
        <w:rPr>
          <w:rFonts w:hint="eastAsia"/>
        </w:rPr>
        <w:t>5.</w:t>
      </w:r>
      <w:r>
        <w:rPr>
          <w:rFonts w:hint="eastAsia"/>
        </w:rPr>
        <w:tab/>
        <w:t>报告提到若干法律草案或计划制定的法律。在这方面，请提供刑法典草案、刑事诉讼法、防止绑架、贩卖/买卖和剥削人的法律、防止家庭暴力和保护受害者法律草案以及外国人领养法的最新情况。如果这些法律尚未通过，请说明定于何时通过。</w:t>
      </w:r>
    </w:p>
    <w:p w:rsidR="003A6EFE" w:rsidRDefault="003A6EFE" w:rsidP="003A6EFE">
      <w:pPr>
        <w:pStyle w:val="SingleTxt"/>
        <w:rPr>
          <w:rFonts w:hint="eastAsia"/>
        </w:rPr>
      </w:pPr>
      <w:r>
        <w:rPr>
          <w:rFonts w:hint="eastAsia"/>
        </w:rPr>
        <w:t>6.</w:t>
      </w:r>
      <w:r>
        <w:rPr>
          <w:rFonts w:hint="eastAsia"/>
        </w:rPr>
        <w:tab/>
        <w:t>请明确说明妇女事务与退伍军人部的职能以及拨给该部的人力和财政资源状况。尤其要说明它与柬埔寨全国妇女委员会以及柬埔寨人权委员会相互合作的关系和程度，前者是监测和落实《消除对妇女一切形式歧视公约》的最高国家机制(第90段)，后者负责起草向联合国提交的人权问题报告草稿(第35段)。请具体说明这三个机构的权力和责任，它们之间的职能如何协调，以及地方各级机构如何支持这三个部门。</w:t>
      </w:r>
    </w:p>
    <w:p w:rsidR="003A6EFE" w:rsidRPr="005C5ACF" w:rsidRDefault="003A6EFE" w:rsidP="003A6EFE">
      <w:pPr>
        <w:pStyle w:val="SingleTxt"/>
        <w:rPr>
          <w:rFonts w:hint="eastAsia"/>
          <w:spacing w:val="2"/>
          <w:szCs w:val="21"/>
        </w:rPr>
      </w:pPr>
      <w:r>
        <w:rPr>
          <w:rFonts w:hint="eastAsia"/>
        </w:rPr>
        <w:t>7.</w:t>
      </w:r>
      <w:r>
        <w:rPr>
          <w:rFonts w:hint="eastAsia"/>
        </w:rPr>
        <w:tab/>
        <w:t>请说明是否对一项称为“Neary Rat</w:t>
      </w:r>
      <w:r w:rsidR="00931BFA">
        <w:t>t</w:t>
      </w:r>
      <w:r>
        <w:rPr>
          <w:rFonts w:hint="eastAsia"/>
        </w:rPr>
        <w:t>anak”的五年计划进行评价(第115段)，</w:t>
      </w:r>
      <w:r w:rsidRPr="005C5ACF">
        <w:rPr>
          <w:rFonts w:hint="eastAsia"/>
          <w:spacing w:val="2"/>
          <w:szCs w:val="21"/>
        </w:rPr>
        <w:t>该计划的重点是通过教育、卫生、法律保护和经济发展提高妇女的能力，特别是要评估将性别问题纳入所有部门主流的影响，如果进行了评价，请介绍评价结果。</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第3条</w:t>
      </w:r>
    </w:p>
    <w:p w:rsidR="003A6EFE" w:rsidRDefault="003A6EFE" w:rsidP="003A6EFE">
      <w:pPr>
        <w:pStyle w:val="SingleTxt"/>
        <w:rPr>
          <w:rFonts w:hint="eastAsia"/>
        </w:rPr>
      </w:pPr>
      <w:r>
        <w:rPr>
          <w:rFonts w:hint="eastAsia"/>
        </w:rPr>
        <w:t>8.</w:t>
      </w:r>
      <w:r>
        <w:rPr>
          <w:rFonts w:hint="eastAsia"/>
        </w:rPr>
        <w:tab/>
        <w:t>报告提到妇女事务和退伍军人部积极参与制定《国家减贫战略》(2003-2005年)，力求将性别观点纳入柬埔寨国家社会经济发展第二个计划(2001-2005年)国家和部门政策的主流中(第208段)。请说明战略参考《公约》的程度，描述如何对实施《战略》及其对性别影响进行监测。还请说明在起草和监测《战略》时，是否与民间社会、特别是妇女团体，包括少数民族妇女和土著人妇女进行过协商。</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第4条</w:t>
      </w:r>
    </w:p>
    <w:p w:rsidR="003A6EFE" w:rsidRDefault="003A6EFE" w:rsidP="003A6EFE">
      <w:pPr>
        <w:pStyle w:val="SingleTxt"/>
        <w:rPr>
          <w:rFonts w:hint="eastAsia"/>
        </w:rPr>
      </w:pPr>
      <w:r>
        <w:rPr>
          <w:rFonts w:hint="eastAsia"/>
        </w:rPr>
        <w:t>9.</w:t>
      </w:r>
      <w:r>
        <w:rPr>
          <w:rFonts w:hint="eastAsia"/>
        </w:rPr>
        <w:tab/>
        <w:t>报告第122至131段列入关于各项法律措施的资料(例如宪法第73条和第46.3条关于教育和就业以及退休金法律方面的具体条款和特殊政策)，根据《公约》第4条第1款，这些规定都不是临时特别措施。请说明根据委员会第25项一般性建议，实施临时特别措施加速男女事实上的平等方面的情况。</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第5条</w:t>
      </w:r>
    </w:p>
    <w:p w:rsidR="003A6EFE" w:rsidRDefault="003A6EFE" w:rsidP="003A6EFE">
      <w:pPr>
        <w:pStyle w:val="SingleTxt"/>
        <w:rPr>
          <w:rFonts w:hint="eastAsia"/>
        </w:rPr>
      </w:pPr>
      <w:r>
        <w:rPr>
          <w:rFonts w:hint="eastAsia"/>
        </w:rPr>
        <w:t>10.</w:t>
      </w:r>
      <w:r>
        <w:rPr>
          <w:rFonts w:hint="eastAsia"/>
        </w:rPr>
        <w:tab/>
        <w:t>报告通篇提到妨碍妇女接受教育的根深蒂固的文化社会习俗、规范、态度和陈规定型观念，结果造成女童辍学率高，阻挠妇女参与政治和公共生活，限制它们利用保健服务，鼓励各种歧视性做法，例如，早婚和家庭包办婚姻(第152、217至219、224、276至277和350段)。此外，还提到“还未广泛进行宣传和教育使不可接受的、不文明的习俗变为文明的习俗”(第152段)。请说明政府是否制定或计划制定一项综合全面的战略，同时把土著妇女、农村地区和少数民族群体妇女包括在内，消除歧视妇女的陈规定型观念，说明在这方面取得的进展。</w:t>
      </w:r>
    </w:p>
    <w:p w:rsidR="003A6EFE" w:rsidRDefault="003A6EFE" w:rsidP="003A6EFE">
      <w:pPr>
        <w:pStyle w:val="SingleTxt"/>
        <w:rPr>
          <w:rFonts w:hint="eastAsia"/>
        </w:rPr>
      </w:pPr>
      <w:r>
        <w:rPr>
          <w:rFonts w:hint="eastAsia"/>
        </w:rPr>
        <w:t>11.</w:t>
      </w:r>
      <w:r>
        <w:rPr>
          <w:rFonts w:hint="eastAsia"/>
        </w:rPr>
        <w:tab/>
        <w:t>请提供详细资料，说明《防止家庭暴力和保护受害者法律草案》的情况，包括通过时限及其法律范畴，说明是否制定了刑事和民事补救措施的条款。还请说明在起草该法时，是否纳入妇女组织和民间社会的意见。</w:t>
      </w:r>
    </w:p>
    <w:p w:rsidR="003A6EFE" w:rsidRDefault="003A6EFE" w:rsidP="003A6EFE">
      <w:pPr>
        <w:pStyle w:val="SingleTxt"/>
        <w:rPr>
          <w:rFonts w:hint="eastAsia"/>
        </w:rPr>
      </w:pPr>
      <w:r>
        <w:rPr>
          <w:rFonts w:hint="eastAsia"/>
        </w:rPr>
        <w:t>12.</w:t>
      </w:r>
      <w:r>
        <w:rPr>
          <w:rFonts w:hint="eastAsia"/>
        </w:rPr>
        <w:tab/>
        <w:t>请说明为防止对妇女一切形式暴力、包括性暴力问题已经制定和实施的战略，以及取得的进展。说明是否建立了系统收集关于这个问题的数据和资料机制。</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第6条</w:t>
      </w:r>
    </w:p>
    <w:p w:rsidR="003A6EFE" w:rsidRDefault="003A6EFE" w:rsidP="003A6EFE">
      <w:pPr>
        <w:pStyle w:val="SingleTxt"/>
        <w:rPr>
          <w:rFonts w:hint="eastAsia"/>
        </w:rPr>
      </w:pPr>
      <w:r>
        <w:rPr>
          <w:rFonts w:hint="eastAsia"/>
        </w:rPr>
        <w:t>13.</w:t>
      </w:r>
      <w:r>
        <w:rPr>
          <w:rFonts w:hint="eastAsia"/>
        </w:rPr>
        <w:tab/>
        <w:t>报告说明，内政部正在采取有力措施，通过三项战略步骤查处违法行为，打击人口贩运，重点提高对这些问题的认识，训练警察、法官和检察官(第161段)，并采取多项措施帮助人口贩运受害者重新融入社会(第187</w:t>
      </w:r>
      <w:r w:rsidR="00931BFA">
        <w:t>-</w:t>
      </w:r>
      <w:r>
        <w:rPr>
          <w:rFonts w:hint="eastAsia"/>
        </w:rPr>
        <w:t>188段)。请详细说明这些措施对打击贩运妇女和儿童、特别是对贩运人口受害者重新融入社会的影响。此外，请详细说明为收集柬埔寨人口贩运数据而作出的努力。</w:t>
      </w:r>
    </w:p>
    <w:p w:rsidR="003A6EFE" w:rsidRDefault="003A6EFE" w:rsidP="003A6EFE">
      <w:pPr>
        <w:pStyle w:val="SingleTxt"/>
        <w:rPr>
          <w:rFonts w:hint="eastAsia"/>
        </w:rPr>
      </w:pPr>
      <w:r>
        <w:rPr>
          <w:rFonts w:hint="eastAsia"/>
        </w:rPr>
        <w:t>14.</w:t>
      </w:r>
      <w:r>
        <w:rPr>
          <w:rFonts w:hint="eastAsia"/>
        </w:rPr>
        <w:tab/>
        <w:t>暴力侵害妇女行为及其因果问题特别报告员提到有报道说，被贩卖的妇女和儿童被当作触犯移民法的罪犯、而不是权利受侵犯的受害者对待(E/CN.4/2003/</w:t>
      </w:r>
      <w:r w:rsidR="00720632">
        <w:t xml:space="preserve"> </w:t>
      </w:r>
      <w:r>
        <w:rPr>
          <w:rFonts w:hint="eastAsia"/>
        </w:rPr>
        <w:t>75/Add.1，第949段)。请明确说明根据《禁止贩卖人口和性剥削法律》，对被贩卖妇女能否受益于证人保护措施，以及是否采取任何措施，确保被贩运的妇女不会因为刑事司法制度而再次受到伤害。</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第7条</w:t>
      </w:r>
    </w:p>
    <w:p w:rsidR="003A6EFE" w:rsidRDefault="003A6EFE" w:rsidP="003A6EFE">
      <w:pPr>
        <w:pStyle w:val="SingleTxt"/>
        <w:rPr>
          <w:rFonts w:hint="eastAsia"/>
        </w:rPr>
      </w:pPr>
      <w:r>
        <w:rPr>
          <w:rFonts w:hint="eastAsia"/>
        </w:rPr>
        <w:t>15.</w:t>
      </w:r>
      <w:r>
        <w:rPr>
          <w:rFonts w:hint="eastAsia"/>
        </w:rPr>
        <w:tab/>
        <w:t>报告提到旨在提高妇女参与公共和政治生活程度的一整套措施（第220段）。请说明在实施这些行动方面取得的进展，包括这些政策的影响。</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第9条</w:t>
      </w:r>
    </w:p>
    <w:p w:rsidR="003A6EFE" w:rsidRDefault="003A6EFE" w:rsidP="003A6EFE">
      <w:pPr>
        <w:pStyle w:val="SingleTxt"/>
        <w:rPr>
          <w:rFonts w:hint="eastAsia"/>
        </w:rPr>
      </w:pPr>
      <w:r>
        <w:rPr>
          <w:rFonts w:hint="eastAsia"/>
        </w:rPr>
        <w:t>16.</w:t>
      </w:r>
      <w:r>
        <w:rPr>
          <w:rFonts w:hint="eastAsia"/>
        </w:rPr>
        <w:tab/>
        <w:t>报告指出，在柬埔寨出生的任何人将拥有柬埔寨国籍，包括</w:t>
      </w:r>
      <w:r w:rsidR="0001714A">
        <w:rPr>
          <w:rFonts w:hint="eastAsia"/>
        </w:rPr>
        <w:t>：</w:t>
      </w:r>
      <w:r>
        <w:rPr>
          <w:rFonts w:hint="eastAsia"/>
        </w:rPr>
        <w:t>(a)</w:t>
      </w:r>
      <w:r w:rsidR="00931BFA">
        <w:t xml:space="preserve"> </w:t>
      </w:r>
      <w:r>
        <w:rPr>
          <w:rFonts w:hint="eastAsia"/>
        </w:rPr>
        <w:t>父母是外国人但出生在[柬埔寨]或一直合法居住在[柬埔寨]的孩子。(b)</w:t>
      </w:r>
      <w:r w:rsidR="00931BFA">
        <w:t xml:space="preserve"> </w:t>
      </w:r>
      <w:r>
        <w:rPr>
          <w:rFonts w:hint="eastAsia"/>
        </w:rPr>
        <w:t>父母身份不明的孩子被人在[柬埔寨]发现应视为在[柬埔寨]出生(第232段)。请具体说明是否实际执行了这项规定，特别是原籍越南的妇女、少数民族和土著人妇女是否能够切实确定他们的国籍，他们的权利，不论是事实上还是法律上的权利能否得到尊重。</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第10条</w:t>
      </w:r>
    </w:p>
    <w:p w:rsidR="003A6EFE" w:rsidRDefault="003A6EFE" w:rsidP="003A6EFE">
      <w:pPr>
        <w:pStyle w:val="SingleTxt"/>
        <w:rPr>
          <w:rFonts w:hint="eastAsia"/>
        </w:rPr>
      </w:pPr>
      <w:r>
        <w:rPr>
          <w:rFonts w:hint="eastAsia"/>
        </w:rPr>
        <w:t>17.</w:t>
      </w:r>
      <w:r>
        <w:rPr>
          <w:rFonts w:hint="eastAsia"/>
        </w:rPr>
        <w:tab/>
        <w:t>报告提到文盲问题，文盲给妇女造成严重影响。《教育、青年和体育部》制定的战略没有提到这个问题。请说明是否计划采取或实施任何措施，解决妇女、特别是土著人妇女、农村地区妇女以及少数民族妇女文盲率高的问题。</w:t>
      </w:r>
    </w:p>
    <w:p w:rsidR="003A6EFE" w:rsidRDefault="003A6EFE" w:rsidP="003A6EFE">
      <w:pPr>
        <w:pStyle w:val="SingleTxt"/>
        <w:rPr>
          <w:rFonts w:hint="eastAsia"/>
        </w:rPr>
      </w:pPr>
      <w:r>
        <w:rPr>
          <w:rFonts w:hint="eastAsia"/>
        </w:rPr>
        <w:t>18.</w:t>
      </w:r>
      <w:r>
        <w:rPr>
          <w:rFonts w:hint="eastAsia"/>
        </w:rPr>
        <w:tab/>
        <w:t>报告指出，教育、青年和体育部根据国际标准对幼儿园和高中教学大纲进行了改革(第257段)。请明确说明改革是否消除了课本和教学大纲中对男女角色和作用的陈规定型观念，并说明是否对小学和高等教育进行了这项改革。</w:t>
      </w:r>
    </w:p>
    <w:p w:rsidR="003A6EFE" w:rsidRDefault="003A6EFE" w:rsidP="003A6EFE">
      <w:pPr>
        <w:pStyle w:val="SingleTxt"/>
        <w:rPr>
          <w:rFonts w:hint="eastAsia"/>
        </w:rPr>
      </w:pPr>
      <w:r>
        <w:rPr>
          <w:rFonts w:hint="eastAsia"/>
        </w:rPr>
        <w:t>19.</w:t>
      </w:r>
      <w:r>
        <w:tab/>
      </w:r>
      <w:r>
        <w:rPr>
          <w:rFonts w:hint="eastAsia"/>
        </w:rPr>
        <w:t>请提供资料说明少数民族、农村地区和土著人口中女孩子和年轻妇女受教育程度和接受教育方面的情况，说明《教育、青年和体育部战略工作计划》(2002</w:t>
      </w:r>
      <w:r w:rsidR="00931BFA">
        <w:t>-</w:t>
      </w:r>
      <w:r>
        <w:rPr>
          <w:rFonts w:hint="eastAsia"/>
        </w:rPr>
        <w:t>2006年)是否针对这些女童制定了具体目标。</w:t>
      </w:r>
    </w:p>
    <w:p w:rsidR="003A6EFE" w:rsidRDefault="003A6EFE" w:rsidP="003A6EFE">
      <w:pPr>
        <w:pStyle w:val="SingleTxt"/>
        <w:rPr>
          <w:rFonts w:hint="eastAsia"/>
        </w:rPr>
      </w:pPr>
      <w:r>
        <w:rPr>
          <w:rFonts w:hint="eastAsia"/>
        </w:rPr>
        <w:t>20.</w:t>
      </w:r>
      <w:r>
        <w:rPr>
          <w:rFonts w:hint="eastAsia"/>
        </w:rPr>
        <w:tab/>
        <w:t>请提供资料，说明计划执行的解决女童辍学问题根源的战略。尤其是提供详细资料，说明今后实施教育领域中消除对妇女和女孩子歧视战略的时限和资源（第282至288段）。说明是否为土著妇女、农村地区和少数民族妇女制定了具体计划。</w:t>
      </w:r>
    </w:p>
    <w:p w:rsidR="003A6EFE" w:rsidRDefault="003A6EFE" w:rsidP="003A6EFE">
      <w:pPr>
        <w:pStyle w:val="SingleTxt"/>
        <w:rPr>
          <w:rFonts w:hint="eastAsia"/>
        </w:rPr>
      </w:pPr>
      <w:r>
        <w:rPr>
          <w:rFonts w:hint="eastAsia"/>
        </w:rPr>
        <w:t>21.</w:t>
      </w:r>
      <w:r>
        <w:tab/>
      </w:r>
      <w:r>
        <w:rPr>
          <w:rFonts w:hint="eastAsia"/>
        </w:rPr>
        <w:t>请说明学校保健教育训练课程中是否向男女同学提供计划生育和性教育（第275段）。如果没有，请明确说明如何向年轻人提供这些信息。</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第11条</w:t>
      </w:r>
    </w:p>
    <w:p w:rsidR="003A6EFE" w:rsidRDefault="003A6EFE" w:rsidP="003A6EFE">
      <w:pPr>
        <w:pStyle w:val="SingleTxt"/>
        <w:rPr>
          <w:rFonts w:hint="eastAsia"/>
        </w:rPr>
      </w:pPr>
      <w:r>
        <w:rPr>
          <w:rFonts w:hint="eastAsia"/>
        </w:rPr>
        <w:t>22.</w:t>
      </w:r>
      <w:r>
        <w:rPr>
          <w:rFonts w:hint="eastAsia"/>
        </w:rPr>
        <w:tab/>
        <w:t>报告承认，《劳工法》的执行情况相当不利。政府将努力执行这项法律(第314至315段)。请具体说明计划采取哪些措施确保执行和监测相关法律，特别是《劳工法》中关于性骚扰问题的第172条，以及《宪法》中关于产假问题的第46.2条。</w:t>
      </w:r>
    </w:p>
    <w:p w:rsidR="003A6EFE" w:rsidRDefault="003A6EFE" w:rsidP="003A6EFE">
      <w:pPr>
        <w:pStyle w:val="SingleTxt"/>
        <w:rPr>
          <w:rFonts w:hint="eastAsia"/>
        </w:rPr>
      </w:pPr>
      <w:r>
        <w:rPr>
          <w:rFonts w:hint="eastAsia"/>
        </w:rPr>
        <w:t>23.</w:t>
      </w:r>
      <w:r>
        <w:rPr>
          <w:rFonts w:hint="eastAsia"/>
        </w:rPr>
        <w:tab/>
        <w:t>妇女参与劳动力市场的人数很多，报告显示绝大部分妇女在非正规部门、低薪、没有技能的岗位上工作，她们非常容易受到工作场所中多种形式剥削的伤害(第293段)。请提供按性别分列的非正规部门、水平(例如按部门分列)和垂直（按级别）分列的就业和薪水情况。</w:t>
      </w:r>
    </w:p>
    <w:p w:rsidR="003A6EFE" w:rsidRDefault="003A6EFE" w:rsidP="003A6EFE">
      <w:pPr>
        <w:pStyle w:val="SingleTxt"/>
        <w:rPr>
          <w:rFonts w:hint="eastAsia"/>
        </w:rPr>
      </w:pPr>
      <w:r>
        <w:rPr>
          <w:rFonts w:hint="eastAsia"/>
        </w:rPr>
        <w:t>24.</w:t>
      </w:r>
      <w:r>
        <w:rPr>
          <w:rFonts w:hint="eastAsia"/>
        </w:rPr>
        <w:tab/>
        <w:t>请说明为使妇女有机会接受培训，改善工作条件和社会保护采取了哪些措施。</w:t>
      </w:r>
    </w:p>
    <w:p w:rsidR="003A6EFE" w:rsidRDefault="003A6EFE" w:rsidP="003A6EFE">
      <w:pPr>
        <w:pStyle w:val="SingleTxt"/>
        <w:rPr>
          <w:rFonts w:hint="eastAsia"/>
        </w:rPr>
      </w:pPr>
      <w:r>
        <w:rPr>
          <w:rFonts w:hint="eastAsia"/>
        </w:rPr>
        <w:t>25.</w:t>
      </w:r>
      <w:r w:rsidR="00212625">
        <w:tab/>
      </w:r>
      <w:r>
        <w:rPr>
          <w:rFonts w:hint="eastAsia"/>
        </w:rPr>
        <w:t>请提供资料说明农村妇女的经济活动以及与男人相比她们的收入水平。</w:t>
      </w:r>
    </w:p>
    <w:p w:rsidR="003A6EFE" w:rsidRDefault="003A6EFE" w:rsidP="003A6EFE">
      <w:pPr>
        <w:pStyle w:val="SingleTxt"/>
        <w:rPr>
          <w:rFonts w:hint="eastAsia"/>
        </w:rPr>
      </w:pPr>
      <w:r>
        <w:rPr>
          <w:rFonts w:hint="eastAsia"/>
        </w:rPr>
        <w:t>26.</w:t>
      </w:r>
      <w:r>
        <w:rPr>
          <w:rFonts w:hint="eastAsia"/>
        </w:rPr>
        <w:tab/>
        <w:t>1997年《劳工法》第106条规定，同等条件、同等专业技能和产出者同酬。请明确说明对此如何解释，是否以任何方式用这项条款歧视妇女。说明《劳工法》是否也禁止福利方面的歧视。</w:t>
      </w:r>
    </w:p>
    <w:p w:rsidR="003A6EFE" w:rsidRDefault="003A6EFE" w:rsidP="003A6EFE">
      <w:pPr>
        <w:pStyle w:val="SingleTxt"/>
        <w:rPr>
          <w:rFonts w:hint="eastAsia"/>
        </w:rPr>
      </w:pPr>
      <w:r>
        <w:rPr>
          <w:rFonts w:hint="eastAsia"/>
        </w:rPr>
        <w:t>27.</w:t>
      </w:r>
      <w:r>
        <w:tab/>
      </w:r>
      <w:r>
        <w:rPr>
          <w:rFonts w:hint="eastAsia"/>
        </w:rPr>
        <w:t>考虑到柬埔寨最近加入世界贸易组织并结束了《多种纤维协议》，请说明对妇女生计影响是否进行过评估，以便调整宏观经济政策。</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第12条</w:t>
      </w:r>
    </w:p>
    <w:p w:rsidR="003A6EFE" w:rsidRDefault="003A6EFE" w:rsidP="003A6EFE">
      <w:pPr>
        <w:pStyle w:val="SingleTxt"/>
        <w:rPr>
          <w:rFonts w:hint="eastAsia"/>
        </w:rPr>
      </w:pPr>
      <w:r>
        <w:rPr>
          <w:rFonts w:hint="eastAsia"/>
        </w:rPr>
        <w:t>28.</w:t>
      </w:r>
      <w:r>
        <w:tab/>
      </w:r>
      <w:r>
        <w:rPr>
          <w:rFonts w:hint="eastAsia"/>
        </w:rPr>
        <w:t>第318至327段提到实施了一整套保健方案，包括生殖健康、营养、爱滋病毒/爱滋病以及对家庭暴力受害者的心理保健。报告也承认，对这些以及其他健康事务的理解非常有限（第275段），对妇女的保健服务也受到限制(第350段)，只有10</w:t>
      </w:r>
      <w:r w:rsidR="00931BFA">
        <w:rPr>
          <w:rFonts w:hint="eastAsia"/>
        </w:rPr>
        <w:t>％</w:t>
      </w:r>
      <w:r>
        <w:rPr>
          <w:rFonts w:hint="eastAsia"/>
        </w:rPr>
        <w:t>的婴儿是在保健设施内出生的(第331段)，而且产妇死亡率相当高。请明确说明是否采取任何措施，使妇女更加了解并能得到一般的保健服务和妇产科服务。</w:t>
      </w:r>
    </w:p>
    <w:p w:rsidR="003A6EFE" w:rsidRDefault="003A6EFE" w:rsidP="003A6EFE">
      <w:pPr>
        <w:pStyle w:val="SingleTxt"/>
        <w:rPr>
          <w:rFonts w:hint="eastAsia"/>
        </w:rPr>
      </w:pPr>
      <w:r>
        <w:rPr>
          <w:rFonts w:hint="eastAsia"/>
        </w:rPr>
        <w:t>29.</w:t>
      </w:r>
      <w:r>
        <w:rPr>
          <w:rFonts w:hint="eastAsia"/>
        </w:rPr>
        <w:tab/>
        <w:t>报告指出，1998年，42.6</w:t>
      </w:r>
      <w:r w:rsidR="00931BFA">
        <w:rPr>
          <w:rFonts w:hint="eastAsia"/>
        </w:rPr>
        <w:t>％</w:t>
      </w:r>
      <w:r>
        <w:rPr>
          <w:rFonts w:hint="eastAsia"/>
        </w:rPr>
        <w:t>的性工作者感染了爱滋病毒/爱滋病（第342段）。男人把从妓女那里感染的爱滋病毒带给妻子(或女友)，妻子或女友又把爱滋病毒传给婴儿(第343段)。请说明是否制定了任何具体计划，减少易受伤害妇女群体的爱滋病毒/爱滋病的发病率，如果没有，是否计划制定这样的方案。</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第13条</w:t>
      </w:r>
    </w:p>
    <w:p w:rsidR="003A6EFE" w:rsidRDefault="003A6EFE" w:rsidP="003A6EFE">
      <w:pPr>
        <w:pStyle w:val="SingleTxt"/>
        <w:rPr>
          <w:rFonts w:hint="eastAsia"/>
        </w:rPr>
      </w:pPr>
      <w:r>
        <w:rPr>
          <w:rFonts w:hint="eastAsia"/>
        </w:rPr>
        <w:t>30.</w:t>
      </w:r>
      <w:r>
        <w:rPr>
          <w:rFonts w:hint="eastAsia"/>
        </w:rPr>
        <w:tab/>
        <w:t>报告指出，政府对是否需要开展全面土地改革表示担忧，《全面土地政策》将为身为户主的妇女创造有利的环境，使她们能够得到土地用于盖房子和耕作(第377段)。请说明这项政策的状况，说明如何能够确保妇女，包括土著妇女和少数民族妇女得到土地。</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第14条</w:t>
      </w:r>
    </w:p>
    <w:p w:rsidR="003A6EFE" w:rsidRDefault="003A6EFE" w:rsidP="003A6EFE">
      <w:pPr>
        <w:pStyle w:val="SingleTxt"/>
        <w:rPr>
          <w:rFonts w:hint="eastAsia"/>
        </w:rPr>
      </w:pPr>
      <w:r>
        <w:rPr>
          <w:rFonts w:hint="eastAsia"/>
        </w:rPr>
        <w:t>31.</w:t>
      </w:r>
      <w:r>
        <w:rPr>
          <w:rFonts w:hint="eastAsia"/>
        </w:rPr>
        <w:tab/>
        <w:t>85％的柬埔寨人生活在农村地区(第360段)。报告提到由于国家预算拮据，农村地区《国家减贫战略》对妇女落实不力(第383段)。请说明准备如何努力，增加为战略提供资金、确保农村妇女受益于这项《战略》。还请说明农村妇女如何参与制定《战略》，以及她们如何参与落实《战略》的工作。</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第15和第16条</w:t>
      </w:r>
    </w:p>
    <w:p w:rsidR="003A6EFE" w:rsidRDefault="003A6EFE" w:rsidP="003A6EFE">
      <w:pPr>
        <w:pStyle w:val="SingleTxt"/>
        <w:rPr>
          <w:rFonts w:hint="eastAsia"/>
        </w:rPr>
      </w:pPr>
      <w:r>
        <w:rPr>
          <w:rFonts w:hint="eastAsia"/>
        </w:rPr>
        <w:t>32.</w:t>
      </w:r>
      <w:r>
        <w:rPr>
          <w:rFonts w:hint="eastAsia"/>
        </w:rPr>
        <w:tab/>
        <w:t>请说明是否努力传播并确保切实执行《婚姻家庭法》，从而消除逼婚严重的情况。</w:t>
      </w:r>
    </w:p>
    <w:p w:rsidR="003A6EFE" w:rsidRDefault="003A6EFE" w:rsidP="003A6EFE">
      <w:pPr>
        <w:pStyle w:val="SingleTxt"/>
        <w:rPr>
          <w:rFonts w:hint="eastAsia"/>
        </w:rPr>
      </w:pPr>
      <w:r>
        <w:rPr>
          <w:rFonts w:hint="eastAsia"/>
        </w:rPr>
        <w:t>33.</w:t>
      </w:r>
      <w:r>
        <w:tab/>
      </w:r>
      <w:r>
        <w:rPr>
          <w:rFonts w:hint="eastAsia"/>
        </w:rPr>
        <w:t>根据暴力侵害妇女问题特别报告员的报告，一夫多妻制在柬埔寨很多地方相当普遍(E/CN.4/2003/73/Add.1,第951段)。请说明是否采取或计划采取任何措施消除一夫多妻制问题。</w:t>
      </w:r>
    </w:p>
    <w:p w:rsidR="003A6EFE" w:rsidRDefault="003A6EFE" w:rsidP="003A6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任择议定书</w:t>
      </w:r>
    </w:p>
    <w:p w:rsidR="003A6EFE" w:rsidRDefault="003A6EFE" w:rsidP="003A6EFE">
      <w:pPr>
        <w:pStyle w:val="SingleTxt"/>
      </w:pPr>
      <w:r>
        <w:rPr>
          <w:rFonts w:hint="eastAsia"/>
        </w:rPr>
        <w:t>34.</w:t>
      </w:r>
      <w:r>
        <w:tab/>
      </w:r>
      <w:r>
        <w:rPr>
          <w:rFonts w:hint="eastAsia"/>
        </w:rPr>
        <w:t>请说明是否已采取任何措施或行动批准《任择议定书》。</w:t>
      </w:r>
    </w:p>
    <w:p w:rsidR="003A6EFE" w:rsidRPr="00ED40BC" w:rsidRDefault="003A6EFE" w:rsidP="003A6EFE">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1E5ABA" w:rsidRPr="00833971" w:rsidRDefault="001E5ABA" w:rsidP="00833971">
      <w:pPr>
        <w:pStyle w:val="SingleTxt"/>
        <w:rPr>
          <w:rFonts w:hint="eastAsia"/>
        </w:rPr>
      </w:pPr>
    </w:p>
    <w:sectPr w:rsidR="001E5ABA" w:rsidRPr="00833971" w:rsidSect="00833971">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26T15:05:00Z" w:initials="Start">
    <w:p w:rsidR="002059A3" w:rsidRDefault="002059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rPr>
          <w:rStyle w:val="CommentReference"/>
        </w:rPr>
        <w:annotationRef/>
      </w:r>
      <w:r>
        <w:t>&lt;&lt;ODS JOB NO&gt;&gt;N0545578C&lt;&lt;ODS JOB NO&gt;&gt;</w:t>
      </w:r>
    </w:p>
    <w:p w:rsidR="002059A3" w:rsidRDefault="002059A3">
      <w:pPr>
        <w:pStyle w:val="CommentText"/>
      </w:pPr>
      <w:r>
        <w:t>&lt;&lt;ODS DOC SYMBOL1&gt;&gt;CEDAW/C/KHM/Q/1-3&lt;&lt;ODS DOC SYMBOL1&gt;&gt;</w:t>
      </w:r>
    </w:p>
    <w:p w:rsidR="002059A3" w:rsidRDefault="002059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3F8" w:rsidRDefault="00F453F8" w:rsidP="00833971">
      <w:pPr>
        <w:pStyle w:val="Header"/>
      </w:pPr>
      <w:r>
        <w:separator/>
      </w:r>
    </w:p>
  </w:endnote>
  <w:endnote w:type="continuationSeparator" w:id="0">
    <w:p w:rsidR="00F453F8" w:rsidRDefault="00F453F8" w:rsidP="0083397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2059A3">
      <w:tblPrEx>
        <w:tblCellMar>
          <w:top w:w="0" w:type="dxa"/>
          <w:bottom w:w="0" w:type="dxa"/>
        </w:tblCellMar>
      </w:tblPrEx>
      <w:tc>
        <w:tcPr>
          <w:tcW w:w="5034" w:type="dxa"/>
          <w:shd w:val="clear" w:color="auto" w:fill="auto"/>
          <w:vAlign w:val="bottom"/>
        </w:tcPr>
        <w:p w:rsidR="002059A3" w:rsidRPr="00833971" w:rsidRDefault="002059A3" w:rsidP="00833971">
          <w:pPr>
            <w:pStyle w:val="Footer"/>
            <w:jc w:val="left"/>
          </w:pPr>
          <w:r>
            <w:fldChar w:fldCharType="begin"/>
          </w:r>
          <w:r>
            <w:instrText xml:space="preserve"> PAGE  \* MERGEFORMAT </w:instrText>
          </w:r>
          <w:r>
            <w:fldChar w:fldCharType="separate"/>
          </w:r>
          <w:r w:rsidR="00B9565A">
            <w:t>2</w:t>
          </w:r>
          <w:r>
            <w:fldChar w:fldCharType="end"/>
          </w:r>
        </w:p>
      </w:tc>
      <w:tc>
        <w:tcPr>
          <w:tcW w:w="5034" w:type="dxa"/>
          <w:shd w:val="clear" w:color="auto" w:fill="auto"/>
          <w:vAlign w:val="bottom"/>
        </w:tcPr>
        <w:p w:rsidR="002059A3" w:rsidRPr="00833971" w:rsidRDefault="002059A3" w:rsidP="0083397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05-45578</w:t>
          </w:r>
          <w:r>
            <w:rPr>
              <w:b w:val="0"/>
              <w:sz w:val="14"/>
            </w:rPr>
            <w:fldChar w:fldCharType="end"/>
          </w:r>
        </w:p>
      </w:tc>
    </w:tr>
  </w:tbl>
  <w:p w:rsidR="002059A3" w:rsidRPr="00833971" w:rsidRDefault="002059A3" w:rsidP="008339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2059A3">
      <w:tblPrEx>
        <w:tblCellMar>
          <w:top w:w="0" w:type="dxa"/>
          <w:bottom w:w="0" w:type="dxa"/>
        </w:tblCellMar>
      </w:tblPrEx>
      <w:tc>
        <w:tcPr>
          <w:tcW w:w="5034" w:type="dxa"/>
          <w:shd w:val="clear" w:color="auto" w:fill="auto"/>
          <w:vAlign w:val="bottom"/>
        </w:tcPr>
        <w:p w:rsidR="002059A3" w:rsidRPr="00833971" w:rsidRDefault="002059A3" w:rsidP="00833971">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05-45578</w:t>
          </w:r>
          <w:r>
            <w:rPr>
              <w:b w:val="0"/>
              <w:sz w:val="14"/>
            </w:rPr>
            <w:fldChar w:fldCharType="end"/>
          </w:r>
        </w:p>
      </w:tc>
      <w:tc>
        <w:tcPr>
          <w:tcW w:w="5034" w:type="dxa"/>
          <w:shd w:val="clear" w:color="auto" w:fill="auto"/>
          <w:vAlign w:val="bottom"/>
        </w:tcPr>
        <w:p w:rsidR="002059A3" w:rsidRPr="00833971" w:rsidRDefault="002059A3" w:rsidP="00833971">
          <w:pPr>
            <w:pStyle w:val="Footer"/>
            <w:jc w:val="right"/>
          </w:pPr>
          <w:r>
            <w:fldChar w:fldCharType="begin"/>
          </w:r>
          <w:r>
            <w:instrText xml:space="preserve"> PAGE  \* MERGEFORMAT </w:instrText>
          </w:r>
          <w:r>
            <w:fldChar w:fldCharType="separate"/>
          </w:r>
          <w:r w:rsidR="00B9565A">
            <w:t>3</w:t>
          </w:r>
          <w:r>
            <w:fldChar w:fldCharType="end"/>
          </w:r>
        </w:p>
      </w:tc>
    </w:tr>
  </w:tbl>
  <w:p w:rsidR="002059A3" w:rsidRPr="00833971" w:rsidRDefault="002059A3" w:rsidP="008339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9A3" w:rsidRDefault="002059A3" w:rsidP="0083397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05-45578 (C)</w:t>
    </w:r>
    <w:r>
      <w:rPr>
        <w:b w:val="0"/>
        <w:sz w:val="21"/>
      </w:rPr>
      <w:fldChar w:fldCharType="end"/>
    </w:r>
  </w:p>
  <w:p w:rsidR="002059A3" w:rsidRPr="00833971" w:rsidRDefault="002059A3" w:rsidP="00833971">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*0545578*</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3F8" w:rsidRDefault="00F453F8" w:rsidP="00833971">
      <w:pPr>
        <w:pStyle w:val="Header"/>
      </w:pPr>
      <w:r>
        <w:separator/>
      </w:r>
    </w:p>
  </w:footnote>
  <w:footnote w:type="continuationSeparator" w:id="0">
    <w:p w:rsidR="00F453F8" w:rsidRDefault="00F453F8" w:rsidP="0083397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2059A3">
      <w:tblPrEx>
        <w:tblCellMar>
          <w:top w:w="0" w:type="dxa"/>
          <w:bottom w:w="0" w:type="dxa"/>
        </w:tblCellMar>
      </w:tblPrEx>
      <w:trPr>
        <w:trHeight w:hRule="exact" w:val="864"/>
      </w:trPr>
      <w:tc>
        <w:tcPr>
          <w:tcW w:w="4838" w:type="dxa"/>
          <w:shd w:val="clear" w:color="auto" w:fill="auto"/>
          <w:vAlign w:val="bottom"/>
        </w:tcPr>
        <w:p w:rsidR="002059A3" w:rsidRPr="00833971" w:rsidRDefault="002059A3" w:rsidP="00833971">
          <w:pPr>
            <w:pStyle w:val="Header"/>
            <w:spacing w:after="80"/>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CEDAW/C/KHM/Q/1-3</w:t>
          </w:r>
          <w:r>
            <w:rPr>
              <w:b/>
              <w:sz w:val="17"/>
            </w:rPr>
            <w:fldChar w:fldCharType="end"/>
          </w:r>
        </w:p>
      </w:tc>
      <w:tc>
        <w:tcPr>
          <w:tcW w:w="5034" w:type="dxa"/>
          <w:shd w:val="clear" w:color="auto" w:fill="auto"/>
          <w:vAlign w:val="bottom"/>
        </w:tcPr>
        <w:p w:rsidR="002059A3" w:rsidRDefault="002059A3" w:rsidP="00833971">
          <w:pPr>
            <w:pStyle w:val="Header"/>
          </w:pPr>
        </w:p>
      </w:tc>
    </w:tr>
  </w:tbl>
  <w:p w:rsidR="002059A3" w:rsidRPr="00833971" w:rsidRDefault="002059A3" w:rsidP="008339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2059A3">
      <w:tblPrEx>
        <w:tblCellMar>
          <w:top w:w="0" w:type="dxa"/>
          <w:bottom w:w="0" w:type="dxa"/>
        </w:tblCellMar>
      </w:tblPrEx>
      <w:trPr>
        <w:trHeight w:hRule="exact" w:val="864"/>
      </w:trPr>
      <w:tc>
        <w:tcPr>
          <w:tcW w:w="4838" w:type="dxa"/>
          <w:shd w:val="clear" w:color="auto" w:fill="auto"/>
          <w:vAlign w:val="bottom"/>
        </w:tcPr>
        <w:p w:rsidR="002059A3" w:rsidRDefault="002059A3" w:rsidP="00833971">
          <w:pPr>
            <w:pStyle w:val="Header"/>
          </w:pPr>
        </w:p>
      </w:tc>
      <w:tc>
        <w:tcPr>
          <w:tcW w:w="5034" w:type="dxa"/>
          <w:shd w:val="clear" w:color="auto" w:fill="auto"/>
          <w:vAlign w:val="bottom"/>
        </w:tcPr>
        <w:p w:rsidR="002059A3" w:rsidRPr="00833971" w:rsidRDefault="002059A3" w:rsidP="0083397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CEDAW/C/KHM/Q/1-3</w:t>
          </w:r>
          <w:r>
            <w:rPr>
              <w:b/>
              <w:sz w:val="17"/>
            </w:rPr>
            <w:fldChar w:fldCharType="end"/>
          </w:r>
        </w:p>
      </w:tc>
    </w:tr>
  </w:tbl>
  <w:p w:rsidR="002059A3" w:rsidRPr="00833971" w:rsidRDefault="002059A3" w:rsidP="008339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059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59A3" w:rsidRDefault="002059A3" w:rsidP="00833971">
          <w:pPr>
            <w:pStyle w:val="Header"/>
            <w:spacing w:after="120"/>
          </w:pPr>
        </w:p>
      </w:tc>
      <w:tc>
        <w:tcPr>
          <w:tcW w:w="1872" w:type="dxa"/>
          <w:tcBorders>
            <w:bottom w:val="single" w:sz="4" w:space="0" w:color="auto"/>
          </w:tcBorders>
          <w:shd w:val="clear" w:color="auto" w:fill="auto"/>
          <w:vAlign w:val="bottom"/>
        </w:tcPr>
        <w:p w:rsidR="002059A3" w:rsidRDefault="002059A3" w:rsidP="00833971">
          <w:pPr>
            <w:pStyle w:val="Header"/>
            <w:spacing w:after="120"/>
          </w:pPr>
        </w:p>
      </w:tc>
      <w:tc>
        <w:tcPr>
          <w:tcW w:w="245" w:type="dxa"/>
          <w:tcBorders>
            <w:bottom w:val="single" w:sz="4" w:space="0" w:color="auto"/>
          </w:tcBorders>
          <w:shd w:val="clear" w:color="auto" w:fill="auto"/>
          <w:vAlign w:val="bottom"/>
        </w:tcPr>
        <w:p w:rsidR="002059A3" w:rsidRDefault="002059A3" w:rsidP="00833971">
          <w:pPr>
            <w:pStyle w:val="Header"/>
            <w:spacing w:after="120"/>
          </w:pPr>
        </w:p>
      </w:tc>
      <w:tc>
        <w:tcPr>
          <w:tcW w:w="6523" w:type="dxa"/>
          <w:gridSpan w:val="3"/>
          <w:tcBorders>
            <w:bottom w:val="single" w:sz="4" w:space="0" w:color="auto"/>
          </w:tcBorders>
          <w:shd w:val="clear" w:color="auto" w:fill="auto"/>
          <w:vAlign w:val="bottom"/>
        </w:tcPr>
        <w:p w:rsidR="002059A3" w:rsidRPr="00833971" w:rsidRDefault="002059A3" w:rsidP="00833971">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/C/KHM/Q/1-3</w:t>
          </w:r>
        </w:p>
      </w:tc>
    </w:tr>
    <w:tr w:rsidR="002059A3" w:rsidRPr="0083397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59A3" w:rsidRPr="00833971" w:rsidRDefault="002059A3" w:rsidP="00833971">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2059A3" w:rsidRPr="00833971" w:rsidRDefault="002059A3" w:rsidP="00833971">
          <w:pPr>
            <w:pStyle w:val="Header"/>
            <w:spacing w:before="109"/>
          </w:pPr>
        </w:p>
      </w:tc>
      <w:tc>
        <w:tcPr>
          <w:tcW w:w="245" w:type="dxa"/>
          <w:tcBorders>
            <w:top w:val="single" w:sz="4" w:space="0" w:color="auto"/>
            <w:bottom w:val="single" w:sz="12" w:space="0" w:color="auto"/>
          </w:tcBorders>
          <w:shd w:val="clear" w:color="auto" w:fill="auto"/>
        </w:tcPr>
        <w:p w:rsidR="002059A3" w:rsidRPr="00833971" w:rsidRDefault="002059A3" w:rsidP="00833971">
          <w:pPr>
            <w:pStyle w:val="Header"/>
            <w:spacing w:before="109"/>
          </w:pPr>
        </w:p>
      </w:tc>
      <w:tc>
        <w:tcPr>
          <w:tcW w:w="3180" w:type="dxa"/>
          <w:gridSpan w:val="2"/>
          <w:tcBorders>
            <w:top w:val="single" w:sz="4" w:space="0" w:color="auto"/>
            <w:bottom w:val="single" w:sz="12" w:space="0" w:color="auto"/>
          </w:tcBorders>
          <w:shd w:val="clear" w:color="auto" w:fill="auto"/>
        </w:tcPr>
        <w:p w:rsidR="002059A3" w:rsidRDefault="002059A3" w:rsidP="00833971">
          <w:pPr>
            <w:spacing w:before="240" w:line="240" w:lineRule="exact"/>
            <w:rPr>
              <w:rFonts w:ascii="Times New Roman"/>
            </w:rPr>
          </w:pPr>
        </w:p>
        <w:p w:rsidR="002059A3" w:rsidRDefault="002059A3" w:rsidP="00833971">
          <w:pPr>
            <w:spacing w:line="240" w:lineRule="exact"/>
            <w:rPr>
              <w:rFonts w:ascii="Times New Roman"/>
            </w:rPr>
          </w:pPr>
          <w:r>
            <w:rPr>
              <w:rFonts w:ascii="Times New Roman"/>
            </w:rPr>
            <w:t>5 August 2004</w:t>
          </w:r>
        </w:p>
        <w:p w:rsidR="002059A3" w:rsidRDefault="002059A3" w:rsidP="00833971">
          <w:pPr>
            <w:spacing w:line="240" w:lineRule="exact"/>
            <w:rPr>
              <w:rFonts w:ascii="Times New Roman"/>
            </w:rPr>
          </w:pPr>
          <w:r>
            <w:rPr>
              <w:rFonts w:ascii="Times New Roman"/>
            </w:rPr>
            <w:t>Chinese</w:t>
          </w:r>
        </w:p>
        <w:p w:rsidR="002059A3" w:rsidRPr="00833971" w:rsidRDefault="002059A3" w:rsidP="00833971">
          <w:pPr>
            <w:spacing w:line="240" w:lineRule="exact"/>
            <w:rPr>
              <w:rFonts w:ascii="Times New Roman"/>
            </w:rPr>
          </w:pPr>
          <w:r>
            <w:rPr>
              <w:rFonts w:ascii="Times New Roman"/>
            </w:rPr>
            <w:t>Original: English</w:t>
          </w:r>
        </w:p>
      </w:tc>
    </w:tr>
  </w:tbl>
  <w:p w:rsidR="002059A3" w:rsidRPr="00833971" w:rsidRDefault="002059A3" w:rsidP="008339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578*"/>
    <w:docVar w:name="CreationDt" w:val="26/09/2005  3:03: PM"/>
    <w:docVar w:name="DocCategory" w:val="PlainDoc"/>
    <w:docVar w:name="DocType" w:val="Final"/>
    <w:docVar w:name="FooterJN" w:val="05-45578"/>
    <w:docVar w:name="jobn" w:val="05-45578 (C)"/>
    <w:docVar w:name="jobnDT" w:val="05-45578 (C)   260905"/>
    <w:docVar w:name="jobnDTDT" w:val="05-45578 (C)   260905   260905"/>
    <w:docVar w:name="JobNo" w:val="0545578C"/>
    <w:docVar w:name="OandT" w:val="hou"/>
    <w:docVar w:name="sss1" w:val="CEDAW/C/KHM/Q/1-3"/>
    <w:docVar w:name="sss2" w:val="-"/>
    <w:docVar w:name="Symbol1" w:val="CEDAW/C/KHM/Q/1-3"/>
    <w:docVar w:name="Symbol2" w:val="-"/>
  </w:docVars>
  <w:rsids>
    <w:rsidRoot w:val="00F42576"/>
    <w:rsid w:val="0001714A"/>
    <w:rsid w:val="00023D5F"/>
    <w:rsid w:val="00026F65"/>
    <w:rsid w:val="0002745F"/>
    <w:rsid w:val="00046EF2"/>
    <w:rsid w:val="00076EC9"/>
    <w:rsid w:val="000B291B"/>
    <w:rsid w:val="000C393E"/>
    <w:rsid w:val="00112EF7"/>
    <w:rsid w:val="00127843"/>
    <w:rsid w:val="00152D54"/>
    <w:rsid w:val="0017240D"/>
    <w:rsid w:val="001A63C0"/>
    <w:rsid w:val="001A7CE0"/>
    <w:rsid w:val="001C3FDC"/>
    <w:rsid w:val="001E072E"/>
    <w:rsid w:val="001E5ABA"/>
    <w:rsid w:val="002059A3"/>
    <w:rsid w:val="00212625"/>
    <w:rsid w:val="0021648C"/>
    <w:rsid w:val="0021751C"/>
    <w:rsid w:val="0022680E"/>
    <w:rsid w:val="00233412"/>
    <w:rsid w:val="002A450F"/>
    <w:rsid w:val="002A6D16"/>
    <w:rsid w:val="002D3573"/>
    <w:rsid w:val="002D7BBC"/>
    <w:rsid w:val="002E3BE1"/>
    <w:rsid w:val="002F4CB0"/>
    <w:rsid w:val="00307578"/>
    <w:rsid w:val="003418C9"/>
    <w:rsid w:val="00351A36"/>
    <w:rsid w:val="00352C53"/>
    <w:rsid w:val="00363CCF"/>
    <w:rsid w:val="003843AB"/>
    <w:rsid w:val="00391736"/>
    <w:rsid w:val="003A6EFE"/>
    <w:rsid w:val="003A76FE"/>
    <w:rsid w:val="003D7A77"/>
    <w:rsid w:val="003F751A"/>
    <w:rsid w:val="0040101A"/>
    <w:rsid w:val="004103D4"/>
    <w:rsid w:val="00415126"/>
    <w:rsid w:val="00424845"/>
    <w:rsid w:val="004A3FC3"/>
    <w:rsid w:val="004A56DD"/>
    <w:rsid w:val="004B4FAD"/>
    <w:rsid w:val="004C3DCE"/>
    <w:rsid w:val="00500CBF"/>
    <w:rsid w:val="00501EC4"/>
    <w:rsid w:val="005060E9"/>
    <w:rsid w:val="00537EB9"/>
    <w:rsid w:val="00582D1F"/>
    <w:rsid w:val="005A0A7A"/>
    <w:rsid w:val="005A2FE6"/>
    <w:rsid w:val="005B034E"/>
    <w:rsid w:val="005B1859"/>
    <w:rsid w:val="00602A74"/>
    <w:rsid w:val="006139D1"/>
    <w:rsid w:val="006352D1"/>
    <w:rsid w:val="006714D6"/>
    <w:rsid w:val="00684C45"/>
    <w:rsid w:val="006C552C"/>
    <w:rsid w:val="006E2E62"/>
    <w:rsid w:val="006F02B4"/>
    <w:rsid w:val="00720632"/>
    <w:rsid w:val="007312AB"/>
    <w:rsid w:val="007750E5"/>
    <w:rsid w:val="0077746D"/>
    <w:rsid w:val="007964E1"/>
    <w:rsid w:val="007C40E1"/>
    <w:rsid w:val="007F4F33"/>
    <w:rsid w:val="00801C8C"/>
    <w:rsid w:val="00802393"/>
    <w:rsid w:val="00810877"/>
    <w:rsid w:val="00833971"/>
    <w:rsid w:val="00850A6F"/>
    <w:rsid w:val="008526BE"/>
    <w:rsid w:val="008A1EE3"/>
    <w:rsid w:val="00931BFA"/>
    <w:rsid w:val="00967238"/>
    <w:rsid w:val="0097639B"/>
    <w:rsid w:val="00986FA4"/>
    <w:rsid w:val="009B235E"/>
    <w:rsid w:val="009B73F9"/>
    <w:rsid w:val="009C0AA2"/>
    <w:rsid w:val="009E487C"/>
    <w:rsid w:val="009F6254"/>
    <w:rsid w:val="00A46DB1"/>
    <w:rsid w:val="00A55A9A"/>
    <w:rsid w:val="00A83A44"/>
    <w:rsid w:val="00A90B7C"/>
    <w:rsid w:val="00A90F80"/>
    <w:rsid w:val="00AF5E35"/>
    <w:rsid w:val="00B01DF6"/>
    <w:rsid w:val="00B4329B"/>
    <w:rsid w:val="00B92C99"/>
    <w:rsid w:val="00B9565A"/>
    <w:rsid w:val="00BA5E50"/>
    <w:rsid w:val="00BD043D"/>
    <w:rsid w:val="00C07AE2"/>
    <w:rsid w:val="00C20338"/>
    <w:rsid w:val="00C23B4F"/>
    <w:rsid w:val="00C81E57"/>
    <w:rsid w:val="00CA5FAB"/>
    <w:rsid w:val="00CC7FFB"/>
    <w:rsid w:val="00CD24E0"/>
    <w:rsid w:val="00D10A6F"/>
    <w:rsid w:val="00D92ACF"/>
    <w:rsid w:val="00DA3890"/>
    <w:rsid w:val="00DB7B6F"/>
    <w:rsid w:val="00DB7D3A"/>
    <w:rsid w:val="00DD0052"/>
    <w:rsid w:val="00E03604"/>
    <w:rsid w:val="00E72BC6"/>
    <w:rsid w:val="00E7447F"/>
    <w:rsid w:val="00E7747D"/>
    <w:rsid w:val="00ED5F79"/>
    <w:rsid w:val="00EE2F68"/>
    <w:rsid w:val="00F0309E"/>
    <w:rsid w:val="00F11092"/>
    <w:rsid w:val="00F17EA2"/>
    <w:rsid w:val="00F42576"/>
    <w:rsid w:val="00F453F8"/>
    <w:rsid w:val="00F54AAE"/>
    <w:rsid w:val="00F82C65"/>
    <w:rsid w:val="00FC498C"/>
    <w:rsid w:val="00FE38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40E1"/>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7C40E1"/>
    <w:pPr>
      <w:keepNext/>
      <w:keepLines/>
      <w:suppressAutoHyphens/>
      <w:spacing w:before="60" w:after="180"/>
      <w:outlineLvl w:val="0"/>
    </w:pPr>
    <w:rPr>
      <w:rFonts w:ascii="SimHei" w:eastAsia="SimHei"/>
      <w:color w:val="FF0000"/>
      <w:sz w:val="24"/>
    </w:rPr>
  </w:style>
  <w:style w:type="paragraph" w:customStyle="1" w:styleId="HCh">
    <w:name w:val="_ H _Ch"/>
    <w:basedOn w:val="H1"/>
    <w:next w:val="Normal"/>
    <w:rsid w:val="007C40E1"/>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rsid w:val="007C40E1"/>
    <w:pPr>
      <w:spacing w:before="60" w:after="180"/>
      <w:outlineLvl w:val="1"/>
    </w:pPr>
    <w:rPr>
      <w:rFonts w:ascii="SimHei" w:eastAsia="SimHei"/>
      <w:color w:val="FF0000"/>
      <w:spacing w:val="2"/>
    </w:rPr>
  </w:style>
  <w:style w:type="paragraph" w:customStyle="1" w:styleId="H4">
    <w:name w:val="_ H_4"/>
    <w:basedOn w:val="Normal"/>
    <w:next w:val="Normal"/>
    <w:rsid w:val="007C40E1"/>
    <w:pPr>
      <w:keepNext/>
      <w:keepLines/>
      <w:tabs>
        <w:tab w:val="left" w:pos="431"/>
      </w:tabs>
      <w:suppressAutoHyphens/>
      <w:spacing w:after="140"/>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rsid w:val="007C40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F82C65"/>
    <w:pPr>
      <w:tabs>
        <w:tab w:val="right" w:leader="dot" w:pos="360"/>
      </w:tabs>
      <w:spacing w:after="0"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rsid w:val="001E072E"/>
    <w:pPr>
      <w:tabs>
        <w:tab w:val="center" w:pos="4320"/>
        <w:tab w:val="right" w:pos="8640"/>
      </w:tabs>
      <w:jc w:val="both"/>
    </w:pPr>
    <w:rPr>
      <w:b/>
      <w:noProof/>
      <w:sz w:val="18"/>
      <w:szCs w:val="18"/>
      <w:lang w:val="en-US" w:eastAsia="zh-CN"/>
    </w:rPr>
  </w:style>
  <w:style w:type="paragraph" w:styleId="BalloonText">
    <w:name w:val="Balloon Text"/>
    <w:basedOn w:val="Normal"/>
    <w:semiHidden/>
    <w:rsid w:val="00F42576"/>
    <w:rPr>
      <w:sz w:val="16"/>
      <w:szCs w:val="16"/>
    </w:rPr>
  </w:style>
  <w:style w:type="paragraph" w:styleId="CommentText">
    <w:name w:val="annotation text"/>
    <w:basedOn w:val="Normal"/>
    <w:semiHidden/>
    <w:rsid w:val="00833971"/>
  </w:style>
  <w:style w:type="paragraph" w:styleId="CommentSubject">
    <w:name w:val="annotation subject"/>
    <w:basedOn w:val="CommentText"/>
    <w:next w:val="CommentText"/>
    <w:semiHidden/>
    <w:rsid w:val="008339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613</Words>
  <Characters>3496</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DGACM</dc:creator>
  <cp:keywords/>
  <dc:description/>
  <cp:lastModifiedBy>DGACM</cp:lastModifiedBy>
  <cp:revision>11</cp:revision>
  <cp:lastPrinted>2005-09-26T15:47:00Z</cp:lastPrinted>
  <dcterms:created xsi:type="dcterms:W3CDTF">2005-09-26T14:07:00Z</dcterms:created>
  <dcterms:modified xsi:type="dcterms:W3CDTF">2005-09-26T15:49:00Z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0545578</vt:lpwstr>
  </property>
  <property fmtid="{D5CDD505-2E9C-101B-9397-08002B2CF9AE}" pid="3" name="Symbol1">
    <vt:lpwstr>CEDAW/C/KHM/Q/1-3</vt:lpwstr>
  </property>
  <property fmtid="{D5CDD505-2E9C-101B-9397-08002B2CF9AE}" pid="4" name="Symbol2">
    <vt:lpwstr/>
  </property>
  <property fmtid="{D5CDD505-2E9C-101B-9397-08002B2CF9AE}" pid="5" name="Translator">
    <vt:lpwstr/>
  </property>
  <property fmtid="{D5CDD505-2E9C-101B-9397-08002B2CF9AE}" pid="6" name="Operator">
    <vt:lpwstr>hou</vt:lpwstr>
  </property>
  <property fmtid="{D5CDD505-2E9C-101B-9397-08002B2CF9AE}" pid="7" name="DraftPages">
    <vt:lpwstr> </vt:lpwstr>
  </property>
  <property fmtid="{D5CDD505-2E9C-101B-9397-08002B2CF9AE}" pid="8" name="Comment">
    <vt:lpwstr/>
  </property>
</Properties>
</file>