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305F" w:rsidRDefault="00B6305F" w:rsidP="00B6305F">
      <w:pPr>
        <w:spacing w:line="240" w:lineRule="auto"/>
        <w:jc w:val="left"/>
        <w:rPr>
          <w:rFonts w:hint="cs"/>
          <w:szCs w:val="6"/>
        </w:rPr>
        <w:sectPr w:rsidR="00B6305F" w:rsidSect="00B6305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FF3B20" w:rsidRPr="00FF3B20" w:rsidRDefault="00FF3B20" w:rsidP="00FF3B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FF3B20">
        <w:rPr>
          <w:rtl/>
        </w:rPr>
        <w:t>اللجنة المعنية بالقضاء على التمييز ضد المرأة</w:t>
      </w:r>
    </w:p>
    <w:p w:rsidR="00FF3B20" w:rsidRPr="00FF3B20" w:rsidRDefault="00FF3B20" w:rsidP="00FF3B2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FF3B20">
        <w:rPr>
          <w:rtl/>
        </w:rPr>
        <w:t>الفريق العامل لما قبل الدورة</w:t>
      </w:r>
    </w:p>
    <w:p w:rsidR="00FF3B20" w:rsidRPr="00FF3B20" w:rsidRDefault="00FF3B20" w:rsidP="00FF3B20">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FF3B20">
        <w:rPr>
          <w:rFonts w:hint="cs"/>
          <w:rtl/>
        </w:rPr>
        <w:t>الدورة الثامنة والثلاثون</w:t>
      </w:r>
    </w:p>
    <w:p w:rsidR="00FF3B20" w:rsidRPr="00FF3B20" w:rsidRDefault="00FF3B20" w:rsidP="00FF3B20">
      <w:pPr>
        <w:tabs>
          <w:tab w:val="left" w:pos="662"/>
          <w:tab w:val="left" w:pos="1267"/>
          <w:tab w:val="left" w:pos="1987"/>
          <w:tab w:val="left" w:pos="2650"/>
        </w:tabs>
        <w:rPr>
          <w:rFonts w:hint="cs"/>
          <w:rtl/>
        </w:rPr>
      </w:pPr>
      <w:r w:rsidRPr="00FF3B20">
        <w:rPr>
          <w:rFonts w:hint="cs"/>
          <w:rtl/>
        </w:rPr>
        <w:t>14 أيار/مايو إلى 1 حزيران/يونيه 2007</w:t>
      </w:r>
    </w:p>
    <w:p w:rsidR="00FF3B20" w:rsidRPr="00FF3B20" w:rsidRDefault="00FF3B20" w:rsidP="00FF3B20">
      <w:pPr>
        <w:pStyle w:val="SingleTxt"/>
        <w:spacing w:after="0" w:line="120" w:lineRule="exact"/>
        <w:rPr>
          <w:rFonts w:hint="cs"/>
          <w:b/>
          <w:bCs/>
          <w:sz w:val="12"/>
          <w:rtl/>
        </w:rPr>
      </w:pPr>
    </w:p>
    <w:p w:rsidR="00FF3B20" w:rsidRPr="00FF3B20" w:rsidRDefault="00FF3B20" w:rsidP="00FF3B20">
      <w:pPr>
        <w:pStyle w:val="SingleTxt"/>
        <w:spacing w:after="0" w:line="120" w:lineRule="exact"/>
        <w:rPr>
          <w:rFonts w:hint="cs"/>
          <w:b/>
          <w:bCs/>
          <w:sz w:val="12"/>
          <w:rtl/>
        </w:rPr>
      </w:pPr>
    </w:p>
    <w:p w:rsidR="00FF3B20" w:rsidRPr="00FF3B20" w:rsidRDefault="00FF3B20" w:rsidP="00FF3B20">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F3B20">
        <w:rPr>
          <w:rFonts w:hint="cs"/>
          <w:rtl/>
        </w:rPr>
        <w:tab/>
      </w:r>
      <w:r w:rsidRPr="00FF3B20">
        <w:rPr>
          <w:rFonts w:hint="cs"/>
          <w:rtl/>
        </w:rPr>
        <w:tab/>
      </w:r>
      <w:r w:rsidRPr="00FF3B20">
        <w:rPr>
          <w:rtl/>
        </w:rPr>
        <w:t xml:space="preserve">قائمة القضايا والأسئلة المطروحة </w:t>
      </w:r>
      <w:r w:rsidRPr="00FF3B20">
        <w:rPr>
          <w:rFonts w:hint="cs"/>
          <w:rtl/>
        </w:rPr>
        <w:t xml:space="preserve">المتعلقة بالنظر في التقرير </w:t>
      </w:r>
      <w:r>
        <w:rPr>
          <w:rFonts w:hint="cs"/>
          <w:rtl/>
        </w:rPr>
        <w:t xml:space="preserve">الجامع للتقريرين </w:t>
      </w:r>
      <w:r w:rsidRPr="00FF3B20">
        <w:rPr>
          <w:rFonts w:hint="cs"/>
          <w:rtl/>
        </w:rPr>
        <w:t>الدوري</w:t>
      </w:r>
      <w:r>
        <w:rPr>
          <w:rFonts w:hint="cs"/>
          <w:rtl/>
        </w:rPr>
        <w:t>ين</w:t>
      </w:r>
      <w:r w:rsidRPr="00FF3B20">
        <w:rPr>
          <w:rFonts w:hint="cs"/>
          <w:rtl/>
        </w:rPr>
        <w:t xml:space="preserve"> </w:t>
      </w:r>
      <w:r>
        <w:rPr>
          <w:rFonts w:hint="cs"/>
          <w:rtl/>
        </w:rPr>
        <w:t xml:space="preserve">الأولي </w:t>
      </w:r>
      <w:r w:rsidRPr="00FF3B20">
        <w:rPr>
          <w:rFonts w:hint="cs"/>
          <w:rtl/>
        </w:rPr>
        <w:t>والثاني</w:t>
      </w:r>
    </w:p>
    <w:p w:rsidR="00FF3B20" w:rsidRPr="00FF3B20" w:rsidRDefault="00FF3B20" w:rsidP="00FF3B20">
      <w:pPr>
        <w:pStyle w:val="SingleTxt"/>
        <w:spacing w:after="0" w:line="120" w:lineRule="exact"/>
        <w:rPr>
          <w:rFonts w:hint="cs"/>
          <w:b/>
          <w:bCs/>
          <w:sz w:val="12"/>
          <w:rtl/>
        </w:rPr>
      </w:pPr>
    </w:p>
    <w:p w:rsidR="00FF3B20" w:rsidRPr="00FF3B20" w:rsidRDefault="00FF3B20" w:rsidP="00FF3B2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FF3B20">
        <w:rPr>
          <w:rFonts w:hint="cs"/>
          <w:rtl/>
        </w:rPr>
        <w:tab/>
      </w:r>
      <w:r w:rsidRPr="00FF3B20">
        <w:rPr>
          <w:rFonts w:hint="cs"/>
          <w:rtl/>
        </w:rPr>
        <w:tab/>
        <w:t>موزامب</w:t>
      </w:r>
      <w:r>
        <w:rPr>
          <w:rFonts w:hint="cs"/>
          <w:rtl/>
        </w:rPr>
        <w:t>ي</w:t>
      </w:r>
      <w:r w:rsidRPr="00FF3B20">
        <w:rPr>
          <w:rFonts w:hint="cs"/>
          <w:rtl/>
        </w:rPr>
        <w:t>ق</w:t>
      </w:r>
    </w:p>
    <w:p w:rsidR="00FF3B20" w:rsidRPr="00FF3B20" w:rsidRDefault="00FF3B20" w:rsidP="002265C0">
      <w:pPr>
        <w:pStyle w:val="SingleTxt"/>
        <w:spacing w:line="380" w:lineRule="exact"/>
        <w:rPr>
          <w:rFonts w:hint="cs"/>
          <w:rtl/>
        </w:rPr>
      </w:pPr>
      <w:r w:rsidRPr="00FF3B20">
        <w:rPr>
          <w:rFonts w:hint="cs"/>
          <w:rtl/>
        </w:rPr>
        <w:t>1</w:t>
      </w:r>
      <w:r>
        <w:rPr>
          <w:rFonts w:hint="cs"/>
          <w:rtl/>
        </w:rPr>
        <w:t xml:space="preserve"> </w:t>
      </w:r>
      <w:r w:rsidRPr="00FF3B20">
        <w:rPr>
          <w:rFonts w:hint="cs"/>
          <w:rtl/>
        </w:rPr>
        <w:t>-</w:t>
      </w:r>
      <w:r>
        <w:rPr>
          <w:rFonts w:hint="cs"/>
          <w:rtl/>
        </w:rPr>
        <w:tab/>
      </w:r>
      <w:r w:rsidRPr="00FF3B20">
        <w:rPr>
          <w:rtl/>
        </w:rPr>
        <w:t xml:space="preserve">نظر الفريق العامل لما قبل الدورة </w:t>
      </w:r>
      <w:r>
        <w:rPr>
          <w:rFonts w:hint="cs"/>
          <w:rtl/>
        </w:rPr>
        <w:t xml:space="preserve">في </w:t>
      </w:r>
      <w:r w:rsidRPr="00FF3B20">
        <w:rPr>
          <w:rFonts w:hint="cs"/>
          <w:rtl/>
        </w:rPr>
        <w:t xml:space="preserve">التقرير </w:t>
      </w:r>
      <w:r>
        <w:rPr>
          <w:rFonts w:hint="cs"/>
          <w:rtl/>
        </w:rPr>
        <w:t xml:space="preserve">الجامع للتقريرين الدوريين </w:t>
      </w:r>
      <w:r w:rsidRPr="00FF3B20">
        <w:rPr>
          <w:rFonts w:hint="cs"/>
          <w:rtl/>
        </w:rPr>
        <w:t>الأول</w:t>
      </w:r>
      <w:r>
        <w:rPr>
          <w:rFonts w:hint="cs"/>
          <w:rtl/>
        </w:rPr>
        <w:t>ي</w:t>
      </w:r>
      <w:r w:rsidRPr="00FF3B20">
        <w:rPr>
          <w:rtl/>
        </w:rPr>
        <w:t xml:space="preserve"> </w:t>
      </w:r>
      <w:r w:rsidRPr="00FF3B20">
        <w:rPr>
          <w:rFonts w:hint="cs"/>
          <w:rtl/>
        </w:rPr>
        <w:t>والثاني</w:t>
      </w:r>
      <w:r w:rsidRPr="00FF3B20">
        <w:rPr>
          <w:rtl/>
        </w:rPr>
        <w:t xml:space="preserve"> </w:t>
      </w:r>
      <w:r w:rsidRPr="00FF3B20">
        <w:rPr>
          <w:rFonts w:hint="cs"/>
          <w:rtl/>
        </w:rPr>
        <w:t>ل</w:t>
      </w:r>
      <w:r>
        <w:rPr>
          <w:rFonts w:hint="cs"/>
          <w:rtl/>
        </w:rPr>
        <w:t>موزامبيق</w:t>
      </w:r>
      <w:r w:rsidRPr="00FF3B20">
        <w:rPr>
          <w:rFonts w:hint="cs"/>
          <w:rtl/>
        </w:rPr>
        <w:t xml:space="preserve"> </w:t>
      </w:r>
      <w:r w:rsidRPr="00FF3B20">
        <w:t>(CEDAW/C/MOZ/1-2)</w:t>
      </w:r>
      <w:r w:rsidRPr="00FF3B20">
        <w:rPr>
          <w:rFonts w:hint="cs"/>
          <w:rtl/>
        </w:rPr>
        <w:t>.</w:t>
      </w:r>
    </w:p>
    <w:p w:rsidR="00FF3B20" w:rsidRPr="00FF3B20" w:rsidRDefault="00FF3B20" w:rsidP="00FF3B20">
      <w:pPr>
        <w:pStyle w:val="SingleTxt"/>
        <w:spacing w:after="0" w:line="120" w:lineRule="exact"/>
        <w:rPr>
          <w:rFonts w:hint="cs"/>
          <w:sz w:val="12"/>
          <w:rtl/>
        </w:rPr>
      </w:pPr>
    </w:p>
    <w:p w:rsidR="00FF3B20" w:rsidRPr="00FF3B20" w:rsidRDefault="00FF3B20" w:rsidP="00FF3B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لمحة عامة</w:t>
      </w:r>
    </w:p>
    <w:p w:rsidR="00FF3B20" w:rsidRPr="00FF3B20" w:rsidRDefault="00FF3B20" w:rsidP="00FF3B20">
      <w:pPr>
        <w:pStyle w:val="SingleTxt"/>
        <w:rPr>
          <w:rFonts w:hint="cs"/>
          <w:rtl/>
        </w:rPr>
      </w:pPr>
      <w:r>
        <w:rPr>
          <w:rFonts w:hint="cs"/>
          <w:rtl/>
        </w:rPr>
        <w:t>2</w:t>
      </w:r>
      <w:r w:rsidRPr="00FF3B20">
        <w:rPr>
          <w:rFonts w:hint="cs"/>
          <w:rtl/>
        </w:rPr>
        <w:t xml:space="preserve"> -</w:t>
      </w:r>
      <w:r w:rsidRPr="00FF3B20">
        <w:rPr>
          <w:rFonts w:hint="cs"/>
          <w:rtl/>
        </w:rPr>
        <w:tab/>
        <w:t xml:space="preserve">يرجى تقديم تفاصيل عن العملية المستعملة لإعداد التقرير </w:t>
      </w:r>
      <w:r>
        <w:rPr>
          <w:rFonts w:hint="cs"/>
          <w:rtl/>
        </w:rPr>
        <w:t xml:space="preserve">الجامع للتقريرين الدوريين </w:t>
      </w:r>
      <w:r w:rsidRPr="00FF3B20">
        <w:rPr>
          <w:rFonts w:hint="cs"/>
          <w:rtl/>
        </w:rPr>
        <w:t>الأول</w:t>
      </w:r>
      <w:r>
        <w:rPr>
          <w:rFonts w:hint="cs"/>
          <w:rtl/>
        </w:rPr>
        <w:t>ي</w:t>
      </w:r>
      <w:r w:rsidRPr="00FF3B20">
        <w:rPr>
          <w:rtl/>
        </w:rPr>
        <w:t xml:space="preserve"> </w:t>
      </w:r>
      <w:r w:rsidRPr="00FF3B20">
        <w:rPr>
          <w:rFonts w:hint="cs"/>
          <w:rtl/>
        </w:rPr>
        <w:t xml:space="preserve">والثاني، بما في ذلك دور المنظمات غير الحكومية التي تعمل في مجال حقوق الإنسان المكفولة للمرأة، وما إذا كانت الحكومة </w:t>
      </w:r>
      <w:r>
        <w:rPr>
          <w:rFonts w:hint="cs"/>
          <w:rtl/>
        </w:rPr>
        <w:t xml:space="preserve">قد </w:t>
      </w:r>
      <w:r w:rsidRPr="00FF3B20">
        <w:rPr>
          <w:rFonts w:hint="cs"/>
          <w:rtl/>
        </w:rPr>
        <w:t>اعتمدت التقرير و</w:t>
      </w:r>
      <w:r>
        <w:rPr>
          <w:rFonts w:hint="cs"/>
          <w:rtl/>
        </w:rPr>
        <w:t xml:space="preserve">عرضته على </w:t>
      </w:r>
      <w:r w:rsidRPr="00FF3B20">
        <w:rPr>
          <w:rFonts w:hint="cs"/>
          <w:rtl/>
        </w:rPr>
        <w:t xml:space="preserve">البرلمان. </w:t>
      </w:r>
    </w:p>
    <w:p w:rsidR="00FF3B20" w:rsidRPr="00FF3B20" w:rsidRDefault="00FF3B20" w:rsidP="00FF3B20">
      <w:pPr>
        <w:pStyle w:val="SingleTxt"/>
        <w:spacing w:after="0" w:line="120" w:lineRule="exact"/>
        <w:rPr>
          <w:rFonts w:hint="cs"/>
          <w:b/>
          <w:bCs/>
          <w:sz w:val="12"/>
          <w:rtl/>
        </w:rPr>
      </w:pPr>
    </w:p>
    <w:p w:rsidR="00FF3B20" w:rsidRPr="00FF3B20" w:rsidRDefault="00FF3B20" w:rsidP="00FF3B2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المادتان 1 و</w:t>
      </w:r>
      <w:r>
        <w:rPr>
          <w:rFonts w:hint="cs"/>
          <w:rtl/>
        </w:rPr>
        <w:t xml:space="preserve"> </w:t>
      </w:r>
      <w:r w:rsidRPr="00FF3B20">
        <w:rPr>
          <w:rFonts w:hint="cs"/>
          <w:rtl/>
        </w:rPr>
        <w:t>2</w:t>
      </w:r>
    </w:p>
    <w:p w:rsidR="00FF3B20" w:rsidRPr="00FF3B20" w:rsidRDefault="00FF3B20" w:rsidP="00FF3B20">
      <w:pPr>
        <w:pStyle w:val="SingleTxt"/>
        <w:rPr>
          <w:rFonts w:hint="cs"/>
          <w:rtl/>
        </w:rPr>
      </w:pPr>
      <w:r w:rsidRPr="00FF3B20">
        <w:rPr>
          <w:rFonts w:hint="cs"/>
          <w:rtl/>
        </w:rPr>
        <w:t>3</w:t>
      </w:r>
      <w:r>
        <w:rPr>
          <w:rFonts w:hint="cs"/>
          <w:rtl/>
        </w:rPr>
        <w:t xml:space="preserve"> </w:t>
      </w:r>
      <w:r w:rsidRPr="00FF3B20">
        <w:rPr>
          <w:rFonts w:hint="cs"/>
          <w:rtl/>
        </w:rPr>
        <w:t>-</w:t>
      </w:r>
      <w:r>
        <w:rPr>
          <w:rFonts w:hint="cs"/>
          <w:rtl/>
        </w:rPr>
        <w:tab/>
      </w:r>
      <w:r w:rsidRPr="00FF3B20">
        <w:rPr>
          <w:rFonts w:hint="cs"/>
          <w:rtl/>
        </w:rPr>
        <w:t xml:space="preserve">يشير التقرير إلى أن الدستور لا يضع تعريفا قانونيا للتمييز (الصفحة 21). يرجى تبيان ما إذا كانت الحكومة تعتزم دمج تعريف للتمييز في الدستور أو </w:t>
      </w:r>
      <w:r>
        <w:rPr>
          <w:rFonts w:hint="cs"/>
          <w:rtl/>
        </w:rPr>
        <w:t xml:space="preserve">وضع </w:t>
      </w:r>
      <w:r w:rsidRPr="00FF3B20">
        <w:rPr>
          <w:rFonts w:hint="cs"/>
          <w:rtl/>
        </w:rPr>
        <w:t xml:space="preserve">تشريع ملائم يتماشى والمادة 1 من الاتفاقية. </w:t>
      </w:r>
    </w:p>
    <w:p w:rsidR="00FF3B20" w:rsidRPr="00FF3B20" w:rsidRDefault="00FF3B20" w:rsidP="003B7161">
      <w:pPr>
        <w:pStyle w:val="SingleTxt"/>
        <w:rPr>
          <w:rFonts w:hint="cs"/>
          <w:rtl/>
        </w:rPr>
      </w:pPr>
      <w:r w:rsidRPr="00FF3B20">
        <w:rPr>
          <w:rFonts w:hint="cs"/>
          <w:rtl/>
        </w:rPr>
        <w:t>4</w:t>
      </w:r>
      <w:r>
        <w:rPr>
          <w:rFonts w:hint="cs"/>
          <w:rtl/>
        </w:rPr>
        <w:t xml:space="preserve"> </w:t>
      </w:r>
      <w:r w:rsidRPr="00FF3B20">
        <w:rPr>
          <w:rFonts w:hint="cs"/>
          <w:rtl/>
        </w:rPr>
        <w:t>-</w:t>
      </w:r>
      <w:r>
        <w:rPr>
          <w:rFonts w:hint="cs"/>
          <w:rtl/>
        </w:rPr>
        <w:tab/>
      </w:r>
      <w:r w:rsidRPr="00FF3B20">
        <w:rPr>
          <w:rFonts w:hint="cs"/>
          <w:rtl/>
        </w:rPr>
        <w:t>هل الاتفاقية سارية المفعول بشكل مباشر بموجب القانون المو</w:t>
      </w:r>
      <w:r w:rsidR="003B7161">
        <w:rPr>
          <w:rFonts w:hint="cs"/>
          <w:rtl/>
        </w:rPr>
        <w:t>ز</w:t>
      </w:r>
      <w:r w:rsidRPr="00FF3B20">
        <w:rPr>
          <w:rFonts w:hint="cs"/>
          <w:rtl/>
        </w:rPr>
        <w:t xml:space="preserve">امبيقي؟ وإذا كان الأمر كذلك، يرجى تقديم أمثلة على القضايا التي </w:t>
      </w:r>
      <w:r w:rsidR="003B7161">
        <w:rPr>
          <w:rFonts w:hint="cs"/>
          <w:rtl/>
        </w:rPr>
        <w:t>ذكر</w:t>
      </w:r>
      <w:r w:rsidRPr="00FF3B20">
        <w:rPr>
          <w:rFonts w:hint="cs"/>
          <w:rtl/>
        </w:rPr>
        <w:t xml:space="preserve">ت فيها الاتفاقية. وإذا كان الأمر غير ذلك، ما هي الخطوات الجاري اتخاذها لإسباغ الطابع المحلي على الاتفاقية؟ </w:t>
      </w:r>
    </w:p>
    <w:p w:rsidR="00FF3B20" w:rsidRPr="00FF3B20" w:rsidRDefault="00FF3B20" w:rsidP="003B7161">
      <w:pPr>
        <w:pStyle w:val="SingleTxt"/>
        <w:rPr>
          <w:rFonts w:hint="cs"/>
          <w:rtl/>
        </w:rPr>
      </w:pPr>
      <w:r w:rsidRPr="00FF3B20">
        <w:rPr>
          <w:rFonts w:hint="cs"/>
          <w:rtl/>
        </w:rPr>
        <w:t>5</w:t>
      </w:r>
      <w:r w:rsidR="003B7161">
        <w:rPr>
          <w:rFonts w:hint="cs"/>
          <w:rtl/>
        </w:rPr>
        <w:t xml:space="preserve"> </w:t>
      </w:r>
      <w:r w:rsidRPr="00FF3B20">
        <w:rPr>
          <w:rFonts w:hint="cs"/>
          <w:rtl/>
        </w:rPr>
        <w:t>-</w:t>
      </w:r>
      <w:r w:rsidR="003B7161">
        <w:rPr>
          <w:rFonts w:hint="cs"/>
          <w:rtl/>
        </w:rPr>
        <w:tab/>
      </w:r>
      <w:r w:rsidRPr="00FF3B20">
        <w:rPr>
          <w:rFonts w:hint="cs"/>
          <w:rtl/>
        </w:rPr>
        <w:t xml:space="preserve">يشير التقرير إلى أنه بالرغم من أسبقية الدستور الذي يمنع التمييز، لا تزال </w:t>
      </w:r>
      <w:r w:rsidR="003B7161">
        <w:rPr>
          <w:rFonts w:hint="cs"/>
          <w:rtl/>
        </w:rPr>
        <w:t xml:space="preserve">بعض </w:t>
      </w:r>
      <w:r w:rsidRPr="00FF3B20">
        <w:rPr>
          <w:rFonts w:hint="cs"/>
          <w:rtl/>
        </w:rPr>
        <w:t>القوانين والسياسات وبعض جوانب القانون العرفي التي تميز ضد المرأة سارية المفعول. يرجى تبيان الخطط الموجودة لإجراء استعراض شامل لجميع القوانين والسياسات وكذا الممارسات العرفية من أجل كفالة توافقها مع الاتفاقية</w:t>
      </w:r>
      <w:r w:rsidR="003B7161">
        <w:rPr>
          <w:rFonts w:hint="cs"/>
          <w:rtl/>
        </w:rPr>
        <w:t>،</w:t>
      </w:r>
      <w:r w:rsidRPr="00FF3B20">
        <w:rPr>
          <w:rFonts w:hint="cs"/>
          <w:rtl/>
        </w:rPr>
        <w:t xml:space="preserve"> والجدول الزمني لتعديلها. </w:t>
      </w:r>
    </w:p>
    <w:p w:rsidR="00FF3B20" w:rsidRPr="00FF3B20" w:rsidRDefault="00FF3B20" w:rsidP="003B7161">
      <w:pPr>
        <w:pStyle w:val="SingleTxt"/>
        <w:rPr>
          <w:rFonts w:hint="cs"/>
          <w:rtl/>
        </w:rPr>
      </w:pPr>
      <w:r w:rsidRPr="00FF3B20">
        <w:rPr>
          <w:rFonts w:hint="cs"/>
          <w:rtl/>
        </w:rPr>
        <w:t>6</w:t>
      </w:r>
      <w:r w:rsidR="003B7161">
        <w:rPr>
          <w:rFonts w:hint="cs"/>
          <w:rtl/>
        </w:rPr>
        <w:t xml:space="preserve"> </w:t>
      </w:r>
      <w:r w:rsidRPr="00FF3B20">
        <w:rPr>
          <w:rFonts w:hint="cs"/>
          <w:rtl/>
        </w:rPr>
        <w:t>-</w:t>
      </w:r>
      <w:r w:rsidR="003B7161">
        <w:rPr>
          <w:rFonts w:hint="cs"/>
          <w:rtl/>
        </w:rPr>
        <w:tab/>
      </w:r>
      <w:r w:rsidRPr="00FF3B20">
        <w:rPr>
          <w:rFonts w:hint="cs"/>
          <w:rtl/>
        </w:rPr>
        <w:t xml:space="preserve">ووفقا للتقرير، </w:t>
      </w:r>
      <w:r w:rsidR="003B7161">
        <w:rPr>
          <w:rFonts w:hint="eastAsia"/>
          <w:rtl/>
        </w:rPr>
        <w:t>”</w:t>
      </w:r>
      <w:r w:rsidRPr="00FF3B20">
        <w:rPr>
          <w:rtl/>
        </w:rPr>
        <w:t>لا توجد مؤسسات فعالة كما لا توجد وسائل لحماية و/أو الدفاع عن حقوق المرأة</w:t>
      </w:r>
      <w:r w:rsidRPr="00FF3B20">
        <w:t xml:space="preserve"> </w:t>
      </w:r>
      <w:r w:rsidRPr="00FF3B20">
        <w:rPr>
          <w:rtl/>
        </w:rPr>
        <w:t>ولتنفيذ توصيات اللجنة المعنية بالقضاء على التمييز ضد المرأة بطريقة فعالة</w:t>
      </w:r>
      <w:r w:rsidR="003B7161">
        <w:rPr>
          <w:rFonts w:hint="eastAsia"/>
          <w:rtl/>
        </w:rPr>
        <w:t>“</w:t>
      </w:r>
      <w:r w:rsidRPr="00FF3B20">
        <w:rPr>
          <w:rFonts w:hint="cs"/>
          <w:rtl/>
        </w:rPr>
        <w:t xml:space="preserve"> (الصفحة 24). يرجى تقديم معلومات، بما في ذلك جدول زمني، عما يجري القيام به أو</w:t>
      </w:r>
      <w:r w:rsidR="003B7161">
        <w:rPr>
          <w:rFonts w:hint="eastAsia"/>
          <w:rtl/>
        </w:rPr>
        <w:t> </w:t>
      </w:r>
      <w:r w:rsidRPr="00FF3B20">
        <w:rPr>
          <w:rFonts w:hint="cs"/>
          <w:rtl/>
        </w:rPr>
        <w:t xml:space="preserve">التفكير فيه لإقامة مؤسسات وآليات فعالية لحماية حقوق الإنسان المكفولة للمرأة. </w:t>
      </w:r>
    </w:p>
    <w:p w:rsidR="003B7161" w:rsidRPr="003B7161" w:rsidRDefault="003B7161" w:rsidP="003B7161">
      <w:pPr>
        <w:pStyle w:val="SingleTxt"/>
        <w:spacing w:after="0" w:line="120" w:lineRule="exact"/>
        <w:rPr>
          <w:rFonts w:hint="cs"/>
          <w:b/>
          <w:bCs/>
          <w:sz w:val="12"/>
          <w:rtl/>
        </w:rPr>
      </w:pPr>
    </w:p>
    <w:p w:rsidR="00FF3B20" w:rsidRPr="00FF3B20" w:rsidRDefault="00FF3B20" w:rsidP="003B716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3</w:t>
      </w:r>
    </w:p>
    <w:p w:rsidR="00FF3B20" w:rsidRPr="00FF3B20" w:rsidRDefault="00FF3B20" w:rsidP="00FD42AB">
      <w:pPr>
        <w:pStyle w:val="SingleTxt"/>
        <w:rPr>
          <w:rFonts w:hint="cs"/>
          <w:rtl/>
        </w:rPr>
      </w:pPr>
      <w:r w:rsidRPr="00FF3B20">
        <w:rPr>
          <w:rFonts w:hint="cs"/>
          <w:rtl/>
        </w:rPr>
        <w:t>7</w:t>
      </w:r>
      <w:r w:rsidR="003B7161">
        <w:rPr>
          <w:rFonts w:hint="cs"/>
          <w:rtl/>
        </w:rPr>
        <w:t xml:space="preserve"> </w:t>
      </w:r>
      <w:r w:rsidRPr="00FF3B20">
        <w:rPr>
          <w:rFonts w:hint="cs"/>
          <w:rtl/>
        </w:rPr>
        <w:t>-</w:t>
      </w:r>
      <w:r w:rsidR="003B7161">
        <w:rPr>
          <w:rtl/>
        </w:rPr>
        <w:tab/>
      </w:r>
      <w:r w:rsidRPr="00FF3B20">
        <w:rPr>
          <w:rFonts w:hint="cs"/>
          <w:rtl/>
        </w:rPr>
        <w:t xml:space="preserve">يرجى تقديم معلومات إضافية عن الآليات الوطنية للنهوض بالمرأة، وتحديد هيكلتها، ومستوى سلطتها، ووظائفها، ومواردها البشرية والمالية. ويرجى أيضا توضيح دور </w:t>
      </w:r>
      <w:r w:rsidR="00FD42AB">
        <w:rPr>
          <w:rFonts w:hint="cs"/>
          <w:rtl/>
        </w:rPr>
        <w:t xml:space="preserve">كل من </w:t>
      </w:r>
      <w:r w:rsidRPr="00FF3B20">
        <w:rPr>
          <w:rFonts w:hint="cs"/>
          <w:rtl/>
        </w:rPr>
        <w:t>ا</w:t>
      </w:r>
      <w:r w:rsidRPr="00FF3B20">
        <w:rPr>
          <w:rtl/>
        </w:rPr>
        <w:t>ل</w:t>
      </w:r>
      <w:r w:rsidRPr="00FF3B20">
        <w:rPr>
          <w:rFonts w:hint="cs"/>
          <w:rtl/>
        </w:rPr>
        <w:t xml:space="preserve">فريق </w:t>
      </w:r>
      <w:r w:rsidRPr="00FF3B20">
        <w:rPr>
          <w:rtl/>
        </w:rPr>
        <w:t>العامل للنهـوض بالمرأة،</w:t>
      </w:r>
      <w:r w:rsidRPr="00FF3B20">
        <w:rPr>
          <w:rFonts w:hint="cs"/>
          <w:rtl/>
        </w:rPr>
        <w:t xml:space="preserve"> و</w:t>
      </w:r>
      <w:r w:rsidRPr="00FF3B20">
        <w:rPr>
          <w:rtl/>
        </w:rPr>
        <w:t>وزارة المرأة وتنسيق الشؤون الاجتماعية</w:t>
      </w:r>
      <w:r w:rsidRPr="00FF3B20">
        <w:rPr>
          <w:rFonts w:hint="cs"/>
          <w:rtl/>
        </w:rPr>
        <w:t xml:space="preserve"> الم</w:t>
      </w:r>
      <w:r w:rsidR="00FD42AB">
        <w:rPr>
          <w:rFonts w:hint="cs"/>
          <w:rtl/>
        </w:rPr>
        <w:t xml:space="preserve">ذكورين </w:t>
      </w:r>
      <w:r w:rsidRPr="00FF3B20">
        <w:rPr>
          <w:rFonts w:hint="cs"/>
          <w:rtl/>
        </w:rPr>
        <w:t xml:space="preserve">في الصفحة 24 من التقرير. </w:t>
      </w:r>
    </w:p>
    <w:p w:rsidR="00FF3B20" w:rsidRPr="00FF3B20" w:rsidRDefault="00FF3B20" w:rsidP="00FD42AB">
      <w:pPr>
        <w:pStyle w:val="SingleTxt"/>
        <w:rPr>
          <w:rFonts w:hint="cs"/>
          <w:rtl/>
        </w:rPr>
      </w:pPr>
      <w:r w:rsidRPr="00FF3B20">
        <w:rPr>
          <w:rFonts w:hint="cs"/>
          <w:rtl/>
        </w:rPr>
        <w:t>8</w:t>
      </w:r>
      <w:r w:rsidR="00FD42AB">
        <w:rPr>
          <w:rFonts w:hint="cs"/>
          <w:rtl/>
        </w:rPr>
        <w:t xml:space="preserve"> </w:t>
      </w:r>
      <w:r w:rsidRPr="00FF3B20">
        <w:rPr>
          <w:rFonts w:hint="cs"/>
          <w:rtl/>
        </w:rPr>
        <w:t>-</w:t>
      </w:r>
      <w:r w:rsidR="00FD42AB">
        <w:rPr>
          <w:rFonts w:hint="cs"/>
          <w:rtl/>
        </w:rPr>
        <w:tab/>
      </w:r>
      <w:r w:rsidRPr="00FF3B20">
        <w:rPr>
          <w:rFonts w:hint="cs"/>
          <w:rtl/>
        </w:rPr>
        <w:t xml:space="preserve">وحسب التقرير، </w:t>
      </w:r>
      <w:r w:rsidR="00FD42AB">
        <w:rPr>
          <w:rFonts w:hint="cs"/>
          <w:rtl/>
        </w:rPr>
        <w:t xml:space="preserve">لا توجد </w:t>
      </w:r>
      <w:r w:rsidRPr="00FF3B20">
        <w:rPr>
          <w:rFonts w:hint="cs"/>
          <w:rtl/>
        </w:rPr>
        <w:t xml:space="preserve">سياسة جنسانية وطنية، وإنما خطة خماسية للحكومة تشدد على ضرورة منح فرص سياسية واقتصادية للمرأة. يرجى تقديم وصف للجوانب الجنسانية للخطة الخماسية للحكومة، بما في ذلك معلومات عن غايات وأهداف واستراتيجيات النهوض بالمرأة وتمكينها، والإشارة إلى الخطوات التي يجري اتخاذها أو التفكير فيها من أجل اعتماد سياسة أو خطة عمل وطنية شاملة للمساواة بين الجنسين. </w:t>
      </w:r>
    </w:p>
    <w:p w:rsidR="00FD42AB" w:rsidRPr="00FD42AB" w:rsidRDefault="00FD42AB" w:rsidP="00FD42AB">
      <w:pPr>
        <w:pStyle w:val="SingleTxt"/>
        <w:spacing w:after="0" w:line="120" w:lineRule="exact"/>
        <w:rPr>
          <w:rFonts w:hint="cs"/>
          <w:b/>
          <w:bCs/>
          <w:sz w:val="12"/>
          <w:rtl/>
        </w:rPr>
      </w:pPr>
    </w:p>
    <w:p w:rsidR="00FF3B20" w:rsidRPr="00FF3B20" w:rsidRDefault="00FF3B20" w:rsidP="00FD42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4</w:t>
      </w:r>
    </w:p>
    <w:p w:rsidR="00FF3B20" w:rsidRDefault="00FF3B20" w:rsidP="00FD42AB">
      <w:pPr>
        <w:pStyle w:val="SingleTxt"/>
        <w:rPr>
          <w:rFonts w:hint="cs"/>
          <w:rtl/>
        </w:rPr>
      </w:pPr>
      <w:r w:rsidRPr="00FF3B20">
        <w:rPr>
          <w:rFonts w:hint="cs"/>
          <w:rtl/>
        </w:rPr>
        <w:t>9</w:t>
      </w:r>
      <w:r w:rsidR="00FD42AB">
        <w:rPr>
          <w:rFonts w:hint="cs"/>
          <w:rtl/>
        </w:rPr>
        <w:t xml:space="preserve"> </w:t>
      </w:r>
      <w:r w:rsidRPr="00FF3B20">
        <w:rPr>
          <w:rFonts w:hint="cs"/>
          <w:rtl/>
        </w:rPr>
        <w:t>-</w:t>
      </w:r>
      <w:r w:rsidR="00FD42AB">
        <w:rPr>
          <w:rFonts w:hint="cs"/>
          <w:rtl/>
        </w:rPr>
        <w:tab/>
      </w:r>
      <w:r w:rsidRPr="00FF3B20">
        <w:rPr>
          <w:rFonts w:hint="cs"/>
          <w:rtl/>
        </w:rPr>
        <w:t xml:space="preserve">يشير التقرير إلى أنه ينبغي تنفيذ التدابير الخاصة المؤقتة لصالح المرأة من أجل تسريع تحقيق المساواة بين المرأة والرجل. ومع ذلك، لا يشير التقرير </w:t>
      </w:r>
      <w:r w:rsidR="00FD42AB">
        <w:rPr>
          <w:rFonts w:hint="cs"/>
          <w:rtl/>
        </w:rPr>
        <w:t xml:space="preserve">إلا </w:t>
      </w:r>
      <w:r w:rsidRPr="00FF3B20">
        <w:rPr>
          <w:rFonts w:hint="cs"/>
          <w:rtl/>
        </w:rPr>
        <w:t xml:space="preserve">إلى ضرورة إزالة القوانين والسياسات التمييزية بموجب هذه المادة ولا يشير إلى التدابير الخاصة المؤقتة الموجودة، من قبيل الحصص أو الحوافز الرامية إلى تسريع تحقيق المساواة في كل المجالات. يرجى تقديم هذه المعلومات، </w:t>
      </w:r>
      <w:r w:rsidR="00FD42AB">
        <w:rPr>
          <w:rFonts w:hint="cs"/>
          <w:rtl/>
        </w:rPr>
        <w:t xml:space="preserve">مع مراعاة </w:t>
      </w:r>
      <w:r w:rsidRPr="00FF3B20">
        <w:rPr>
          <w:rFonts w:hint="cs"/>
          <w:rtl/>
        </w:rPr>
        <w:t xml:space="preserve">التوصية العامة 25 للجنة بشأن الفقرة 1 من المادة 4 من الاتفاقية. </w:t>
      </w:r>
    </w:p>
    <w:p w:rsidR="00B277B3" w:rsidRPr="00B277B3" w:rsidRDefault="00B277B3" w:rsidP="00B277B3">
      <w:pPr>
        <w:pStyle w:val="SingleTxt"/>
        <w:spacing w:after="0" w:line="120" w:lineRule="exact"/>
        <w:rPr>
          <w:rFonts w:hint="cs"/>
          <w:sz w:val="10"/>
          <w:rtl/>
        </w:rPr>
      </w:pPr>
    </w:p>
    <w:p w:rsidR="00FF3B20" w:rsidRPr="00FF3B20" w:rsidRDefault="00FF3B20" w:rsidP="00FD42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 xml:space="preserve">المادة 5 </w:t>
      </w:r>
    </w:p>
    <w:p w:rsidR="00FF3B20" w:rsidRPr="00FF3B20" w:rsidRDefault="00FF3B20" w:rsidP="00B277B3">
      <w:pPr>
        <w:pStyle w:val="SingleTxt"/>
        <w:rPr>
          <w:rFonts w:hint="cs"/>
          <w:rtl/>
        </w:rPr>
      </w:pPr>
      <w:r w:rsidRPr="00FF3B20">
        <w:rPr>
          <w:rFonts w:hint="cs"/>
          <w:rtl/>
        </w:rPr>
        <w:t>10</w:t>
      </w:r>
      <w:r w:rsidR="00FD42AB">
        <w:rPr>
          <w:rFonts w:hint="cs"/>
          <w:rtl/>
        </w:rPr>
        <w:t xml:space="preserve"> </w:t>
      </w:r>
      <w:r w:rsidRPr="00FF3B20">
        <w:rPr>
          <w:rFonts w:hint="cs"/>
          <w:rtl/>
        </w:rPr>
        <w:t>-</w:t>
      </w:r>
      <w:r w:rsidR="00FD42AB">
        <w:rPr>
          <w:rFonts w:hint="cs"/>
          <w:rtl/>
        </w:rPr>
        <w:tab/>
      </w:r>
      <w:r w:rsidRPr="00FF3B20">
        <w:rPr>
          <w:rFonts w:hint="cs"/>
          <w:rtl/>
        </w:rPr>
        <w:t xml:space="preserve">يشير التقرير إلى عدد من التدابير التي يمكن اتخاذها من أجل القضاء على القوالب النمطية التمييزية المتعلقة بدور المرأة والرجل. يرجى تقديم تفاصيل عن التدابير الموجودة سلفا للقضاء على القوالب النمطية والممارسات الثقافية التمييزية بين المرأة والرجل، بما في ذلك الممارسات الثقافية التقليدية التي </w:t>
      </w:r>
      <w:r w:rsidR="00B277B3">
        <w:rPr>
          <w:rFonts w:hint="eastAsia"/>
          <w:rtl/>
        </w:rPr>
        <w:t>”</w:t>
      </w:r>
      <w:r w:rsidRPr="00FF3B20">
        <w:rPr>
          <w:rtl/>
        </w:rPr>
        <w:t>تمنع المرأة من النهوض في المجتمع</w:t>
      </w:r>
      <w:r w:rsidR="00B277B3">
        <w:rPr>
          <w:rFonts w:hint="eastAsia"/>
          <w:rtl/>
        </w:rPr>
        <w:t>“</w:t>
      </w:r>
      <w:r w:rsidRPr="00FF3B20">
        <w:rPr>
          <w:rFonts w:hint="cs"/>
          <w:rtl/>
        </w:rPr>
        <w:t xml:space="preserve">، من قبيل </w:t>
      </w:r>
      <w:r w:rsidRPr="00FF3B20">
        <w:rPr>
          <w:rtl/>
        </w:rPr>
        <w:t xml:space="preserve">طقوس </w:t>
      </w:r>
      <w:r w:rsidRPr="00FF3B20">
        <w:rPr>
          <w:rFonts w:hint="cs"/>
          <w:rtl/>
        </w:rPr>
        <w:t xml:space="preserve">الانضمام إلى مجتمع الكبار، والمـهــر، والزيجات المبكرة، وتعدد الزوجات (الصفحة 27) وتقديم معلومات عن أثر هذه التدابير. </w:t>
      </w:r>
    </w:p>
    <w:p w:rsidR="00FD42AB" w:rsidRPr="00FD42AB" w:rsidRDefault="00FD42AB" w:rsidP="00FD42AB">
      <w:pPr>
        <w:pStyle w:val="SingleTxt"/>
        <w:spacing w:after="0" w:line="120" w:lineRule="exact"/>
        <w:rPr>
          <w:rFonts w:hint="cs"/>
          <w:b/>
          <w:bCs/>
          <w:sz w:val="12"/>
          <w:rtl/>
        </w:rPr>
      </w:pPr>
    </w:p>
    <w:p w:rsidR="00FF3B20" w:rsidRPr="00FF3B20" w:rsidRDefault="00FF3B20" w:rsidP="00FD42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6</w:t>
      </w:r>
    </w:p>
    <w:p w:rsidR="00FF3B20" w:rsidRPr="00FF3B20" w:rsidRDefault="00FF3B20" w:rsidP="00FD42AB">
      <w:pPr>
        <w:pStyle w:val="SingleTxt"/>
        <w:rPr>
          <w:rFonts w:hint="cs"/>
          <w:rtl/>
        </w:rPr>
      </w:pPr>
      <w:r w:rsidRPr="00FF3B20">
        <w:rPr>
          <w:rFonts w:hint="cs"/>
          <w:rtl/>
        </w:rPr>
        <w:t>11</w:t>
      </w:r>
      <w:r w:rsidR="00FD42AB">
        <w:rPr>
          <w:rFonts w:hint="cs"/>
          <w:rtl/>
        </w:rPr>
        <w:t xml:space="preserve"> </w:t>
      </w:r>
      <w:r w:rsidRPr="00FF3B20">
        <w:rPr>
          <w:rFonts w:hint="cs"/>
          <w:rtl/>
        </w:rPr>
        <w:t>-</w:t>
      </w:r>
      <w:r w:rsidR="00FD42AB">
        <w:rPr>
          <w:rFonts w:hint="cs"/>
          <w:rtl/>
        </w:rPr>
        <w:tab/>
      </w:r>
      <w:r w:rsidRPr="00FF3B20">
        <w:rPr>
          <w:rFonts w:hint="cs"/>
          <w:rtl/>
        </w:rPr>
        <w:t xml:space="preserve">يرجى تقديم معلومات عن استغلال الدعارة والاتجار بالأشخاص، بما في ذلك مدى انتشاره والتدابير القائمة لمكافحته. </w:t>
      </w:r>
    </w:p>
    <w:p w:rsidR="00FF3B20" w:rsidRPr="00FF3B20" w:rsidRDefault="00FF3B20" w:rsidP="00FD42AB">
      <w:pPr>
        <w:pStyle w:val="SingleTxt"/>
        <w:rPr>
          <w:rFonts w:hint="cs"/>
          <w:rtl/>
        </w:rPr>
      </w:pPr>
      <w:r w:rsidRPr="00FF3B20">
        <w:rPr>
          <w:rFonts w:hint="cs"/>
          <w:rtl/>
        </w:rPr>
        <w:t>12</w:t>
      </w:r>
      <w:r w:rsidR="00FD42AB">
        <w:rPr>
          <w:rFonts w:hint="cs"/>
          <w:rtl/>
        </w:rPr>
        <w:t xml:space="preserve"> </w:t>
      </w:r>
      <w:r w:rsidRPr="00FF3B20">
        <w:rPr>
          <w:rFonts w:hint="cs"/>
          <w:rtl/>
        </w:rPr>
        <w:t>-</w:t>
      </w:r>
      <w:r w:rsidR="00FD42AB">
        <w:rPr>
          <w:rFonts w:hint="cs"/>
          <w:rtl/>
        </w:rPr>
        <w:tab/>
      </w:r>
      <w:r w:rsidRPr="00FF3B20">
        <w:rPr>
          <w:rFonts w:hint="cs"/>
          <w:rtl/>
        </w:rPr>
        <w:t>يذكر التقرير أن ثمة حاجة إلى نهج سوسيولوجي متعدد القطاعات ل</w:t>
      </w:r>
      <w:r w:rsidRPr="00FF3B20">
        <w:rPr>
          <w:rtl/>
        </w:rPr>
        <w:t>إيجاد سبيل يرفع اللوم عن الطفل المتورط في البغاء أو ضحية الاعتداء الجنسي</w:t>
      </w:r>
      <w:r w:rsidRPr="00FF3B20">
        <w:rPr>
          <w:rFonts w:hint="cs"/>
          <w:rtl/>
        </w:rPr>
        <w:t xml:space="preserve"> (الصفحة 33). يرجى تقديم معلومات عن الخطوات التي اتخذت لكفالة هذا النهج الشامل إزاء استغلال الدعارة والاتجار بالأشخاص ووصف أية برامج </w:t>
      </w:r>
      <w:r w:rsidR="00FD42AB">
        <w:rPr>
          <w:rFonts w:hint="cs"/>
          <w:rtl/>
        </w:rPr>
        <w:t xml:space="preserve">تكون </w:t>
      </w:r>
      <w:r w:rsidRPr="00FF3B20">
        <w:rPr>
          <w:rFonts w:hint="cs"/>
          <w:rtl/>
        </w:rPr>
        <w:t>قد وضعت من أجل التعافي الجسدي والنفسي والإدماج الاجتماعي للفتيات والنساء اللائي وقعن ضحايا الاعتداء والاستغلال الجنس</w:t>
      </w:r>
      <w:r w:rsidR="00FD42AB">
        <w:rPr>
          <w:rFonts w:hint="cs"/>
          <w:rtl/>
        </w:rPr>
        <w:t>ي</w:t>
      </w:r>
      <w:r w:rsidRPr="00FF3B20">
        <w:rPr>
          <w:rFonts w:hint="cs"/>
          <w:rtl/>
        </w:rPr>
        <w:t xml:space="preserve">. </w:t>
      </w:r>
    </w:p>
    <w:p w:rsidR="00FD42AB" w:rsidRPr="00FD42AB" w:rsidRDefault="00FD42AB" w:rsidP="00FD42AB">
      <w:pPr>
        <w:pStyle w:val="SingleTxt"/>
        <w:spacing w:after="0" w:line="120" w:lineRule="exact"/>
        <w:rPr>
          <w:rFonts w:hint="cs"/>
          <w:b/>
          <w:bCs/>
          <w:sz w:val="12"/>
          <w:rtl/>
          <w:lang w:bidi="ar"/>
        </w:rPr>
      </w:pPr>
    </w:p>
    <w:p w:rsidR="00FF3B20" w:rsidRPr="00FF3B20" w:rsidRDefault="00FF3B20" w:rsidP="00FD42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sidRPr="00FF3B20">
        <w:rPr>
          <w:rFonts w:hint="cs"/>
          <w:rtl/>
          <w:lang w:bidi="ar"/>
        </w:rPr>
        <w:tab/>
      </w:r>
      <w:r w:rsidRPr="00FF3B20">
        <w:rPr>
          <w:rFonts w:hint="cs"/>
          <w:rtl/>
          <w:lang w:bidi="ar"/>
        </w:rPr>
        <w:tab/>
        <w:t>العنف ضد المرأة</w:t>
      </w:r>
    </w:p>
    <w:p w:rsidR="00FF3B20" w:rsidRPr="00FF3B20" w:rsidRDefault="00FF3B20" w:rsidP="00FD42AB">
      <w:pPr>
        <w:pStyle w:val="SingleTxt"/>
        <w:rPr>
          <w:rFonts w:hint="cs"/>
          <w:rtl/>
        </w:rPr>
      </w:pPr>
      <w:r w:rsidRPr="00FF3B20">
        <w:rPr>
          <w:rFonts w:hint="cs"/>
          <w:rtl/>
        </w:rPr>
        <w:t>13</w:t>
      </w:r>
      <w:r w:rsidR="00FD42AB">
        <w:rPr>
          <w:rFonts w:hint="cs"/>
          <w:rtl/>
        </w:rPr>
        <w:t xml:space="preserve"> </w:t>
      </w:r>
      <w:r w:rsidRPr="00FF3B20">
        <w:rPr>
          <w:rFonts w:hint="cs"/>
          <w:rtl/>
        </w:rPr>
        <w:t>-</w:t>
      </w:r>
      <w:r w:rsidR="00FD42AB">
        <w:rPr>
          <w:rFonts w:hint="cs"/>
          <w:rtl/>
        </w:rPr>
        <w:tab/>
      </w:r>
      <w:r w:rsidRPr="00FF3B20">
        <w:rPr>
          <w:rFonts w:hint="cs"/>
          <w:rtl/>
        </w:rPr>
        <w:t xml:space="preserve">يرجى </w:t>
      </w:r>
      <w:r w:rsidR="00FD42AB">
        <w:rPr>
          <w:rFonts w:hint="cs"/>
          <w:rtl/>
        </w:rPr>
        <w:t xml:space="preserve">بيان </w:t>
      </w:r>
      <w:r w:rsidRPr="00FF3B20">
        <w:rPr>
          <w:rFonts w:hint="cs"/>
          <w:rtl/>
        </w:rPr>
        <w:t xml:space="preserve">الجهود التي يجري بذلها لإعادة إدماج وإعادة تأهيل المرأة ضحية العنف </w:t>
      </w:r>
      <w:r w:rsidR="00FD42AB">
        <w:rPr>
          <w:rFonts w:hint="cs"/>
          <w:rtl/>
        </w:rPr>
        <w:t>أثناء</w:t>
      </w:r>
      <w:r w:rsidRPr="00FF3B20">
        <w:rPr>
          <w:rFonts w:hint="cs"/>
          <w:rtl/>
        </w:rPr>
        <w:t xml:space="preserve"> الحرب</w:t>
      </w:r>
      <w:r w:rsidR="00FD42AB">
        <w:rPr>
          <w:rFonts w:hint="cs"/>
          <w:rtl/>
        </w:rPr>
        <w:t>،</w:t>
      </w:r>
      <w:r w:rsidRPr="00FF3B20">
        <w:rPr>
          <w:rFonts w:hint="cs"/>
          <w:rtl/>
        </w:rPr>
        <w:t xml:space="preserve"> المبينة في الصفحة 29 من التقرير. </w:t>
      </w:r>
    </w:p>
    <w:p w:rsidR="00FF3B20" w:rsidRPr="00FF3B20" w:rsidRDefault="00FF3B20" w:rsidP="00FD42AB">
      <w:pPr>
        <w:pStyle w:val="SingleTxt"/>
        <w:rPr>
          <w:rFonts w:hint="cs"/>
          <w:rtl/>
        </w:rPr>
      </w:pPr>
      <w:r w:rsidRPr="00FF3B20">
        <w:rPr>
          <w:rFonts w:hint="cs"/>
          <w:rtl/>
        </w:rPr>
        <w:t>14</w:t>
      </w:r>
      <w:r w:rsidR="00FD42AB">
        <w:rPr>
          <w:rFonts w:hint="cs"/>
          <w:rtl/>
        </w:rPr>
        <w:t xml:space="preserve"> </w:t>
      </w:r>
      <w:r w:rsidRPr="00FF3B20">
        <w:rPr>
          <w:rFonts w:hint="cs"/>
          <w:rtl/>
        </w:rPr>
        <w:t>-</w:t>
      </w:r>
      <w:r w:rsidR="00FD42AB">
        <w:rPr>
          <w:rFonts w:hint="cs"/>
          <w:rtl/>
        </w:rPr>
        <w:tab/>
      </w:r>
      <w:r w:rsidRPr="00FF3B20">
        <w:rPr>
          <w:rFonts w:hint="cs"/>
          <w:rtl/>
        </w:rPr>
        <w:t>يصف التقرير ارتفاع معدل حوادث العنف ضد المرأة وانتشارها، بما في ذلك العنف المنزلي، والموقف اللامبالي ل</w:t>
      </w:r>
      <w:r w:rsidRPr="00FF3B20">
        <w:rPr>
          <w:rtl/>
        </w:rPr>
        <w:t>لموظفين المسؤولين عن تطبيق القانون وإقرار النظام، و</w:t>
      </w:r>
      <w:r w:rsidRPr="00FF3B20">
        <w:rPr>
          <w:rFonts w:hint="cs"/>
          <w:rtl/>
        </w:rPr>
        <w:t>أفراد</w:t>
      </w:r>
      <w:r w:rsidRPr="00FF3B20">
        <w:rPr>
          <w:rtl/>
        </w:rPr>
        <w:t xml:space="preserve"> المجتمع </w:t>
      </w:r>
      <w:r w:rsidRPr="00FF3B20">
        <w:rPr>
          <w:rFonts w:hint="cs"/>
          <w:rtl/>
        </w:rPr>
        <w:t>بوجه عام</w:t>
      </w:r>
      <w:r w:rsidRPr="00FF3B20">
        <w:rPr>
          <w:rtl/>
        </w:rPr>
        <w:t>،</w:t>
      </w:r>
      <w:r w:rsidRPr="00FF3B20">
        <w:rPr>
          <w:rFonts w:hint="cs"/>
          <w:rtl/>
        </w:rPr>
        <w:t xml:space="preserve"> تجاه العنف ضد المرأة (الصفحة 29). يرجى تبيان الخطوات المتخذة لوضع استراتيجية شاملة لمكافحة جميع أشكال العنف ضد المرأة، بما فيها اعتماد التشريعات وتقديم برامج بناء القدرات والتوعية لفائدة </w:t>
      </w:r>
      <w:r w:rsidR="00FD42AB">
        <w:rPr>
          <w:rFonts w:hint="cs"/>
          <w:rtl/>
        </w:rPr>
        <w:t>مختلف ال</w:t>
      </w:r>
      <w:r w:rsidRPr="00FF3B20">
        <w:rPr>
          <w:rFonts w:hint="cs"/>
          <w:rtl/>
        </w:rPr>
        <w:t xml:space="preserve">جماعات </w:t>
      </w:r>
      <w:r w:rsidR="00FD42AB">
        <w:rPr>
          <w:rFonts w:hint="cs"/>
          <w:rtl/>
        </w:rPr>
        <w:t>ال</w:t>
      </w:r>
      <w:r w:rsidRPr="00FF3B20">
        <w:rPr>
          <w:rFonts w:hint="cs"/>
          <w:rtl/>
        </w:rPr>
        <w:t>مهنية (من قبيل المحامين والعاملين الصحيين وال</w:t>
      </w:r>
      <w:r w:rsidR="00FD42AB">
        <w:rPr>
          <w:rFonts w:hint="cs"/>
          <w:rtl/>
        </w:rPr>
        <w:t>سلك ال</w:t>
      </w:r>
      <w:r w:rsidRPr="00FF3B20">
        <w:rPr>
          <w:rFonts w:hint="cs"/>
          <w:rtl/>
        </w:rPr>
        <w:t>قضائ</w:t>
      </w:r>
      <w:r w:rsidR="00FD42AB">
        <w:rPr>
          <w:rFonts w:hint="cs"/>
          <w:rtl/>
        </w:rPr>
        <w:t>ي</w:t>
      </w:r>
      <w:r w:rsidRPr="00FF3B20">
        <w:rPr>
          <w:rFonts w:hint="cs"/>
          <w:rtl/>
        </w:rPr>
        <w:t xml:space="preserve">) والجمهور عامة. </w:t>
      </w:r>
    </w:p>
    <w:p w:rsidR="00FF3B20" w:rsidRPr="00FF3B20" w:rsidRDefault="00FF3B20" w:rsidP="00FD42AB">
      <w:pPr>
        <w:pStyle w:val="SingleTxt"/>
        <w:rPr>
          <w:rFonts w:hint="cs"/>
          <w:rtl/>
        </w:rPr>
      </w:pPr>
      <w:r w:rsidRPr="00FF3B20">
        <w:rPr>
          <w:rFonts w:hint="cs"/>
          <w:rtl/>
        </w:rPr>
        <w:t>15</w:t>
      </w:r>
      <w:r w:rsidR="00FD42AB">
        <w:rPr>
          <w:rFonts w:hint="cs"/>
          <w:rtl/>
        </w:rPr>
        <w:t xml:space="preserve"> </w:t>
      </w:r>
      <w:r w:rsidRPr="00FF3B20">
        <w:rPr>
          <w:rFonts w:hint="cs"/>
          <w:rtl/>
        </w:rPr>
        <w:t>-</w:t>
      </w:r>
      <w:r w:rsidR="00FD42AB">
        <w:rPr>
          <w:rFonts w:hint="cs"/>
          <w:rtl/>
        </w:rPr>
        <w:tab/>
      </w:r>
      <w:r w:rsidRPr="00FF3B20">
        <w:rPr>
          <w:rFonts w:hint="cs"/>
          <w:rtl/>
        </w:rPr>
        <w:t xml:space="preserve">يرجى تقديم معلومات عن أحكام القانون المقترح لمعالجة العنف المنزلي والإشارة إلى متى يتوقع اعتماده من قبل البرلمان. </w:t>
      </w:r>
    </w:p>
    <w:p w:rsidR="00FD42AB" w:rsidRPr="00FD42AB" w:rsidRDefault="00FD42AB" w:rsidP="00FD42AB">
      <w:pPr>
        <w:pStyle w:val="SingleTxt"/>
        <w:spacing w:after="0" w:line="120" w:lineRule="exact"/>
        <w:rPr>
          <w:rFonts w:hint="cs"/>
          <w:b/>
          <w:bCs/>
          <w:sz w:val="12"/>
          <w:rtl/>
          <w:lang w:bidi="ar"/>
        </w:rPr>
      </w:pPr>
    </w:p>
    <w:p w:rsidR="00FF3B20" w:rsidRPr="00FF3B20" w:rsidRDefault="00FF3B20" w:rsidP="00FD42A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
        </w:rPr>
      </w:pPr>
      <w:r w:rsidRPr="00FF3B20">
        <w:rPr>
          <w:rFonts w:hint="cs"/>
          <w:rtl/>
          <w:lang w:bidi="ar"/>
        </w:rPr>
        <w:tab/>
      </w:r>
      <w:r w:rsidRPr="00FF3B20">
        <w:rPr>
          <w:rFonts w:hint="cs"/>
          <w:rtl/>
          <w:lang w:bidi="ar"/>
        </w:rPr>
        <w:tab/>
        <w:t>المادتان 7 و</w:t>
      </w:r>
      <w:r w:rsidR="00FD42AB">
        <w:rPr>
          <w:rFonts w:hint="cs"/>
          <w:rtl/>
          <w:lang w:bidi="ar"/>
        </w:rPr>
        <w:t xml:space="preserve"> </w:t>
      </w:r>
      <w:r w:rsidRPr="00FF3B20">
        <w:rPr>
          <w:rFonts w:hint="cs"/>
          <w:rtl/>
          <w:lang w:bidi="ar"/>
        </w:rPr>
        <w:t>8</w:t>
      </w:r>
    </w:p>
    <w:p w:rsidR="00FF3B20" w:rsidRPr="00FF3B20" w:rsidRDefault="00FF3B20" w:rsidP="00FD42AB">
      <w:pPr>
        <w:pStyle w:val="SingleTxt"/>
        <w:rPr>
          <w:rFonts w:hint="cs"/>
          <w:rtl/>
        </w:rPr>
      </w:pPr>
      <w:r w:rsidRPr="00FF3B20">
        <w:rPr>
          <w:rFonts w:hint="cs"/>
          <w:rtl/>
        </w:rPr>
        <w:t>16</w:t>
      </w:r>
      <w:r w:rsidR="00FD42AB">
        <w:rPr>
          <w:rFonts w:hint="cs"/>
          <w:rtl/>
        </w:rPr>
        <w:t xml:space="preserve"> </w:t>
      </w:r>
      <w:r w:rsidRPr="00FF3B20">
        <w:rPr>
          <w:rFonts w:hint="cs"/>
          <w:rtl/>
        </w:rPr>
        <w:t>-</w:t>
      </w:r>
      <w:r w:rsidR="00FD42AB">
        <w:rPr>
          <w:rFonts w:hint="cs"/>
          <w:rtl/>
        </w:rPr>
        <w:tab/>
      </w:r>
      <w:r w:rsidRPr="00FF3B20">
        <w:rPr>
          <w:rFonts w:hint="cs"/>
          <w:rtl/>
        </w:rPr>
        <w:t>يشير التقرير إلى أن الحواجز أمام مشاركة المرأة في الحياة السياسية والعامة تشمل ’’</w:t>
      </w:r>
      <w:r w:rsidRPr="00FF3B20">
        <w:rPr>
          <w:rtl/>
        </w:rPr>
        <w:t>الأسرة، وانخفاض الم</w:t>
      </w:r>
      <w:r w:rsidR="00FD42AB">
        <w:rPr>
          <w:rFonts w:hint="cs"/>
          <w:rtl/>
        </w:rPr>
        <w:t>ستوى</w:t>
      </w:r>
      <w:r w:rsidRPr="00FF3B20">
        <w:rPr>
          <w:rtl/>
        </w:rPr>
        <w:t xml:space="preserve"> التعليمي، والتقاليد، وعدم انتهاج سياسات متسقة تهدف إلى</w:t>
      </w:r>
      <w:r w:rsidRPr="00FF3B20">
        <w:t xml:space="preserve"> </w:t>
      </w:r>
      <w:r w:rsidRPr="00FF3B20">
        <w:rPr>
          <w:rtl/>
        </w:rPr>
        <w:t>تشجيع المرأة على الترقي و/أو شغل المناصب العليا أو القيادي</w:t>
      </w:r>
      <w:r w:rsidRPr="00FF3B20">
        <w:rPr>
          <w:rFonts w:hint="cs"/>
          <w:rtl/>
        </w:rPr>
        <w:t xml:space="preserve">ة‘‘ (الصفحة 34). يرجى ذكر التدابير التي تعتزم الحكومة اتخاذها لتجاوز هذه الحواجز، بما في ذلك التدابير الخاصة المؤقتة وفقا للفقرة 1 من المادة 4 من الاتفاقية والتوصية العامة 25 للجنة. </w:t>
      </w:r>
    </w:p>
    <w:p w:rsidR="00DD7F68" w:rsidRPr="00DD7F68" w:rsidRDefault="00DD7F68" w:rsidP="00DD7F68">
      <w:pPr>
        <w:pStyle w:val="SingleTxt"/>
        <w:spacing w:after="0" w:line="120" w:lineRule="exact"/>
        <w:rPr>
          <w:rFonts w:hint="cs"/>
          <w:b/>
          <w:bCs/>
          <w:sz w:val="12"/>
          <w:rtl/>
        </w:rPr>
      </w:pPr>
    </w:p>
    <w:p w:rsidR="00FF3B20" w:rsidRPr="00FF3B20" w:rsidRDefault="00FF3B20" w:rsidP="00DD7F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9</w:t>
      </w:r>
    </w:p>
    <w:p w:rsidR="00FF3B20" w:rsidRPr="00FF3B20" w:rsidRDefault="00FF3B20" w:rsidP="00DD7F68">
      <w:pPr>
        <w:pStyle w:val="SingleTxt"/>
        <w:rPr>
          <w:rFonts w:hint="cs"/>
          <w:rtl/>
        </w:rPr>
      </w:pPr>
      <w:r w:rsidRPr="00FF3B20">
        <w:rPr>
          <w:rFonts w:hint="cs"/>
          <w:rtl/>
        </w:rPr>
        <w:t>17</w:t>
      </w:r>
      <w:r w:rsidR="00DD7F68">
        <w:rPr>
          <w:rFonts w:hint="cs"/>
          <w:rtl/>
        </w:rPr>
        <w:t xml:space="preserve"> </w:t>
      </w:r>
      <w:r w:rsidRPr="00FF3B20">
        <w:rPr>
          <w:rFonts w:hint="cs"/>
          <w:rtl/>
        </w:rPr>
        <w:t>-</w:t>
      </w:r>
      <w:r w:rsidR="00DD7F68">
        <w:rPr>
          <w:rFonts w:hint="cs"/>
          <w:rtl/>
        </w:rPr>
        <w:tab/>
      </w:r>
      <w:r w:rsidRPr="00FF3B20">
        <w:rPr>
          <w:rFonts w:hint="cs"/>
          <w:rtl/>
        </w:rPr>
        <w:t xml:space="preserve">في حين يمكن </w:t>
      </w:r>
      <w:r w:rsidR="00DD7F68">
        <w:rPr>
          <w:rFonts w:hint="cs"/>
          <w:rtl/>
        </w:rPr>
        <w:t>ل</w:t>
      </w:r>
      <w:r w:rsidRPr="00FF3B20">
        <w:rPr>
          <w:rFonts w:hint="cs"/>
          <w:rtl/>
        </w:rPr>
        <w:t>لأجنبية التي تتزوج من موزامبيقي أن تكتسب الجنسية المو</w:t>
      </w:r>
      <w:r w:rsidR="00DD7F68">
        <w:rPr>
          <w:rFonts w:hint="cs"/>
          <w:rtl/>
        </w:rPr>
        <w:t>ز</w:t>
      </w:r>
      <w:r w:rsidRPr="00FF3B20">
        <w:rPr>
          <w:rFonts w:hint="cs"/>
          <w:rtl/>
        </w:rPr>
        <w:t>امبيقية، لا</w:t>
      </w:r>
      <w:r w:rsidR="00DD7F68">
        <w:rPr>
          <w:rFonts w:hint="eastAsia"/>
          <w:rtl/>
        </w:rPr>
        <w:t> </w:t>
      </w:r>
      <w:r w:rsidRPr="00FF3B20">
        <w:rPr>
          <w:rFonts w:hint="cs"/>
          <w:rtl/>
        </w:rPr>
        <w:t xml:space="preserve">يستطيع الأجنبي الذي يتزوج من موزامبيقية اكتساب الجنسية الموزامبيقية. يرجى الإشارة إلى ما يجري القيام به أو التفكير فيه، بما في ذلك </w:t>
      </w:r>
      <w:r w:rsidR="00DD7F68">
        <w:rPr>
          <w:rFonts w:hint="cs"/>
          <w:rtl/>
        </w:rPr>
        <w:t xml:space="preserve">أي </w:t>
      </w:r>
      <w:r w:rsidRPr="00FF3B20">
        <w:rPr>
          <w:rFonts w:hint="cs"/>
          <w:rtl/>
        </w:rPr>
        <w:t xml:space="preserve">جدول زمني، لكفالة </w:t>
      </w:r>
      <w:r w:rsidR="00DD7F68">
        <w:rPr>
          <w:rFonts w:hint="cs"/>
          <w:rtl/>
        </w:rPr>
        <w:t>حق</w:t>
      </w:r>
      <w:r w:rsidRPr="00FF3B20">
        <w:rPr>
          <w:rFonts w:hint="cs"/>
          <w:rtl/>
        </w:rPr>
        <w:t xml:space="preserve"> الرجال والنساء على السواء </w:t>
      </w:r>
      <w:r w:rsidR="00DD7F68">
        <w:rPr>
          <w:rFonts w:hint="cs"/>
          <w:rtl/>
        </w:rPr>
        <w:t>في التمتع بجنسية أزواجهم</w:t>
      </w:r>
      <w:r w:rsidRPr="00FF3B20">
        <w:rPr>
          <w:rFonts w:hint="cs"/>
          <w:rtl/>
        </w:rPr>
        <w:t xml:space="preserve"> دونما تمييز. </w:t>
      </w:r>
    </w:p>
    <w:p w:rsidR="00DD7F68" w:rsidRPr="00DD7F68" w:rsidRDefault="00DD7F68" w:rsidP="00DD7F68">
      <w:pPr>
        <w:pStyle w:val="SingleTxt"/>
        <w:spacing w:after="0" w:line="120" w:lineRule="exact"/>
        <w:rPr>
          <w:rFonts w:hint="cs"/>
          <w:b/>
          <w:bCs/>
          <w:sz w:val="12"/>
          <w:rtl/>
        </w:rPr>
      </w:pPr>
    </w:p>
    <w:p w:rsidR="00FF3B20" w:rsidRPr="00FF3B20" w:rsidRDefault="00FF3B20" w:rsidP="00DD7F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10</w:t>
      </w:r>
    </w:p>
    <w:p w:rsidR="00FF3B20" w:rsidRPr="00FF3B20" w:rsidRDefault="00FF3B20" w:rsidP="00DD7F68">
      <w:pPr>
        <w:pStyle w:val="SingleTxt"/>
        <w:rPr>
          <w:rFonts w:hint="cs"/>
          <w:rtl/>
        </w:rPr>
      </w:pPr>
      <w:r w:rsidRPr="00FF3B20">
        <w:rPr>
          <w:rFonts w:hint="cs"/>
          <w:rtl/>
        </w:rPr>
        <w:t>18</w:t>
      </w:r>
      <w:r w:rsidR="00DD7F68">
        <w:rPr>
          <w:rFonts w:hint="cs"/>
          <w:rtl/>
        </w:rPr>
        <w:t xml:space="preserve"> </w:t>
      </w:r>
      <w:r w:rsidRPr="00FF3B20">
        <w:rPr>
          <w:rFonts w:hint="cs"/>
          <w:rtl/>
        </w:rPr>
        <w:t>-</w:t>
      </w:r>
      <w:r w:rsidR="00DD7F68">
        <w:rPr>
          <w:rFonts w:hint="cs"/>
          <w:rtl/>
        </w:rPr>
        <w:tab/>
      </w:r>
      <w:r w:rsidRPr="00FF3B20">
        <w:rPr>
          <w:rFonts w:hint="cs"/>
          <w:rtl/>
        </w:rPr>
        <w:t>يسلط التقرير الضوء على المشاكل المحددة التي تواجهها الفتيات في الحصول على التعليم، لكنه يشير إلى أن ’’</w:t>
      </w:r>
      <w:r w:rsidRPr="00FF3B20">
        <w:rPr>
          <w:rtl/>
        </w:rPr>
        <w:t>القليلات جدا منهن هن اللاتي يتمكن من المضي قدما في دراساتهن إذا لم تعزز الحكومة</w:t>
      </w:r>
      <w:r w:rsidRPr="00FF3B20">
        <w:t xml:space="preserve"> </w:t>
      </w:r>
      <w:r w:rsidRPr="00FF3B20">
        <w:rPr>
          <w:rtl/>
        </w:rPr>
        <w:t>فعليا تعليم الفتيا</w:t>
      </w:r>
      <w:r w:rsidRPr="00FF3B20">
        <w:rPr>
          <w:rFonts w:hint="cs"/>
          <w:rtl/>
        </w:rPr>
        <w:t xml:space="preserve">ت‘‘ (الصفحة 40). يرجى تبيان سبب هذا الوضع وما الذي يمكن القيام به على الصعيد الوطني لكفالة تعزيز الإرادة السياسية لتشجيع تعليم الفتيات. </w:t>
      </w:r>
    </w:p>
    <w:p w:rsidR="00FF3B20" w:rsidRPr="00FF3B20" w:rsidRDefault="00FF3B20" w:rsidP="00DD7F68">
      <w:pPr>
        <w:pStyle w:val="SingleTxt"/>
        <w:rPr>
          <w:rFonts w:hint="cs"/>
          <w:rtl/>
        </w:rPr>
      </w:pPr>
      <w:r w:rsidRPr="00FF3B20">
        <w:rPr>
          <w:rFonts w:hint="cs"/>
          <w:rtl/>
        </w:rPr>
        <w:t>19</w:t>
      </w:r>
      <w:r w:rsidR="00DD7F68">
        <w:rPr>
          <w:rFonts w:hint="cs"/>
          <w:rtl/>
        </w:rPr>
        <w:t xml:space="preserve"> </w:t>
      </w:r>
      <w:r w:rsidRPr="00FF3B20">
        <w:rPr>
          <w:rFonts w:hint="cs"/>
          <w:rtl/>
        </w:rPr>
        <w:t>-</w:t>
      </w:r>
      <w:r w:rsidR="00DD7F68">
        <w:rPr>
          <w:rFonts w:hint="cs"/>
          <w:rtl/>
        </w:rPr>
        <w:tab/>
      </w:r>
      <w:r w:rsidRPr="00FF3B20">
        <w:rPr>
          <w:rFonts w:hint="cs"/>
          <w:rtl/>
        </w:rPr>
        <w:t>أشارت لجنة حقوق الطفل (</w:t>
      </w:r>
      <w:r w:rsidRPr="00FF3B20">
        <w:t>CRC/C/15/Add.172</w:t>
      </w:r>
      <w:r w:rsidRPr="00FF3B20">
        <w:rPr>
          <w:rFonts w:hint="cs"/>
          <w:rtl/>
        </w:rPr>
        <w:t xml:space="preserve">، 7 شباط/فبراير 2002) إلى أن </w:t>
      </w:r>
      <w:r w:rsidR="00DD7F68">
        <w:rPr>
          <w:rFonts w:hint="cs"/>
          <w:rtl/>
        </w:rPr>
        <w:t xml:space="preserve">سبل وصول </w:t>
      </w:r>
      <w:r w:rsidRPr="00FF3B20">
        <w:rPr>
          <w:rFonts w:hint="cs"/>
          <w:rtl/>
        </w:rPr>
        <w:t xml:space="preserve">الفتيات إلى التعليم </w:t>
      </w:r>
      <w:r w:rsidR="00DD7F68">
        <w:rPr>
          <w:rFonts w:hint="cs"/>
          <w:rtl/>
        </w:rPr>
        <w:t xml:space="preserve">أقل </w:t>
      </w:r>
      <w:r w:rsidRPr="00FF3B20">
        <w:rPr>
          <w:rFonts w:hint="cs"/>
          <w:rtl/>
        </w:rPr>
        <w:t>من الأولاد في مستوى التعليم الابتدائي، وأن نسبة الإلم</w:t>
      </w:r>
      <w:r w:rsidR="00DD7F68">
        <w:rPr>
          <w:rFonts w:hint="cs"/>
          <w:rtl/>
        </w:rPr>
        <w:t>ـ</w:t>
      </w:r>
      <w:r w:rsidRPr="00FF3B20">
        <w:rPr>
          <w:rFonts w:hint="cs"/>
          <w:rtl/>
        </w:rPr>
        <w:t>ام بالقراءة والكتابة منخفضة في أوساط الفتيات؛ وأنه يجري إيلاء أهمية أقل لتعليم الفتيات</w:t>
      </w:r>
      <w:r w:rsidR="00DD7F68">
        <w:rPr>
          <w:rFonts w:hint="cs"/>
          <w:rtl/>
        </w:rPr>
        <w:t>،</w:t>
      </w:r>
      <w:r w:rsidRPr="00FF3B20">
        <w:rPr>
          <w:rFonts w:hint="cs"/>
          <w:rtl/>
        </w:rPr>
        <w:t xml:space="preserve"> وأن بعض الممارسات، من قبيل كثافة العمل المنزلي والزواج المبكر والحمل المبكر، تساهم في الحد من وصول الفتيات إلى التعليم (الفقرة 56). يرجى توضيح ما يعتزم القيام به أو يجري القيام به لمعالجة هذه المشاكل المحددة التي تواجهها التلميذات ولتشجيع تسجيلهن في المدارس واستبقائهن فيها. ويرجى أيضا تقديم بيانات عن قواعد التسجيل والاستبقاء في المستويين الابتدائي والثانوي.</w:t>
      </w:r>
    </w:p>
    <w:p w:rsidR="00FF3B20" w:rsidRPr="00FF3B20" w:rsidRDefault="00FF3B20" w:rsidP="00DD7F68">
      <w:pPr>
        <w:pStyle w:val="SingleTxt"/>
        <w:rPr>
          <w:rFonts w:hint="cs"/>
          <w:rtl/>
        </w:rPr>
      </w:pPr>
      <w:r w:rsidRPr="00FF3B20">
        <w:rPr>
          <w:rFonts w:hint="cs"/>
          <w:rtl/>
        </w:rPr>
        <w:t>20</w:t>
      </w:r>
      <w:r w:rsidR="00DD7F68">
        <w:rPr>
          <w:rFonts w:hint="cs"/>
          <w:rtl/>
        </w:rPr>
        <w:t xml:space="preserve"> </w:t>
      </w:r>
      <w:r w:rsidRPr="00FF3B20">
        <w:rPr>
          <w:rFonts w:hint="cs"/>
          <w:rtl/>
        </w:rPr>
        <w:t>-</w:t>
      </w:r>
      <w:r w:rsidR="00DD7F68">
        <w:rPr>
          <w:rFonts w:hint="cs"/>
          <w:rtl/>
        </w:rPr>
        <w:tab/>
      </w:r>
      <w:r w:rsidRPr="00FF3B20">
        <w:rPr>
          <w:rFonts w:hint="cs"/>
          <w:rtl/>
        </w:rPr>
        <w:t>ويرجى تقديم بيانات عن نسبة الإلمام بالقراءة والكتابة في أوساط النساء والفتيات وتقديم تفاصيل عن أية برامج لم</w:t>
      </w:r>
      <w:r w:rsidR="00DD7F68">
        <w:rPr>
          <w:rFonts w:hint="cs"/>
          <w:rtl/>
        </w:rPr>
        <w:t xml:space="preserve">كافحة </w:t>
      </w:r>
      <w:r w:rsidRPr="00FF3B20">
        <w:rPr>
          <w:rFonts w:hint="cs"/>
          <w:rtl/>
        </w:rPr>
        <w:t xml:space="preserve">الأمية. </w:t>
      </w:r>
    </w:p>
    <w:p w:rsidR="00FF3B20" w:rsidRPr="00FF3B20" w:rsidRDefault="00FF3B20" w:rsidP="00DD7F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11</w:t>
      </w:r>
    </w:p>
    <w:p w:rsidR="00FF3B20" w:rsidRPr="00FF3B20" w:rsidRDefault="00FF3B20" w:rsidP="00DD7F68">
      <w:pPr>
        <w:pStyle w:val="SingleTxt"/>
        <w:rPr>
          <w:rFonts w:hint="cs"/>
          <w:rtl/>
        </w:rPr>
      </w:pPr>
      <w:r w:rsidRPr="00FF3B20">
        <w:rPr>
          <w:rFonts w:hint="cs"/>
          <w:rtl/>
        </w:rPr>
        <w:t>21</w:t>
      </w:r>
      <w:r w:rsidR="00DD7F68">
        <w:rPr>
          <w:rFonts w:hint="cs"/>
          <w:rtl/>
        </w:rPr>
        <w:t xml:space="preserve"> </w:t>
      </w:r>
      <w:r w:rsidRPr="00FF3B20">
        <w:rPr>
          <w:rFonts w:hint="cs"/>
          <w:rtl/>
        </w:rPr>
        <w:t>-</w:t>
      </w:r>
      <w:r w:rsidR="00DD7F68">
        <w:rPr>
          <w:rFonts w:hint="cs"/>
          <w:rtl/>
        </w:rPr>
        <w:tab/>
      </w:r>
      <w:r w:rsidRPr="00FF3B20">
        <w:rPr>
          <w:rFonts w:hint="cs"/>
          <w:rtl/>
        </w:rPr>
        <w:t>يشير التقرير إلى أغلب النساء النشيطات اقتصاديا يعملن في القطاع غير الرسمي، ولا</w:t>
      </w:r>
      <w:r w:rsidR="00DD7F68">
        <w:rPr>
          <w:rFonts w:hint="eastAsia"/>
          <w:rtl/>
        </w:rPr>
        <w:t> </w:t>
      </w:r>
      <w:r w:rsidRPr="00FF3B20">
        <w:rPr>
          <w:rFonts w:hint="cs"/>
          <w:rtl/>
        </w:rPr>
        <w:t xml:space="preserve">سيما في المناطق الريفية (الصفحة 49). يرجى تبيان الاستراتيجيات القائمة لدعم المرأة في القطاع غير الرسمي، بما في ذلك </w:t>
      </w:r>
      <w:r w:rsidR="00DD7F68">
        <w:rPr>
          <w:rFonts w:hint="cs"/>
          <w:rtl/>
        </w:rPr>
        <w:t xml:space="preserve">ما </w:t>
      </w:r>
      <w:r w:rsidRPr="00FF3B20">
        <w:rPr>
          <w:rFonts w:hint="cs"/>
          <w:rtl/>
        </w:rPr>
        <w:t>إذا كانت ثمة أي برامج لإطلاع النساء المنخفضات الدخل والفقيرات، ولا سيما في المناطق الريفية، على فرص الوصول إلى الأسواق والتكنولوجيا والحصول على القروض والضما</w:t>
      </w:r>
      <w:r w:rsidR="00DD7F68">
        <w:rPr>
          <w:rFonts w:hint="cs"/>
          <w:rtl/>
        </w:rPr>
        <w:t>ن</w:t>
      </w:r>
      <w:r w:rsidRPr="00FF3B20">
        <w:rPr>
          <w:rFonts w:hint="cs"/>
          <w:rtl/>
        </w:rPr>
        <w:t xml:space="preserve"> الاجتماعي والخدمات الصحية. </w:t>
      </w:r>
    </w:p>
    <w:p w:rsidR="00FF3B20" w:rsidRPr="00FF3B20" w:rsidRDefault="00FF3B20" w:rsidP="00DD7F68">
      <w:pPr>
        <w:pStyle w:val="SingleTxt"/>
        <w:rPr>
          <w:rFonts w:hint="cs"/>
          <w:rtl/>
        </w:rPr>
      </w:pPr>
      <w:r w:rsidRPr="00FF3B20">
        <w:rPr>
          <w:rFonts w:hint="cs"/>
          <w:rtl/>
        </w:rPr>
        <w:t>22</w:t>
      </w:r>
      <w:r w:rsidR="00DD7F68">
        <w:rPr>
          <w:rFonts w:hint="cs"/>
          <w:rtl/>
        </w:rPr>
        <w:t xml:space="preserve"> </w:t>
      </w:r>
      <w:r w:rsidRPr="00FF3B20">
        <w:rPr>
          <w:rFonts w:hint="cs"/>
          <w:rtl/>
        </w:rPr>
        <w:t>-</w:t>
      </w:r>
      <w:r w:rsidR="00DD7F68">
        <w:rPr>
          <w:rFonts w:hint="cs"/>
          <w:rtl/>
        </w:rPr>
        <w:tab/>
      </w:r>
      <w:r w:rsidRPr="00FF3B20">
        <w:rPr>
          <w:rFonts w:hint="cs"/>
          <w:rtl/>
        </w:rPr>
        <w:t xml:space="preserve">ويشير التقرير إلى أن </w:t>
      </w:r>
      <w:r>
        <w:rPr>
          <w:rFonts w:hint="cs"/>
          <w:rtl/>
        </w:rPr>
        <w:t>موزامبيق</w:t>
      </w:r>
      <w:r w:rsidRPr="00FF3B20">
        <w:rPr>
          <w:rFonts w:hint="cs"/>
          <w:rtl/>
        </w:rPr>
        <w:t xml:space="preserve"> تواجه مشاكل استبعاد اجتماعي تتعلق بالمرأة العاملة لا سيما في قطاع الزراعة والقطاع غير الرسمي؛ ويحدث الشيء نفسه بالنسبة للمعوقات والعاملات المصابات بالإيدز (الصفحة 48) نتيجة أطماع مضاعفة الربح وعائدات الاستثمار. ما هي الخطوات التي يجري اتخاذها لكفالة امتثال أرباب العمل لجميع قوانين العمل من أجل حماية حقوق العاملات، ولا سيما حقوق العاملات المعوقات والمصابات بالإيدز؟ </w:t>
      </w:r>
    </w:p>
    <w:p w:rsidR="00FF3B20" w:rsidRPr="00FF3B20" w:rsidRDefault="00FF3B20" w:rsidP="00DD7F68">
      <w:pPr>
        <w:pStyle w:val="SingleTxt"/>
        <w:rPr>
          <w:rFonts w:hint="cs"/>
          <w:rtl/>
        </w:rPr>
      </w:pPr>
      <w:r w:rsidRPr="00FF3B20">
        <w:rPr>
          <w:rFonts w:hint="cs"/>
          <w:rtl/>
        </w:rPr>
        <w:t>23</w:t>
      </w:r>
      <w:r w:rsidR="00DD7F68">
        <w:rPr>
          <w:rFonts w:hint="cs"/>
          <w:rtl/>
        </w:rPr>
        <w:t xml:space="preserve"> </w:t>
      </w:r>
      <w:r w:rsidRPr="00FF3B20">
        <w:rPr>
          <w:rFonts w:hint="cs"/>
          <w:rtl/>
        </w:rPr>
        <w:t>-</w:t>
      </w:r>
      <w:r w:rsidR="00DD7F68">
        <w:rPr>
          <w:rFonts w:hint="cs"/>
          <w:rtl/>
        </w:rPr>
        <w:tab/>
      </w:r>
      <w:r w:rsidRPr="00FF3B20">
        <w:rPr>
          <w:rFonts w:hint="cs"/>
          <w:rtl/>
        </w:rPr>
        <w:t>وبالنظر إلى أن حوالي 4 في المائة فقط من النساء يعملن بأجر (الصفحة 52)، يرجى توضيح ما هي الفرص المتاحة للمرأة للوصول إلى سوق العمل الرسمي وما هي البرامج، بما</w:t>
      </w:r>
      <w:r w:rsidR="00DD7F68">
        <w:rPr>
          <w:rFonts w:hint="eastAsia"/>
          <w:rtl/>
        </w:rPr>
        <w:t> </w:t>
      </w:r>
      <w:r w:rsidRPr="00FF3B20">
        <w:rPr>
          <w:rFonts w:hint="cs"/>
          <w:rtl/>
        </w:rPr>
        <w:t xml:space="preserve">فيها التدابير الخاصة المؤقتة، الموجودة لتشجيعهن ومساعدتهن على القيام بذلك. </w:t>
      </w:r>
    </w:p>
    <w:p w:rsidR="00DD7F68" w:rsidRPr="00DD7F68" w:rsidRDefault="00DD7F68" w:rsidP="00DD7F68">
      <w:pPr>
        <w:pStyle w:val="SingleTxt"/>
        <w:spacing w:after="0" w:line="120" w:lineRule="exact"/>
        <w:rPr>
          <w:rFonts w:hint="cs"/>
          <w:b/>
          <w:bCs/>
          <w:sz w:val="12"/>
          <w:rtl/>
        </w:rPr>
      </w:pPr>
    </w:p>
    <w:p w:rsidR="00FF3B20" w:rsidRPr="00FF3B20" w:rsidRDefault="00FF3B20" w:rsidP="00DD7F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12</w:t>
      </w:r>
    </w:p>
    <w:p w:rsidR="00FF3B20" w:rsidRPr="00FF3B20" w:rsidRDefault="00FF3B20" w:rsidP="00DD7F68">
      <w:pPr>
        <w:pStyle w:val="SingleTxt"/>
        <w:rPr>
          <w:rFonts w:hint="cs"/>
          <w:rtl/>
        </w:rPr>
      </w:pPr>
      <w:r w:rsidRPr="00FF3B20">
        <w:rPr>
          <w:rFonts w:hint="cs"/>
          <w:rtl/>
        </w:rPr>
        <w:t>24</w:t>
      </w:r>
      <w:r w:rsidR="00DD7F68">
        <w:rPr>
          <w:rFonts w:hint="cs"/>
          <w:rtl/>
        </w:rPr>
        <w:t xml:space="preserve"> </w:t>
      </w:r>
      <w:r w:rsidRPr="00FF3B20">
        <w:rPr>
          <w:rFonts w:hint="cs"/>
          <w:rtl/>
        </w:rPr>
        <w:t>-</w:t>
      </w:r>
      <w:r w:rsidR="00DD7F68">
        <w:rPr>
          <w:rFonts w:hint="cs"/>
          <w:rtl/>
        </w:rPr>
        <w:tab/>
      </w:r>
      <w:r w:rsidRPr="00FF3B20">
        <w:rPr>
          <w:rFonts w:hint="cs"/>
          <w:rtl/>
        </w:rPr>
        <w:t>تستخدم نسبة هامة من النساء الطب التقليدي</w:t>
      </w:r>
      <w:r w:rsidR="00DD7F68">
        <w:rPr>
          <w:rFonts w:hint="cs"/>
          <w:rtl/>
        </w:rPr>
        <w:t>،</w:t>
      </w:r>
      <w:r w:rsidRPr="00FF3B20">
        <w:rPr>
          <w:rFonts w:hint="cs"/>
          <w:rtl/>
        </w:rPr>
        <w:t xml:space="preserve"> كما أن معدلات وفيات الرضع والوفيات النفاسية عالية جدا في </w:t>
      </w:r>
      <w:r>
        <w:rPr>
          <w:rFonts w:hint="cs"/>
          <w:rtl/>
        </w:rPr>
        <w:t>موزامبيق</w:t>
      </w:r>
      <w:r w:rsidRPr="00FF3B20">
        <w:rPr>
          <w:rFonts w:hint="cs"/>
          <w:rtl/>
        </w:rPr>
        <w:t xml:space="preserve"> (الصفحة 55). يرجى تقديم تفاصيل </w:t>
      </w:r>
      <w:r w:rsidR="00DD7F68">
        <w:rPr>
          <w:rFonts w:hint="cs"/>
          <w:rtl/>
        </w:rPr>
        <w:t xml:space="preserve">عن </w:t>
      </w:r>
      <w:r w:rsidRPr="00FF3B20">
        <w:rPr>
          <w:rFonts w:hint="cs"/>
          <w:rtl/>
        </w:rPr>
        <w:t xml:space="preserve">استراتيجية الحكومة للحد من معدلات الوفيات النفاسية ووفيات الرضع، وما هي الخطوات الملموسة التي اتخذت لزيادة توافر خدمات الرعاية الصحية الأولية للنساء وجودتها والوصول إليها. </w:t>
      </w:r>
    </w:p>
    <w:p w:rsidR="00FF3B20" w:rsidRPr="00FF3B20" w:rsidRDefault="00FF3B20" w:rsidP="00DD7F68">
      <w:pPr>
        <w:pStyle w:val="SingleTxt"/>
        <w:rPr>
          <w:rFonts w:hint="cs"/>
          <w:rtl/>
        </w:rPr>
      </w:pPr>
      <w:r w:rsidRPr="00FF3B20">
        <w:rPr>
          <w:rFonts w:hint="cs"/>
          <w:rtl/>
        </w:rPr>
        <w:t>25</w:t>
      </w:r>
      <w:r w:rsidR="00DD7F68">
        <w:rPr>
          <w:rFonts w:hint="cs"/>
          <w:rtl/>
        </w:rPr>
        <w:t xml:space="preserve"> </w:t>
      </w:r>
      <w:r w:rsidRPr="00FF3B20">
        <w:rPr>
          <w:rFonts w:hint="cs"/>
          <w:rtl/>
        </w:rPr>
        <w:t>-</w:t>
      </w:r>
      <w:r w:rsidR="00DD7F68">
        <w:rPr>
          <w:rFonts w:hint="cs"/>
          <w:rtl/>
        </w:rPr>
        <w:tab/>
      </w:r>
      <w:r w:rsidRPr="00FF3B20">
        <w:rPr>
          <w:rFonts w:hint="cs"/>
          <w:rtl/>
        </w:rPr>
        <w:t>يشير التقرير إلى أن النساء لا يملكن القرار بشأن حياتهن الجنسية وحقوقهن الإنجابية (الصفحتان 56 و63). يرجى تقديم معلومات عن الاستراتيجيات الموجودة لكفالة حصول المرأة على خدمات الصحة الإنجابية والجنسية بكلفة معقولة و</w:t>
      </w:r>
      <w:r w:rsidR="00DD7F68">
        <w:rPr>
          <w:rFonts w:hint="cs"/>
          <w:rtl/>
        </w:rPr>
        <w:t xml:space="preserve">عن </w:t>
      </w:r>
      <w:r w:rsidRPr="00FF3B20">
        <w:rPr>
          <w:rFonts w:hint="cs"/>
          <w:rtl/>
        </w:rPr>
        <w:t>البرامج التعليمية و</w:t>
      </w:r>
      <w:r w:rsidR="00DD7F68">
        <w:rPr>
          <w:rFonts w:hint="cs"/>
          <w:rtl/>
        </w:rPr>
        <w:t xml:space="preserve">مدى </w:t>
      </w:r>
      <w:r w:rsidRPr="00FF3B20">
        <w:rPr>
          <w:rFonts w:hint="cs"/>
          <w:rtl/>
        </w:rPr>
        <w:t>توافرها لمجموعات م</w:t>
      </w:r>
      <w:r w:rsidR="00DD7F68">
        <w:rPr>
          <w:rFonts w:hint="cs"/>
          <w:rtl/>
        </w:rPr>
        <w:t>عين</w:t>
      </w:r>
      <w:r w:rsidRPr="00FF3B20">
        <w:rPr>
          <w:rFonts w:hint="cs"/>
          <w:rtl/>
        </w:rPr>
        <w:t xml:space="preserve">ة، منها المراهقات ونساء الأرياف. </w:t>
      </w:r>
    </w:p>
    <w:p w:rsidR="00FF3B20" w:rsidRPr="00FF3B20" w:rsidRDefault="00FF3B20" w:rsidP="00DD7F68">
      <w:pPr>
        <w:pStyle w:val="SingleTxt"/>
        <w:rPr>
          <w:rFonts w:hint="cs"/>
          <w:rtl/>
        </w:rPr>
      </w:pPr>
      <w:r w:rsidRPr="00FF3B20">
        <w:rPr>
          <w:rFonts w:hint="cs"/>
          <w:rtl/>
        </w:rPr>
        <w:t>26</w:t>
      </w:r>
      <w:r w:rsidR="00DD7F68">
        <w:rPr>
          <w:rFonts w:hint="cs"/>
          <w:rtl/>
        </w:rPr>
        <w:t xml:space="preserve"> </w:t>
      </w:r>
      <w:r w:rsidRPr="00FF3B20">
        <w:rPr>
          <w:rFonts w:hint="cs"/>
          <w:rtl/>
        </w:rPr>
        <w:t>-</w:t>
      </w:r>
      <w:r w:rsidR="00DD7F68">
        <w:rPr>
          <w:rFonts w:hint="cs"/>
          <w:rtl/>
        </w:rPr>
        <w:tab/>
      </w:r>
      <w:r w:rsidRPr="00FF3B20">
        <w:rPr>
          <w:rFonts w:hint="cs"/>
          <w:rtl/>
        </w:rPr>
        <w:t>ويشير التقرير إلى ارتفاع كبير لمعدل الإصابة بالإيدز في أوساط الحوامل (الصفحة</w:t>
      </w:r>
      <w:r w:rsidR="00DD7F68">
        <w:rPr>
          <w:rFonts w:hint="eastAsia"/>
          <w:rtl/>
        </w:rPr>
        <w:t> </w:t>
      </w:r>
      <w:r w:rsidRPr="00FF3B20">
        <w:rPr>
          <w:rFonts w:hint="cs"/>
          <w:rtl/>
        </w:rPr>
        <w:t xml:space="preserve">56).  يرجى تقديم معلومات عما إذا كانت هناك برامج لمكافحة </w:t>
      </w:r>
      <w:r w:rsidRPr="00FF3B20">
        <w:rPr>
          <w:rtl/>
        </w:rPr>
        <w:t>فيروس نقص المناعة البشرية/ا</w:t>
      </w:r>
      <w:r w:rsidRPr="00FF3B20">
        <w:rPr>
          <w:rFonts w:hint="cs"/>
          <w:rtl/>
        </w:rPr>
        <w:t>لإ</w:t>
      </w:r>
      <w:r w:rsidRPr="00FF3B20">
        <w:rPr>
          <w:rtl/>
        </w:rPr>
        <w:t>يدز</w:t>
      </w:r>
      <w:r w:rsidRPr="00FF3B20">
        <w:rPr>
          <w:rFonts w:hint="cs"/>
          <w:rtl/>
        </w:rPr>
        <w:t xml:space="preserve"> يدمج المنظور الجنساني، بما في ذلك توافر الدواء المضاد للفيروسات الرجعية لمنع انتقال الإصابة بالإيدز من الأم إلى الجنين. يرجى توضيح ما إذا كانت الحكومة طلبت </w:t>
      </w:r>
      <w:r w:rsidR="00DD7F68">
        <w:rPr>
          <w:rFonts w:hint="cs"/>
          <w:rtl/>
        </w:rPr>
        <w:t>أ</w:t>
      </w:r>
      <w:r w:rsidRPr="00FF3B20">
        <w:rPr>
          <w:rFonts w:hint="cs"/>
          <w:rtl/>
        </w:rPr>
        <w:t>و</w:t>
      </w:r>
      <w:r w:rsidR="00DD7F68">
        <w:rPr>
          <w:rFonts w:hint="cs"/>
          <w:rtl/>
        </w:rPr>
        <w:t xml:space="preserve"> </w:t>
      </w:r>
      <w:r w:rsidRPr="00FF3B20">
        <w:rPr>
          <w:rFonts w:hint="cs"/>
          <w:rtl/>
        </w:rPr>
        <w:t xml:space="preserve">حصلت على المساعدة من المانحين الدوليين لدعم التدابير الرامية إلى التصدي للإيدز عند النساء. </w:t>
      </w:r>
    </w:p>
    <w:p w:rsidR="00DD7F68" w:rsidRPr="00DD7F68" w:rsidRDefault="00DD7F68" w:rsidP="00DD7F68">
      <w:pPr>
        <w:pStyle w:val="SingleTxt"/>
        <w:spacing w:after="0" w:line="120" w:lineRule="exact"/>
        <w:rPr>
          <w:rFonts w:hint="cs"/>
          <w:b/>
          <w:bCs/>
          <w:sz w:val="12"/>
          <w:rtl/>
        </w:rPr>
      </w:pPr>
    </w:p>
    <w:p w:rsidR="00FF3B20" w:rsidRPr="00FF3B20" w:rsidRDefault="00FF3B20" w:rsidP="00DD7F6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13</w:t>
      </w:r>
    </w:p>
    <w:p w:rsidR="00FF3B20" w:rsidRPr="00FF3B20" w:rsidRDefault="00FF3B20" w:rsidP="00DD7F68">
      <w:pPr>
        <w:pStyle w:val="SingleTxt"/>
        <w:rPr>
          <w:rFonts w:hint="cs"/>
          <w:rtl/>
        </w:rPr>
      </w:pPr>
      <w:r w:rsidRPr="00FF3B20">
        <w:rPr>
          <w:rFonts w:hint="cs"/>
          <w:rtl/>
        </w:rPr>
        <w:t>27</w:t>
      </w:r>
      <w:r w:rsidR="00DD7F68">
        <w:rPr>
          <w:rFonts w:hint="cs"/>
          <w:rtl/>
        </w:rPr>
        <w:t xml:space="preserve"> </w:t>
      </w:r>
      <w:r w:rsidRPr="00FF3B20">
        <w:rPr>
          <w:rFonts w:hint="cs"/>
          <w:rtl/>
        </w:rPr>
        <w:t>-</w:t>
      </w:r>
      <w:r w:rsidR="00DD7F68">
        <w:rPr>
          <w:rFonts w:hint="cs"/>
          <w:rtl/>
        </w:rPr>
        <w:tab/>
      </w:r>
      <w:r w:rsidRPr="00FF3B20">
        <w:rPr>
          <w:rFonts w:hint="cs"/>
          <w:rtl/>
        </w:rPr>
        <w:t xml:space="preserve">هناك عدد كبير من </w:t>
      </w:r>
      <w:r w:rsidRPr="00FF3B20">
        <w:rPr>
          <w:rtl/>
        </w:rPr>
        <w:t>الأسر المعيشية التي تُعيلها امرأة</w:t>
      </w:r>
      <w:r w:rsidRPr="00FF3B20">
        <w:rPr>
          <w:rFonts w:hint="cs"/>
          <w:rtl/>
        </w:rPr>
        <w:t xml:space="preserve"> في </w:t>
      </w:r>
      <w:r>
        <w:rPr>
          <w:rFonts w:hint="cs"/>
          <w:rtl/>
        </w:rPr>
        <w:t>موزامبيق</w:t>
      </w:r>
      <w:r w:rsidRPr="00FF3B20">
        <w:rPr>
          <w:rFonts w:hint="cs"/>
          <w:rtl/>
        </w:rPr>
        <w:t xml:space="preserve">، وأغلبها تعيش في فقر مدقع (الصفحة 64). يرجى إيضاح التدابير الموجودة لدعم وتخفيف محنة النساء </w:t>
      </w:r>
      <w:r w:rsidR="00DD7F68">
        <w:rPr>
          <w:rFonts w:hint="cs"/>
          <w:rtl/>
        </w:rPr>
        <w:t xml:space="preserve">اللاتي </w:t>
      </w:r>
      <w:r w:rsidRPr="00FF3B20">
        <w:rPr>
          <w:rFonts w:hint="cs"/>
          <w:rtl/>
        </w:rPr>
        <w:t>يعشن في فقر، بما في ذلك ما يجري القيام به لت</w:t>
      </w:r>
      <w:r w:rsidR="00DD7F68">
        <w:rPr>
          <w:rFonts w:hint="cs"/>
          <w:rtl/>
        </w:rPr>
        <w:t>ي</w:t>
      </w:r>
      <w:r w:rsidRPr="00FF3B20">
        <w:rPr>
          <w:rFonts w:hint="cs"/>
          <w:rtl/>
        </w:rPr>
        <w:t xml:space="preserve">سير حصولهن على الأراضي والقروض. </w:t>
      </w:r>
    </w:p>
    <w:p w:rsidR="00FF3B20" w:rsidRPr="00FF3B20" w:rsidRDefault="00FF3B20" w:rsidP="00E540A2">
      <w:pPr>
        <w:pStyle w:val="SingleTxt"/>
        <w:rPr>
          <w:rFonts w:hint="cs"/>
          <w:rtl/>
        </w:rPr>
      </w:pPr>
      <w:r w:rsidRPr="00FF3B20">
        <w:rPr>
          <w:rFonts w:hint="cs"/>
          <w:rtl/>
        </w:rPr>
        <w:t>28</w:t>
      </w:r>
      <w:r w:rsidR="00DD7F68">
        <w:rPr>
          <w:rFonts w:hint="cs"/>
          <w:rtl/>
        </w:rPr>
        <w:t xml:space="preserve"> </w:t>
      </w:r>
      <w:r w:rsidRPr="00FF3B20">
        <w:rPr>
          <w:rFonts w:hint="cs"/>
          <w:rtl/>
        </w:rPr>
        <w:t>-</w:t>
      </w:r>
      <w:r w:rsidR="00DD7F68">
        <w:rPr>
          <w:rFonts w:hint="cs"/>
          <w:rtl/>
        </w:rPr>
        <w:tab/>
      </w:r>
      <w:r w:rsidRPr="00FF3B20">
        <w:rPr>
          <w:rFonts w:hint="cs"/>
          <w:rtl/>
        </w:rPr>
        <w:t>ويشير التقرير إلى المشاكل الخاصة التي تواجهها المعوقات والتي تسفر عن وصمهن واستبعادهن اجتماعيا. يرجى توضيح التدابير القائمة لكفالة وصول النساء المعوقات إلى التعليم والعم</w:t>
      </w:r>
      <w:r w:rsidR="00E540A2">
        <w:rPr>
          <w:rFonts w:hint="cs"/>
          <w:rtl/>
        </w:rPr>
        <w:t>ل وغيرها من الخدمات الاجتماعية.</w:t>
      </w:r>
    </w:p>
    <w:p w:rsidR="00E540A2" w:rsidRPr="00E540A2" w:rsidRDefault="00E540A2" w:rsidP="00E540A2">
      <w:pPr>
        <w:pStyle w:val="SingleTxt"/>
        <w:spacing w:after="0" w:line="120" w:lineRule="exact"/>
        <w:rPr>
          <w:rFonts w:hint="cs"/>
          <w:b/>
          <w:bCs/>
          <w:sz w:val="12"/>
          <w:rtl/>
        </w:rPr>
      </w:pPr>
    </w:p>
    <w:p w:rsidR="00FF3B20" w:rsidRPr="00FF3B20" w:rsidRDefault="00FF3B20" w:rsidP="00E540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المادة 14</w:t>
      </w:r>
    </w:p>
    <w:p w:rsidR="00FF3B20" w:rsidRPr="00FF3B20" w:rsidRDefault="00FF3B20" w:rsidP="002265C0">
      <w:pPr>
        <w:pStyle w:val="SingleTxt"/>
        <w:spacing w:line="380" w:lineRule="exact"/>
        <w:rPr>
          <w:rFonts w:hint="cs"/>
          <w:rtl/>
        </w:rPr>
      </w:pPr>
      <w:r w:rsidRPr="00FF3B20">
        <w:rPr>
          <w:rFonts w:hint="cs"/>
          <w:rtl/>
        </w:rPr>
        <w:t>29</w:t>
      </w:r>
      <w:r w:rsidR="00E540A2">
        <w:rPr>
          <w:rFonts w:hint="cs"/>
          <w:rtl/>
        </w:rPr>
        <w:t xml:space="preserve"> </w:t>
      </w:r>
      <w:r w:rsidRPr="00FF3B20">
        <w:rPr>
          <w:rFonts w:hint="cs"/>
          <w:rtl/>
        </w:rPr>
        <w:t>-</w:t>
      </w:r>
      <w:r w:rsidR="00E540A2">
        <w:rPr>
          <w:rFonts w:hint="cs"/>
          <w:rtl/>
        </w:rPr>
        <w:tab/>
      </w:r>
      <w:r w:rsidRPr="00FF3B20">
        <w:rPr>
          <w:rFonts w:hint="cs"/>
          <w:rtl/>
        </w:rPr>
        <w:t xml:space="preserve">يشير التقرير </w:t>
      </w:r>
      <w:r w:rsidR="00E540A2">
        <w:rPr>
          <w:rFonts w:hint="cs"/>
          <w:rtl/>
        </w:rPr>
        <w:t xml:space="preserve">إلى </w:t>
      </w:r>
      <w:r w:rsidRPr="00FF3B20">
        <w:rPr>
          <w:rFonts w:hint="cs"/>
          <w:rtl/>
        </w:rPr>
        <w:t>عدة مشاكل تواجه المرأة الريفية، منها عدم وجود تمثيل لها على مستوى الحكومة وعدم حصولها على خدمات الرعاية الصحية (الصفحة 74). ويشير التقرير أيضا إلى أن البرنامج الخماسي للحكومة ’’</w:t>
      </w:r>
      <w:bookmarkStart w:id="1" w:name="TmpSave"/>
      <w:r w:rsidR="00E540A2">
        <w:rPr>
          <w:rFonts w:hint="cs"/>
          <w:rtl/>
        </w:rPr>
        <w:t>ي</w:t>
      </w:r>
      <w:bookmarkEnd w:id="1"/>
      <w:r w:rsidRPr="00FF3B20">
        <w:rPr>
          <w:rtl/>
        </w:rPr>
        <w:t xml:space="preserve">تضمن </w:t>
      </w:r>
      <w:r w:rsidRPr="00FF3B20">
        <w:rPr>
          <w:rFonts w:hint="cs"/>
          <w:rtl/>
        </w:rPr>
        <w:t>...</w:t>
      </w:r>
      <w:r w:rsidRPr="00FF3B20">
        <w:rPr>
          <w:rtl/>
        </w:rPr>
        <w:t xml:space="preserve"> إدراج المشاكل الجنسانية على مستوى القطاع الزراعي</w:t>
      </w:r>
      <w:r w:rsidRPr="00FF3B20">
        <w:rPr>
          <w:rFonts w:hint="cs"/>
          <w:rtl/>
        </w:rPr>
        <w:t xml:space="preserve">‘‘ (الصفحة 74). يرجى تقديم تفاصيل عن الكيفية التي تدرج بها البرامج الخماسية المنظور الجنساني في القطاع الزراعي، وكذلك ما إذا كانت تركز بشكل خاص على تعزيز مستوى معيشة المرأة الريفية من خلال زيادة الوصول إلى التعليم وخدمات الرعاية الصحية، وماء الشرب والصرف الصحي، والفرص الاقتصادية، وملكية الأراضي، والمشاركة في صنع القرارات المتعلقة بالتخطيط </w:t>
      </w:r>
      <w:r w:rsidR="00E540A2">
        <w:rPr>
          <w:rFonts w:hint="cs"/>
          <w:rtl/>
        </w:rPr>
        <w:t>الإنمائي</w:t>
      </w:r>
      <w:r w:rsidRPr="00FF3B20">
        <w:rPr>
          <w:rFonts w:hint="cs"/>
          <w:rtl/>
        </w:rPr>
        <w:t xml:space="preserve">. </w:t>
      </w:r>
    </w:p>
    <w:p w:rsidR="00E540A2" w:rsidRPr="00E540A2" w:rsidRDefault="00E540A2" w:rsidP="00E540A2">
      <w:pPr>
        <w:pStyle w:val="SingleTxt"/>
        <w:spacing w:after="0" w:line="120" w:lineRule="exact"/>
        <w:rPr>
          <w:rFonts w:hint="cs"/>
          <w:b/>
          <w:bCs/>
          <w:sz w:val="12"/>
          <w:rtl/>
        </w:rPr>
      </w:pPr>
    </w:p>
    <w:p w:rsidR="00FF3B20" w:rsidRPr="00FF3B20" w:rsidRDefault="00FF3B20" w:rsidP="00E540A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المادتان 15 و</w:t>
      </w:r>
      <w:r w:rsidR="00E540A2">
        <w:rPr>
          <w:rFonts w:hint="cs"/>
          <w:rtl/>
        </w:rPr>
        <w:t xml:space="preserve"> </w:t>
      </w:r>
      <w:r w:rsidRPr="00FF3B20">
        <w:rPr>
          <w:rFonts w:hint="cs"/>
          <w:rtl/>
        </w:rPr>
        <w:t>16</w:t>
      </w:r>
    </w:p>
    <w:p w:rsidR="00FF3B20" w:rsidRPr="00FF3B20" w:rsidRDefault="00FF3B20" w:rsidP="002265C0">
      <w:pPr>
        <w:pStyle w:val="SingleTxt"/>
        <w:spacing w:line="380" w:lineRule="exact"/>
        <w:rPr>
          <w:rFonts w:hint="cs"/>
          <w:rtl/>
        </w:rPr>
      </w:pPr>
      <w:r w:rsidRPr="00FF3B20">
        <w:rPr>
          <w:rFonts w:hint="cs"/>
          <w:rtl/>
        </w:rPr>
        <w:t>30</w:t>
      </w:r>
      <w:r w:rsidR="00E540A2">
        <w:rPr>
          <w:rFonts w:hint="cs"/>
          <w:rtl/>
        </w:rPr>
        <w:t xml:space="preserve"> </w:t>
      </w:r>
      <w:r w:rsidRPr="00FF3B20">
        <w:rPr>
          <w:rFonts w:hint="cs"/>
          <w:rtl/>
        </w:rPr>
        <w:t>-</w:t>
      </w:r>
      <w:r w:rsidR="00E540A2">
        <w:rPr>
          <w:rFonts w:hint="cs"/>
          <w:rtl/>
        </w:rPr>
        <w:tab/>
      </w:r>
      <w:r w:rsidRPr="00FF3B20">
        <w:rPr>
          <w:rFonts w:hint="cs"/>
          <w:rtl/>
        </w:rPr>
        <w:t xml:space="preserve">يشير التقرير إلى عدة أمثلة للتمييز ضد المرأة في العلاقات الزوجية والأسرية </w:t>
      </w:r>
      <w:r w:rsidR="00E540A2">
        <w:rPr>
          <w:rFonts w:hint="cs"/>
          <w:rtl/>
        </w:rPr>
        <w:t>على صعيد ال</w:t>
      </w:r>
      <w:r w:rsidRPr="00FF3B20">
        <w:rPr>
          <w:rFonts w:hint="cs"/>
          <w:rtl/>
        </w:rPr>
        <w:t>قانون و</w:t>
      </w:r>
      <w:r w:rsidR="00E540A2">
        <w:rPr>
          <w:rFonts w:hint="cs"/>
          <w:rtl/>
        </w:rPr>
        <w:t>ال</w:t>
      </w:r>
      <w:r w:rsidRPr="00FF3B20">
        <w:rPr>
          <w:rFonts w:hint="cs"/>
          <w:rtl/>
        </w:rPr>
        <w:t>ممارسة، بما في ذلك الأهلية التعاقدية، و</w:t>
      </w:r>
      <w:r w:rsidR="00E540A2">
        <w:rPr>
          <w:rFonts w:hint="cs"/>
          <w:rtl/>
        </w:rPr>
        <w:t xml:space="preserve">الملكية، </w:t>
      </w:r>
      <w:r w:rsidRPr="00FF3B20">
        <w:rPr>
          <w:rFonts w:hint="cs"/>
          <w:rtl/>
        </w:rPr>
        <w:t>والاعتراف بالزوج رأسا للأسرة المعيشية، وحقوق الإرث، وانتشار تعدد الزوجات (الصفحات 78-79). يرجى تقديم معلومات مفصلة ع</w:t>
      </w:r>
      <w:r w:rsidR="002265C0">
        <w:rPr>
          <w:rFonts w:hint="cs"/>
          <w:rtl/>
        </w:rPr>
        <w:t>ن</w:t>
      </w:r>
      <w:r w:rsidRPr="00FF3B20">
        <w:rPr>
          <w:rFonts w:hint="cs"/>
          <w:rtl/>
        </w:rPr>
        <w:t xml:space="preserve"> استراتيجية الحكومة للقضاء على هذا التميز وكفالة حقوق متساوية للمرأة في العلاقات الزوجية والأسرية قانونا وممارسة، بما في ذلك معلومات مستكملة عن حالة القانون </w:t>
      </w:r>
      <w:r w:rsidR="002265C0">
        <w:rPr>
          <w:rFonts w:hint="cs"/>
          <w:rtl/>
        </w:rPr>
        <w:t xml:space="preserve">المقترح </w:t>
      </w:r>
      <w:r w:rsidRPr="00FF3B20">
        <w:rPr>
          <w:rFonts w:hint="cs"/>
          <w:rtl/>
        </w:rPr>
        <w:t xml:space="preserve">المتعلق بالأسرة، وما هي العقبات التي </w:t>
      </w:r>
      <w:r w:rsidR="002265C0">
        <w:rPr>
          <w:rFonts w:hint="cs"/>
          <w:rtl/>
        </w:rPr>
        <w:t xml:space="preserve">تحول دون إصداره </w:t>
      </w:r>
      <w:r w:rsidRPr="00FF3B20">
        <w:rPr>
          <w:rFonts w:hint="cs"/>
          <w:rtl/>
        </w:rPr>
        <w:t xml:space="preserve">وكيف تعتزم الحكومة تجاوزها. </w:t>
      </w:r>
    </w:p>
    <w:p w:rsidR="00FF3B20" w:rsidRPr="00FF3B20" w:rsidRDefault="00FF3B20" w:rsidP="002265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F3B20">
        <w:rPr>
          <w:rFonts w:hint="cs"/>
          <w:rtl/>
        </w:rPr>
        <w:tab/>
      </w:r>
      <w:r w:rsidRPr="00FF3B20">
        <w:rPr>
          <w:rFonts w:hint="cs"/>
          <w:rtl/>
        </w:rPr>
        <w:tab/>
        <w:t>البروتوكول الاختياري</w:t>
      </w:r>
    </w:p>
    <w:p w:rsidR="00CD3849" w:rsidRDefault="00FF3B20" w:rsidP="002265C0">
      <w:pPr>
        <w:pStyle w:val="SingleTxt"/>
        <w:rPr>
          <w:rFonts w:hint="cs"/>
          <w:rtl/>
        </w:rPr>
      </w:pPr>
      <w:r w:rsidRPr="00FF3B20">
        <w:rPr>
          <w:rFonts w:hint="cs"/>
          <w:rtl/>
        </w:rPr>
        <w:t>31</w:t>
      </w:r>
      <w:r w:rsidR="002265C0">
        <w:rPr>
          <w:rFonts w:hint="cs"/>
          <w:rtl/>
        </w:rPr>
        <w:t xml:space="preserve"> </w:t>
      </w:r>
      <w:r w:rsidRPr="00FF3B20">
        <w:rPr>
          <w:rFonts w:hint="cs"/>
          <w:rtl/>
        </w:rPr>
        <w:t>-</w:t>
      </w:r>
      <w:r w:rsidR="002265C0">
        <w:rPr>
          <w:rFonts w:hint="cs"/>
          <w:rtl/>
        </w:rPr>
        <w:tab/>
      </w:r>
      <w:r w:rsidRPr="00FF3B20">
        <w:rPr>
          <w:rFonts w:hint="cs"/>
          <w:rtl/>
        </w:rPr>
        <w:t>يرجى تبيان أي تقدم أُحرز نحو التصديق</w:t>
      </w:r>
      <w:r w:rsidR="002265C0">
        <w:rPr>
          <w:rFonts w:hint="cs"/>
          <w:rtl/>
        </w:rPr>
        <w:t xml:space="preserve"> على </w:t>
      </w:r>
      <w:r w:rsidRPr="00FF3B20">
        <w:rPr>
          <w:rFonts w:hint="cs"/>
          <w:rtl/>
        </w:rPr>
        <w:t>البروتوكول الاختياري للاتفاقية</w:t>
      </w:r>
      <w:r w:rsidR="002265C0">
        <w:rPr>
          <w:rFonts w:hint="cs"/>
          <w:rtl/>
        </w:rPr>
        <w:t xml:space="preserve"> أو</w:t>
      </w:r>
      <w:r w:rsidR="002265C0">
        <w:rPr>
          <w:rFonts w:hint="eastAsia"/>
          <w:rtl/>
        </w:rPr>
        <w:t> </w:t>
      </w:r>
      <w:r w:rsidR="002265C0">
        <w:rPr>
          <w:rFonts w:hint="cs"/>
          <w:rtl/>
        </w:rPr>
        <w:t>الانضمام إليه</w:t>
      </w:r>
      <w:r w:rsidRPr="00FF3B20">
        <w:rPr>
          <w:rFonts w:hint="cs"/>
          <w:rtl/>
        </w:rPr>
        <w:t>.</w:t>
      </w:r>
    </w:p>
    <w:p w:rsidR="002265C0" w:rsidRPr="002265C0" w:rsidRDefault="002265C0" w:rsidP="002265C0">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2265C0" w:rsidRPr="002265C0" w:rsidSect="00B6305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11-01T15:48:00Z" w:initials="Start">
    <w:p w:rsidR="00B277B3" w:rsidRDefault="00B277B3">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NO&gt;&gt;N0655533A&lt;&lt;ODS JOB NO</w:t>
      </w:r>
      <w:r>
        <w:rPr>
          <w:rtl/>
        </w:rPr>
        <w:t>&gt;&gt;</w:t>
      </w:r>
    </w:p>
    <w:p w:rsidR="00B277B3" w:rsidRDefault="00B277B3">
      <w:pPr>
        <w:pStyle w:val="CommentText"/>
        <w:rPr>
          <w:rtl/>
        </w:rPr>
      </w:pPr>
      <w:r>
        <w:rPr>
          <w:rtl/>
        </w:rPr>
        <w:t>&lt;&lt;</w:t>
      </w:r>
      <w:r>
        <w:t>ODS DOC SYMBOL1&gt;&gt;CEDAW/C/MOZ/Q/2&lt;&lt;ODS DOC SYMBOL1</w:t>
      </w:r>
      <w:r>
        <w:rPr>
          <w:rtl/>
        </w:rPr>
        <w:t>&gt;&gt;</w:t>
      </w:r>
    </w:p>
    <w:p w:rsidR="00B277B3" w:rsidRDefault="00B277B3">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2A2B" w:rsidRDefault="00BE2A2B" w:rsidP="00B6305F">
      <w:pPr>
        <w:pStyle w:val="Footer"/>
      </w:pPr>
      <w:r>
        <w:separator/>
      </w:r>
    </w:p>
  </w:endnote>
  <w:endnote w:type="continuationSeparator" w:id="0">
    <w:p w:rsidR="00BE2A2B" w:rsidRDefault="00BE2A2B" w:rsidP="00B6305F">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77B3">
      <w:tblPrEx>
        <w:tblCellMar>
          <w:top w:w="0" w:type="dxa"/>
          <w:bottom w:w="0" w:type="dxa"/>
        </w:tblCellMar>
      </w:tblPrEx>
      <w:tc>
        <w:tcPr>
          <w:tcW w:w="5033" w:type="dxa"/>
          <w:shd w:val="clear" w:color="auto" w:fill="auto"/>
        </w:tcPr>
        <w:p w:rsidR="00B277B3" w:rsidRPr="00B6305F" w:rsidRDefault="00B277B3" w:rsidP="00B6305F">
          <w:pPr>
            <w:pStyle w:val="Footer"/>
            <w:jc w:val="right"/>
            <w:rPr>
              <w:w w:val="103"/>
            </w:rPr>
          </w:pPr>
          <w:r>
            <w:rPr>
              <w:w w:val="103"/>
            </w:rPr>
            <w:fldChar w:fldCharType="begin"/>
          </w:r>
          <w:r>
            <w:rPr>
              <w:w w:val="103"/>
            </w:rPr>
            <w:instrText xml:space="preserve"> PAGE  \* MERGEFORMAT </w:instrText>
          </w:r>
          <w:r>
            <w:rPr>
              <w:w w:val="103"/>
            </w:rPr>
            <w:fldChar w:fldCharType="separate"/>
          </w:r>
          <w:r w:rsidR="00705D43">
            <w:rPr>
              <w:w w:val="103"/>
            </w:rPr>
            <w:t>2</w:t>
          </w:r>
          <w:r>
            <w:rPr>
              <w:w w:val="103"/>
            </w:rPr>
            <w:fldChar w:fldCharType="end"/>
          </w:r>
        </w:p>
      </w:tc>
      <w:tc>
        <w:tcPr>
          <w:tcW w:w="5033" w:type="dxa"/>
          <w:shd w:val="clear" w:color="auto" w:fill="auto"/>
        </w:tcPr>
        <w:p w:rsidR="00B277B3" w:rsidRPr="00B6305F" w:rsidRDefault="00B277B3" w:rsidP="00B6305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05D43">
            <w:rPr>
              <w:b w:val="0"/>
              <w:w w:val="103"/>
            </w:rPr>
            <w:t>06-55533</w:t>
          </w:r>
          <w:r>
            <w:rPr>
              <w:b w:val="0"/>
              <w:w w:val="103"/>
            </w:rPr>
            <w:fldChar w:fldCharType="end"/>
          </w:r>
        </w:p>
      </w:tc>
    </w:tr>
  </w:tbl>
  <w:p w:rsidR="00B277B3" w:rsidRPr="00B6305F" w:rsidRDefault="00B277B3" w:rsidP="00B630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277B3">
      <w:tblPrEx>
        <w:tblCellMar>
          <w:top w:w="0" w:type="dxa"/>
          <w:bottom w:w="0" w:type="dxa"/>
        </w:tblCellMar>
      </w:tblPrEx>
      <w:tc>
        <w:tcPr>
          <w:tcW w:w="5033" w:type="dxa"/>
          <w:shd w:val="clear" w:color="auto" w:fill="auto"/>
        </w:tcPr>
        <w:p w:rsidR="00B277B3" w:rsidRPr="00B6305F" w:rsidRDefault="00B277B3" w:rsidP="00B6305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05D43">
            <w:rPr>
              <w:b w:val="0"/>
              <w:w w:val="103"/>
            </w:rPr>
            <w:t>06-55533</w:t>
          </w:r>
          <w:r>
            <w:rPr>
              <w:b w:val="0"/>
              <w:w w:val="103"/>
            </w:rPr>
            <w:fldChar w:fldCharType="end"/>
          </w:r>
        </w:p>
      </w:tc>
      <w:tc>
        <w:tcPr>
          <w:tcW w:w="5033" w:type="dxa"/>
          <w:shd w:val="clear" w:color="auto" w:fill="auto"/>
        </w:tcPr>
        <w:p w:rsidR="00B277B3" w:rsidRPr="00B6305F" w:rsidRDefault="00B277B3" w:rsidP="00B6305F">
          <w:pPr>
            <w:pStyle w:val="Footer"/>
            <w:rPr>
              <w:w w:val="103"/>
            </w:rPr>
          </w:pPr>
          <w:r>
            <w:rPr>
              <w:w w:val="103"/>
            </w:rPr>
            <w:fldChar w:fldCharType="begin"/>
          </w:r>
          <w:r>
            <w:rPr>
              <w:w w:val="103"/>
            </w:rPr>
            <w:instrText xml:space="preserve"> PAGE  \* MERGEFORMAT </w:instrText>
          </w:r>
          <w:r>
            <w:rPr>
              <w:w w:val="103"/>
            </w:rPr>
            <w:fldChar w:fldCharType="separate"/>
          </w:r>
          <w:r w:rsidR="00705D43">
            <w:rPr>
              <w:w w:val="103"/>
            </w:rPr>
            <w:t>3</w:t>
          </w:r>
          <w:r>
            <w:rPr>
              <w:w w:val="103"/>
            </w:rPr>
            <w:fldChar w:fldCharType="end"/>
          </w:r>
        </w:p>
      </w:tc>
    </w:tr>
  </w:tbl>
  <w:p w:rsidR="00B277B3" w:rsidRPr="00B6305F" w:rsidRDefault="00B277B3" w:rsidP="00B630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77B3" w:rsidRDefault="00B277B3">
    <w:pPr>
      <w:pStyle w:val="Footer"/>
    </w:pPr>
  </w:p>
  <w:p w:rsidR="00B277B3" w:rsidRDefault="00B277B3" w:rsidP="00B6305F">
    <w:pPr>
      <w:pStyle w:val="Footer"/>
      <w:jc w:val="right"/>
      <w:rPr>
        <w:rFonts w:cs="Times New Roman"/>
        <w:b w:val="0"/>
        <w:w w:val="103"/>
        <w:sz w:val="20"/>
      </w:rPr>
    </w:pPr>
    <w:r>
      <w:rPr>
        <w:rFonts w:cs="Times New Roman"/>
        <w:b w:val="0"/>
        <w:w w:val="103"/>
        <w:sz w:val="20"/>
      </w:rPr>
      <w:t xml:space="preserve">011106    011106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705D43">
      <w:rPr>
        <w:rFonts w:cs="Times New Roman"/>
        <w:b w:val="0"/>
        <w:w w:val="103"/>
        <w:sz w:val="20"/>
      </w:rPr>
      <w:t>06-55533 (A)</w:t>
    </w:r>
    <w:r>
      <w:rPr>
        <w:rFonts w:cs="Times New Roman"/>
        <w:b w:val="0"/>
        <w:w w:val="103"/>
        <w:sz w:val="20"/>
      </w:rPr>
      <w:fldChar w:fldCharType="end"/>
    </w:r>
  </w:p>
  <w:p w:rsidR="00B277B3" w:rsidRPr="00B6305F" w:rsidRDefault="00B277B3" w:rsidP="00B6305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705D43">
      <w:rPr>
        <w:rFonts w:ascii="Barcode 3 of 9 by request" w:hAnsi="Barcode 3 of 9 by request" w:cs="Times New Roman"/>
        <w:b w:val="0"/>
        <w:sz w:val="24"/>
      </w:rPr>
      <w:t>*0655533*</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2A2B" w:rsidRDefault="00BE2A2B" w:rsidP="00B6305F">
      <w:pPr>
        <w:pStyle w:val="Footer"/>
      </w:pPr>
      <w:r>
        <w:separator/>
      </w:r>
    </w:p>
  </w:footnote>
  <w:footnote w:type="continuationSeparator" w:id="0">
    <w:p w:rsidR="00BE2A2B" w:rsidRDefault="00BE2A2B" w:rsidP="00B6305F">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4"/>
      <w:gridCol w:w="4946"/>
    </w:tblGrid>
    <w:tr w:rsidR="00B277B3">
      <w:tblPrEx>
        <w:tblCellMar>
          <w:top w:w="0" w:type="dxa"/>
          <w:bottom w:w="0" w:type="dxa"/>
        </w:tblCellMar>
      </w:tblPrEx>
      <w:trPr>
        <w:trHeight w:hRule="exact" w:val="864"/>
        <w:jc w:val="center"/>
      </w:trPr>
      <w:tc>
        <w:tcPr>
          <w:tcW w:w="5033" w:type="dxa"/>
          <w:shd w:val="clear" w:color="auto" w:fill="auto"/>
          <w:vAlign w:val="bottom"/>
        </w:tcPr>
        <w:p w:rsidR="00B277B3" w:rsidRDefault="00B277B3" w:rsidP="00B6305F">
          <w:pPr>
            <w:pStyle w:val="Header"/>
            <w:bidi/>
            <w:jc w:val="right"/>
          </w:pPr>
        </w:p>
      </w:tc>
      <w:tc>
        <w:tcPr>
          <w:tcW w:w="5033" w:type="dxa"/>
          <w:shd w:val="clear" w:color="auto" w:fill="auto"/>
          <w:vAlign w:val="bottom"/>
        </w:tcPr>
        <w:p w:rsidR="00B277B3" w:rsidRPr="00B6305F" w:rsidRDefault="00B277B3" w:rsidP="00B6305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705D43">
            <w:rPr>
              <w:w w:val="103"/>
            </w:rPr>
            <w:t>CEDAW/C/MOZ/Q/2</w:t>
          </w:r>
          <w:r>
            <w:rPr>
              <w:w w:val="103"/>
            </w:rPr>
            <w:fldChar w:fldCharType="end"/>
          </w:r>
        </w:p>
      </w:tc>
    </w:tr>
  </w:tbl>
  <w:p w:rsidR="00B277B3" w:rsidRPr="00B6305F" w:rsidRDefault="00B277B3" w:rsidP="00B6305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6"/>
      <w:gridCol w:w="4904"/>
    </w:tblGrid>
    <w:tr w:rsidR="00B277B3">
      <w:tblPrEx>
        <w:tblCellMar>
          <w:top w:w="0" w:type="dxa"/>
          <w:bottom w:w="0" w:type="dxa"/>
        </w:tblCellMar>
      </w:tblPrEx>
      <w:trPr>
        <w:trHeight w:hRule="exact" w:val="864"/>
        <w:jc w:val="center"/>
      </w:trPr>
      <w:tc>
        <w:tcPr>
          <w:tcW w:w="5033" w:type="dxa"/>
          <w:shd w:val="clear" w:color="auto" w:fill="auto"/>
          <w:vAlign w:val="bottom"/>
        </w:tcPr>
        <w:p w:rsidR="00B277B3" w:rsidRPr="00B6305F" w:rsidRDefault="00B277B3" w:rsidP="00B6305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705D43">
            <w:rPr>
              <w:w w:val="103"/>
            </w:rPr>
            <w:t>CEDAW/C/MOZ/Q/2</w:t>
          </w:r>
          <w:r>
            <w:rPr>
              <w:w w:val="103"/>
            </w:rPr>
            <w:fldChar w:fldCharType="end"/>
          </w:r>
        </w:p>
      </w:tc>
      <w:tc>
        <w:tcPr>
          <w:tcW w:w="5033" w:type="dxa"/>
          <w:shd w:val="clear" w:color="auto" w:fill="auto"/>
          <w:vAlign w:val="bottom"/>
        </w:tcPr>
        <w:p w:rsidR="00B277B3" w:rsidRDefault="00B277B3" w:rsidP="00B6305F">
          <w:pPr>
            <w:pStyle w:val="Header"/>
          </w:pPr>
        </w:p>
      </w:tc>
    </w:tr>
  </w:tbl>
  <w:p w:rsidR="00B277B3" w:rsidRPr="00B6305F" w:rsidRDefault="00B277B3" w:rsidP="00B6305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B277B3">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B277B3" w:rsidRDefault="00B277B3" w:rsidP="00B6305F">
          <w:pPr>
            <w:pStyle w:val="Header"/>
            <w:spacing w:after="120"/>
          </w:pPr>
        </w:p>
      </w:tc>
      <w:tc>
        <w:tcPr>
          <w:tcW w:w="1786" w:type="dxa"/>
          <w:tcBorders>
            <w:bottom w:val="single" w:sz="4" w:space="0" w:color="auto"/>
          </w:tcBorders>
          <w:shd w:val="clear" w:color="auto" w:fill="auto"/>
          <w:vAlign w:val="bottom"/>
        </w:tcPr>
        <w:p w:rsidR="00B277B3" w:rsidRPr="00B6305F" w:rsidRDefault="00B277B3" w:rsidP="00B6305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B277B3" w:rsidRDefault="00B277B3" w:rsidP="00B6305F">
          <w:pPr>
            <w:pStyle w:val="Header"/>
            <w:spacing w:after="120"/>
          </w:pPr>
        </w:p>
      </w:tc>
      <w:tc>
        <w:tcPr>
          <w:tcW w:w="6523" w:type="dxa"/>
          <w:gridSpan w:val="3"/>
          <w:tcBorders>
            <w:bottom w:val="single" w:sz="4" w:space="0" w:color="auto"/>
          </w:tcBorders>
          <w:shd w:val="clear" w:color="auto" w:fill="auto"/>
          <w:vAlign w:val="bottom"/>
        </w:tcPr>
        <w:p w:rsidR="00B277B3" w:rsidRPr="00B6305F" w:rsidRDefault="00B277B3" w:rsidP="00B6305F">
          <w:pPr>
            <w:spacing w:line="380" w:lineRule="exact"/>
            <w:jc w:val="right"/>
          </w:pPr>
          <w:r>
            <w:rPr>
              <w:sz w:val="40"/>
            </w:rPr>
            <w:t>CEDAW</w:t>
          </w:r>
          <w:r>
            <w:t>/C/MOZ/Q/2</w:t>
          </w:r>
        </w:p>
      </w:tc>
    </w:tr>
    <w:tr w:rsidR="00B277B3" w:rsidRPr="00B6305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B277B3" w:rsidRDefault="00B277B3" w:rsidP="00B6305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277B3" w:rsidRPr="00B6305F" w:rsidRDefault="00B277B3" w:rsidP="00B6305F">
          <w:pPr>
            <w:pStyle w:val="Header"/>
            <w:spacing w:before="109"/>
            <w:jc w:val="right"/>
          </w:pPr>
        </w:p>
      </w:tc>
      <w:tc>
        <w:tcPr>
          <w:tcW w:w="5227" w:type="dxa"/>
          <w:gridSpan w:val="3"/>
          <w:tcBorders>
            <w:top w:val="single" w:sz="4" w:space="0" w:color="auto"/>
            <w:bottom w:val="single" w:sz="12" w:space="0" w:color="auto"/>
          </w:tcBorders>
          <w:shd w:val="clear" w:color="auto" w:fill="auto"/>
        </w:tcPr>
        <w:p w:rsidR="00B277B3" w:rsidRPr="00B6305F" w:rsidRDefault="00B277B3" w:rsidP="00B6305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B277B3" w:rsidRPr="00B6305F" w:rsidRDefault="00B277B3" w:rsidP="00B6305F">
          <w:pPr>
            <w:pStyle w:val="Header"/>
            <w:spacing w:before="109"/>
          </w:pPr>
        </w:p>
      </w:tc>
      <w:tc>
        <w:tcPr>
          <w:tcW w:w="3100" w:type="dxa"/>
          <w:gridSpan w:val="2"/>
          <w:tcBorders>
            <w:top w:val="single" w:sz="4" w:space="0" w:color="auto"/>
            <w:bottom w:val="single" w:sz="12" w:space="0" w:color="auto"/>
          </w:tcBorders>
          <w:shd w:val="clear" w:color="auto" w:fill="auto"/>
        </w:tcPr>
        <w:p w:rsidR="00B277B3" w:rsidRDefault="00B277B3" w:rsidP="00B6305F">
          <w:pPr>
            <w:bidi w:val="0"/>
            <w:spacing w:before="240" w:line="240" w:lineRule="exact"/>
          </w:pPr>
          <w:r>
            <w:t>Distr.: General</w:t>
          </w:r>
        </w:p>
        <w:p w:rsidR="00B277B3" w:rsidRDefault="00B277B3" w:rsidP="00B6305F">
          <w:pPr>
            <w:bidi w:val="0"/>
            <w:spacing w:line="240" w:lineRule="exact"/>
            <w:jc w:val="left"/>
          </w:pPr>
          <w:r>
            <w:t>5 October 2006</w:t>
          </w:r>
        </w:p>
        <w:p w:rsidR="00B277B3" w:rsidRDefault="00B277B3" w:rsidP="00B6305F">
          <w:pPr>
            <w:bidi w:val="0"/>
            <w:spacing w:line="240" w:lineRule="exact"/>
            <w:jc w:val="left"/>
          </w:pPr>
          <w:r>
            <w:t>Arabic</w:t>
          </w:r>
        </w:p>
        <w:p w:rsidR="00B277B3" w:rsidRPr="00B6305F" w:rsidRDefault="00B277B3" w:rsidP="00B6305F">
          <w:pPr>
            <w:bidi w:val="0"/>
            <w:spacing w:line="240" w:lineRule="exact"/>
            <w:jc w:val="left"/>
          </w:pPr>
          <w:r>
            <w:t>Original: English</w:t>
          </w:r>
        </w:p>
      </w:tc>
    </w:tr>
  </w:tbl>
  <w:p w:rsidR="00B277B3" w:rsidRPr="00B6305F" w:rsidRDefault="00B277B3" w:rsidP="00B6305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55533*"/>
    <w:docVar w:name="CreationDt" w:val="01/11/2006 03:483 م"/>
    <w:docVar w:name="DocCategory" w:val="Doc"/>
    <w:docVar w:name="DocType" w:val="Final"/>
    <w:docVar w:name="FooterJN" w:val="06-55533"/>
    <w:docVar w:name="jobn" w:val="06-55533 (A)"/>
    <w:docVar w:name="jobnDT" w:val="06-55533 (A)   011106"/>
    <w:docVar w:name="jobnDTDT" w:val="06-55533 (A)   011106   011106"/>
    <w:docVar w:name="JobNo" w:val="0655533A"/>
    <w:docVar w:name="OandT" w:val=" "/>
    <w:docVar w:name="sss1" w:val="CEDAW/C/MOZ/Q/2"/>
    <w:docVar w:name="sss2" w:val="-"/>
    <w:docVar w:name="Symbol1" w:val="CEDAW/C/MOZ/Q/2"/>
    <w:docVar w:name="Symbol2" w:val="-"/>
  </w:docVars>
  <w:rsids>
    <w:rsidRoot w:val="00997E7B"/>
    <w:rsid w:val="00005972"/>
    <w:rsid w:val="00042425"/>
    <w:rsid w:val="0006648F"/>
    <w:rsid w:val="00087310"/>
    <w:rsid w:val="0009732C"/>
    <w:rsid w:val="000C4EED"/>
    <w:rsid w:val="000D2CEC"/>
    <w:rsid w:val="00101EE8"/>
    <w:rsid w:val="00113349"/>
    <w:rsid w:val="001519A9"/>
    <w:rsid w:val="00160B88"/>
    <w:rsid w:val="001737F8"/>
    <w:rsid w:val="00187870"/>
    <w:rsid w:val="001F6786"/>
    <w:rsid w:val="002265C0"/>
    <w:rsid w:val="002416C5"/>
    <w:rsid w:val="00266F59"/>
    <w:rsid w:val="00272B6C"/>
    <w:rsid w:val="0027623A"/>
    <w:rsid w:val="00290F2F"/>
    <w:rsid w:val="002937DA"/>
    <w:rsid w:val="002A09C6"/>
    <w:rsid w:val="002C2AF2"/>
    <w:rsid w:val="002C4E1B"/>
    <w:rsid w:val="00312162"/>
    <w:rsid w:val="003501D5"/>
    <w:rsid w:val="00371AC4"/>
    <w:rsid w:val="00383CA8"/>
    <w:rsid w:val="003A65ED"/>
    <w:rsid w:val="003B7161"/>
    <w:rsid w:val="003D4612"/>
    <w:rsid w:val="003F1B7D"/>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0695D"/>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05D43"/>
    <w:rsid w:val="0071531E"/>
    <w:rsid w:val="0071645B"/>
    <w:rsid w:val="00716E9D"/>
    <w:rsid w:val="00747B9E"/>
    <w:rsid w:val="007524BE"/>
    <w:rsid w:val="007525FA"/>
    <w:rsid w:val="00771E7E"/>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97E7B"/>
    <w:rsid w:val="009B6C65"/>
    <w:rsid w:val="009C0017"/>
    <w:rsid w:val="009C15F4"/>
    <w:rsid w:val="009D62A3"/>
    <w:rsid w:val="009E2A1F"/>
    <w:rsid w:val="00A26591"/>
    <w:rsid w:val="00A37C4B"/>
    <w:rsid w:val="00A66F66"/>
    <w:rsid w:val="00A71AE5"/>
    <w:rsid w:val="00AA1E16"/>
    <w:rsid w:val="00AC002C"/>
    <w:rsid w:val="00AC6CDD"/>
    <w:rsid w:val="00AD38D0"/>
    <w:rsid w:val="00AE108C"/>
    <w:rsid w:val="00AF1A53"/>
    <w:rsid w:val="00AF5931"/>
    <w:rsid w:val="00AF7AC7"/>
    <w:rsid w:val="00B05ADC"/>
    <w:rsid w:val="00B272BE"/>
    <w:rsid w:val="00B277B3"/>
    <w:rsid w:val="00B42AAA"/>
    <w:rsid w:val="00B6305F"/>
    <w:rsid w:val="00B9542C"/>
    <w:rsid w:val="00B95560"/>
    <w:rsid w:val="00BA7FAB"/>
    <w:rsid w:val="00BC2F4C"/>
    <w:rsid w:val="00BC4A05"/>
    <w:rsid w:val="00BE2A2B"/>
    <w:rsid w:val="00BF0B15"/>
    <w:rsid w:val="00C12CBB"/>
    <w:rsid w:val="00C25A2D"/>
    <w:rsid w:val="00C260F8"/>
    <w:rsid w:val="00C43FBE"/>
    <w:rsid w:val="00C449C6"/>
    <w:rsid w:val="00C564B0"/>
    <w:rsid w:val="00C6283F"/>
    <w:rsid w:val="00C814A5"/>
    <w:rsid w:val="00C96573"/>
    <w:rsid w:val="00CD0BB8"/>
    <w:rsid w:val="00CD3849"/>
    <w:rsid w:val="00CF7048"/>
    <w:rsid w:val="00CF7384"/>
    <w:rsid w:val="00D2343D"/>
    <w:rsid w:val="00D30EAE"/>
    <w:rsid w:val="00D318F1"/>
    <w:rsid w:val="00D40B0E"/>
    <w:rsid w:val="00DA66B7"/>
    <w:rsid w:val="00DB0865"/>
    <w:rsid w:val="00DB0911"/>
    <w:rsid w:val="00DD7F68"/>
    <w:rsid w:val="00DE5433"/>
    <w:rsid w:val="00DE68A7"/>
    <w:rsid w:val="00DF5F38"/>
    <w:rsid w:val="00E23336"/>
    <w:rsid w:val="00E31661"/>
    <w:rsid w:val="00E32B52"/>
    <w:rsid w:val="00E47EB8"/>
    <w:rsid w:val="00E540A2"/>
    <w:rsid w:val="00E750E1"/>
    <w:rsid w:val="00E9114A"/>
    <w:rsid w:val="00EA489C"/>
    <w:rsid w:val="00EB0CA7"/>
    <w:rsid w:val="00EB4992"/>
    <w:rsid w:val="00EF2E52"/>
    <w:rsid w:val="00F24CFE"/>
    <w:rsid w:val="00F260A4"/>
    <w:rsid w:val="00F32E4A"/>
    <w:rsid w:val="00F36D8C"/>
    <w:rsid w:val="00F93545"/>
    <w:rsid w:val="00F96FBA"/>
    <w:rsid w:val="00FB4E06"/>
    <w:rsid w:val="00FC3483"/>
    <w:rsid w:val="00FC4D68"/>
    <w:rsid w:val="00FD2ADA"/>
    <w:rsid w:val="00FD42AB"/>
    <w:rsid w:val="00FF3B20"/>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6305F"/>
    <w:rPr>
      <w:szCs w:val="20"/>
    </w:rPr>
  </w:style>
  <w:style w:type="paragraph" w:styleId="CommentSubject">
    <w:name w:val="annotation subject"/>
    <w:basedOn w:val="CommentText"/>
    <w:next w:val="CommentText"/>
    <w:semiHidden/>
    <w:rsid w:val="00B6305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1521</Words>
  <Characters>8675</Characters>
  <Application>Microsoft Office Word</Application>
  <DocSecurity>4</DocSecurity>
  <Lines>72</Lines>
  <Paragraphs>20</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10176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Bushra.Abdel-Mawgoud</dc:creator>
  <cp:keywords/>
  <dc:description/>
  <cp:lastModifiedBy>Emil</cp:lastModifiedBy>
  <cp:revision>3</cp:revision>
  <cp:lastPrinted>2006-11-01T15:45:00Z</cp:lastPrinted>
  <dcterms:created xsi:type="dcterms:W3CDTF">2006-11-01T15:44:00Z</dcterms:created>
  <dcterms:modified xsi:type="dcterms:W3CDTF">2006-11-01T15:45:00Z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0655533</vt:lpwstr>
  </property>
  <property fmtid="{D5CDD505-2E9C-101B-9397-08002B2CF9AE}" pid="3" name="Symbol1">
    <vt:lpwstr>CEDAW/C/MOZ/Q/2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