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544697"/>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44697" w:rsidP="00544697">
            <w:pPr>
              <w:jc w:val="right"/>
            </w:pPr>
            <w:r w:rsidRPr="00544697">
              <w:rPr>
                <w:sz w:val="40"/>
              </w:rPr>
              <w:t>CAT</w:t>
            </w:r>
            <w:r>
              <w:t>/C/IRL/QPR/3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00544697">
              <w:rPr>
                <w:b/>
                <w:sz w:val="34"/>
                <w:szCs w:val="34"/>
              </w:rPr>
              <w:t xml:space="preserve"> </w:t>
            </w:r>
            <w:r w:rsidRPr="0027083C">
              <w:rPr>
                <w:b/>
                <w:sz w:val="34"/>
                <w:szCs w:val="34"/>
              </w:rPr>
              <w:br/>
              <w:t>la torture et autres peines</w:t>
            </w:r>
            <w:r w:rsidR="00544697">
              <w:rPr>
                <w:b/>
                <w:sz w:val="34"/>
                <w:szCs w:val="34"/>
              </w:rPr>
              <w:t xml:space="preserve"> </w:t>
            </w:r>
            <w:r w:rsidRPr="0027083C">
              <w:rPr>
                <w:b/>
                <w:sz w:val="34"/>
                <w:szCs w:val="34"/>
              </w:rPr>
              <w:br/>
              <w:t>ou traitements cruels,</w:t>
            </w:r>
            <w:r w:rsidR="00544697">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44697" w:rsidP="00A704A8">
            <w:pPr>
              <w:spacing w:before="240"/>
            </w:pPr>
            <w:r>
              <w:t>Distr. générale</w:t>
            </w:r>
          </w:p>
          <w:p w:rsidR="00544697" w:rsidRDefault="00544697" w:rsidP="00544697">
            <w:pPr>
              <w:spacing w:line="240" w:lineRule="exact"/>
            </w:pPr>
            <w:r>
              <w:t>8 juin 2020</w:t>
            </w:r>
          </w:p>
          <w:p w:rsidR="00544697" w:rsidRDefault="00544697" w:rsidP="00544697">
            <w:pPr>
              <w:spacing w:line="240" w:lineRule="exact"/>
            </w:pPr>
            <w:r>
              <w:t>Français</w:t>
            </w:r>
          </w:p>
          <w:p w:rsidR="00544697" w:rsidRDefault="00544697" w:rsidP="00544697">
            <w:pPr>
              <w:spacing w:line="240" w:lineRule="exact"/>
            </w:pPr>
            <w:r>
              <w:t>Original : anglais</w:t>
            </w:r>
          </w:p>
          <w:p w:rsidR="00544697" w:rsidRPr="00DB58B5" w:rsidRDefault="00544697" w:rsidP="00544697">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8628C" w:rsidRPr="00E53D2C" w:rsidRDefault="0008628C" w:rsidP="0008628C">
      <w:pPr>
        <w:pStyle w:val="HChG"/>
        <w:rPr>
          <w:rFonts w:eastAsia="Times New Roman"/>
        </w:rPr>
      </w:pPr>
      <w:r w:rsidRPr="00E53D2C">
        <w:tab/>
      </w:r>
      <w:r w:rsidRPr="00E53D2C">
        <w:tab/>
        <w:t>Liste de points établie avant la soumission du troisième rapport périodique de l</w:t>
      </w:r>
      <w:r>
        <w:t>’</w:t>
      </w:r>
      <w:r w:rsidRPr="00E53D2C">
        <w:t>Irlande</w:t>
      </w:r>
      <w:r w:rsidRPr="0008628C">
        <w:rPr>
          <w:rStyle w:val="Appelnotedebasdep"/>
          <w:b w:val="0"/>
          <w:bCs/>
          <w:sz w:val="20"/>
          <w:vertAlign w:val="baseline"/>
        </w:rPr>
        <w:footnoteReference w:customMarkFollows="1" w:id="2"/>
        <w:t>*</w:t>
      </w:r>
    </w:p>
    <w:p w:rsidR="0008628C" w:rsidRPr="00E53D2C" w:rsidRDefault="0008628C" w:rsidP="0008628C">
      <w:pPr>
        <w:pStyle w:val="H1G"/>
      </w:pPr>
      <w:r w:rsidRPr="00E53D2C">
        <w:tab/>
      </w:r>
      <w:r w:rsidRPr="00E53D2C">
        <w:tab/>
        <w:t xml:space="preserve">Renseignements concernant spécifiquement la mise en œuvre </w:t>
      </w:r>
      <w:r w:rsidRPr="00E53D2C">
        <w:br/>
        <w:t>des articles</w:t>
      </w:r>
      <w:r>
        <w:t> </w:t>
      </w:r>
      <w:r w:rsidRPr="00E53D2C">
        <w:t>1</w:t>
      </w:r>
      <w:r w:rsidRPr="00E53D2C">
        <w:rPr>
          <w:vertAlign w:val="superscript"/>
        </w:rPr>
        <w:t>er</w:t>
      </w:r>
      <w:r w:rsidRPr="00E53D2C">
        <w:t xml:space="preserve"> à 16 de la Convention, notamment au regard </w:t>
      </w:r>
      <w:r w:rsidRPr="00E53D2C">
        <w:br/>
        <w:t>des précédentes recommandations du Comité</w:t>
      </w:r>
    </w:p>
    <w:p w:rsidR="0008628C" w:rsidRPr="00E53D2C" w:rsidRDefault="0008628C" w:rsidP="0008628C">
      <w:pPr>
        <w:pStyle w:val="H23G"/>
      </w:pPr>
      <w:r w:rsidRPr="00E53D2C">
        <w:rPr>
          <w:rFonts w:eastAsia="Times New Roman"/>
        </w:rPr>
        <w:tab/>
      </w:r>
      <w:r w:rsidRPr="00E53D2C">
        <w:rPr>
          <w:rFonts w:eastAsia="Times New Roman"/>
        </w:rPr>
        <w:tab/>
      </w:r>
      <w:r w:rsidRPr="00E53D2C">
        <w:t>Renseignements sur la suite donnée à certaines des recommandations figurant dans</w:t>
      </w:r>
      <w:r w:rsidR="008964ED">
        <w:t> </w:t>
      </w:r>
      <w:r w:rsidRPr="00E53D2C">
        <w:t>les précédentes observations finales</w:t>
      </w:r>
    </w:p>
    <w:p w:rsidR="0008628C" w:rsidRPr="00E53D2C" w:rsidRDefault="0008628C" w:rsidP="0008628C">
      <w:pPr>
        <w:pStyle w:val="SingleTxtG"/>
      </w:pPr>
      <w:r w:rsidRPr="00E53D2C">
        <w:t>1.</w:t>
      </w:r>
      <w:r w:rsidRPr="00E53D2C">
        <w:tab/>
        <w:t>Dans ses précédentes observations finales (CAT/C/IRL/CO/2, par.</w:t>
      </w:r>
      <w:r>
        <w:t> </w:t>
      </w:r>
      <w:r w:rsidRPr="00E53D2C">
        <w:t>37)</w:t>
      </w:r>
      <w:r w:rsidRPr="00864417">
        <w:rPr>
          <w:rStyle w:val="Appelnotedebasdep"/>
        </w:rPr>
        <w:footnoteReference w:id="3"/>
      </w:r>
      <w:r w:rsidRPr="00E53D2C">
        <w:t>, le Comité a demandé à l</w:t>
      </w:r>
      <w:r>
        <w:t>’</w:t>
      </w:r>
      <w:r w:rsidRPr="00E53D2C">
        <w:t xml:space="preserve">État partie de lui fournir des renseignements sur la suite donnée aux </w:t>
      </w:r>
      <w:r w:rsidRPr="00EC2366">
        <w:t>recommandations ci-après, qui concernent certains points suscitant des préoccupations particu</w:t>
      </w:r>
      <w:r w:rsidRPr="00E53D2C">
        <w:t>lières</w:t>
      </w:r>
      <w:r>
        <w:t>, évoqués aux paragraphes 8, 20 et 26 des observations finales</w:t>
      </w:r>
      <w:r w:rsidRPr="00E53D2C">
        <w:t> : ratifier le Protocole facultatif se rapportant à la Convention ; renforcer l</w:t>
      </w:r>
      <w:r>
        <w:t>’</w:t>
      </w:r>
      <w:r w:rsidRPr="00E53D2C">
        <w:t>indépendance de la Commission du Médiateur de la Garda Síochána</w:t>
      </w:r>
      <w:r>
        <w:t> </w:t>
      </w:r>
      <w:r w:rsidRPr="00E53D2C">
        <w:t>; enquêter sur les allégations de mauvais traitements infligés à des femmes dans les blanchisseries de la Madeleine</w:t>
      </w:r>
      <w:r>
        <w:t xml:space="preserve"> et</w:t>
      </w:r>
      <w:r w:rsidRPr="00E53D2C">
        <w:t xml:space="preserve"> veiller à ce que toutes les victimes de mauvais traitements qui ont travaillé dans les blanchisseries de la Madeleine obtiennent réparation. Le Comité prend note avec satisfaction de la réponse de l</w:t>
      </w:r>
      <w:r>
        <w:t>’</w:t>
      </w:r>
      <w:r w:rsidRPr="00E53D2C">
        <w:t>État partie sur ces points et d</w:t>
      </w:r>
      <w:r>
        <w:t>’</w:t>
      </w:r>
      <w:r w:rsidRPr="00E53D2C">
        <w:t>autres questions abordées dans ses observations finales, ainsi que des informations concrètes que l</w:t>
      </w:r>
      <w:r>
        <w:t>’</w:t>
      </w:r>
      <w:r w:rsidRPr="00E53D2C">
        <w:t>État partie lui a fournies au titre du suivi le</w:t>
      </w:r>
      <w:r>
        <w:t> </w:t>
      </w:r>
      <w:r w:rsidRPr="00E53D2C">
        <w:t>9 août 2018 (CAT/C/IRL/CO/2/Add.1). Il</w:t>
      </w:r>
      <w:r w:rsidR="008964ED">
        <w:t xml:space="preserve"> </w:t>
      </w:r>
      <w:r w:rsidRPr="00E53D2C">
        <w:t>considère que les recommandations formulées aux paragraphes</w:t>
      </w:r>
      <w:r w:rsidR="008964ED">
        <w:t xml:space="preserve"> </w:t>
      </w:r>
      <w:r>
        <w:t>susmentionnés</w:t>
      </w:r>
      <w:r w:rsidRPr="00E53D2C">
        <w:t xml:space="preserve"> de ses observations finales ont été partiellement mises en œuvre (voir les paragraphes </w:t>
      </w:r>
      <w:r w:rsidRPr="006E385F">
        <w:t>10</w:t>
      </w:r>
      <w:r>
        <w:t> </w:t>
      </w:r>
      <w:r w:rsidRPr="006E385F">
        <w:t>a), 12</w:t>
      </w:r>
      <w:r w:rsidR="008964ED">
        <w:t> </w:t>
      </w:r>
      <w:r w:rsidRPr="006E385F">
        <w:t>c), 13</w:t>
      </w:r>
      <w:r w:rsidR="008964ED">
        <w:t> </w:t>
      </w:r>
      <w:r w:rsidRPr="006E385F">
        <w:t>a)</w:t>
      </w:r>
      <w:r>
        <w:t xml:space="preserve"> à </w:t>
      </w:r>
      <w:r w:rsidRPr="006E385F">
        <w:t xml:space="preserve">c) </w:t>
      </w:r>
      <w:r>
        <w:t>et</w:t>
      </w:r>
      <w:r w:rsidRPr="006E385F">
        <w:t xml:space="preserve"> 14</w:t>
      </w:r>
      <w:r>
        <w:t> </w:t>
      </w:r>
      <w:r w:rsidRPr="006E385F">
        <w:t xml:space="preserve">a) </w:t>
      </w:r>
      <w:r>
        <w:t>et</w:t>
      </w:r>
      <w:r w:rsidRPr="006E385F">
        <w:t xml:space="preserve"> b) </w:t>
      </w:r>
      <w:r w:rsidRPr="00E53D2C">
        <w:t>du présent document).</w:t>
      </w:r>
    </w:p>
    <w:p w:rsidR="0008628C" w:rsidRPr="00E53D2C" w:rsidRDefault="0008628C" w:rsidP="0008628C">
      <w:pPr>
        <w:pStyle w:val="H23G"/>
      </w:pPr>
      <w:r w:rsidRPr="00E53D2C">
        <w:tab/>
      </w:r>
      <w:r w:rsidRPr="00E53D2C">
        <w:tab/>
        <w:t>Article</w:t>
      </w:r>
      <w:r>
        <w:t> </w:t>
      </w:r>
      <w:r w:rsidRPr="00E53D2C">
        <w:t>2</w:t>
      </w:r>
      <w:r w:rsidRPr="0008628C">
        <w:rPr>
          <w:rStyle w:val="Appelnotedebasdep"/>
          <w:b w:val="0"/>
          <w:bCs/>
        </w:rPr>
        <w:footnoteReference w:id="4"/>
      </w:r>
    </w:p>
    <w:p w:rsidR="0008628C" w:rsidRPr="00E53D2C" w:rsidRDefault="0008628C" w:rsidP="0008628C">
      <w:pPr>
        <w:pStyle w:val="SingleTxtG"/>
      </w:pPr>
      <w:r w:rsidRPr="00E53D2C">
        <w:t>2.</w:t>
      </w:r>
      <w:r w:rsidRPr="00E53D2C">
        <w:tab/>
        <w:t>Eu égard aux précédentes observations finales du Comité (par.</w:t>
      </w:r>
      <w:r>
        <w:t> </w:t>
      </w:r>
      <w:r w:rsidRPr="00E53D2C">
        <w:t>9 et 10), donner des renseignements sur :</w:t>
      </w:r>
    </w:p>
    <w:p w:rsidR="0008628C" w:rsidRPr="00E53D2C" w:rsidRDefault="0008628C" w:rsidP="0008628C">
      <w:pPr>
        <w:pStyle w:val="SingleTxtG"/>
        <w:ind w:firstLine="567"/>
      </w:pPr>
      <w:r w:rsidRPr="00E53D2C">
        <w:t>a)</w:t>
      </w:r>
      <w:r w:rsidRPr="00E53D2C">
        <w:tab/>
        <w:t>L</w:t>
      </w:r>
      <w:r>
        <w:t>’</w:t>
      </w:r>
      <w:r w:rsidRPr="00E53D2C">
        <w:t>entrée en vigueur de l</w:t>
      </w:r>
      <w:r>
        <w:t>’</w:t>
      </w:r>
      <w:r w:rsidRPr="00E53D2C">
        <w:t>article</w:t>
      </w:r>
      <w:r>
        <w:t> </w:t>
      </w:r>
      <w:r w:rsidRPr="00E53D2C">
        <w:t>9 de la loi relative à la justice pénale, qui vise à garantir que toutes les personnes privées de liberté par la Garda</w:t>
      </w:r>
      <w:r>
        <w:t>i</w:t>
      </w:r>
      <w:r w:rsidRPr="00E53D2C">
        <w:t xml:space="preserve"> (police) jouissent, en </w:t>
      </w:r>
      <w:r w:rsidRPr="00E53D2C">
        <w:lastRenderedPageBreak/>
        <w:t>droit et en pratique, du droit de bénéficier rapidement des services d</w:t>
      </w:r>
      <w:r>
        <w:t>’</w:t>
      </w:r>
      <w:r w:rsidRPr="00E53D2C">
        <w:t>un avocat, y</w:t>
      </w:r>
      <w:r w:rsidR="00871415">
        <w:t> </w:t>
      </w:r>
      <w:r w:rsidRPr="00E53D2C">
        <w:t>compris pendant leur audition initiale et les interrogatoires, dès le moment de leur arrestation ; dans ce contexte, commenter la décision rendue par la Cour suprême en l</w:t>
      </w:r>
      <w:r>
        <w:t>’</w:t>
      </w:r>
      <w:r w:rsidRPr="00E53D2C">
        <w:t xml:space="preserve">affaire </w:t>
      </w:r>
      <w:r w:rsidRPr="00E53D2C">
        <w:rPr>
          <w:i/>
        </w:rPr>
        <w:t>DPP v. Doyle </w:t>
      </w:r>
      <w:r w:rsidRPr="00E53D2C">
        <w:t>;</w:t>
      </w:r>
    </w:p>
    <w:p w:rsidR="0008628C" w:rsidRPr="00E53D2C" w:rsidRDefault="0008628C" w:rsidP="0008628C">
      <w:pPr>
        <w:pStyle w:val="SingleTxtG"/>
        <w:ind w:firstLine="567"/>
      </w:pPr>
      <w:r w:rsidRPr="00E53D2C">
        <w:t>b)</w:t>
      </w:r>
      <w:r w:rsidRPr="00E53D2C">
        <w:tab/>
        <w:t>L</w:t>
      </w:r>
      <w:r>
        <w:t>’</w:t>
      </w:r>
      <w:r w:rsidRPr="00E53D2C">
        <w:t>état d</w:t>
      </w:r>
      <w:r>
        <w:t>’</w:t>
      </w:r>
      <w:r w:rsidRPr="00E53D2C">
        <w:t>avancement du projet de loi relatif à l</w:t>
      </w:r>
      <w:r>
        <w:t>’</w:t>
      </w:r>
      <w:r w:rsidRPr="00E53D2C">
        <w:t>inspection des lieux de détention et l</w:t>
      </w:r>
      <w:r>
        <w:t>’</w:t>
      </w:r>
      <w:r w:rsidRPr="00E53D2C">
        <w:t>adoption de toute autre loi établissant un organe indépendant chargé d</w:t>
      </w:r>
      <w:r>
        <w:t>’</w:t>
      </w:r>
      <w:r w:rsidRPr="00E53D2C">
        <w:t>inspecter les postes de police et de vérifier que la police respecte toutes les garanties fondamentales contre la torture dont doivent bénéficier les personnes privées de liberté, y compris l</w:t>
      </w:r>
      <w:r>
        <w:t>’</w:t>
      </w:r>
      <w:r w:rsidRPr="00E53D2C">
        <w:t>accès rapide aux services d</w:t>
      </w:r>
      <w:r>
        <w:t>’</w:t>
      </w:r>
      <w:r w:rsidRPr="00E53D2C">
        <w:t>un avocat ;</w:t>
      </w:r>
    </w:p>
    <w:p w:rsidR="0008628C" w:rsidRPr="00E53D2C" w:rsidRDefault="0008628C" w:rsidP="0008628C">
      <w:pPr>
        <w:pStyle w:val="SingleTxtG"/>
        <w:ind w:firstLine="567"/>
      </w:pPr>
      <w:r w:rsidRPr="00E53D2C">
        <w:t>c)</w:t>
      </w:r>
      <w:r w:rsidRPr="00E53D2C">
        <w:tab/>
        <w:t>Les mesures prises pour que soient tenus des registres de garde à vue fiables regroupés dans un fichier centralisé, et l</w:t>
      </w:r>
      <w:r>
        <w:t>’</w:t>
      </w:r>
      <w:r w:rsidRPr="00E53D2C">
        <w:t>utilisation d</w:t>
      </w:r>
      <w:r>
        <w:t>’</w:t>
      </w:r>
      <w:r w:rsidRPr="00E53D2C">
        <w:t>un système de surveillance en circuit fermé des salles d</w:t>
      </w:r>
      <w:r>
        <w:t>’</w:t>
      </w:r>
      <w:r w:rsidRPr="00E53D2C">
        <w:t>interrogatoire et des geôles ;</w:t>
      </w:r>
    </w:p>
    <w:p w:rsidR="0008628C" w:rsidRPr="00871415" w:rsidRDefault="0008628C" w:rsidP="0008628C">
      <w:pPr>
        <w:pStyle w:val="SingleTxtG"/>
        <w:ind w:firstLine="567"/>
        <w:rPr>
          <w:spacing w:val="1"/>
        </w:rPr>
      </w:pPr>
      <w:r w:rsidRPr="00871415">
        <w:rPr>
          <w:spacing w:val="1"/>
        </w:rPr>
        <w:t>d)</w:t>
      </w:r>
      <w:r w:rsidRPr="00871415">
        <w:rPr>
          <w:spacing w:val="1"/>
        </w:rPr>
        <w:tab/>
        <w:t>Le contrôle, par les autorités, du respect des garanties fondamentales prévues par la loi, et les cas dans lesquels des fonctionnaires ont fait l’objet, au cours de la période considérée, de mesures disciplinaires ou de poursuites pour n’avoir pas respecté les droits de détenus.</w:t>
      </w:r>
    </w:p>
    <w:p w:rsidR="0008628C" w:rsidRPr="00E53D2C" w:rsidRDefault="0008628C" w:rsidP="0008628C">
      <w:pPr>
        <w:pStyle w:val="SingleTxtG"/>
        <w:rPr>
          <w:rFonts w:eastAsia="Times New Roman"/>
        </w:rPr>
      </w:pPr>
      <w:r w:rsidRPr="00E53D2C">
        <w:rPr>
          <w:rFonts w:eastAsia="Times New Roman"/>
        </w:rPr>
        <w:t>3.</w:t>
      </w:r>
      <w:r w:rsidRPr="00E53D2C">
        <w:rPr>
          <w:rFonts w:eastAsia="Times New Roman"/>
        </w:rPr>
        <w:tab/>
        <w:t>Eu égard aux précédentes observations finales du Comité (par. 7 et 8) et aux informations communiquées par l</w:t>
      </w:r>
      <w:r>
        <w:rPr>
          <w:rFonts w:eastAsia="Times New Roman"/>
        </w:rPr>
        <w:t>’</w:t>
      </w:r>
      <w:r w:rsidRPr="00E53D2C">
        <w:rPr>
          <w:rFonts w:eastAsia="Times New Roman"/>
        </w:rPr>
        <w:t>État partie au titre du suivi, indiquer :</w:t>
      </w:r>
    </w:p>
    <w:p w:rsidR="0008628C" w:rsidRPr="00E53D2C" w:rsidRDefault="0008628C" w:rsidP="0008628C">
      <w:pPr>
        <w:pStyle w:val="SingleTxtG"/>
        <w:ind w:firstLine="567"/>
        <w:rPr>
          <w:iCs/>
        </w:rPr>
      </w:pPr>
      <w:r w:rsidRPr="00E53D2C">
        <w:rPr>
          <w:iCs/>
        </w:rPr>
        <w:t>a)</w:t>
      </w:r>
      <w:r w:rsidRPr="00E53D2C">
        <w:rPr>
          <w:iCs/>
        </w:rPr>
        <w:tab/>
        <w:t>Quelle a été l</w:t>
      </w:r>
      <w:r>
        <w:rPr>
          <w:iCs/>
        </w:rPr>
        <w:t>’</w:t>
      </w:r>
      <w:r w:rsidRPr="00E53D2C">
        <w:rPr>
          <w:iCs/>
        </w:rPr>
        <w:t>issue des discussions que le Ministère de la justice et de l</w:t>
      </w:r>
      <w:r>
        <w:rPr>
          <w:iCs/>
        </w:rPr>
        <w:t>’</w:t>
      </w:r>
      <w:r w:rsidRPr="00E53D2C">
        <w:rPr>
          <w:iCs/>
        </w:rPr>
        <w:t>égalité a engagées avec la Commission irlandaise des droits de l</w:t>
      </w:r>
      <w:r>
        <w:rPr>
          <w:iCs/>
        </w:rPr>
        <w:t>’</w:t>
      </w:r>
      <w:r w:rsidRPr="00E53D2C">
        <w:rPr>
          <w:iCs/>
        </w:rPr>
        <w:t>homme et de l</w:t>
      </w:r>
      <w:r>
        <w:rPr>
          <w:iCs/>
        </w:rPr>
        <w:t>’</w:t>
      </w:r>
      <w:r w:rsidRPr="00E53D2C">
        <w:rPr>
          <w:iCs/>
        </w:rPr>
        <w:t xml:space="preserve">égalité, le </w:t>
      </w:r>
      <w:r w:rsidRPr="0008628C">
        <w:rPr>
          <w:iCs/>
          <w:spacing w:val="-2"/>
        </w:rPr>
        <w:t>Human Rights Implementation Centre et d’autres parties prenantes (CAT/C/IRL/CO/2/Add.1,</w:t>
      </w:r>
      <w:r w:rsidRPr="00705A30">
        <w:rPr>
          <w:iCs/>
        </w:rPr>
        <w:t xml:space="preserve"> par.</w:t>
      </w:r>
      <w:r>
        <w:rPr>
          <w:iCs/>
        </w:rPr>
        <w:t> </w:t>
      </w:r>
      <w:r w:rsidRPr="00705A30">
        <w:rPr>
          <w:iCs/>
        </w:rPr>
        <w:t>4</w:t>
      </w:r>
      <w:r>
        <w:rPr>
          <w:iCs/>
        </w:rPr>
        <w:t xml:space="preserve"> à </w:t>
      </w:r>
      <w:r w:rsidRPr="00705A30">
        <w:rPr>
          <w:iCs/>
        </w:rPr>
        <w:t>9)</w:t>
      </w:r>
      <w:r w:rsidRPr="00E53D2C">
        <w:rPr>
          <w:iCs/>
        </w:rPr>
        <w:t xml:space="preserve"> et qui devaient s</w:t>
      </w:r>
      <w:r>
        <w:rPr>
          <w:iCs/>
        </w:rPr>
        <w:t>’</w:t>
      </w:r>
      <w:r w:rsidRPr="00E53D2C">
        <w:rPr>
          <w:iCs/>
        </w:rPr>
        <w:t>achever en mai 2018 ;</w:t>
      </w:r>
    </w:p>
    <w:p w:rsidR="0008628C" w:rsidRPr="00E53D2C" w:rsidRDefault="0008628C" w:rsidP="0008628C">
      <w:pPr>
        <w:pStyle w:val="SingleTxtG"/>
        <w:ind w:firstLine="567"/>
        <w:rPr>
          <w:iCs/>
        </w:rPr>
      </w:pPr>
      <w:r w:rsidRPr="00E53D2C">
        <w:rPr>
          <w:iCs/>
        </w:rPr>
        <w:t>b)</w:t>
      </w:r>
      <w:r w:rsidRPr="00E53D2C">
        <w:rPr>
          <w:iCs/>
        </w:rPr>
        <w:tab/>
        <w:t>Quelle est la probabilité que l</w:t>
      </w:r>
      <w:r>
        <w:rPr>
          <w:iCs/>
        </w:rPr>
        <w:t>’</w:t>
      </w:r>
      <w:r w:rsidRPr="00E53D2C">
        <w:rPr>
          <w:iCs/>
        </w:rPr>
        <w:t>État partie ratifie le Protocole facultatif se rapportant à la Convention treize ans après l</w:t>
      </w:r>
      <w:r>
        <w:rPr>
          <w:iCs/>
        </w:rPr>
        <w:t>’</w:t>
      </w:r>
      <w:r w:rsidRPr="00E53D2C">
        <w:rPr>
          <w:iCs/>
        </w:rPr>
        <w:t>avoir signé et ce qui en est de la création d</w:t>
      </w:r>
      <w:r>
        <w:rPr>
          <w:iCs/>
        </w:rPr>
        <w:t>’</w:t>
      </w:r>
      <w:r w:rsidRPr="00E53D2C">
        <w:rPr>
          <w:iCs/>
        </w:rPr>
        <w:t>un mécanisme national de prévention ;</w:t>
      </w:r>
    </w:p>
    <w:p w:rsidR="0008628C" w:rsidRPr="00E53D2C" w:rsidRDefault="0008628C" w:rsidP="0008628C">
      <w:pPr>
        <w:pStyle w:val="SingleTxtG"/>
        <w:ind w:firstLine="567"/>
        <w:rPr>
          <w:iCs/>
        </w:rPr>
      </w:pPr>
      <w:r w:rsidRPr="00E53D2C">
        <w:rPr>
          <w:iCs/>
        </w:rPr>
        <w:t>c)</w:t>
      </w:r>
      <w:r w:rsidRPr="00E53D2C">
        <w:rPr>
          <w:iCs/>
        </w:rPr>
        <w:tab/>
        <w:t>Si les organes existants ayant compétence pour surveiller les lieux de privation de liberté, tels que l</w:t>
      </w:r>
      <w:r>
        <w:rPr>
          <w:iCs/>
        </w:rPr>
        <w:t>’</w:t>
      </w:r>
      <w:r w:rsidRPr="00E53D2C">
        <w:rPr>
          <w:iCs/>
        </w:rPr>
        <w:t>Inspecteur des prisons, les Comités d</w:t>
      </w:r>
      <w:r>
        <w:rPr>
          <w:iCs/>
        </w:rPr>
        <w:t>’</w:t>
      </w:r>
      <w:r w:rsidRPr="00E53D2C">
        <w:rPr>
          <w:iCs/>
        </w:rPr>
        <w:t>inspection pénitentiaire, l</w:t>
      </w:r>
      <w:r>
        <w:rPr>
          <w:iCs/>
        </w:rPr>
        <w:t>’</w:t>
      </w:r>
      <w:r w:rsidRPr="00E53D2C">
        <w:rPr>
          <w:iCs/>
        </w:rPr>
        <w:t>Autorité de l</w:t>
      </w:r>
      <w:r>
        <w:rPr>
          <w:iCs/>
        </w:rPr>
        <w:t>’</w:t>
      </w:r>
      <w:r w:rsidRPr="00E53D2C">
        <w:rPr>
          <w:iCs/>
        </w:rPr>
        <w:t>information sanitaire et de la qualité des services de santé et l</w:t>
      </w:r>
      <w:r>
        <w:rPr>
          <w:iCs/>
        </w:rPr>
        <w:t>’</w:t>
      </w:r>
      <w:r w:rsidRPr="00E53D2C">
        <w:rPr>
          <w:iCs/>
        </w:rPr>
        <w:t>Inspecteur des services de santé mentale, ont accès à tous ces lieux, y</w:t>
      </w:r>
      <w:r>
        <w:rPr>
          <w:iCs/>
        </w:rPr>
        <w:t> </w:t>
      </w:r>
      <w:r w:rsidRPr="00E53D2C">
        <w:rPr>
          <w:iCs/>
        </w:rPr>
        <w:t>compris aux postes de la Garda, aux institutions pour personnes handicapées, aux établissements médicalisés pour personnes âgées et aux autres structures d</w:t>
      </w:r>
      <w:r>
        <w:rPr>
          <w:iCs/>
        </w:rPr>
        <w:t>’</w:t>
      </w:r>
      <w:r w:rsidRPr="00E53D2C">
        <w:rPr>
          <w:iCs/>
        </w:rPr>
        <w:t>accueil ; indiquer également si l</w:t>
      </w:r>
      <w:r>
        <w:rPr>
          <w:iCs/>
        </w:rPr>
        <w:t>’</w:t>
      </w:r>
      <w:r w:rsidRPr="00E53D2C">
        <w:rPr>
          <w:iCs/>
        </w:rPr>
        <w:t>Inspecteur des prisons s</w:t>
      </w:r>
      <w:r>
        <w:rPr>
          <w:iCs/>
        </w:rPr>
        <w:t>’</w:t>
      </w:r>
      <w:r w:rsidRPr="00E53D2C">
        <w:rPr>
          <w:iCs/>
        </w:rPr>
        <w:t>est rendu dans tous les établissements pénitentiaires d</w:t>
      </w:r>
      <w:r>
        <w:rPr>
          <w:iCs/>
        </w:rPr>
        <w:t>’</w:t>
      </w:r>
      <w:r w:rsidRPr="00E53D2C">
        <w:rPr>
          <w:iCs/>
        </w:rPr>
        <w:t>Irlande au cours de la période considérée et s</w:t>
      </w:r>
      <w:r>
        <w:rPr>
          <w:iCs/>
        </w:rPr>
        <w:t>’</w:t>
      </w:r>
      <w:r w:rsidRPr="00E53D2C">
        <w:rPr>
          <w:iCs/>
        </w:rPr>
        <w:t>il a publié des rapports de surveillance ;</w:t>
      </w:r>
    </w:p>
    <w:p w:rsidR="0008628C" w:rsidRPr="00E53D2C" w:rsidRDefault="0008628C" w:rsidP="0008628C">
      <w:pPr>
        <w:pStyle w:val="SingleTxtG"/>
        <w:ind w:firstLine="567"/>
        <w:rPr>
          <w:iCs/>
        </w:rPr>
      </w:pPr>
      <w:r w:rsidRPr="00E53D2C">
        <w:rPr>
          <w:iCs/>
        </w:rPr>
        <w:t>d)</w:t>
      </w:r>
      <w:r w:rsidRPr="00E53D2C">
        <w:rPr>
          <w:iCs/>
        </w:rPr>
        <w:tab/>
        <w:t>Si les organisations de la société civile sont, elles aussi, autorisées à effectuer des visites inopinées dans tous les lieux de privation de liberté, si elles publient des rapports et si leurs recommandations sont mises en œuvre par l</w:t>
      </w:r>
      <w:r>
        <w:rPr>
          <w:iCs/>
        </w:rPr>
        <w:t>’</w:t>
      </w:r>
      <w:r w:rsidRPr="00E53D2C">
        <w:rPr>
          <w:iCs/>
        </w:rPr>
        <w:t>État partie.</w:t>
      </w:r>
    </w:p>
    <w:p w:rsidR="0008628C" w:rsidRPr="00E53D2C" w:rsidRDefault="0008628C" w:rsidP="0008628C">
      <w:pPr>
        <w:pStyle w:val="SingleTxtG"/>
      </w:pPr>
      <w:r w:rsidRPr="00E53D2C">
        <w:t>4.</w:t>
      </w:r>
      <w:r w:rsidRPr="00E53D2C">
        <w:tab/>
        <w:t>Eu égard aux précédentes observations finales du Comité (par. 31 et 32) et aux informations communiquées par l</w:t>
      </w:r>
      <w:r>
        <w:t>’</w:t>
      </w:r>
      <w:r w:rsidRPr="00E53D2C">
        <w:t>État partie au titre du suivi, indiquer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Tout</w:t>
      </w:r>
      <w:r>
        <w:rPr>
          <w:rFonts w:eastAsia="Times New Roman"/>
        </w:rPr>
        <w:t>e proposition de modification de la</w:t>
      </w:r>
      <w:r w:rsidRPr="00E53D2C">
        <w:rPr>
          <w:rFonts w:eastAsia="Times New Roman"/>
        </w:rPr>
        <w:t xml:space="preserve"> loi</w:t>
      </w:r>
      <w:r>
        <w:rPr>
          <w:rFonts w:eastAsia="Times New Roman"/>
        </w:rPr>
        <w:t xml:space="preserve"> de 2018</w:t>
      </w:r>
      <w:r w:rsidRPr="00E53D2C">
        <w:rPr>
          <w:rFonts w:eastAsia="Times New Roman"/>
        </w:rPr>
        <w:t xml:space="preserve"> sur la violence familiale </w:t>
      </w:r>
      <w:r>
        <w:rPr>
          <w:rFonts w:eastAsia="Times New Roman"/>
        </w:rPr>
        <w:t>qui</w:t>
      </w:r>
      <w:r w:rsidRPr="00E53D2C">
        <w:rPr>
          <w:rFonts w:eastAsia="Times New Roman"/>
        </w:rPr>
        <w:t xml:space="preserve"> </w:t>
      </w:r>
      <w:r w:rsidRPr="0008628C">
        <w:t>érigerait</w:t>
      </w:r>
      <w:r w:rsidRPr="00E53D2C">
        <w:rPr>
          <w:rFonts w:eastAsia="Times New Roman"/>
        </w:rPr>
        <w:t xml:space="preserve"> en infraction pénale </w:t>
      </w:r>
      <w:r>
        <w:rPr>
          <w:rFonts w:eastAsia="Times New Roman"/>
        </w:rPr>
        <w:t xml:space="preserve">distincte </w:t>
      </w:r>
      <w:r w:rsidRPr="00E53D2C">
        <w:rPr>
          <w:rFonts w:eastAsia="Times New Roman"/>
        </w:rPr>
        <w:t>les actes de violence physique et psychologique commis au sein du couple ou pour exempter les personnes admissibles au bénéfice de l</w:t>
      </w:r>
      <w:r>
        <w:rPr>
          <w:rFonts w:eastAsia="Times New Roman"/>
        </w:rPr>
        <w:t>’</w:t>
      </w:r>
      <w:r w:rsidRPr="00E53D2C">
        <w:rPr>
          <w:rFonts w:eastAsia="Times New Roman"/>
        </w:rPr>
        <w:t>aide juridictionnelle de la partie des frais de justice restant à leur charge si elles n</w:t>
      </w:r>
      <w:r>
        <w:rPr>
          <w:rFonts w:eastAsia="Times New Roman"/>
        </w:rPr>
        <w:t>’</w:t>
      </w:r>
      <w:r w:rsidRPr="00E53D2C">
        <w:rPr>
          <w:rFonts w:eastAsia="Times New Roman"/>
        </w:rPr>
        <w:t>ont pas les moyens de s</w:t>
      </w:r>
      <w:r>
        <w:rPr>
          <w:rFonts w:eastAsia="Times New Roman"/>
        </w:rPr>
        <w:t>’</w:t>
      </w:r>
      <w:r w:rsidRPr="00E53D2C">
        <w:rPr>
          <w:rFonts w:eastAsia="Times New Roman"/>
        </w:rPr>
        <w:t xml:space="preserve">en acquitter ; fournir aussi des renseignements sur la suite donnée au rapport </w:t>
      </w:r>
      <w:r w:rsidRPr="008964ED">
        <w:rPr>
          <w:rFonts w:eastAsia="Times New Roman"/>
          <w:i/>
          <w:iCs/>
        </w:rPr>
        <w:t>Unheard and Uncounted : Women, Domestic Abuse and the Irish Criminal Justice System</w:t>
      </w:r>
      <w:r w:rsidRPr="00E53D2C">
        <w:rPr>
          <w:rFonts w:eastAsia="Times New Roman"/>
        </w:rPr>
        <w:t xml:space="preserve"> (</w:t>
      </w:r>
      <w:r w:rsidR="008964ED">
        <w:rPr>
          <w:rFonts w:eastAsia="Times New Roman"/>
        </w:rPr>
        <w:t>« </w:t>
      </w:r>
      <w:r>
        <w:rPr>
          <w:rFonts w:eastAsia="Times New Roman"/>
        </w:rPr>
        <w:t xml:space="preserve">Non entendues et non comptées : </w:t>
      </w:r>
      <w:r w:rsidRPr="00E53D2C">
        <w:rPr>
          <w:rFonts w:eastAsia="Times New Roman"/>
        </w:rPr>
        <w:t>Les femmes, la violence familiale et le système irlandais de justice pénale</w:t>
      </w:r>
      <w:r w:rsidR="008964ED">
        <w:rPr>
          <w:rFonts w:eastAsia="Times New Roman"/>
        </w:rPr>
        <w:t> »</w:t>
      </w:r>
      <w:r w:rsidRPr="00E53D2C">
        <w:rPr>
          <w:rFonts w:eastAsia="Times New Roman"/>
        </w:rPr>
        <w:t>), publié par Women</w:t>
      </w:r>
      <w:r>
        <w:rPr>
          <w:rFonts w:eastAsia="Times New Roman"/>
        </w:rPr>
        <w:t>’</w:t>
      </w:r>
      <w:r w:rsidRPr="00E53D2C">
        <w:rPr>
          <w:rFonts w:eastAsia="Times New Roman"/>
        </w:rPr>
        <w:t>s Aid en 2019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Si les fonds alloués par l</w:t>
      </w:r>
      <w:r>
        <w:rPr>
          <w:rFonts w:eastAsia="Times New Roman"/>
        </w:rPr>
        <w:t>’</w:t>
      </w:r>
      <w:r w:rsidRPr="00E53D2C">
        <w:rPr>
          <w:rFonts w:eastAsia="Times New Roman"/>
        </w:rPr>
        <w:t>État aux services de lutte contre la violence familiale et la violence fondée sur le genre sont suffisants pour répondre aux besoins de toutes les victimes de ces infractions, notamment pour créer des mécanismes interinstitutionnels chargés d</w:t>
      </w:r>
      <w:r>
        <w:rPr>
          <w:rFonts w:eastAsia="Times New Roman"/>
        </w:rPr>
        <w:t>’</w:t>
      </w:r>
      <w:r w:rsidRPr="00E53D2C">
        <w:rPr>
          <w:rFonts w:eastAsia="Times New Roman"/>
        </w:rPr>
        <w:t>examiner les cas d</w:t>
      </w:r>
      <w:r>
        <w:rPr>
          <w:rFonts w:eastAsia="Times New Roman"/>
        </w:rPr>
        <w:t>’</w:t>
      </w:r>
      <w:r w:rsidRPr="00E53D2C">
        <w:rPr>
          <w:rFonts w:eastAsia="Times New Roman"/>
        </w:rPr>
        <w:t>homicides familiaux et pour faire en sorte que les victimes aient accès à des soins médicaux, une aide juridique, un accompagnement psychologique et des solutions d</w:t>
      </w:r>
      <w:r>
        <w:rPr>
          <w:rFonts w:eastAsia="Times New Roman"/>
        </w:rPr>
        <w:t>’</w:t>
      </w:r>
      <w:r w:rsidRPr="00E53D2C">
        <w:rPr>
          <w:rFonts w:eastAsia="Times New Roman"/>
        </w:rPr>
        <w:t>hébergement sûres, en foyer ou en centres d</w:t>
      </w:r>
      <w:r>
        <w:rPr>
          <w:rFonts w:eastAsia="Times New Roman"/>
        </w:rPr>
        <w:t>’</w:t>
      </w:r>
      <w:r w:rsidRPr="00E53D2C">
        <w:rPr>
          <w:rFonts w:eastAsia="Times New Roman"/>
        </w:rPr>
        <w:t xml:space="preserve">accueil </w:t>
      </w:r>
      <w:r w:rsidRPr="00AE68FE">
        <w:rPr>
          <w:rFonts w:eastAsia="Times New Roman"/>
        </w:rPr>
        <w:t>d</w:t>
      </w:r>
      <w:r>
        <w:rPr>
          <w:rFonts w:eastAsia="Times New Roman"/>
        </w:rPr>
        <w:t>’</w:t>
      </w:r>
      <w:r w:rsidRPr="00AE68FE">
        <w:rPr>
          <w:rFonts w:eastAsia="Times New Roman"/>
        </w:rPr>
        <w:t>urgence, et puissent obtenir réparation en justice sans être injustement traitées</w:t>
      </w:r>
      <w:r w:rsidRPr="00E53D2C">
        <w:rPr>
          <w:rFonts w:eastAsia="Times New Roman"/>
        </w:rPr>
        <w:t> ; donner en outre des informations sur toutes mesures prises pour recueillir des données sur la nature et la rapidité des interventions de la police dans les cas de violence familiale, de violence sexuelle ou de violence fondée sur le genre et analyser les informations collectées ;</w:t>
      </w:r>
    </w:p>
    <w:p w:rsidR="0008628C" w:rsidRPr="00E53D2C" w:rsidRDefault="0008628C" w:rsidP="0008628C">
      <w:pPr>
        <w:pStyle w:val="SingleTxtG"/>
        <w:ind w:firstLine="567"/>
        <w:rPr>
          <w:rFonts w:eastAsia="Times New Roman"/>
          <w:sz w:val="18"/>
        </w:rPr>
      </w:pPr>
      <w:r w:rsidRPr="00E53D2C">
        <w:rPr>
          <w:rFonts w:eastAsia="Times New Roman"/>
        </w:rPr>
        <w:t>c)</w:t>
      </w:r>
      <w:r w:rsidRPr="00E53D2C">
        <w:rPr>
          <w:rFonts w:eastAsia="Times New Roman"/>
        </w:rPr>
        <w:tab/>
        <w:t>L</w:t>
      </w:r>
      <w:r>
        <w:rPr>
          <w:rFonts w:eastAsia="Times New Roman"/>
        </w:rPr>
        <w:t>’</w:t>
      </w:r>
      <w:r w:rsidRPr="00E53D2C">
        <w:rPr>
          <w:rFonts w:eastAsia="Times New Roman"/>
        </w:rPr>
        <w:t>état d</w:t>
      </w:r>
      <w:r>
        <w:rPr>
          <w:rFonts w:eastAsia="Times New Roman"/>
        </w:rPr>
        <w:t>’</w:t>
      </w:r>
      <w:r w:rsidRPr="00E53D2C">
        <w:rPr>
          <w:rFonts w:eastAsia="Times New Roman"/>
        </w:rPr>
        <w:t xml:space="preserve">avancement </w:t>
      </w:r>
      <w:r>
        <w:rPr>
          <w:rFonts w:eastAsia="Times New Roman"/>
        </w:rPr>
        <w:t>du</w:t>
      </w:r>
      <w:r w:rsidRPr="00E53D2C">
        <w:rPr>
          <w:rFonts w:eastAsia="Times New Roman"/>
        </w:rPr>
        <w:t xml:space="preserve"> recours formé devant la Cour suprême en vue de contester l</w:t>
      </w:r>
      <w:r>
        <w:rPr>
          <w:rFonts w:eastAsia="Times New Roman"/>
        </w:rPr>
        <w:t>’</w:t>
      </w:r>
      <w:r w:rsidRPr="00E53D2C">
        <w:rPr>
          <w:rFonts w:eastAsia="Times New Roman"/>
        </w:rPr>
        <w:t>issue du référendum qui s</w:t>
      </w:r>
      <w:r>
        <w:rPr>
          <w:rFonts w:eastAsia="Times New Roman"/>
        </w:rPr>
        <w:t>’</w:t>
      </w:r>
      <w:r w:rsidRPr="00E53D2C">
        <w:rPr>
          <w:rFonts w:eastAsia="Times New Roman"/>
        </w:rPr>
        <w:t>est tenu le 25</w:t>
      </w:r>
      <w:r w:rsidRPr="00E53D2C">
        <w:t> </w:t>
      </w:r>
      <w:r w:rsidRPr="00E53D2C">
        <w:rPr>
          <w:rFonts w:eastAsia="Times New Roman"/>
        </w:rPr>
        <w:t>mai 2018 et a conduit à l</w:t>
      </w:r>
      <w:r>
        <w:rPr>
          <w:rFonts w:eastAsia="Times New Roman"/>
        </w:rPr>
        <w:t>’</w:t>
      </w:r>
      <w:r w:rsidRPr="00E53D2C">
        <w:rPr>
          <w:rFonts w:eastAsia="Times New Roman"/>
        </w:rPr>
        <w:t>adoption à 66,4 % des voix du trente-sixième amendement</w:t>
      </w:r>
      <w:r>
        <w:rPr>
          <w:rFonts w:eastAsia="Times New Roman"/>
        </w:rPr>
        <w:t xml:space="preserve"> du projet de Constitution</w:t>
      </w:r>
      <w:r w:rsidRPr="00E53D2C">
        <w:rPr>
          <w:rFonts w:eastAsia="Times New Roman"/>
        </w:rPr>
        <w:t>, qui assouplit les conditions dans lesquelles l</w:t>
      </w:r>
      <w:r>
        <w:rPr>
          <w:rFonts w:eastAsia="Times New Roman"/>
        </w:rPr>
        <w:t>’</w:t>
      </w:r>
      <w:r w:rsidRPr="00E53D2C">
        <w:rPr>
          <w:rFonts w:eastAsia="Times New Roman"/>
        </w:rPr>
        <w:t>interruption de grossesse peut être légale</w:t>
      </w:r>
      <w:r>
        <w:rPr>
          <w:rFonts w:eastAsia="Times New Roman"/>
        </w:rPr>
        <w:t>, abrogeant ainsi le huitième amendement de la Constitution (à l’article 40.3.3). D</w:t>
      </w:r>
      <w:r w:rsidRPr="00E53D2C">
        <w:rPr>
          <w:rFonts w:eastAsia="Times New Roman"/>
        </w:rPr>
        <w:t xml:space="preserve">onner </w:t>
      </w:r>
      <w:r>
        <w:rPr>
          <w:rFonts w:eastAsia="Times New Roman"/>
        </w:rPr>
        <w:t xml:space="preserve">en outre </w:t>
      </w:r>
      <w:r w:rsidRPr="00E53D2C">
        <w:rPr>
          <w:rFonts w:eastAsia="Times New Roman"/>
        </w:rPr>
        <w:t xml:space="preserve">des renseignements </w:t>
      </w:r>
      <w:r>
        <w:rPr>
          <w:rFonts w:eastAsia="Times New Roman"/>
        </w:rPr>
        <w:t xml:space="preserve">à jour </w:t>
      </w:r>
      <w:r w:rsidRPr="00E53D2C">
        <w:rPr>
          <w:rFonts w:eastAsia="Times New Roman"/>
        </w:rPr>
        <w:t xml:space="preserve">sur </w:t>
      </w:r>
      <w:r>
        <w:rPr>
          <w:rFonts w:eastAsia="Times New Roman"/>
        </w:rPr>
        <w:t>la mise en œuvre</w:t>
      </w:r>
      <w:r w:rsidRPr="00E53D2C">
        <w:rPr>
          <w:rFonts w:eastAsia="Times New Roman"/>
        </w:rPr>
        <w:t xml:space="preserve"> </w:t>
      </w:r>
      <w:r>
        <w:rPr>
          <w:rFonts w:eastAsia="Times New Roman"/>
        </w:rPr>
        <w:t>de la</w:t>
      </w:r>
      <w:r w:rsidRPr="00E53D2C">
        <w:rPr>
          <w:rFonts w:eastAsia="Times New Roman"/>
        </w:rPr>
        <w:t xml:space="preserve"> loi </w:t>
      </w:r>
      <w:r>
        <w:rPr>
          <w:rFonts w:eastAsia="Times New Roman"/>
        </w:rPr>
        <w:t>de 2018 sur la</w:t>
      </w:r>
      <w:r w:rsidRPr="00E53D2C">
        <w:rPr>
          <w:rFonts w:eastAsia="Times New Roman"/>
        </w:rPr>
        <w:t xml:space="preserve"> santé (réglementation de l</w:t>
      </w:r>
      <w:r>
        <w:rPr>
          <w:rFonts w:eastAsia="Times New Roman"/>
        </w:rPr>
        <w:t>’</w:t>
      </w:r>
      <w:r w:rsidRPr="00E53D2C">
        <w:rPr>
          <w:rFonts w:eastAsia="Times New Roman"/>
        </w:rPr>
        <w:t>interruption de grossesse)</w:t>
      </w:r>
      <w:r w:rsidRPr="00C527DD">
        <w:t xml:space="preserve"> </w:t>
      </w:r>
      <w:r w:rsidRPr="00C527DD">
        <w:rPr>
          <w:rFonts w:eastAsia="Times New Roman"/>
        </w:rPr>
        <w:t>(CAT/C/IRL/CO/2/Add.1, par.</w:t>
      </w:r>
      <w:r>
        <w:rPr>
          <w:rFonts w:eastAsia="Times New Roman"/>
        </w:rPr>
        <w:t> </w:t>
      </w:r>
      <w:r w:rsidRPr="00C527DD">
        <w:rPr>
          <w:rFonts w:eastAsia="Times New Roman"/>
        </w:rPr>
        <w:t>34</w:t>
      </w:r>
      <w:r>
        <w:rPr>
          <w:rFonts w:eastAsia="Times New Roman"/>
        </w:rPr>
        <w:t xml:space="preserve"> à </w:t>
      </w:r>
      <w:r w:rsidRPr="00C527DD">
        <w:rPr>
          <w:rFonts w:eastAsia="Times New Roman"/>
        </w:rPr>
        <w:t>38)</w:t>
      </w:r>
      <w:r w:rsidRPr="00E53D2C">
        <w:rPr>
          <w:rFonts w:eastAsia="Times New Roman"/>
          <w:sz w:val="18"/>
        </w:rPr>
        <w:t> ;</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t>L</w:t>
      </w:r>
      <w:r>
        <w:rPr>
          <w:rFonts w:eastAsia="Times New Roman"/>
        </w:rPr>
        <w:t>’</w:t>
      </w:r>
      <w:r w:rsidRPr="00E53D2C">
        <w:rPr>
          <w:rFonts w:eastAsia="Times New Roman"/>
        </w:rPr>
        <w:t xml:space="preserve">état de la mise en œuvre de la </w:t>
      </w:r>
      <w:r>
        <w:rPr>
          <w:rFonts w:eastAsia="Times New Roman"/>
        </w:rPr>
        <w:t xml:space="preserve">deuxième </w:t>
      </w:r>
      <w:r w:rsidRPr="00E53D2C">
        <w:rPr>
          <w:rFonts w:eastAsia="Times New Roman"/>
        </w:rPr>
        <w:t xml:space="preserve">Stratégie nationale de lutte contre la </w:t>
      </w:r>
      <w:r w:rsidRPr="0008628C">
        <w:t>violence</w:t>
      </w:r>
      <w:r w:rsidRPr="00E53D2C">
        <w:rPr>
          <w:rFonts w:eastAsia="Times New Roman"/>
        </w:rPr>
        <w:t xml:space="preserve"> familiale, la violence sexuelle et la violence fondée sur le genre pour 2016</w:t>
      </w:r>
      <w:r w:rsidRPr="00E53D2C">
        <w:rPr>
          <w:rFonts w:eastAsia="Times New Roman"/>
        </w:rPr>
        <w:noBreakHyphen/>
        <w:t>2021, notamment les progrès accomplis s</w:t>
      </w:r>
      <w:r>
        <w:rPr>
          <w:rFonts w:eastAsia="Times New Roman"/>
        </w:rPr>
        <w:t>’</w:t>
      </w:r>
      <w:r w:rsidRPr="00E53D2C">
        <w:rPr>
          <w:rFonts w:eastAsia="Times New Roman"/>
        </w:rPr>
        <w:t>agissant de collecter des données sur l</w:t>
      </w:r>
      <w:r>
        <w:rPr>
          <w:rFonts w:eastAsia="Times New Roman"/>
        </w:rPr>
        <w:t>’</w:t>
      </w:r>
      <w:r w:rsidRPr="00E53D2C">
        <w:rPr>
          <w:rFonts w:eastAsia="Times New Roman"/>
        </w:rPr>
        <w:t>ampleur de ces violences depuis que le Bureau central de la statistique a été chargé de concevoir et de mener une nouvelle enquête nationale</w:t>
      </w:r>
      <w:r>
        <w:rPr>
          <w:rFonts w:eastAsia="Times New Roman"/>
        </w:rPr>
        <w:t xml:space="preserve"> </w:t>
      </w:r>
      <w:r w:rsidRPr="008B502E">
        <w:rPr>
          <w:rFonts w:eastAsia="Times New Roman"/>
        </w:rPr>
        <w:t>étant donné</w:t>
      </w:r>
      <w:r w:rsidRPr="00E53D2C">
        <w:rPr>
          <w:rFonts w:eastAsia="Times New Roman"/>
        </w:rPr>
        <w:t xml:space="preserve"> que les violences familiales n</w:t>
      </w:r>
      <w:r>
        <w:rPr>
          <w:rFonts w:eastAsia="Times New Roman"/>
        </w:rPr>
        <w:t>’</w:t>
      </w:r>
      <w:r w:rsidRPr="00E53D2C">
        <w:rPr>
          <w:rFonts w:eastAsia="Times New Roman"/>
        </w:rPr>
        <w:t>étaient apparemment pas toutes signalées et que, selon la Garda Síochána, le nombre d</w:t>
      </w:r>
      <w:r>
        <w:rPr>
          <w:rFonts w:eastAsia="Times New Roman"/>
        </w:rPr>
        <w:t>’</w:t>
      </w:r>
      <w:r w:rsidRPr="00E53D2C">
        <w:rPr>
          <w:rFonts w:eastAsia="Times New Roman"/>
        </w:rPr>
        <w:t>infractions sexuelles augmente depuis 2015</w:t>
      </w:r>
      <w:r>
        <w:rPr>
          <w:rFonts w:eastAsia="Times New Roman"/>
        </w:rPr>
        <w:t>.</w:t>
      </w:r>
      <w:r w:rsidRPr="00E53D2C">
        <w:rPr>
          <w:rFonts w:eastAsia="Times New Roman"/>
        </w:rPr>
        <w:t xml:space="preserve"> </w:t>
      </w:r>
      <w:r>
        <w:rPr>
          <w:rFonts w:eastAsia="Times New Roman"/>
        </w:rPr>
        <w:t>I</w:t>
      </w:r>
      <w:r w:rsidRPr="00E53D2C">
        <w:rPr>
          <w:rFonts w:eastAsia="Times New Roman"/>
        </w:rPr>
        <w:t>ndiquer également les mesures prises pour appliquer la Convention du Conseil de l</w:t>
      </w:r>
      <w:r>
        <w:rPr>
          <w:rFonts w:eastAsia="Times New Roman"/>
        </w:rPr>
        <w:t>’</w:t>
      </w:r>
      <w:r w:rsidRPr="00E53D2C">
        <w:rPr>
          <w:rFonts w:eastAsia="Times New Roman"/>
        </w:rPr>
        <w:t>Europe sur la prévention et la lutte contre la violence à l</w:t>
      </w:r>
      <w:r>
        <w:rPr>
          <w:rFonts w:eastAsia="Times New Roman"/>
        </w:rPr>
        <w:t>’</w:t>
      </w:r>
      <w:r w:rsidRPr="00E53D2C">
        <w:rPr>
          <w:rFonts w:eastAsia="Times New Roman"/>
        </w:rPr>
        <w:t>égard des femmes et la violence domestique (Convention d</w:t>
      </w:r>
      <w:r>
        <w:rPr>
          <w:rFonts w:eastAsia="Times New Roman"/>
        </w:rPr>
        <w:t>’</w:t>
      </w:r>
      <w:r w:rsidRPr="00E53D2C">
        <w:rPr>
          <w:rFonts w:eastAsia="Times New Roman"/>
        </w:rPr>
        <w:t xml:space="preserve">Istanbul), en particulier </w:t>
      </w:r>
      <w:r>
        <w:rPr>
          <w:rFonts w:eastAsia="Times New Roman"/>
        </w:rPr>
        <w:t>s</w:t>
      </w:r>
      <w:r w:rsidRPr="00E53D2C">
        <w:rPr>
          <w:rFonts w:eastAsia="Times New Roman"/>
        </w:rPr>
        <w:t>es articles</w:t>
      </w:r>
      <w:r>
        <w:rPr>
          <w:rFonts w:eastAsia="Times New Roman"/>
        </w:rPr>
        <w:t> </w:t>
      </w:r>
      <w:r w:rsidRPr="00E53D2C">
        <w:rPr>
          <w:rFonts w:eastAsia="Times New Roman"/>
        </w:rPr>
        <w:t>60 et 61.</w:t>
      </w:r>
    </w:p>
    <w:p w:rsidR="0008628C" w:rsidRPr="00E53D2C" w:rsidRDefault="0008628C" w:rsidP="0008628C">
      <w:pPr>
        <w:pStyle w:val="H23G"/>
      </w:pPr>
      <w:r w:rsidRPr="00E53D2C">
        <w:tab/>
      </w:r>
      <w:r w:rsidRPr="00E53D2C">
        <w:tab/>
        <w:t>Article</w:t>
      </w:r>
      <w:r>
        <w:t> </w:t>
      </w:r>
      <w:r w:rsidRPr="00E53D2C">
        <w:t>3</w:t>
      </w:r>
    </w:p>
    <w:p w:rsidR="0008628C" w:rsidRPr="00E53D2C" w:rsidRDefault="0008628C" w:rsidP="0008628C">
      <w:pPr>
        <w:pStyle w:val="SingleTxtG"/>
      </w:pPr>
      <w:r w:rsidRPr="00E53D2C">
        <w:t>5.</w:t>
      </w:r>
      <w:r w:rsidRPr="00E53D2C">
        <w:tab/>
        <w:t>Eu égard aux précédentes observations finales du Comité (par. 11 et 12) et aux informations communiquées par l</w:t>
      </w:r>
      <w:r>
        <w:t>’</w:t>
      </w:r>
      <w:r w:rsidRPr="00E53D2C">
        <w:t>État partie au titre du suivi, indiquer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Si les demandeurs d</w:t>
      </w:r>
      <w:r>
        <w:rPr>
          <w:rFonts w:eastAsia="Times New Roman"/>
        </w:rPr>
        <w:t>’</w:t>
      </w:r>
      <w:r w:rsidRPr="00E53D2C">
        <w:rPr>
          <w:rFonts w:eastAsia="Times New Roman"/>
        </w:rPr>
        <w:t>asile continuent d</w:t>
      </w:r>
      <w:r>
        <w:rPr>
          <w:rFonts w:eastAsia="Times New Roman"/>
        </w:rPr>
        <w:t>’</w:t>
      </w:r>
      <w:r w:rsidRPr="00E53D2C">
        <w:rPr>
          <w:rFonts w:eastAsia="Times New Roman"/>
        </w:rPr>
        <w:t>être placés en détention, si l</w:t>
      </w:r>
      <w:r>
        <w:rPr>
          <w:rFonts w:eastAsia="Times New Roman"/>
        </w:rPr>
        <w:t>’</w:t>
      </w:r>
      <w:r w:rsidRPr="00E53D2C">
        <w:rPr>
          <w:rFonts w:eastAsia="Times New Roman"/>
        </w:rPr>
        <w:t>État partie a ouvert un centre de détention pour immigrants à l</w:t>
      </w:r>
      <w:r>
        <w:rPr>
          <w:rFonts w:eastAsia="Times New Roman"/>
        </w:rPr>
        <w:t>’</w:t>
      </w:r>
      <w:r w:rsidRPr="00E53D2C">
        <w:rPr>
          <w:rFonts w:eastAsia="Times New Roman"/>
        </w:rPr>
        <w:t>aéroport de Dublin, si des changements ont été apportés aux conditions d</w:t>
      </w:r>
      <w:r>
        <w:rPr>
          <w:rFonts w:eastAsia="Times New Roman"/>
        </w:rPr>
        <w:t>’</w:t>
      </w:r>
      <w:r w:rsidRPr="00E53D2C">
        <w:rPr>
          <w:rFonts w:eastAsia="Times New Roman"/>
        </w:rPr>
        <w:t>accueil depuis que le Gouvernement a décidé d</w:t>
      </w:r>
      <w:r>
        <w:rPr>
          <w:rFonts w:eastAsia="Times New Roman"/>
        </w:rPr>
        <w:t>’</w:t>
      </w:r>
      <w:r w:rsidRPr="00E53D2C">
        <w:rPr>
          <w:rFonts w:eastAsia="Times New Roman"/>
        </w:rPr>
        <w:t>appliquer, à compter du 30</w:t>
      </w:r>
      <w:r w:rsidRPr="00E53D2C">
        <w:t> </w:t>
      </w:r>
      <w:r w:rsidRPr="00E53D2C">
        <w:rPr>
          <w:rFonts w:eastAsia="Times New Roman"/>
        </w:rPr>
        <w:t>juin 2018</w:t>
      </w:r>
      <w:r w:rsidRPr="00D22BA3">
        <w:rPr>
          <w:rFonts w:eastAsia="Times New Roman"/>
        </w:rPr>
        <w:t xml:space="preserve">, la </w:t>
      </w:r>
      <w:r w:rsidRPr="0087722D">
        <w:rPr>
          <w:rFonts w:eastAsia="Times New Roman"/>
        </w:rPr>
        <w:t>directive</w:t>
      </w:r>
      <w:r w:rsidR="00216E66">
        <w:rPr>
          <w:rFonts w:eastAsia="Times New Roman"/>
        </w:rPr>
        <w:t> </w:t>
      </w:r>
      <w:r w:rsidRPr="0087722D">
        <w:rPr>
          <w:rFonts w:eastAsia="Times New Roman"/>
        </w:rPr>
        <w:t xml:space="preserve">2013/33/UE du Parlement européen </w:t>
      </w:r>
      <w:r>
        <w:rPr>
          <w:rFonts w:eastAsia="Times New Roman"/>
        </w:rPr>
        <w:t>et du Conseil</w:t>
      </w:r>
      <w:r w:rsidRPr="00D22BA3">
        <w:rPr>
          <w:rFonts w:eastAsia="Times New Roman"/>
        </w:rPr>
        <w:t xml:space="preserve"> établissant des normes pour l</w:t>
      </w:r>
      <w:r>
        <w:rPr>
          <w:rFonts w:eastAsia="Times New Roman"/>
        </w:rPr>
        <w:t>’</w:t>
      </w:r>
      <w:r w:rsidRPr="00D22BA3">
        <w:rPr>
          <w:rFonts w:eastAsia="Times New Roman"/>
        </w:rPr>
        <w:t>accueil des personnes demandant la protection internationale (refonte)</w:t>
      </w:r>
      <w:r w:rsidRPr="007A6A85" w:rsidDel="00D22BA3">
        <w:rPr>
          <w:rFonts w:eastAsia="Times New Roman"/>
        </w:rPr>
        <w:t xml:space="preserve"> </w:t>
      </w:r>
      <w:r w:rsidRPr="00D22BA3">
        <w:rPr>
          <w:rFonts w:eastAsia="Times New Roman"/>
        </w:rPr>
        <w:t>(CAT</w:t>
      </w:r>
      <w:r w:rsidRPr="00C73D0A">
        <w:rPr>
          <w:rFonts w:eastAsia="Times New Roman"/>
        </w:rPr>
        <w:t>/C/IRL/CO/2/Add.1, par.</w:t>
      </w:r>
      <w:r>
        <w:rPr>
          <w:rFonts w:eastAsia="Times New Roman"/>
        </w:rPr>
        <w:t> </w:t>
      </w:r>
      <w:r w:rsidRPr="00C73D0A">
        <w:rPr>
          <w:rFonts w:eastAsia="Times New Roman"/>
        </w:rPr>
        <w:t>43)</w:t>
      </w:r>
      <w:r w:rsidRPr="00E53D2C">
        <w:rPr>
          <w:rFonts w:eastAsia="Times New Roman"/>
        </w:rPr>
        <w:t>, et si davantage d</w:t>
      </w:r>
      <w:r>
        <w:rPr>
          <w:rFonts w:eastAsia="Times New Roman"/>
        </w:rPr>
        <w:t>’</w:t>
      </w:r>
      <w:r w:rsidRPr="00E53D2C">
        <w:rPr>
          <w:rFonts w:eastAsia="Times New Roman"/>
        </w:rPr>
        <w:t>installations adaptées à la situation des demandeurs d</w:t>
      </w:r>
      <w:r>
        <w:rPr>
          <w:rFonts w:eastAsia="Times New Roman"/>
        </w:rPr>
        <w:t>’</w:t>
      </w:r>
      <w:r w:rsidRPr="00E53D2C">
        <w:rPr>
          <w:rFonts w:eastAsia="Times New Roman"/>
        </w:rPr>
        <w:t>asile, par exemple des centres de prise en charge directe et des hébergements d</w:t>
      </w:r>
      <w:r>
        <w:rPr>
          <w:rFonts w:eastAsia="Times New Roman"/>
        </w:rPr>
        <w:t>’</w:t>
      </w:r>
      <w:r w:rsidRPr="00E53D2C">
        <w:rPr>
          <w:rFonts w:eastAsia="Times New Roman"/>
        </w:rPr>
        <w:t>urgence, ont été créées afin que les intéressés ne soient pas détenus dans des prisons ou des postes de police avec des personnes en détention provisoire ou des condamnés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Si les demandeurs d</w:t>
      </w:r>
      <w:r>
        <w:rPr>
          <w:rFonts w:eastAsia="Times New Roman"/>
        </w:rPr>
        <w:t>’</w:t>
      </w:r>
      <w:r w:rsidRPr="00E53D2C">
        <w:rPr>
          <w:rFonts w:eastAsia="Times New Roman"/>
        </w:rPr>
        <w:t>asile</w:t>
      </w:r>
      <w:r>
        <w:rPr>
          <w:rFonts w:eastAsia="Times New Roman"/>
        </w:rPr>
        <w:t xml:space="preserve">, </w:t>
      </w:r>
      <w:r w:rsidRPr="00E53D2C">
        <w:rPr>
          <w:rFonts w:eastAsia="Times New Roman"/>
        </w:rPr>
        <w:t>y</w:t>
      </w:r>
      <w:r>
        <w:rPr>
          <w:rFonts w:eastAsia="Times New Roman"/>
        </w:rPr>
        <w:t> </w:t>
      </w:r>
      <w:r w:rsidRPr="00E53D2C">
        <w:rPr>
          <w:rFonts w:eastAsia="Times New Roman"/>
        </w:rPr>
        <w:t>compris lorsque l</w:t>
      </w:r>
      <w:r>
        <w:rPr>
          <w:rFonts w:eastAsia="Times New Roman"/>
        </w:rPr>
        <w:t>’</w:t>
      </w:r>
      <w:r w:rsidRPr="00E53D2C">
        <w:rPr>
          <w:rFonts w:eastAsia="Times New Roman"/>
        </w:rPr>
        <w:t>entrée sur le territoire est refusée</w:t>
      </w:r>
      <w:r>
        <w:rPr>
          <w:rFonts w:eastAsia="Times New Roman"/>
        </w:rPr>
        <w:t>,</w:t>
      </w:r>
      <w:r w:rsidRPr="00E53D2C">
        <w:rPr>
          <w:rFonts w:eastAsia="Times New Roman"/>
        </w:rPr>
        <w:t xml:space="preserve"> ont </w:t>
      </w:r>
      <w:r w:rsidRPr="0008628C">
        <w:t>effectivement</w:t>
      </w:r>
      <w:r w:rsidRPr="00E53D2C">
        <w:rPr>
          <w:rFonts w:eastAsia="Times New Roman"/>
        </w:rPr>
        <w:t xml:space="preserve"> accès à l</w:t>
      </w:r>
      <w:r>
        <w:rPr>
          <w:rFonts w:eastAsia="Times New Roman"/>
        </w:rPr>
        <w:t>’</w:t>
      </w:r>
      <w:r w:rsidRPr="00E53D2C">
        <w:rPr>
          <w:rFonts w:eastAsia="Times New Roman"/>
        </w:rPr>
        <w:t>aide juridique et aux services d</w:t>
      </w:r>
      <w:r>
        <w:rPr>
          <w:rFonts w:eastAsia="Times New Roman"/>
        </w:rPr>
        <w:t>’</w:t>
      </w:r>
      <w:r w:rsidRPr="00E53D2C">
        <w:rPr>
          <w:rFonts w:eastAsia="Times New Roman"/>
        </w:rPr>
        <w:t xml:space="preserve">un interprète </w:t>
      </w:r>
      <w:r>
        <w:rPr>
          <w:rFonts w:eastAsia="Times New Roman"/>
        </w:rPr>
        <w:t>aux fins de</w:t>
      </w:r>
      <w:r w:rsidRPr="00E53D2C">
        <w:rPr>
          <w:rFonts w:eastAsia="Times New Roman"/>
        </w:rPr>
        <w:t xml:space="preserve"> la protection internationale et s</w:t>
      </w:r>
      <w:r>
        <w:rPr>
          <w:rFonts w:eastAsia="Times New Roman"/>
        </w:rPr>
        <w:t>’</w:t>
      </w:r>
      <w:r w:rsidRPr="00E53D2C">
        <w:rPr>
          <w:rFonts w:eastAsia="Times New Roman"/>
        </w:rPr>
        <w:t>ils sont informés de leur situation dans une langue qu</w:t>
      </w:r>
      <w:r>
        <w:rPr>
          <w:rFonts w:eastAsia="Times New Roman"/>
        </w:rPr>
        <w:t>’</w:t>
      </w:r>
      <w:r w:rsidRPr="00E53D2C">
        <w:rPr>
          <w:rFonts w:eastAsia="Times New Roman"/>
        </w:rPr>
        <w:t>ils comprennent</w:t>
      </w:r>
      <w:r>
        <w:rPr>
          <w:rFonts w:eastAsia="Times New Roman"/>
        </w:rPr>
        <w:t> </w:t>
      </w:r>
      <w:r w:rsidRPr="00E53D2C">
        <w:rPr>
          <w:rFonts w:eastAsia="Times New Roman"/>
        </w:rPr>
        <w:t>; préciser le nombre de personnes auxquelles l</w:t>
      </w:r>
      <w:r>
        <w:rPr>
          <w:rFonts w:eastAsia="Times New Roman"/>
        </w:rPr>
        <w:t>’</w:t>
      </w:r>
      <w:r w:rsidRPr="00E53D2C">
        <w:rPr>
          <w:rFonts w:eastAsia="Times New Roman"/>
        </w:rPr>
        <w:t>entrée sur le territoire est refusée, le pays d</w:t>
      </w:r>
      <w:r>
        <w:rPr>
          <w:rFonts w:eastAsia="Times New Roman"/>
        </w:rPr>
        <w:t>’</w:t>
      </w:r>
      <w:r w:rsidRPr="00E53D2C">
        <w:rPr>
          <w:rFonts w:eastAsia="Times New Roman"/>
        </w:rPr>
        <w:t>origine de ces personnes et le point vers lequel elles sont renvoyées ; donner des renseignements sur le pouvoir discrétionnaire de refuser l</w:t>
      </w:r>
      <w:r>
        <w:rPr>
          <w:rFonts w:eastAsia="Times New Roman"/>
        </w:rPr>
        <w:t>’</w:t>
      </w:r>
      <w:r w:rsidRPr="00E53D2C">
        <w:rPr>
          <w:rFonts w:eastAsia="Times New Roman"/>
        </w:rPr>
        <w:t>entrée sur le territoire dont jouissent les agents de l</w:t>
      </w:r>
      <w:r>
        <w:rPr>
          <w:rFonts w:eastAsia="Times New Roman"/>
        </w:rPr>
        <w:t>’</w:t>
      </w:r>
      <w:r w:rsidRPr="00E53D2C">
        <w:rPr>
          <w:rFonts w:eastAsia="Times New Roman"/>
        </w:rPr>
        <w:t>immigration en vertu du paragraphe</w:t>
      </w:r>
      <w:r w:rsidRPr="00E53D2C">
        <w:t> </w:t>
      </w:r>
      <w:r w:rsidRPr="00E53D2C">
        <w:rPr>
          <w:rFonts w:eastAsia="Times New Roman"/>
        </w:rPr>
        <w:t>3 de l</w:t>
      </w:r>
      <w:r>
        <w:rPr>
          <w:rFonts w:eastAsia="Times New Roman"/>
        </w:rPr>
        <w:t>’</w:t>
      </w:r>
      <w:r w:rsidRPr="00E53D2C">
        <w:rPr>
          <w:rFonts w:eastAsia="Times New Roman"/>
        </w:rPr>
        <w:t>article</w:t>
      </w:r>
      <w:r w:rsidRPr="00E53D2C">
        <w:t> </w:t>
      </w:r>
      <w:r w:rsidRPr="00E53D2C">
        <w:rPr>
          <w:rFonts w:eastAsia="Times New Roman"/>
        </w:rPr>
        <w:t>4 de la loi de 2004 sur l</w:t>
      </w:r>
      <w:r>
        <w:rPr>
          <w:rFonts w:eastAsia="Times New Roman"/>
        </w:rPr>
        <w:t>’</w:t>
      </w:r>
      <w:r w:rsidRPr="00E53D2C">
        <w:rPr>
          <w:rFonts w:eastAsia="Times New Roman"/>
        </w:rPr>
        <w:t>immigration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Si, au cours de la période considérée, un dispositif formel de détection rapide des signes de vulnérabilité a été mis en place dans le cadre d</w:t>
      </w:r>
      <w:r>
        <w:rPr>
          <w:rFonts w:eastAsia="Times New Roman"/>
        </w:rPr>
        <w:t>’</w:t>
      </w:r>
      <w:r w:rsidRPr="00E53D2C">
        <w:rPr>
          <w:rFonts w:eastAsia="Times New Roman"/>
        </w:rPr>
        <w:t xml:space="preserve">un mécanisme chargé de repérer les </w:t>
      </w:r>
      <w:r w:rsidRPr="0008628C">
        <w:t>personnes</w:t>
      </w:r>
      <w:r w:rsidRPr="00E53D2C">
        <w:rPr>
          <w:rFonts w:eastAsia="Times New Roman"/>
        </w:rPr>
        <w:t xml:space="preserve"> vulnérables, notamment les victimes de torture et les autres personnes ayant des besoins spéciaux, afin qu</w:t>
      </w:r>
      <w:r>
        <w:rPr>
          <w:rFonts w:eastAsia="Times New Roman"/>
        </w:rPr>
        <w:t>’</w:t>
      </w:r>
      <w:r w:rsidRPr="00E53D2C">
        <w:rPr>
          <w:rFonts w:eastAsia="Times New Roman"/>
        </w:rPr>
        <w:t>elles puissent bénéficier d</w:t>
      </w:r>
      <w:r>
        <w:rPr>
          <w:rFonts w:eastAsia="Times New Roman"/>
        </w:rPr>
        <w:t>’</w:t>
      </w:r>
      <w:r w:rsidRPr="00E53D2C">
        <w:rPr>
          <w:rFonts w:eastAsia="Times New Roman"/>
        </w:rPr>
        <w:t>une prise en charge adaptée et ne subissent pas de nouveau traumatisme pendant les procédures relatives à la protection internationale ;</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t>Si des ressources financières suffisantes ont été mobilisées pour que toutes les personnes qui font l</w:t>
      </w:r>
      <w:r>
        <w:rPr>
          <w:rFonts w:eastAsia="Times New Roman"/>
        </w:rPr>
        <w:t>’</w:t>
      </w:r>
      <w:r w:rsidRPr="00E53D2C">
        <w:rPr>
          <w:rFonts w:eastAsia="Times New Roman"/>
        </w:rPr>
        <w:t>objet de la procédure unique prévue par la loi relative à la protection internationale aient accès en temps voulu à des services médico-légaux qui attestent les faits de torture, si des formations ont été dispensées aux professionnels qui travaillent avec des demandeurs d</w:t>
      </w:r>
      <w:r>
        <w:rPr>
          <w:rFonts w:eastAsia="Times New Roman"/>
        </w:rPr>
        <w:t>’</w:t>
      </w:r>
      <w:r w:rsidRPr="00E53D2C">
        <w:rPr>
          <w:rFonts w:eastAsia="Times New Roman"/>
        </w:rPr>
        <w:t>asile ayant des besoins spéciaux, et si tous les réfugiés qui ont été victimes de torture peuvent bénéficier de services de réadaptation spécialisés dans tout le pays ;</w:t>
      </w:r>
    </w:p>
    <w:p w:rsidR="0008628C" w:rsidRPr="00E53D2C" w:rsidRDefault="0008628C" w:rsidP="0008628C">
      <w:pPr>
        <w:pStyle w:val="SingleTxtG"/>
        <w:ind w:firstLine="567"/>
        <w:rPr>
          <w:rFonts w:eastAsia="Times New Roman"/>
        </w:rPr>
      </w:pPr>
      <w:r w:rsidRPr="00E53D2C">
        <w:rPr>
          <w:rFonts w:eastAsia="Times New Roman"/>
        </w:rPr>
        <w:t>e)</w:t>
      </w:r>
      <w:r w:rsidRPr="00E53D2C">
        <w:rPr>
          <w:rFonts w:eastAsia="Times New Roman"/>
        </w:rPr>
        <w:tab/>
        <w:t>Si une procédure de détermination du statut d</w:t>
      </w:r>
      <w:r>
        <w:rPr>
          <w:rFonts w:eastAsia="Times New Roman"/>
        </w:rPr>
        <w:t>’</w:t>
      </w:r>
      <w:r w:rsidRPr="00E53D2C">
        <w:rPr>
          <w:rFonts w:eastAsia="Times New Roman"/>
        </w:rPr>
        <w:t xml:space="preserve">apatride permettant aux personnes </w:t>
      </w:r>
      <w:r w:rsidRPr="0008628C">
        <w:t>concernées</w:t>
      </w:r>
      <w:r w:rsidRPr="00E53D2C">
        <w:rPr>
          <w:rFonts w:eastAsia="Times New Roman"/>
        </w:rPr>
        <w:t xml:space="preserve"> d</w:t>
      </w:r>
      <w:r>
        <w:rPr>
          <w:rFonts w:eastAsia="Times New Roman"/>
        </w:rPr>
        <w:t>’</w:t>
      </w:r>
      <w:r w:rsidRPr="00E53D2C">
        <w:rPr>
          <w:rFonts w:eastAsia="Times New Roman"/>
        </w:rPr>
        <w:t>avoir plus facilement accès à des recours utiles et d</w:t>
      </w:r>
      <w:r>
        <w:rPr>
          <w:rFonts w:eastAsia="Times New Roman"/>
        </w:rPr>
        <w:t>’</w:t>
      </w:r>
      <w:r w:rsidRPr="00E53D2C">
        <w:rPr>
          <w:rFonts w:eastAsia="Times New Roman"/>
        </w:rPr>
        <w:t>exercer leurs droits a été mise en place ;</w:t>
      </w:r>
    </w:p>
    <w:p w:rsidR="0008628C" w:rsidRPr="00E53D2C" w:rsidRDefault="0008628C" w:rsidP="0008628C">
      <w:pPr>
        <w:pStyle w:val="SingleTxtG"/>
        <w:ind w:firstLine="567"/>
        <w:rPr>
          <w:rFonts w:eastAsia="Times New Roman"/>
        </w:rPr>
      </w:pPr>
      <w:r w:rsidRPr="00E53D2C">
        <w:rPr>
          <w:rFonts w:eastAsia="Times New Roman"/>
        </w:rPr>
        <w:t>f)</w:t>
      </w:r>
      <w:r w:rsidRPr="00E53D2C">
        <w:rPr>
          <w:rFonts w:eastAsia="Times New Roman"/>
        </w:rPr>
        <w:tab/>
        <w:t>Le nombre de refoulements, d</w:t>
      </w:r>
      <w:r>
        <w:rPr>
          <w:rFonts w:eastAsia="Times New Roman"/>
        </w:rPr>
        <w:t>’</w:t>
      </w:r>
      <w:r w:rsidRPr="00E53D2C">
        <w:rPr>
          <w:rFonts w:eastAsia="Times New Roman"/>
        </w:rPr>
        <w:t>extraditions et d</w:t>
      </w:r>
      <w:r>
        <w:rPr>
          <w:rFonts w:eastAsia="Times New Roman"/>
        </w:rPr>
        <w:t>’</w:t>
      </w:r>
      <w:r w:rsidRPr="00E53D2C">
        <w:rPr>
          <w:rFonts w:eastAsia="Times New Roman"/>
        </w:rPr>
        <w:t>expulsions auxquels l</w:t>
      </w:r>
      <w:r>
        <w:rPr>
          <w:rFonts w:eastAsia="Times New Roman"/>
        </w:rPr>
        <w:t>’</w:t>
      </w:r>
      <w:r w:rsidRPr="00E53D2C">
        <w:rPr>
          <w:rFonts w:eastAsia="Times New Roman"/>
        </w:rPr>
        <w:t xml:space="preserve">État partie a </w:t>
      </w:r>
      <w:r w:rsidRPr="0008628C">
        <w:t>procédé</w:t>
      </w:r>
      <w:r w:rsidRPr="00E53D2C">
        <w:rPr>
          <w:rFonts w:eastAsia="Times New Roman"/>
        </w:rPr>
        <w:t xml:space="preserve"> pendant la période considérée, notamment </w:t>
      </w:r>
      <w:r>
        <w:rPr>
          <w:rFonts w:eastAsia="Times New Roman"/>
        </w:rPr>
        <w:t xml:space="preserve">ceux exécutés </w:t>
      </w:r>
      <w:r w:rsidRPr="00E53D2C">
        <w:rPr>
          <w:rFonts w:eastAsia="Times New Roman"/>
        </w:rPr>
        <w:t>sur la foi d</w:t>
      </w:r>
      <w:r>
        <w:rPr>
          <w:rFonts w:eastAsia="Times New Roman"/>
        </w:rPr>
        <w:t>’</w:t>
      </w:r>
      <w:r w:rsidRPr="00E53D2C">
        <w:rPr>
          <w:rFonts w:eastAsia="Times New Roman"/>
        </w:rPr>
        <w:t>assurances diplomatiques ou de garanties équivalentes ; citer les cas dans lesquels l</w:t>
      </w:r>
      <w:r>
        <w:rPr>
          <w:rFonts w:eastAsia="Times New Roman"/>
        </w:rPr>
        <w:t>’</w:t>
      </w:r>
      <w:r w:rsidRPr="00E53D2C">
        <w:rPr>
          <w:rFonts w:eastAsia="Times New Roman"/>
        </w:rPr>
        <w:t>État partie a offert de telles assurances ou garanties diplomatiques.</w:t>
      </w:r>
    </w:p>
    <w:p w:rsidR="0008628C" w:rsidRPr="00E53D2C" w:rsidRDefault="0008628C" w:rsidP="0008628C">
      <w:pPr>
        <w:pStyle w:val="H23G"/>
      </w:pPr>
      <w:r w:rsidRPr="00E53D2C">
        <w:rPr>
          <w:rFonts w:eastAsia="Times New Roman"/>
          <w:lang w:eastAsia="es-ES"/>
        </w:rPr>
        <w:tab/>
      </w:r>
      <w:r w:rsidRPr="00E53D2C">
        <w:rPr>
          <w:rFonts w:eastAsia="Times New Roman"/>
          <w:lang w:eastAsia="es-ES"/>
        </w:rPr>
        <w:tab/>
      </w:r>
      <w:r w:rsidRPr="00E53D2C">
        <w:t>Articles</w:t>
      </w:r>
      <w:r>
        <w:t> </w:t>
      </w:r>
      <w:r w:rsidRPr="00E53D2C">
        <w:t>5 à 9</w:t>
      </w:r>
    </w:p>
    <w:p w:rsidR="0008628C" w:rsidRPr="00E53D2C" w:rsidRDefault="0008628C" w:rsidP="0008628C">
      <w:pPr>
        <w:pStyle w:val="SingleTxtG"/>
      </w:pPr>
      <w:r w:rsidRPr="00E53D2C">
        <w:t>6.</w:t>
      </w:r>
      <w:r w:rsidRPr="00E53D2C">
        <w:tab/>
        <w:t>Fournir des renseignements sur toute nouvelle loi ou mesure adoptée pour mettre en œuvre l</w:t>
      </w:r>
      <w:r>
        <w:t>’</w:t>
      </w:r>
      <w:r w:rsidRPr="00E53D2C">
        <w:t>article 5 de la Convention</w:t>
      </w:r>
      <w:r w:rsidRPr="00E53D2C">
        <w:rPr>
          <w:bCs/>
        </w:rPr>
        <w:t>.</w:t>
      </w:r>
      <w:r>
        <w:rPr>
          <w:bCs/>
        </w:rPr>
        <w:t xml:space="preserve"> </w:t>
      </w:r>
      <w:r w:rsidRPr="00E53D2C">
        <w:t>Informer le Comité de tout traité d</w:t>
      </w:r>
      <w:r>
        <w:t>’</w:t>
      </w:r>
      <w:r w:rsidRPr="00E53D2C">
        <w:t>extradition conclu avec un autre État partie et indiquer si les infractions visées à l</w:t>
      </w:r>
      <w:r>
        <w:t>’</w:t>
      </w:r>
      <w:r w:rsidRPr="00E53D2C">
        <w:t>article 4 de la Convention peuvent donner lieu à extradition en vertu de ce traité. Décrire les mesures que l</w:t>
      </w:r>
      <w:r>
        <w:t>’</w:t>
      </w:r>
      <w:r w:rsidRPr="00E53D2C">
        <w:t>État partie a prises pour se conformer à son obligation d</w:t>
      </w:r>
      <w:r>
        <w:t>’</w:t>
      </w:r>
      <w:r w:rsidRPr="00E53D2C">
        <w:t>extrader ou de poursuivre (</w:t>
      </w:r>
      <w:r w:rsidRPr="00E53D2C">
        <w:rPr>
          <w:i/>
        </w:rPr>
        <w:t>aut dedere aut judicare</w:t>
      </w:r>
      <w:r w:rsidRPr="00E53D2C">
        <w:t>).</w:t>
      </w:r>
      <w:r>
        <w:t xml:space="preserve"> </w:t>
      </w:r>
      <w:r w:rsidRPr="00E53D2C">
        <w:t>Préciser si l</w:t>
      </w:r>
      <w:r>
        <w:t>’</w:t>
      </w:r>
      <w:r w:rsidRPr="00E53D2C">
        <w:t>État partie a conclu des traités ou des accords d</w:t>
      </w:r>
      <w:r>
        <w:t>’</w:t>
      </w:r>
      <w:r w:rsidRPr="00E53D2C">
        <w:t>entraide judiciaire et si ces traités ou accords ont donné lieu, dans la pratique, au transfert d</w:t>
      </w:r>
      <w:r>
        <w:t>’</w:t>
      </w:r>
      <w:r w:rsidRPr="00E53D2C">
        <w:t>éléments de preuve dans le cadre de poursuites pour torture ou mauvais traitements. Donner des exemples.</w:t>
      </w:r>
    </w:p>
    <w:p w:rsidR="0008628C" w:rsidRPr="00E53D2C" w:rsidRDefault="0008628C" w:rsidP="0008628C">
      <w:pPr>
        <w:pStyle w:val="H23G"/>
      </w:pPr>
      <w:r w:rsidRPr="00E53D2C">
        <w:tab/>
      </w:r>
      <w:r w:rsidRPr="00E53D2C">
        <w:tab/>
        <w:t>Article</w:t>
      </w:r>
      <w:r>
        <w:t> </w:t>
      </w:r>
      <w:r w:rsidRPr="00E53D2C">
        <w:t>10</w:t>
      </w:r>
    </w:p>
    <w:p w:rsidR="0008628C" w:rsidRPr="00E53D2C" w:rsidRDefault="0008628C" w:rsidP="0008628C">
      <w:pPr>
        <w:pStyle w:val="SingleTxtG"/>
      </w:pPr>
      <w:r>
        <w:t>7</w:t>
      </w:r>
      <w:r w:rsidRPr="00E53D2C">
        <w:t>.</w:t>
      </w:r>
      <w:r w:rsidRPr="00E53D2C">
        <w:tab/>
        <w:t>Préciser si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La formation sur les dispositions de la Convention, l</w:t>
      </w:r>
      <w:r>
        <w:rPr>
          <w:rFonts w:eastAsia="Times New Roman"/>
        </w:rPr>
        <w:t>’</w:t>
      </w:r>
      <w:r w:rsidRPr="00E53D2C">
        <w:rPr>
          <w:rFonts w:eastAsia="Times New Roman"/>
        </w:rPr>
        <w:t xml:space="preserve">interdiction absolue de la </w:t>
      </w:r>
      <w:r w:rsidRPr="0008628C">
        <w:t>torture</w:t>
      </w:r>
      <w:r w:rsidRPr="00E53D2C">
        <w:rPr>
          <w:rFonts w:eastAsia="Times New Roman"/>
        </w:rPr>
        <w:t xml:space="preserve"> et les méthodes d</w:t>
      </w:r>
      <w:r>
        <w:rPr>
          <w:rFonts w:eastAsia="Times New Roman"/>
        </w:rPr>
        <w:t>’</w:t>
      </w:r>
      <w:r w:rsidRPr="00E53D2C">
        <w:rPr>
          <w:rFonts w:eastAsia="Times New Roman"/>
        </w:rPr>
        <w:t>interrogatoire non coercitives est devenue obligatoire pour tous les agents de l</w:t>
      </w:r>
      <w:r>
        <w:rPr>
          <w:rFonts w:eastAsia="Times New Roman"/>
        </w:rPr>
        <w:t>’</w:t>
      </w:r>
      <w:r w:rsidRPr="00E53D2C">
        <w:rPr>
          <w:rFonts w:eastAsia="Times New Roman"/>
        </w:rPr>
        <w:t>État, en particulier pour la police, le personnel pénitentiaire, les membres des forces de défense et tous les autres fonctionnaires amenés à être en contact avec des personnes privées de liberté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r>
      <w:r w:rsidRPr="00BC39B8">
        <w:rPr>
          <w:rFonts w:eastAsia="Times New Roman"/>
        </w:rPr>
        <w:t xml:space="preserve">Des formations obligatoires sur la violence fondée sur le genre et la violence </w:t>
      </w:r>
      <w:r w:rsidRPr="0008628C">
        <w:t>familiale</w:t>
      </w:r>
      <w:r w:rsidRPr="00BC39B8">
        <w:rPr>
          <w:rFonts w:eastAsia="Times New Roman"/>
        </w:rPr>
        <w:t xml:space="preserve"> sont dispensées aux policiers et aux autres agents des forces de l</w:t>
      </w:r>
      <w:r>
        <w:rPr>
          <w:rFonts w:eastAsia="Times New Roman"/>
        </w:rPr>
        <w:t>’</w:t>
      </w:r>
      <w:r w:rsidRPr="00BC39B8">
        <w:rPr>
          <w:rFonts w:eastAsia="Times New Roman"/>
        </w:rPr>
        <w:t xml:space="preserve">ordre, aux travailleurs sociaux, aux avocats, </w:t>
      </w:r>
      <w:r>
        <w:rPr>
          <w:rFonts w:eastAsia="Times New Roman"/>
        </w:rPr>
        <w:t>aux procureurs,</w:t>
      </w:r>
      <w:r w:rsidRPr="00BC39B8">
        <w:rPr>
          <w:rFonts w:eastAsia="Times New Roman"/>
        </w:rPr>
        <w:t xml:space="preserve"> aux magistrats et aux autres fonctionnaires qui travaillent avec des victimes de violence fondée sur le genre, y</w:t>
      </w:r>
      <w:r>
        <w:rPr>
          <w:rFonts w:eastAsia="Times New Roman"/>
        </w:rPr>
        <w:t> </w:t>
      </w:r>
      <w:r w:rsidRPr="00BC39B8">
        <w:rPr>
          <w:rFonts w:eastAsia="Times New Roman"/>
        </w:rPr>
        <w:t>compris des victimes de violence familiale et de violence sexuelle</w:t>
      </w:r>
      <w:r w:rsidRPr="00E53D2C">
        <w:rPr>
          <w:rFonts w:eastAsia="Times New Roman"/>
        </w:rPr>
        <w:t> ; préciser également si les programmes de formation professionnelle continue de l</w:t>
      </w:r>
      <w:r>
        <w:rPr>
          <w:rFonts w:eastAsia="Times New Roman"/>
        </w:rPr>
        <w:t>’</w:t>
      </w:r>
      <w:r w:rsidRPr="00E53D2C">
        <w:rPr>
          <w:rFonts w:eastAsia="Times New Roman"/>
        </w:rPr>
        <w:t>administration pénitentiaire incluent des cours obligatoires sur la violence fondée sur le genre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Des formations obligatoires sur le Manuel pour enquêter efficacement sur la torture et autres peines ou traitements cruels, inhumains ou dégradants (Protocole d</w:t>
      </w:r>
      <w:r>
        <w:rPr>
          <w:rFonts w:eastAsia="Times New Roman"/>
        </w:rPr>
        <w:t>’</w:t>
      </w:r>
      <w:r w:rsidRPr="00E53D2C">
        <w:rPr>
          <w:rFonts w:eastAsia="Times New Roman"/>
        </w:rPr>
        <w:t xml:space="preserve">Istanbul) sont </w:t>
      </w:r>
      <w:r w:rsidRPr="0008628C">
        <w:t>dispensées</w:t>
      </w:r>
      <w:r w:rsidRPr="00E53D2C">
        <w:rPr>
          <w:rFonts w:eastAsia="Times New Roman"/>
        </w:rPr>
        <w:t xml:space="preserve"> au personnel médical, aux agents des forces de l</w:t>
      </w:r>
      <w:r>
        <w:rPr>
          <w:rFonts w:eastAsia="Times New Roman"/>
        </w:rPr>
        <w:t>’</w:t>
      </w:r>
      <w:r w:rsidRPr="00E53D2C">
        <w:rPr>
          <w:rFonts w:eastAsia="Times New Roman"/>
        </w:rPr>
        <w:t>ordre et aux membres de l</w:t>
      </w:r>
      <w:r>
        <w:rPr>
          <w:rFonts w:eastAsia="Times New Roman"/>
        </w:rPr>
        <w:t>’</w:t>
      </w:r>
      <w:r w:rsidRPr="00E53D2C">
        <w:rPr>
          <w:rFonts w:eastAsia="Times New Roman"/>
        </w:rPr>
        <w:t>appareil judiciaire qui ont affaire à des détenus et à des demandeurs d</w:t>
      </w:r>
      <w:r>
        <w:rPr>
          <w:rFonts w:eastAsia="Times New Roman"/>
        </w:rPr>
        <w:t>’</w:t>
      </w:r>
      <w:r w:rsidRPr="00E53D2C">
        <w:rPr>
          <w:rFonts w:eastAsia="Times New Roman"/>
        </w:rPr>
        <w:t>asile et qui prennent part aux enquêtes et à la collecte d</w:t>
      </w:r>
      <w:r>
        <w:rPr>
          <w:rFonts w:eastAsia="Times New Roman"/>
        </w:rPr>
        <w:t>’</w:t>
      </w:r>
      <w:r w:rsidRPr="00E53D2C">
        <w:rPr>
          <w:rFonts w:eastAsia="Times New Roman"/>
        </w:rPr>
        <w:t>éléments de preuve sur les cas de torture ; préciser en outre le nombre de personnes ayant participé à ces formations ;</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t>Des méthodes ont été mises au point pour évaluer l</w:t>
      </w:r>
      <w:r>
        <w:rPr>
          <w:rFonts w:eastAsia="Times New Roman"/>
        </w:rPr>
        <w:t>’</w:t>
      </w:r>
      <w:r w:rsidRPr="00E53D2C">
        <w:rPr>
          <w:rFonts w:eastAsia="Times New Roman"/>
        </w:rPr>
        <w:t>utilité de la formation dispensée aux agents publics concernés, ainsi que son incidence sur la réduction du nombre de cas de torture.</w:t>
      </w:r>
    </w:p>
    <w:p w:rsidR="0008628C" w:rsidRPr="00E53D2C" w:rsidRDefault="0008628C" w:rsidP="0008628C">
      <w:pPr>
        <w:pStyle w:val="H23G"/>
      </w:pPr>
      <w:r w:rsidRPr="00E53D2C">
        <w:tab/>
      </w:r>
      <w:r w:rsidRPr="00E53D2C">
        <w:tab/>
        <w:t>Article</w:t>
      </w:r>
      <w:r>
        <w:t> </w:t>
      </w:r>
      <w:r w:rsidRPr="00E53D2C">
        <w:t>11</w:t>
      </w:r>
    </w:p>
    <w:p w:rsidR="0008628C" w:rsidRPr="00E53D2C" w:rsidRDefault="0008628C" w:rsidP="0008628C">
      <w:pPr>
        <w:pStyle w:val="SingleTxtG"/>
      </w:pPr>
      <w:r>
        <w:t>8</w:t>
      </w:r>
      <w:r w:rsidRPr="00E53D2C">
        <w:t>.</w:t>
      </w:r>
      <w:r w:rsidRPr="00E53D2C">
        <w:tab/>
        <w:t>Eu égard aux précédentes observations finales du Comité (par. 15 et 16), communiquer des renseignements sur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Les mesures concrètes que l</w:t>
      </w:r>
      <w:r>
        <w:rPr>
          <w:rFonts w:eastAsia="Times New Roman"/>
        </w:rPr>
        <w:t>’</w:t>
      </w:r>
      <w:r w:rsidRPr="00E53D2C">
        <w:rPr>
          <w:rFonts w:eastAsia="Times New Roman"/>
        </w:rPr>
        <w:t xml:space="preserve">État partie a prises au cours de la période considérée afin de réduire encore le nombre de détenus et le surpeuplement carcéral, notamment dans le centre de détention pour femmes de Dochás de la prison de Mountjoy, en particulier </w:t>
      </w:r>
      <w:r>
        <w:rPr>
          <w:rFonts w:eastAsia="Times New Roman"/>
        </w:rPr>
        <w:t>s’agissant de la situation des</w:t>
      </w:r>
      <w:r w:rsidRPr="00E53D2C">
        <w:rPr>
          <w:rFonts w:eastAsia="Times New Roman"/>
        </w:rPr>
        <w:t xml:space="preserve"> détenues handicapées, ainsi que dans les quartiers pour hommes et pour femmes de la prison de Limerick</w:t>
      </w:r>
      <w:r>
        <w:rPr>
          <w:rFonts w:eastAsia="Times New Roman"/>
        </w:rPr>
        <w:t>.</w:t>
      </w:r>
      <w:r w:rsidRPr="00E53D2C">
        <w:rPr>
          <w:rFonts w:eastAsia="Times New Roman"/>
        </w:rPr>
        <w:t xml:space="preserve"> </w:t>
      </w:r>
      <w:r>
        <w:rPr>
          <w:rFonts w:eastAsia="Times New Roman"/>
        </w:rPr>
        <w:t>E</w:t>
      </w:r>
      <w:r w:rsidRPr="00E53D2C">
        <w:rPr>
          <w:rFonts w:eastAsia="Times New Roman"/>
        </w:rPr>
        <w:t>xposer en outre les causes de l</w:t>
      </w:r>
      <w:r>
        <w:rPr>
          <w:rFonts w:eastAsia="Times New Roman"/>
        </w:rPr>
        <w:t>’</w:t>
      </w:r>
      <w:r w:rsidRPr="00E53D2C">
        <w:rPr>
          <w:rFonts w:eastAsia="Times New Roman"/>
        </w:rPr>
        <w:t>augmentation annoncée du nombre de détenues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 xml:space="preserve">Les mesures prises pour garantir que les personnes en détention provisoire </w:t>
      </w:r>
      <w:r>
        <w:rPr>
          <w:rFonts w:eastAsia="Times New Roman"/>
        </w:rPr>
        <w:t>so</w:t>
      </w:r>
      <w:r w:rsidRPr="00E53D2C">
        <w:rPr>
          <w:rFonts w:eastAsia="Times New Roman"/>
        </w:rPr>
        <w:t xml:space="preserve">nt </w:t>
      </w:r>
      <w:r w:rsidRPr="0008628C">
        <w:t>séparées</w:t>
      </w:r>
      <w:r w:rsidRPr="00E53D2C">
        <w:rPr>
          <w:rFonts w:eastAsia="Times New Roman"/>
        </w:rPr>
        <w:t xml:space="preserve"> de celles qui ont été condamnées, le recours accru, au cours de la période considérée, aux mesures non privatives de liberté et aux solutions de substitution à l</w:t>
      </w:r>
      <w:r>
        <w:rPr>
          <w:rFonts w:eastAsia="Times New Roman"/>
        </w:rPr>
        <w:t>’</w:t>
      </w:r>
      <w:r w:rsidRPr="00E53D2C">
        <w:rPr>
          <w:rFonts w:eastAsia="Times New Roman"/>
        </w:rPr>
        <w:t>emprisonnement, et le nombre de personnes en détention provisoire et la durée de leur détention ; fournir en outre des informations sur la suite donnée au suicide, en octobre 2019, d</w:t>
      </w:r>
      <w:r>
        <w:rPr>
          <w:rFonts w:eastAsia="Times New Roman"/>
        </w:rPr>
        <w:t>’</w:t>
      </w:r>
      <w:r w:rsidRPr="00E53D2C">
        <w:rPr>
          <w:rFonts w:eastAsia="Times New Roman"/>
        </w:rPr>
        <w:t>une détenue du centre de Dóchas qui avait été placée en détention provisoire parce qu</w:t>
      </w:r>
      <w:r>
        <w:rPr>
          <w:rFonts w:eastAsia="Times New Roman"/>
        </w:rPr>
        <w:t>’</w:t>
      </w:r>
      <w:r w:rsidRPr="00E53D2C">
        <w:rPr>
          <w:rFonts w:eastAsia="Times New Roman"/>
        </w:rPr>
        <w:t>elle n</w:t>
      </w:r>
      <w:r>
        <w:rPr>
          <w:rFonts w:eastAsia="Times New Roman"/>
        </w:rPr>
        <w:t>’</w:t>
      </w:r>
      <w:r w:rsidRPr="00E53D2C">
        <w:rPr>
          <w:rFonts w:eastAsia="Times New Roman"/>
        </w:rPr>
        <w:t>était pas en mesure de s</w:t>
      </w:r>
      <w:r>
        <w:rPr>
          <w:rFonts w:eastAsia="Times New Roman"/>
        </w:rPr>
        <w:t>’</w:t>
      </w:r>
      <w:r w:rsidRPr="00E53D2C">
        <w:rPr>
          <w:rFonts w:eastAsia="Times New Roman"/>
        </w:rPr>
        <w:t>acquitter d</w:t>
      </w:r>
      <w:r>
        <w:rPr>
          <w:rFonts w:eastAsia="Times New Roman"/>
        </w:rPr>
        <w:t>’</w:t>
      </w:r>
      <w:r w:rsidRPr="00E53D2C">
        <w:rPr>
          <w:rFonts w:eastAsia="Times New Roman"/>
        </w:rPr>
        <w:t>une caution de 100 euros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Les mesures prises pour améliorer les conditions matérielles de détention, en particulier s</w:t>
      </w:r>
      <w:r>
        <w:rPr>
          <w:rFonts w:eastAsia="Times New Roman"/>
        </w:rPr>
        <w:t>’</w:t>
      </w:r>
      <w:r w:rsidRPr="00E53D2C">
        <w:rPr>
          <w:rFonts w:eastAsia="Times New Roman"/>
        </w:rPr>
        <w:t>agissant des installations sanitaires dans les cellules, y</w:t>
      </w:r>
      <w:r>
        <w:rPr>
          <w:rFonts w:eastAsia="Times New Roman"/>
        </w:rPr>
        <w:t> </w:t>
      </w:r>
      <w:r w:rsidRPr="00E53D2C">
        <w:rPr>
          <w:rFonts w:eastAsia="Times New Roman"/>
        </w:rPr>
        <w:t xml:space="preserve">compris pour garantir </w:t>
      </w:r>
      <w:r w:rsidRPr="0008628C">
        <w:t>l’intimité</w:t>
      </w:r>
      <w:r w:rsidRPr="00E53D2C">
        <w:rPr>
          <w:rFonts w:eastAsia="Times New Roman"/>
        </w:rPr>
        <w:t xml:space="preserve"> des détenus lorsqu</w:t>
      </w:r>
      <w:r>
        <w:rPr>
          <w:rFonts w:eastAsia="Times New Roman"/>
        </w:rPr>
        <w:t>’</w:t>
      </w:r>
      <w:r w:rsidRPr="00E53D2C">
        <w:rPr>
          <w:rFonts w:eastAsia="Times New Roman"/>
        </w:rPr>
        <w:t>ils se rendent aux toilettes et séparer les toilettes des lieux où les détenus prennent leurs repas</w:t>
      </w:r>
      <w:r>
        <w:rPr>
          <w:rFonts w:eastAsia="Times New Roman"/>
        </w:rPr>
        <w:t> </w:t>
      </w:r>
      <w:r w:rsidRPr="00E53D2C">
        <w:rPr>
          <w:rFonts w:eastAsia="Times New Roman"/>
        </w:rPr>
        <w:t>;</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r>
      <w:r w:rsidRPr="003264D5">
        <w:rPr>
          <w:rFonts w:eastAsia="Times New Roman"/>
        </w:rPr>
        <w:t>L</w:t>
      </w:r>
      <w:r>
        <w:rPr>
          <w:rFonts w:eastAsia="Times New Roman"/>
        </w:rPr>
        <w:t>’</w:t>
      </w:r>
      <w:r w:rsidRPr="003264D5">
        <w:rPr>
          <w:rFonts w:eastAsia="Times New Roman"/>
        </w:rPr>
        <w:t>état</w:t>
      </w:r>
      <w:r w:rsidRPr="00E53D2C">
        <w:rPr>
          <w:rFonts w:eastAsia="Times New Roman"/>
        </w:rPr>
        <w:t xml:space="preserve"> de l</w:t>
      </w:r>
      <w:r>
        <w:rPr>
          <w:rFonts w:eastAsia="Times New Roman"/>
        </w:rPr>
        <w:t>’</w:t>
      </w:r>
      <w:r w:rsidRPr="00E53D2C">
        <w:rPr>
          <w:rFonts w:eastAsia="Times New Roman"/>
        </w:rPr>
        <w:t>application du plan stratégique pour 2016-2018 de l</w:t>
      </w:r>
      <w:r>
        <w:rPr>
          <w:rFonts w:eastAsia="Times New Roman"/>
        </w:rPr>
        <w:t>’</w:t>
      </w:r>
      <w:r w:rsidRPr="00E53D2C">
        <w:rPr>
          <w:rFonts w:eastAsia="Times New Roman"/>
        </w:rPr>
        <w:t xml:space="preserve">administration </w:t>
      </w:r>
      <w:r w:rsidRPr="0008628C">
        <w:t>pénitentiaire</w:t>
      </w:r>
      <w:r w:rsidRPr="00E53D2C">
        <w:rPr>
          <w:rFonts w:eastAsia="Times New Roman"/>
        </w:rPr>
        <w:t xml:space="preserve"> irlandaise et toute évaluation de celle-ci ; préciser en particulier quelles installations existantes ont été rénovées</w:t>
      </w:r>
      <w:r>
        <w:rPr>
          <w:rFonts w:eastAsia="Times New Roman"/>
        </w:rPr>
        <w:t xml:space="preserve"> et modernisées (comme, par exemple, </w:t>
      </w:r>
      <w:r w:rsidRPr="00E53D2C">
        <w:rPr>
          <w:rFonts w:eastAsia="Times New Roman"/>
        </w:rPr>
        <w:t>la prison de Limerick et le « bloc E » de la prison de Port</w:t>
      </w:r>
      <w:r>
        <w:rPr>
          <w:rFonts w:eastAsia="Times New Roman"/>
        </w:rPr>
        <w:t>a</w:t>
      </w:r>
      <w:r w:rsidRPr="00E53D2C">
        <w:rPr>
          <w:rFonts w:eastAsia="Times New Roman"/>
        </w:rPr>
        <w:t>laoise</w:t>
      </w:r>
      <w:r>
        <w:rPr>
          <w:rFonts w:eastAsia="Times New Roman"/>
        </w:rPr>
        <w:t>)</w:t>
      </w:r>
      <w:r w:rsidRPr="00E53D2C">
        <w:rPr>
          <w:rFonts w:eastAsia="Times New Roman"/>
        </w:rPr>
        <w:t xml:space="preserve"> et quels nouveaux établissements ont été construits pendant la période considérée ;</w:t>
      </w:r>
    </w:p>
    <w:p w:rsidR="0008628C" w:rsidRPr="00E53D2C" w:rsidRDefault="0008628C" w:rsidP="0008628C">
      <w:pPr>
        <w:pStyle w:val="SingleTxtG"/>
        <w:ind w:firstLine="567"/>
        <w:rPr>
          <w:rFonts w:eastAsia="Times New Roman"/>
        </w:rPr>
      </w:pPr>
      <w:r w:rsidRPr="00E53D2C">
        <w:rPr>
          <w:rFonts w:eastAsia="Times New Roman"/>
        </w:rPr>
        <w:t>e)</w:t>
      </w:r>
      <w:r w:rsidRPr="00E53D2C">
        <w:rPr>
          <w:rFonts w:eastAsia="Times New Roman"/>
        </w:rPr>
        <w:tab/>
        <w:t>Les mesures concrètes prises pour augmenter le ratio gardiens/détenus et la mise en place d</w:t>
      </w:r>
      <w:r>
        <w:rPr>
          <w:rFonts w:eastAsia="Times New Roman"/>
        </w:rPr>
        <w:t>’</w:t>
      </w:r>
      <w:r w:rsidRPr="00E53D2C">
        <w:rPr>
          <w:rFonts w:eastAsia="Times New Roman"/>
        </w:rPr>
        <w:t>un outil d</w:t>
      </w:r>
      <w:r>
        <w:rPr>
          <w:rFonts w:eastAsia="Times New Roman"/>
        </w:rPr>
        <w:t>’</w:t>
      </w:r>
      <w:r w:rsidRPr="00E53D2C">
        <w:rPr>
          <w:rFonts w:eastAsia="Times New Roman"/>
        </w:rPr>
        <w:t>évaluation des risques liés au partage de cellules dans l</w:t>
      </w:r>
      <w:r>
        <w:rPr>
          <w:rFonts w:eastAsia="Times New Roman"/>
        </w:rPr>
        <w:t>’</w:t>
      </w:r>
      <w:r w:rsidRPr="00E53D2C">
        <w:rPr>
          <w:rFonts w:eastAsia="Times New Roman"/>
        </w:rPr>
        <w:t>ensemble des établissements pénitentiaires afin de garantir que les détenus ayant besoin d</w:t>
      </w:r>
      <w:r>
        <w:rPr>
          <w:rFonts w:eastAsia="Times New Roman"/>
        </w:rPr>
        <w:t>’</w:t>
      </w:r>
      <w:r w:rsidRPr="00E53D2C">
        <w:rPr>
          <w:rFonts w:eastAsia="Times New Roman"/>
        </w:rPr>
        <w:t>une protection ne sont pas pénalisés par leur situation ; préciser si les détenus sont encore menottés lors des transferts entre établissements et des examens médicaux pratiqués à l</w:t>
      </w:r>
      <w:r>
        <w:rPr>
          <w:rFonts w:eastAsia="Times New Roman"/>
        </w:rPr>
        <w:t>’</w:t>
      </w:r>
      <w:r w:rsidRPr="00E53D2C">
        <w:rPr>
          <w:rFonts w:eastAsia="Times New Roman"/>
        </w:rPr>
        <w:t>extérieur ;</w:t>
      </w:r>
    </w:p>
    <w:p w:rsidR="0008628C" w:rsidRPr="00E53D2C" w:rsidRDefault="0008628C" w:rsidP="0008628C">
      <w:pPr>
        <w:pStyle w:val="SingleTxtG"/>
        <w:ind w:firstLine="567"/>
        <w:rPr>
          <w:rFonts w:eastAsia="Times New Roman"/>
        </w:rPr>
      </w:pPr>
      <w:r w:rsidRPr="00E53D2C">
        <w:rPr>
          <w:rFonts w:eastAsia="Times New Roman"/>
        </w:rPr>
        <w:t>f)</w:t>
      </w:r>
      <w:r w:rsidRPr="00E53D2C">
        <w:rPr>
          <w:rFonts w:eastAsia="Times New Roman"/>
        </w:rPr>
        <w:tab/>
        <w:t>Les mesures prises pendant la période considérée pour revoir l</w:t>
      </w:r>
      <w:r>
        <w:rPr>
          <w:rFonts w:eastAsia="Times New Roman"/>
        </w:rPr>
        <w:t>’</w:t>
      </w:r>
      <w:r w:rsidRPr="00E53D2C">
        <w:rPr>
          <w:rFonts w:eastAsia="Times New Roman"/>
        </w:rPr>
        <w:t>ensemble du système de santé en milieu pénitentiaire, pallier les insuffisances en matière de fourniture de soins de santé, en particulier après la nomination, en juillet 2018, d</w:t>
      </w:r>
      <w:r>
        <w:rPr>
          <w:rFonts w:eastAsia="Times New Roman"/>
        </w:rPr>
        <w:t>’</w:t>
      </w:r>
      <w:r w:rsidRPr="00E53D2C">
        <w:rPr>
          <w:rFonts w:eastAsia="Times New Roman"/>
        </w:rPr>
        <w:t>un haut responsable chargé de la santé au sein de l</w:t>
      </w:r>
      <w:r>
        <w:rPr>
          <w:rFonts w:eastAsia="Times New Roman"/>
        </w:rPr>
        <w:t>’</w:t>
      </w:r>
      <w:r w:rsidRPr="00E53D2C">
        <w:rPr>
          <w:rFonts w:eastAsia="Times New Roman"/>
        </w:rPr>
        <w:t>administration pénitentiaire, remédier au manque de personnel médical et psychiatrique et de psychologues qualifiés, et faciliter l</w:t>
      </w:r>
      <w:r>
        <w:rPr>
          <w:rFonts w:eastAsia="Times New Roman"/>
        </w:rPr>
        <w:t>’</w:t>
      </w:r>
      <w:r w:rsidRPr="00E53D2C">
        <w:rPr>
          <w:rFonts w:eastAsia="Times New Roman"/>
        </w:rPr>
        <w:t xml:space="preserve">orientation des détenus ayant besoin de soins spécialisés vers des établissements médicaux extérieurs sans retard dû à des motifs administratifs et au manque de personnel pénitentiaire pouvant assurer leur escorte ; communiquer également des informations sur les mesures relatives au transfert de détenus </w:t>
      </w:r>
      <w:r>
        <w:rPr>
          <w:rFonts w:eastAsia="Times New Roman"/>
        </w:rPr>
        <w:t xml:space="preserve">qui </w:t>
      </w:r>
      <w:r w:rsidRPr="00E53D2C">
        <w:rPr>
          <w:rFonts w:eastAsia="Times New Roman"/>
        </w:rPr>
        <w:t>présent</w:t>
      </w:r>
      <w:r>
        <w:rPr>
          <w:rFonts w:eastAsia="Times New Roman"/>
        </w:rPr>
        <w:t>e</w:t>
      </w:r>
      <w:r w:rsidRPr="00E53D2C">
        <w:rPr>
          <w:rFonts w:eastAsia="Times New Roman"/>
        </w:rPr>
        <w:t xml:space="preserve">nt </w:t>
      </w:r>
      <w:r>
        <w:rPr>
          <w:rFonts w:eastAsia="Times New Roman"/>
        </w:rPr>
        <w:t>un</w:t>
      </w:r>
      <w:r w:rsidRPr="00E53D2C">
        <w:rPr>
          <w:rFonts w:eastAsia="Times New Roman"/>
        </w:rPr>
        <w:t xml:space="preserve"> grave </w:t>
      </w:r>
      <w:r>
        <w:rPr>
          <w:rFonts w:eastAsia="Times New Roman"/>
        </w:rPr>
        <w:t>handicap psychosocial</w:t>
      </w:r>
      <w:r w:rsidRPr="00E53D2C">
        <w:rPr>
          <w:rFonts w:eastAsia="Times New Roman"/>
        </w:rPr>
        <w:t xml:space="preserve"> vers l</w:t>
      </w:r>
      <w:r>
        <w:rPr>
          <w:rFonts w:eastAsia="Times New Roman"/>
        </w:rPr>
        <w:t>’</w:t>
      </w:r>
      <w:r w:rsidRPr="00E53D2C">
        <w:rPr>
          <w:rFonts w:eastAsia="Times New Roman"/>
        </w:rPr>
        <w:t xml:space="preserve">Hôpital psychiatrique central, dans lequel </w:t>
      </w:r>
      <w:r>
        <w:rPr>
          <w:rFonts w:eastAsia="Times New Roman"/>
        </w:rPr>
        <w:t>c</w:t>
      </w:r>
      <w:r w:rsidRPr="00E53D2C">
        <w:rPr>
          <w:rFonts w:eastAsia="Times New Roman"/>
        </w:rPr>
        <w:t>es détenus dormiraient à même le sol en raison du manque criant de lits, ainsi que sur le nouveau centre médico</w:t>
      </w:r>
      <w:r w:rsidRPr="00E53D2C">
        <w:rPr>
          <w:rFonts w:eastAsia="Times New Roman"/>
        </w:rPr>
        <w:noBreakHyphen/>
        <w:t>légal de santé mentale, sa capacité et les services qu</w:t>
      </w:r>
      <w:r>
        <w:rPr>
          <w:rFonts w:eastAsia="Times New Roman"/>
        </w:rPr>
        <w:t>’</w:t>
      </w:r>
      <w:r w:rsidRPr="00E53D2C">
        <w:rPr>
          <w:rFonts w:eastAsia="Times New Roman"/>
        </w:rPr>
        <w:t>il propose ;</w:t>
      </w:r>
    </w:p>
    <w:p w:rsidR="0008628C" w:rsidRPr="00E53D2C" w:rsidRDefault="0008628C" w:rsidP="0008628C">
      <w:pPr>
        <w:pStyle w:val="SingleTxtG"/>
        <w:ind w:firstLine="567"/>
        <w:rPr>
          <w:rFonts w:eastAsia="Times New Roman"/>
        </w:rPr>
      </w:pPr>
      <w:r w:rsidRPr="00E53D2C">
        <w:rPr>
          <w:rFonts w:eastAsia="Times New Roman"/>
        </w:rPr>
        <w:t>g)</w:t>
      </w:r>
      <w:r w:rsidRPr="00E53D2C">
        <w:rPr>
          <w:rFonts w:eastAsia="Times New Roman"/>
        </w:rPr>
        <w:tab/>
      </w:r>
      <w:r w:rsidRPr="0008628C">
        <w:t>Le</w:t>
      </w:r>
      <w:r w:rsidRPr="00E53D2C">
        <w:rPr>
          <w:rFonts w:eastAsia="Times New Roman"/>
        </w:rPr>
        <w:t xml:space="preserve"> régime de l</w:t>
      </w:r>
      <w:r>
        <w:rPr>
          <w:rFonts w:eastAsia="Times New Roman"/>
        </w:rPr>
        <w:t>’</w:t>
      </w:r>
      <w:r w:rsidRPr="00E53D2C">
        <w:rPr>
          <w:rFonts w:eastAsia="Times New Roman"/>
        </w:rPr>
        <w:t>isolement, notamment la durée maximale et la durée moyenne de cette mesure, et préciser si celle-ci peut être prise contre des mineurs et des personnes handicapées, et si sa durée est systématiquement enregistrée ;</w:t>
      </w:r>
    </w:p>
    <w:p w:rsidR="0008628C" w:rsidRPr="00E53D2C" w:rsidRDefault="0008628C" w:rsidP="0008628C">
      <w:pPr>
        <w:pStyle w:val="SingleTxtG"/>
        <w:ind w:firstLine="567"/>
        <w:rPr>
          <w:rFonts w:eastAsia="Times New Roman"/>
        </w:rPr>
      </w:pPr>
      <w:r w:rsidRPr="00E53D2C">
        <w:rPr>
          <w:rFonts w:eastAsia="Times New Roman"/>
        </w:rPr>
        <w:t>h)</w:t>
      </w:r>
      <w:r w:rsidRPr="00E53D2C">
        <w:rPr>
          <w:rFonts w:eastAsia="Times New Roman"/>
        </w:rPr>
        <w:tab/>
        <w:t>Les mesures éventuellement prises pour réduire le recours à l</w:t>
      </w:r>
      <w:r>
        <w:rPr>
          <w:rFonts w:eastAsia="Times New Roman"/>
        </w:rPr>
        <w:t>’</w:t>
      </w:r>
      <w:r w:rsidRPr="00E53D2C">
        <w:rPr>
          <w:rFonts w:eastAsia="Times New Roman"/>
        </w:rPr>
        <w:t>isolement, établir des critères clairs et précis à cet égard, interdire strictement les placements à l</w:t>
      </w:r>
      <w:r>
        <w:rPr>
          <w:rFonts w:eastAsia="Times New Roman"/>
        </w:rPr>
        <w:t>’</w:t>
      </w:r>
      <w:r w:rsidRPr="00E53D2C">
        <w:rPr>
          <w:rFonts w:eastAsia="Times New Roman"/>
        </w:rPr>
        <w:t xml:space="preserve">isolement </w:t>
      </w:r>
      <w:r w:rsidRPr="0008628C">
        <w:t>prolongés</w:t>
      </w:r>
      <w:r w:rsidRPr="00E53D2C">
        <w:rPr>
          <w:rFonts w:eastAsia="Times New Roman"/>
        </w:rPr>
        <w:t xml:space="preserve"> ou consécutifs à des fins disciplinaires, veiller à ce que l</w:t>
      </w:r>
      <w:r>
        <w:rPr>
          <w:rFonts w:eastAsia="Times New Roman"/>
        </w:rPr>
        <w:t>’</w:t>
      </w:r>
      <w:r w:rsidRPr="00E53D2C">
        <w:rPr>
          <w:rFonts w:eastAsia="Times New Roman"/>
        </w:rPr>
        <w:t>isolement fasse l</w:t>
      </w:r>
      <w:r>
        <w:rPr>
          <w:rFonts w:eastAsia="Times New Roman"/>
        </w:rPr>
        <w:t>’</w:t>
      </w:r>
      <w:r w:rsidRPr="00E53D2C">
        <w:rPr>
          <w:rFonts w:eastAsia="Times New Roman"/>
        </w:rPr>
        <w:t>objet d</w:t>
      </w:r>
      <w:r>
        <w:rPr>
          <w:rFonts w:eastAsia="Times New Roman"/>
        </w:rPr>
        <w:t>’</w:t>
      </w:r>
      <w:r w:rsidRPr="00E53D2C">
        <w:rPr>
          <w:rFonts w:eastAsia="Times New Roman"/>
        </w:rPr>
        <w:t>une supervision stricte et d</w:t>
      </w:r>
      <w:r>
        <w:rPr>
          <w:rFonts w:eastAsia="Times New Roman"/>
        </w:rPr>
        <w:t>’</w:t>
      </w:r>
      <w:r w:rsidRPr="00E53D2C">
        <w:rPr>
          <w:rFonts w:eastAsia="Times New Roman"/>
        </w:rPr>
        <w:t>un contrôle juridictionnel, et ne jamais l</w:t>
      </w:r>
      <w:r>
        <w:rPr>
          <w:rFonts w:eastAsia="Times New Roman"/>
        </w:rPr>
        <w:t>’</w:t>
      </w:r>
      <w:r w:rsidRPr="00E53D2C">
        <w:rPr>
          <w:rFonts w:eastAsia="Times New Roman"/>
        </w:rPr>
        <w:t xml:space="preserve">appliquer aux mineurs ; commenter les informations selon lesquelles des détenus ayant des troubles psychiatriques resteraient enfermés dans leur cellule pendant vingt-trois heures consécutives et un nombre élevé de jeunes détenus </w:t>
      </w:r>
      <w:r>
        <w:rPr>
          <w:rFonts w:eastAsia="Times New Roman"/>
        </w:rPr>
        <w:t>seraient sous</w:t>
      </w:r>
      <w:r w:rsidRPr="007113A9">
        <w:rPr>
          <w:rFonts w:eastAsia="Times New Roman"/>
        </w:rPr>
        <w:t xml:space="preserve"> protection</w:t>
      </w:r>
      <w:r w:rsidRPr="00E53D2C">
        <w:rPr>
          <w:rFonts w:eastAsia="Times New Roman"/>
        </w:rPr>
        <w:t xml:space="preserve"> dans la prison de Wheatfield.</w:t>
      </w:r>
    </w:p>
    <w:p w:rsidR="0008628C" w:rsidRPr="00E53D2C" w:rsidRDefault="0008628C" w:rsidP="0008628C">
      <w:pPr>
        <w:pStyle w:val="SingleTxtG"/>
      </w:pPr>
      <w:r>
        <w:t>9</w:t>
      </w:r>
      <w:r w:rsidRPr="00E53D2C">
        <w:t>.</w:t>
      </w:r>
      <w:r w:rsidRPr="00E53D2C">
        <w:tab/>
        <w:t>Eu égard aux précédentes observations finales du Comité (par.</w:t>
      </w:r>
      <w:r>
        <w:t> </w:t>
      </w:r>
      <w:r w:rsidRPr="00E53D2C">
        <w:t>17 et 18), donner des renseignements sur :</w:t>
      </w:r>
    </w:p>
    <w:p w:rsidR="0008628C" w:rsidRPr="00E53D2C" w:rsidRDefault="0008628C" w:rsidP="0008628C">
      <w:pPr>
        <w:pStyle w:val="SingleTxtG"/>
        <w:ind w:firstLine="567"/>
        <w:rPr>
          <w:rFonts w:eastAsia="Times New Roman"/>
          <w:spacing w:val="-2"/>
        </w:rPr>
      </w:pPr>
      <w:r w:rsidRPr="00E53D2C">
        <w:rPr>
          <w:rFonts w:eastAsia="Times New Roman"/>
          <w:spacing w:val="-2"/>
        </w:rPr>
        <w:t>a)</w:t>
      </w:r>
      <w:r w:rsidRPr="00E53D2C">
        <w:rPr>
          <w:rFonts w:eastAsia="Times New Roman"/>
          <w:spacing w:val="-2"/>
        </w:rPr>
        <w:tab/>
        <w:t xml:space="preserve">Les mesures concrètes qui ont été prises pour prévenir et réduire la violence entre </w:t>
      </w:r>
      <w:r w:rsidRPr="0008628C">
        <w:t>détenus</w:t>
      </w:r>
      <w:r w:rsidRPr="00E53D2C">
        <w:rPr>
          <w:rFonts w:eastAsia="Times New Roman"/>
          <w:spacing w:val="-2"/>
        </w:rPr>
        <w:t>, y</w:t>
      </w:r>
      <w:r>
        <w:rPr>
          <w:rFonts w:eastAsia="Times New Roman"/>
          <w:spacing w:val="-2"/>
        </w:rPr>
        <w:t> </w:t>
      </w:r>
      <w:r w:rsidRPr="00E53D2C">
        <w:rPr>
          <w:rFonts w:eastAsia="Times New Roman"/>
          <w:spacing w:val="-2"/>
        </w:rPr>
        <w:t>compris la violence en bande organisée et la violence sexuelle</w:t>
      </w:r>
      <w:r>
        <w:rPr>
          <w:rFonts w:eastAsia="Times New Roman"/>
          <w:spacing w:val="-2"/>
        </w:rPr>
        <w:t>,</w:t>
      </w:r>
      <w:r w:rsidRPr="00E53D2C">
        <w:rPr>
          <w:rFonts w:eastAsia="Times New Roman"/>
          <w:spacing w:val="-2"/>
        </w:rPr>
        <w:t xml:space="preserve"> aussi bien chez les hommes que les femmes, ainsi que les agressions contre le personnel pénitentiaire ; indiquer en outre si les personnes détenues dans le quartier </w:t>
      </w:r>
      <w:r>
        <w:rPr>
          <w:rFonts w:eastAsia="Times New Roman"/>
          <w:spacing w:val="-2"/>
        </w:rPr>
        <w:t xml:space="preserve">national </w:t>
      </w:r>
      <w:r w:rsidRPr="00E53D2C">
        <w:rPr>
          <w:rFonts w:eastAsia="Times New Roman"/>
          <w:spacing w:val="-2"/>
        </w:rPr>
        <w:t>de réduction de la violence de la prison de Midlands peuvent recevoir régulièrement des visites des membres de leur famille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 xml:space="preserve">Les résultats de toute enquête sur les actes de violence commis dans des </w:t>
      </w:r>
      <w:r w:rsidRPr="0008628C">
        <w:t>établissements</w:t>
      </w:r>
      <w:r w:rsidRPr="00E53D2C">
        <w:rPr>
          <w:rFonts w:eastAsia="Times New Roman"/>
        </w:rPr>
        <w:t xml:space="preserve"> pénitentiaires et centres de détention, y</w:t>
      </w:r>
      <w:r>
        <w:rPr>
          <w:rFonts w:eastAsia="Times New Roman"/>
        </w:rPr>
        <w:t> </w:t>
      </w:r>
      <w:r w:rsidRPr="00E53D2C">
        <w:rPr>
          <w:rFonts w:eastAsia="Times New Roman"/>
        </w:rPr>
        <w:t>compris sur les violences qui ont secoué le centre de détention pour mineurs d</w:t>
      </w:r>
      <w:r>
        <w:rPr>
          <w:rFonts w:eastAsia="Times New Roman"/>
        </w:rPr>
        <w:t>’</w:t>
      </w:r>
      <w:r w:rsidRPr="00E53D2C">
        <w:rPr>
          <w:rFonts w:eastAsia="Times New Roman"/>
        </w:rPr>
        <w:t>Oberstown en 2016 et 2017 et sur la mort de</w:t>
      </w:r>
      <w:r w:rsidR="00200FFC">
        <w:rPr>
          <w:rFonts w:eastAsia="Times New Roman"/>
        </w:rPr>
        <w:t> </w:t>
      </w:r>
      <w:r w:rsidRPr="00E53D2C">
        <w:rPr>
          <w:rFonts w:eastAsia="Times New Roman"/>
        </w:rPr>
        <w:t>Gary Douch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Les mesures prises pour apprendre aux agents pénitentiaires et au personnel médical à gérer les détenus, y</w:t>
      </w:r>
      <w:r>
        <w:rPr>
          <w:rFonts w:eastAsia="Times New Roman"/>
        </w:rPr>
        <w:t> </w:t>
      </w:r>
      <w:r w:rsidRPr="00E53D2C">
        <w:rPr>
          <w:rFonts w:eastAsia="Times New Roman"/>
        </w:rPr>
        <w:t>compris les mineurs, les détenus qui présentent un handicap</w:t>
      </w:r>
      <w:r>
        <w:rPr>
          <w:rFonts w:eastAsia="Times New Roman"/>
        </w:rPr>
        <w:t xml:space="preserve"> intellectuel et</w:t>
      </w:r>
      <w:r w:rsidRPr="00E53D2C">
        <w:rPr>
          <w:rFonts w:eastAsia="Times New Roman"/>
        </w:rPr>
        <w:t xml:space="preserve"> psychosocial, à communiquer avec eux et à repérer les signes de vulnérabilité et les problèmes de discipline ; donner aussi des renseignements sur le renforcement des programmes d</w:t>
      </w:r>
      <w:r>
        <w:rPr>
          <w:rFonts w:eastAsia="Times New Roman"/>
        </w:rPr>
        <w:t>’</w:t>
      </w:r>
      <w:r w:rsidRPr="00E53D2C">
        <w:rPr>
          <w:rFonts w:eastAsia="Times New Roman"/>
        </w:rPr>
        <w:t xml:space="preserve">éducation et de réadaptation qui visent à favoriser les comportements </w:t>
      </w:r>
      <w:r w:rsidRPr="00AB781B">
        <w:rPr>
          <w:rFonts w:eastAsia="Times New Roman"/>
        </w:rPr>
        <w:t>prosociaux</w:t>
      </w:r>
      <w:r w:rsidRPr="00E53D2C">
        <w:rPr>
          <w:rFonts w:eastAsia="Times New Roman"/>
        </w:rPr>
        <w:t xml:space="preserve"> et sur l</w:t>
      </w:r>
      <w:r>
        <w:rPr>
          <w:rFonts w:eastAsia="Times New Roman"/>
        </w:rPr>
        <w:t>’</w:t>
      </w:r>
      <w:r w:rsidRPr="00E53D2C">
        <w:rPr>
          <w:rFonts w:eastAsia="Times New Roman"/>
        </w:rPr>
        <w:t>élaboration de nouveaux programmes de ce type.</w:t>
      </w:r>
    </w:p>
    <w:p w:rsidR="0008628C" w:rsidRPr="00E53D2C" w:rsidRDefault="0008628C" w:rsidP="0008628C">
      <w:pPr>
        <w:pStyle w:val="H23G"/>
      </w:pPr>
      <w:r w:rsidRPr="00E53D2C">
        <w:tab/>
      </w:r>
      <w:r w:rsidRPr="00E53D2C">
        <w:tab/>
        <w:t>Articles</w:t>
      </w:r>
      <w:r>
        <w:t> </w:t>
      </w:r>
      <w:r w:rsidRPr="00E53D2C">
        <w:t>12 à 14</w:t>
      </w:r>
    </w:p>
    <w:p w:rsidR="0008628C" w:rsidRPr="00E53D2C" w:rsidRDefault="0008628C" w:rsidP="0008628C">
      <w:pPr>
        <w:pStyle w:val="SingleTxtG"/>
      </w:pPr>
      <w:r w:rsidRPr="00E53D2C">
        <w:t>1</w:t>
      </w:r>
      <w:r>
        <w:t>0</w:t>
      </w:r>
      <w:r w:rsidRPr="00E53D2C">
        <w:t>.</w:t>
      </w:r>
      <w:r w:rsidRPr="00E53D2C">
        <w:tab/>
      </w:r>
      <w:r w:rsidRPr="00EE4AFA">
        <w:t>Eu égard aux précédentes observations finales du Comité (par.</w:t>
      </w:r>
      <w:r>
        <w:t> </w:t>
      </w:r>
      <w:r w:rsidRPr="00EE4AFA">
        <w:t>19 et 20) et aux informations communiquées par l</w:t>
      </w:r>
      <w:r>
        <w:t>’</w:t>
      </w:r>
      <w:r w:rsidRPr="00EE4AFA">
        <w:t>État partie au titre du suivi, fournir des renseignements actualisés sur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L</w:t>
      </w:r>
      <w:r>
        <w:rPr>
          <w:rFonts w:eastAsia="Times New Roman"/>
        </w:rPr>
        <w:t>’</w:t>
      </w:r>
      <w:r w:rsidRPr="00E53D2C">
        <w:rPr>
          <w:rFonts w:eastAsia="Times New Roman"/>
        </w:rPr>
        <w:t>état d</w:t>
      </w:r>
      <w:r>
        <w:rPr>
          <w:rFonts w:eastAsia="Times New Roman"/>
        </w:rPr>
        <w:t>’</w:t>
      </w:r>
      <w:r w:rsidRPr="00E53D2C">
        <w:rPr>
          <w:rFonts w:eastAsia="Times New Roman"/>
        </w:rPr>
        <w:t>avancement des travaux de la Commission sur l</w:t>
      </w:r>
      <w:r>
        <w:rPr>
          <w:rFonts w:eastAsia="Times New Roman"/>
        </w:rPr>
        <w:t>’</w:t>
      </w:r>
      <w:r w:rsidRPr="00E53D2C">
        <w:rPr>
          <w:rFonts w:eastAsia="Times New Roman"/>
        </w:rPr>
        <w:t xml:space="preserve">avenir des activités de police en </w:t>
      </w:r>
      <w:r>
        <w:rPr>
          <w:rFonts w:eastAsia="Times New Roman"/>
        </w:rPr>
        <w:t xml:space="preserve">Irlande </w:t>
      </w:r>
      <w:r w:rsidRPr="008F0D53">
        <w:rPr>
          <w:rFonts w:eastAsia="Times New Roman"/>
        </w:rPr>
        <w:t>(CAT/C/IRL/CO/2/Add.1, par.</w:t>
      </w:r>
      <w:r>
        <w:rPr>
          <w:rFonts w:eastAsia="Times New Roman"/>
        </w:rPr>
        <w:t> </w:t>
      </w:r>
      <w:r w:rsidRPr="008F0D53">
        <w:rPr>
          <w:rFonts w:eastAsia="Times New Roman"/>
        </w:rPr>
        <w:t>10)</w:t>
      </w:r>
      <w:r w:rsidRPr="00E53D2C">
        <w:rPr>
          <w:rFonts w:eastAsia="Times New Roman"/>
        </w:rPr>
        <w:t>, y</w:t>
      </w:r>
      <w:r>
        <w:rPr>
          <w:rFonts w:eastAsia="Times New Roman"/>
        </w:rPr>
        <w:t> </w:t>
      </w:r>
      <w:r w:rsidRPr="00E53D2C">
        <w:rPr>
          <w:rFonts w:eastAsia="Times New Roman"/>
        </w:rPr>
        <w:t>compris des discussions avec le Ministère de la justice et de l</w:t>
      </w:r>
      <w:r>
        <w:rPr>
          <w:rFonts w:eastAsia="Times New Roman"/>
        </w:rPr>
        <w:t>’</w:t>
      </w:r>
      <w:r w:rsidRPr="00E53D2C">
        <w:rPr>
          <w:rFonts w:eastAsia="Times New Roman"/>
        </w:rPr>
        <w:t>égalité, les conclusions de la Commission figurant dans le rapport qu</w:t>
      </w:r>
      <w:r>
        <w:rPr>
          <w:rFonts w:eastAsia="Times New Roman"/>
        </w:rPr>
        <w:t>’</w:t>
      </w:r>
      <w:r w:rsidRPr="00E53D2C">
        <w:rPr>
          <w:rFonts w:eastAsia="Times New Roman"/>
        </w:rPr>
        <w:t>elle devait présenter en septembre 2018 et toute modification apportée au cadre législatif qui renforcerait encore l</w:t>
      </w:r>
      <w:r>
        <w:rPr>
          <w:rFonts w:eastAsia="Times New Roman"/>
        </w:rPr>
        <w:t>’</w:t>
      </w:r>
      <w:r w:rsidRPr="00E53D2C">
        <w:rPr>
          <w:rFonts w:eastAsia="Times New Roman"/>
        </w:rPr>
        <w:t>indépendance de la Commission du Médiateur de la Garda Síochána et mettrait fin à la pratique du « renvoi » (</w:t>
      </w:r>
      <w:r w:rsidRPr="00E53D2C">
        <w:rPr>
          <w:rFonts w:eastAsia="Times New Roman"/>
          <w:i/>
        </w:rPr>
        <w:t>leaseback</w:t>
      </w:r>
      <w:r w:rsidRPr="00E53D2C">
        <w:rPr>
          <w:rFonts w:eastAsia="Times New Roman"/>
        </w:rPr>
        <w:t>) selon laquelle la police enquête sur elle-même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 xml:space="preserve">Le nombre de plaintes adressées à la Commission du Médiateur de la Garda </w:t>
      </w:r>
      <w:r w:rsidRPr="0008628C">
        <w:t>Síochána</w:t>
      </w:r>
      <w:r w:rsidRPr="00E53D2C">
        <w:rPr>
          <w:rFonts w:eastAsia="Times New Roman"/>
        </w:rPr>
        <w:t xml:space="preserve"> qui concernent des actes de torture ou de mauvais traitements et l</w:t>
      </w:r>
      <w:r>
        <w:rPr>
          <w:rFonts w:eastAsia="Times New Roman"/>
        </w:rPr>
        <w:t>’</w:t>
      </w:r>
      <w:r w:rsidRPr="00E53D2C">
        <w:rPr>
          <w:rFonts w:eastAsia="Times New Roman"/>
        </w:rPr>
        <w:t>issue de ces plaintes ; indiquer aussi les mesures prises pour faire connaître la Commission et son fonctionnement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Les recours utiles auxquels les victimes d</w:t>
      </w:r>
      <w:r>
        <w:rPr>
          <w:rFonts w:eastAsia="Times New Roman"/>
        </w:rPr>
        <w:t>’</w:t>
      </w:r>
      <w:r w:rsidRPr="00E53D2C">
        <w:rPr>
          <w:rFonts w:eastAsia="Times New Roman"/>
        </w:rPr>
        <w:t>actes de violence et de mauvais traitements ont accès et les réparations, y</w:t>
      </w:r>
      <w:r>
        <w:rPr>
          <w:rFonts w:eastAsia="Times New Roman"/>
        </w:rPr>
        <w:t> </w:t>
      </w:r>
      <w:r w:rsidRPr="00E53D2C">
        <w:rPr>
          <w:rFonts w:eastAsia="Times New Roman"/>
        </w:rPr>
        <w:t>compris les mesures de réadaptation, qui ont été ordonnées par les tribunaux en faveur des victimes de torture ou de leur famille et dont celles-ci ont effectivement bénéficié. Indiquer le nombre de demandes d</w:t>
      </w:r>
      <w:r>
        <w:rPr>
          <w:rFonts w:eastAsia="Times New Roman"/>
        </w:rPr>
        <w:t>’</w:t>
      </w:r>
      <w:r w:rsidRPr="00E53D2C">
        <w:rPr>
          <w:rFonts w:eastAsia="Times New Roman"/>
        </w:rPr>
        <w:t>indemnisation présentées, le nombre de demandes auxquelles il a été fait droit et les montants accordés et effectivement versés.</w:t>
      </w:r>
    </w:p>
    <w:p w:rsidR="0008628C" w:rsidRPr="00E53D2C" w:rsidRDefault="0008628C" w:rsidP="0008628C">
      <w:pPr>
        <w:pStyle w:val="SingleTxtG"/>
      </w:pPr>
      <w:r w:rsidRPr="00E53D2C">
        <w:t>1</w:t>
      </w:r>
      <w:r>
        <w:t>1</w:t>
      </w:r>
      <w:r w:rsidRPr="00E53D2C">
        <w:t>.</w:t>
      </w:r>
      <w:r w:rsidRPr="00E53D2C">
        <w:tab/>
        <w:t>Eu égard aux précédentes observations finales du Comité (par.</w:t>
      </w:r>
      <w:r>
        <w:t> </w:t>
      </w:r>
      <w:r w:rsidRPr="00E53D2C">
        <w:t>21 et 22), indiquer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Si la politique de traitement des plaintes adoptée par l</w:t>
      </w:r>
      <w:r>
        <w:rPr>
          <w:rFonts w:eastAsia="Times New Roman"/>
        </w:rPr>
        <w:t>’</w:t>
      </w:r>
      <w:r w:rsidRPr="00E53D2C">
        <w:rPr>
          <w:rFonts w:eastAsia="Times New Roman"/>
        </w:rPr>
        <w:t>administration pénitentiaire prévoit toujours l</w:t>
      </w:r>
      <w:r>
        <w:rPr>
          <w:rFonts w:eastAsia="Times New Roman"/>
        </w:rPr>
        <w:t>’</w:t>
      </w:r>
      <w:r w:rsidRPr="00E53D2C">
        <w:rPr>
          <w:rFonts w:eastAsia="Times New Roman"/>
        </w:rPr>
        <w:t>utilisation d</w:t>
      </w:r>
      <w:r>
        <w:rPr>
          <w:rFonts w:eastAsia="Times New Roman"/>
        </w:rPr>
        <w:t>’</w:t>
      </w:r>
      <w:r w:rsidRPr="00E53D2C">
        <w:rPr>
          <w:rFonts w:eastAsia="Times New Roman"/>
        </w:rPr>
        <w:t>un modèle suivant lequel les faits dénoncés sont classés en quatre catégories (A à D) et si les lacunes du système et les retards dans le traitement des plaintes ont été comblés pendant la période considérée ; préciser en outre les mesures prises pour renforcer l</w:t>
      </w:r>
      <w:r>
        <w:rPr>
          <w:rFonts w:eastAsia="Times New Roman"/>
        </w:rPr>
        <w:t>’</w:t>
      </w:r>
      <w:r w:rsidRPr="00E53D2C">
        <w:rPr>
          <w:rFonts w:eastAsia="Times New Roman"/>
        </w:rPr>
        <w:t>indépendance de l</w:t>
      </w:r>
      <w:r>
        <w:rPr>
          <w:rFonts w:eastAsia="Times New Roman"/>
        </w:rPr>
        <w:t>’</w:t>
      </w:r>
      <w:r w:rsidRPr="00E53D2C">
        <w:rPr>
          <w:rFonts w:eastAsia="Times New Roman"/>
        </w:rPr>
        <w:t>Inspecteur des prisons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Si un mécanisme entièrement indépendant d</w:t>
      </w:r>
      <w:r>
        <w:rPr>
          <w:rFonts w:eastAsia="Times New Roman"/>
        </w:rPr>
        <w:t>’</w:t>
      </w:r>
      <w:r w:rsidRPr="00E53D2C">
        <w:rPr>
          <w:rFonts w:eastAsia="Times New Roman"/>
        </w:rPr>
        <w:t>examen des plaintes émanant de détenus et une nouvelle procédure d</w:t>
      </w:r>
      <w:r>
        <w:rPr>
          <w:rFonts w:eastAsia="Times New Roman"/>
        </w:rPr>
        <w:t>’</w:t>
      </w:r>
      <w:r w:rsidRPr="00E53D2C">
        <w:rPr>
          <w:rFonts w:eastAsia="Times New Roman"/>
        </w:rPr>
        <w:t xml:space="preserve">examen des plaintes individuelles ont été instaurés </w:t>
      </w:r>
      <w:r w:rsidRPr="0008628C">
        <w:t>pendant</w:t>
      </w:r>
      <w:r w:rsidRPr="00E53D2C">
        <w:rPr>
          <w:rFonts w:eastAsia="Times New Roman"/>
        </w:rPr>
        <w:t xml:space="preserve"> la période considérée, avec la participation et la supervision accrues d</w:t>
      </w:r>
      <w:r>
        <w:rPr>
          <w:rFonts w:eastAsia="Times New Roman"/>
        </w:rPr>
        <w:t>’</w:t>
      </w:r>
      <w:r w:rsidRPr="00E53D2C">
        <w:rPr>
          <w:rFonts w:eastAsia="Times New Roman"/>
        </w:rPr>
        <w:t>un organisme indépendant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 xml:space="preserve">Si le système de plaintes inspire davantage confiance aux détenus et si une </w:t>
      </w:r>
      <w:r w:rsidRPr="0008628C">
        <w:t>procédure</w:t>
      </w:r>
      <w:r w:rsidRPr="00E53D2C">
        <w:rPr>
          <w:rFonts w:eastAsia="Times New Roman"/>
        </w:rPr>
        <w:t xml:space="preserve"> de recours indépendante et extérieure à l</w:t>
      </w:r>
      <w:r>
        <w:rPr>
          <w:rFonts w:eastAsia="Times New Roman"/>
        </w:rPr>
        <w:t>’</w:t>
      </w:r>
      <w:r w:rsidRPr="00E53D2C">
        <w:rPr>
          <w:rFonts w:eastAsia="Times New Roman"/>
        </w:rPr>
        <w:t>appareil pénitentiaire a été mise en place ;</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t>Les peines prononcées contre les personnes ayant commis des actes de torture ou des mauvais traitements, sur la base des plaintes jugées fondées.</w:t>
      </w:r>
    </w:p>
    <w:p w:rsidR="0008628C" w:rsidRPr="00E53D2C" w:rsidRDefault="0008628C" w:rsidP="0008628C">
      <w:pPr>
        <w:pStyle w:val="SingleTxtG"/>
      </w:pPr>
      <w:r w:rsidRPr="00E53D2C">
        <w:t>1</w:t>
      </w:r>
      <w:r>
        <w:t>2</w:t>
      </w:r>
      <w:r w:rsidRPr="00E53D2C">
        <w:t>.</w:t>
      </w:r>
      <w:r w:rsidRPr="00E53D2C">
        <w:tab/>
        <w:t>Eu égard aux précédentes observations finales du Comité (par.</w:t>
      </w:r>
      <w:r>
        <w:t> </w:t>
      </w:r>
      <w:r w:rsidRPr="00E53D2C">
        <w:t>23 et 24), indiquer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Les résultats de la « somme assez considérable d</w:t>
      </w:r>
      <w:r>
        <w:rPr>
          <w:rFonts w:eastAsia="Times New Roman"/>
        </w:rPr>
        <w:t>’</w:t>
      </w:r>
      <w:r w:rsidRPr="00E53D2C">
        <w:rPr>
          <w:rFonts w:eastAsia="Times New Roman"/>
        </w:rPr>
        <w:t>investigations » menées au sujet des allégations d</w:t>
      </w:r>
      <w:r>
        <w:rPr>
          <w:rFonts w:eastAsia="Times New Roman"/>
        </w:rPr>
        <w:t>’</w:t>
      </w:r>
      <w:r w:rsidRPr="00E53D2C">
        <w:rPr>
          <w:rFonts w:eastAsia="Times New Roman"/>
        </w:rPr>
        <w:t>actes de violence en institution, y</w:t>
      </w:r>
      <w:r>
        <w:rPr>
          <w:rFonts w:eastAsia="Times New Roman"/>
        </w:rPr>
        <w:t> </w:t>
      </w:r>
      <w:r w:rsidRPr="00E53D2C">
        <w:rPr>
          <w:rFonts w:eastAsia="Times New Roman"/>
        </w:rPr>
        <w:t>compris dans des établissements d</w:t>
      </w:r>
      <w:r>
        <w:rPr>
          <w:rFonts w:eastAsia="Times New Roman"/>
        </w:rPr>
        <w:t>’</w:t>
      </w:r>
      <w:r w:rsidRPr="00E53D2C">
        <w:rPr>
          <w:rFonts w:eastAsia="Times New Roman"/>
        </w:rPr>
        <w:t>éducation surveillée et des écoles professionnelles, en particulier en ce qui concerne les plus de 15</w:t>
      </w:r>
      <w:r w:rsidRPr="00E53D2C">
        <w:t> </w:t>
      </w:r>
      <w:r w:rsidRPr="00E53D2C">
        <w:rPr>
          <w:rFonts w:eastAsia="Times New Roman"/>
        </w:rPr>
        <w:t>000</w:t>
      </w:r>
      <w:r w:rsidRPr="00E53D2C">
        <w:t> </w:t>
      </w:r>
      <w:r w:rsidRPr="00E53D2C">
        <w:rPr>
          <w:rFonts w:eastAsia="Times New Roman"/>
        </w:rPr>
        <w:t xml:space="preserve">victimes auxquelles le Comité de réparation pour les victimes de maltraitances en institution a accordé réparation ; préciser aussi les mesures prises pour que les personnes qui bénéficient du programme </w:t>
      </w:r>
      <w:r>
        <w:rPr>
          <w:rFonts w:eastAsia="Times New Roman"/>
        </w:rPr>
        <w:t>de réparation</w:t>
      </w:r>
      <w:r w:rsidRPr="00E53D2C">
        <w:rPr>
          <w:rFonts w:eastAsia="Times New Roman"/>
        </w:rPr>
        <w:t xml:space="preserve"> sachent qu</w:t>
      </w:r>
      <w:r>
        <w:rPr>
          <w:rFonts w:eastAsia="Times New Roman"/>
        </w:rPr>
        <w:t>’</w:t>
      </w:r>
      <w:r w:rsidRPr="00E53D2C">
        <w:rPr>
          <w:rFonts w:eastAsia="Times New Roman"/>
        </w:rPr>
        <w:t>elles ne sont pas « empêchées » de coopérer avec la Garda ;</w:t>
      </w:r>
    </w:p>
    <w:p w:rsidR="0008628C" w:rsidRPr="00E53D2C" w:rsidRDefault="0008628C" w:rsidP="00871415">
      <w:pPr>
        <w:pStyle w:val="SingleTxtG"/>
        <w:keepNext/>
        <w:keepLines/>
        <w:ind w:firstLine="567"/>
        <w:rPr>
          <w:rFonts w:eastAsia="Times New Roman"/>
        </w:rPr>
      </w:pPr>
      <w:r w:rsidRPr="00E53D2C">
        <w:rPr>
          <w:rFonts w:eastAsia="Times New Roman"/>
        </w:rPr>
        <w:t>b)</w:t>
      </w:r>
      <w:r w:rsidRPr="00E53D2C">
        <w:rPr>
          <w:rFonts w:eastAsia="Times New Roman"/>
        </w:rPr>
        <w:tab/>
        <w:t>Si, au cours de la période considérée, l</w:t>
      </w:r>
      <w:r>
        <w:rPr>
          <w:rFonts w:eastAsia="Times New Roman"/>
        </w:rPr>
        <w:t>’</w:t>
      </w:r>
      <w:r w:rsidRPr="00E53D2C">
        <w:rPr>
          <w:rFonts w:eastAsia="Times New Roman"/>
        </w:rPr>
        <w:t>État partie a continué d</w:t>
      </w:r>
      <w:r>
        <w:rPr>
          <w:rFonts w:eastAsia="Times New Roman"/>
        </w:rPr>
        <w:t>’</w:t>
      </w:r>
      <w:r w:rsidRPr="00E53D2C">
        <w:rPr>
          <w:rFonts w:eastAsia="Times New Roman"/>
        </w:rPr>
        <w:t xml:space="preserve">encourager les </w:t>
      </w:r>
      <w:r w:rsidRPr="0008628C">
        <w:t>victimes</w:t>
      </w:r>
      <w:r w:rsidRPr="00E53D2C">
        <w:rPr>
          <w:rFonts w:eastAsia="Times New Roman"/>
        </w:rPr>
        <w:t xml:space="preserve"> d</w:t>
      </w:r>
      <w:r>
        <w:rPr>
          <w:rFonts w:eastAsia="Times New Roman"/>
        </w:rPr>
        <w:t>’</w:t>
      </w:r>
      <w:r w:rsidRPr="00E53D2C">
        <w:rPr>
          <w:rFonts w:eastAsia="Times New Roman"/>
        </w:rPr>
        <w:t>infractions à se manifester, si les autorités ont collecté des données détaillées sur toutes les enquêtes pénales engagées par la Garda sur les allégations d</w:t>
      </w:r>
      <w:r>
        <w:rPr>
          <w:rFonts w:eastAsia="Times New Roman"/>
        </w:rPr>
        <w:t>’</w:t>
      </w:r>
      <w:r w:rsidRPr="00E53D2C">
        <w:rPr>
          <w:rFonts w:eastAsia="Times New Roman"/>
        </w:rPr>
        <w:t>actes de violence en institution qui font l</w:t>
      </w:r>
      <w:r>
        <w:rPr>
          <w:rFonts w:eastAsia="Times New Roman"/>
        </w:rPr>
        <w:t>’</w:t>
      </w:r>
      <w:r w:rsidRPr="00E53D2C">
        <w:rPr>
          <w:rFonts w:eastAsia="Times New Roman"/>
        </w:rPr>
        <w:t xml:space="preserve">objet </w:t>
      </w:r>
      <w:r w:rsidRPr="00087A0C">
        <w:rPr>
          <w:rFonts w:eastAsia="Times New Roman"/>
        </w:rPr>
        <w:t xml:space="preserve">du </w:t>
      </w:r>
      <w:r w:rsidRPr="00CE7F50">
        <w:rPr>
          <w:rFonts w:eastAsia="Times New Roman"/>
        </w:rPr>
        <w:t>r</w:t>
      </w:r>
      <w:r w:rsidRPr="007D3219">
        <w:rPr>
          <w:rFonts w:eastAsia="Times New Roman"/>
        </w:rPr>
        <w:t>apport de la Commission chargée d</w:t>
      </w:r>
      <w:r>
        <w:rPr>
          <w:rFonts w:eastAsia="Times New Roman"/>
        </w:rPr>
        <w:t>’</w:t>
      </w:r>
      <w:r w:rsidRPr="007D3219">
        <w:rPr>
          <w:rFonts w:eastAsia="Times New Roman"/>
        </w:rPr>
        <w:t>enquêter sur les violences à enfants, dit «</w:t>
      </w:r>
      <w:r w:rsidR="00EA4A48">
        <w:rPr>
          <w:rFonts w:eastAsia="Times New Roman"/>
        </w:rPr>
        <w:t> </w:t>
      </w:r>
      <w:r w:rsidRPr="007D3219">
        <w:rPr>
          <w:rFonts w:eastAsia="Times New Roman"/>
        </w:rPr>
        <w:t>Rapport Ryan</w:t>
      </w:r>
      <w:r w:rsidR="00EA4A48">
        <w:rPr>
          <w:rFonts w:eastAsia="Times New Roman"/>
        </w:rPr>
        <w:t> </w:t>
      </w:r>
      <w:r w:rsidRPr="007D3219">
        <w:rPr>
          <w:rFonts w:eastAsia="Times New Roman"/>
        </w:rPr>
        <w:t>»</w:t>
      </w:r>
      <w:r w:rsidRPr="00E53D2C">
        <w:rPr>
          <w:rFonts w:eastAsia="Times New Roman"/>
        </w:rPr>
        <w:t>, et si les enquêtes ont donné lieu à des poursuites et des condamnations ; donner en outre des informations sur les peines prononcées à l</w:t>
      </w:r>
      <w:r>
        <w:rPr>
          <w:rFonts w:eastAsia="Times New Roman"/>
        </w:rPr>
        <w:t>’</w:t>
      </w:r>
      <w:r w:rsidRPr="00E53D2C">
        <w:rPr>
          <w:rFonts w:eastAsia="Times New Roman"/>
        </w:rPr>
        <w:t>encontre des auteurs de ces infractions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Si les autorités ont cessé, en 2019, de mettre à disposition des fonds qui pourraient être nécessaires pour offrir une assistance aux victimes et s</w:t>
      </w:r>
      <w:r>
        <w:rPr>
          <w:rFonts w:eastAsia="Times New Roman"/>
        </w:rPr>
        <w:t>’</w:t>
      </w:r>
      <w:r w:rsidRPr="00E53D2C">
        <w:rPr>
          <w:rFonts w:eastAsia="Times New Roman"/>
        </w:rPr>
        <w:t>il a été mis fin au programme de réparation et à Caranua, l</w:t>
      </w:r>
      <w:r>
        <w:rPr>
          <w:rFonts w:eastAsia="Times New Roman"/>
        </w:rPr>
        <w:t>’</w:t>
      </w:r>
      <w:r w:rsidRPr="00E53D2C">
        <w:rPr>
          <w:rFonts w:eastAsia="Times New Roman"/>
        </w:rPr>
        <w:t>organe d</w:t>
      </w:r>
      <w:r>
        <w:rPr>
          <w:rFonts w:eastAsia="Times New Roman"/>
        </w:rPr>
        <w:t>’</w:t>
      </w:r>
      <w:r w:rsidRPr="00E53D2C">
        <w:rPr>
          <w:rFonts w:eastAsia="Times New Roman"/>
        </w:rPr>
        <w:t>État chargé de l</w:t>
      </w:r>
      <w:r>
        <w:rPr>
          <w:rFonts w:eastAsia="Times New Roman"/>
        </w:rPr>
        <w:t>’</w:t>
      </w:r>
      <w:r w:rsidRPr="00E53D2C">
        <w:rPr>
          <w:rFonts w:eastAsia="Times New Roman"/>
        </w:rPr>
        <w:t>assistance, comme cela avait été annoncé ; indiquer en outre si l</w:t>
      </w:r>
      <w:r>
        <w:rPr>
          <w:rFonts w:eastAsia="Times New Roman"/>
        </w:rPr>
        <w:t>’</w:t>
      </w:r>
      <w:r w:rsidRPr="00E53D2C">
        <w:rPr>
          <w:rFonts w:eastAsia="Times New Roman"/>
        </w:rPr>
        <w:t>État partie a trouvé un autre moyen de continuer d</w:t>
      </w:r>
      <w:r>
        <w:rPr>
          <w:rFonts w:eastAsia="Times New Roman"/>
        </w:rPr>
        <w:t>’</w:t>
      </w:r>
      <w:r w:rsidRPr="00E53D2C">
        <w:rPr>
          <w:rFonts w:eastAsia="Times New Roman"/>
        </w:rPr>
        <w:t>honorer l</w:t>
      </w:r>
      <w:r>
        <w:rPr>
          <w:rFonts w:eastAsia="Times New Roman"/>
        </w:rPr>
        <w:t>’</w:t>
      </w:r>
      <w:r w:rsidRPr="00E53D2C">
        <w:rPr>
          <w:rFonts w:eastAsia="Times New Roman"/>
        </w:rPr>
        <w:t>obligation qui lui incombe de veiller à ce que les victimes d</w:t>
      </w:r>
      <w:r>
        <w:rPr>
          <w:rFonts w:eastAsia="Times New Roman"/>
        </w:rPr>
        <w:t>’</w:t>
      </w:r>
      <w:r w:rsidRPr="00E53D2C">
        <w:rPr>
          <w:rFonts w:eastAsia="Times New Roman"/>
        </w:rPr>
        <w:t xml:space="preserve">actes de torture ou de mauvais traitements obtiennent réparation et disposent des moyens nécessaires à </w:t>
      </w:r>
      <w:r>
        <w:rPr>
          <w:rFonts w:eastAsia="Times New Roman"/>
        </w:rPr>
        <w:t>une</w:t>
      </w:r>
      <w:r w:rsidRPr="00E53D2C">
        <w:rPr>
          <w:rFonts w:eastAsia="Times New Roman"/>
        </w:rPr>
        <w:t xml:space="preserve"> réadaptation la plus complète possible.</w:t>
      </w:r>
    </w:p>
    <w:p w:rsidR="0008628C" w:rsidRPr="00E53D2C" w:rsidRDefault="0008628C" w:rsidP="0008628C">
      <w:pPr>
        <w:pStyle w:val="SingleTxtG"/>
      </w:pPr>
      <w:r w:rsidRPr="00E53D2C">
        <w:t>1</w:t>
      </w:r>
      <w:r>
        <w:t>3</w:t>
      </w:r>
      <w:r w:rsidRPr="00E53D2C">
        <w:t>.</w:t>
      </w:r>
      <w:r w:rsidRPr="00E53D2C">
        <w:tab/>
        <w:t>Eu égard aux précédentes observations finales du Comité (par. </w:t>
      </w:r>
      <w:r>
        <w:t>25</w:t>
      </w:r>
      <w:r w:rsidRPr="00E53D2C">
        <w:t xml:space="preserve"> et 2</w:t>
      </w:r>
      <w:r>
        <w:t>6</w:t>
      </w:r>
      <w:r w:rsidRPr="00E53D2C">
        <w:t>) et aux informations communiquées par l</w:t>
      </w:r>
      <w:r>
        <w:t>’</w:t>
      </w:r>
      <w:r w:rsidRPr="00E53D2C">
        <w:t>État partie au titre du suivi, donner des renseignements actualisés sur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L</w:t>
      </w:r>
      <w:r>
        <w:rPr>
          <w:rFonts w:eastAsia="Times New Roman"/>
        </w:rPr>
        <w:t>’</w:t>
      </w:r>
      <w:r w:rsidRPr="00E53D2C">
        <w:rPr>
          <w:rFonts w:eastAsia="Times New Roman"/>
        </w:rPr>
        <w:t xml:space="preserve">application du système de réparation aux femmes qui travaillaient dans une </w:t>
      </w:r>
      <w:r w:rsidRPr="0008628C">
        <w:t>blanchisserie</w:t>
      </w:r>
      <w:r w:rsidRPr="00E53D2C">
        <w:rPr>
          <w:rFonts w:eastAsia="Times New Roman"/>
        </w:rPr>
        <w:t xml:space="preserve"> de la Madeleine, mais résidaient dans l</w:t>
      </w:r>
      <w:r>
        <w:rPr>
          <w:rFonts w:eastAsia="Times New Roman"/>
        </w:rPr>
        <w:t>’</w:t>
      </w:r>
      <w:r w:rsidRPr="00E53D2C">
        <w:rPr>
          <w:rFonts w:eastAsia="Times New Roman"/>
        </w:rPr>
        <w:t>une des 14 institutions voisines, ainsi que le Médiateur l</w:t>
      </w:r>
      <w:r>
        <w:rPr>
          <w:rFonts w:eastAsia="Times New Roman"/>
        </w:rPr>
        <w:t>’</w:t>
      </w:r>
      <w:r w:rsidRPr="00E53D2C">
        <w:rPr>
          <w:rFonts w:eastAsia="Times New Roman"/>
        </w:rPr>
        <w:t>a recommandé dans son rapport sur l</w:t>
      </w:r>
      <w:r>
        <w:rPr>
          <w:rFonts w:eastAsia="Times New Roman"/>
        </w:rPr>
        <w:t>’</w:t>
      </w:r>
      <w:r w:rsidRPr="00E53D2C">
        <w:rPr>
          <w:rFonts w:eastAsia="Times New Roman"/>
        </w:rPr>
        <w:t>administration du système publié en novembre 2017, et l</w:t>
      </w:r>
      <w:r>
        <w:rPr>
          <w:rFonts w:eastAsia="Times New Roman"/>
        </w:rPr>
        <w:t>’</w:t>
      </w:r>
      <w:r w:rsidRPr="00E53D2C">
        <w:rPr>
          <w:rFonts w:eastAsia="Times New Roman"/>
        </w:rPr>
        <w:t xml:space="preserve">approbation, par le Gouvernement, des propositions concernant la mise en œuvre des recommandations du Médiateur, </w:t>
      </w:r>
      <w:r>
        <w:rPr>
          <w:rFonts w:eastAsia="Times New Roman"/>
        </w:rPr>
        <w:t>y compris celles formulées à la</w:t>
      </w:r>
      <w:r w:rsidRPr="00E53D2C">
        <w:rPr>
          <w:rFonts w:eastAsia="Times New Roman"/>
        </w:rPr>
        <w:t xml:space="preserve"> suite </w:t>
      </w:r>
      <w:r w:rsidR="00216E66">
        <w:rPr>
          <w:rFonts w:eastAsia="Times New Roman"/>
        </w:rPr>
        <w:t>de</w:t>
      </w:r>
      <w:r w:rsidRPr="00E53D2C">
        <w:rPr>
          <w:rFonts w:eastAsia="Times New Roman"/>
        </w:rPr>
        <w:t xml:space="preserve"> l</w:t>
      </w:r>
      <w:r>
        <w:rPr>
          <w:rFonts w:eastAsia="Times New Roman"/>
        </w:rPr>
        <w:t>’</w:t>
      </w:r>
      <w:r w:rsidRPr="00E53D2C">
        <w:rPr>
          <w:rFonts w:eastAsia="Times New Roman"/>
        </w:rPr>
        <w:t>analyse préliminaire réalisée par le Comité interdépartemental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Le nombre de femmes ayant reçu une indemnisation pour l</w:t>
      </w:r>
      <w:r>
        <w:rPr>
          <w:rFonts w:eastAsia="Times New Roman"/>
        </w:rPr>
        <w:t>’</w:t>
      </w:r>
      <w:r w:rsidRPr="00E53D2C">
        <w:rPr>
          <w:rFonts w:eastAsia="Times New Roman"/>
        </w:rPr>
        <w:t xml:space="preserve">intégralité de la période </w:t>
      </w:r>
      <w:r w:rsidRPr="0008628C">
        <w:t>qu’elles</w:t>
      </w:r>
      <w:r w:rsidRPr="00E53D2C">
        <w:rPr>
          <w:rFonts w:eastAsia="Times New Roman"/>
        </w:rPr>
        <w:t xml:space="preserve"> ont passée dans une institution voisine et une « rémunération » pour la période où elles ont travaillé dans une blanchisserie de la Madeleine</w:t>
      </w:r>
      <w:r>
        <w:rPr>
          <w:rFonts w:eastAsia="Times New Roman"/>
        </w:rPr>
        <w:t xml:space="preserve"> </w:t>
      </w:r>
      <w:r w:rsidRPr="00290D3D">
        <w:rPr>
          <w:rFonts w:eastAsia="Times New Roman"/>
        </w:rPr>
        <w:t>(CAT/C/IRL/CO/2/Add.1, para. 12)</w:t>
      </w:r>
      <w:r w:rsidRPr="00E53D2C">
        <w:rPr>
          <w:rFonts w:eastAsia="Times New Roman"/>
        </w:rPr>
        <w:t> ; préciser les montants versés, y</w:t>
      </w:r>
      <w:r>
        <w:rPr>
          <w:rFonts w:eastAsia="Times New Roman"/>
        </w:rPr>
        <w:t> </w:t>
      </w:r>
      <w:r w:rsidRPr="00E53D2C">
        <w:rPr>
          <w:rFonts w:eastAsia="Times New Roman"/>
        </w:rPr>
        <w:t>compris aux personnes qui résident hors d</w:t>
      </w:r>
      <w:r>
        <w:rPr>
          <w:rFonts w:eastAsia="Times New Roman"/>
        </w:rPr>
        <w:t>’</w:t>
      </w:r>
      <w:r w:rsidRPr="00E53D2C">
        <w:rPr>
          <w:rFonts w:eastAsia="Times New Roman"/>
        </w:rPr>
        <w:t>Irlande, le cas échéant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Toute procédure civile engagée pendant la période considérée par des victimes de mauvais traitements, y</w:t>
      </w:r>
      <w:r>
        <w:rPr>
          <w:rFonts w:eastAsia="Times New Roman"/>
        </w:rPr>
        <w:t> </w:t>
      </w:r>
      <w:r w:rsidRPr="00E53D2C">
        <w:rPr>
          <w:rFonts w:eastAsia="Times New Roman"/>
        </w:rPr>
        <w:t xml:space="preserve">compris celles qui ont bénéficié du </w:t>
      </w:r>
      <w:r>
        <w:rPr>
          <w:rFonts w:eastAsia="Times New Roman"/>
        </w:rPr>
        <w:t>programme de réparation</w:t>
      </w:r>
      <w:r w:rsidRPr="00E53D2C">
        <w:rPr>
          <w:rFonts w:eastAsia="Times New Roman"/>
        </w:rPr>
        <w:t>, après réception des registres des congrégations religieuses qui géraient les institutions concernées</w:t>
      </w:r>
      <w:r w:rsidR="00200FFC">
        <w:rPr>
          <w:rFonts w:eastAsia="Times New Roman"/>
        </w:rPr>
        <w:t> </w:t>
      </w:r>
      <w:r w:rsidRPr="00E53D2C">
        <w:rPr>
          <w:rFonts w:eastAsia="Times New Roman"/>
        </w:rPr>
        <w:t>;</w:t>
      </w:r>
    </w:p>
    <w:p w:rsidR="0008628C" w:rsidRPr="00871415" w:rsidRDefault="0008628C" w:rsidP="0008628C">
      <w:pPr>
        <w:pStyle w:val="SingleTxtG"/>
        <w:ind w:firstLine="567"/>
        <w:rPr>
          <w:rFonts w:eastAsia="Times New Roman"/>
          <w:spacing w:val="-3"/>
        </w:rPr>
      </w:pPr>
      <w:r w:rsidRPr="00871415">
        <w:rPr>
          <w:rFonts w:eastAsia="Times New Roman"/>
          <w:spacing w:val="-3"/>
        </w:rPr>
        <w:t>d)</w:t>
      </w:r>
      <w:r w:rsidRPr="00871415">
        <w:rPr>
          <w:rFonts w:eastAsia="Times New Roman"/>
          <w:spacing w:val="-3"/>
        </w:rPr>
        <w:tab/>
        <w:t xml:space="preserve">Les services fournis par le Département de la justice réparatrice du Ministère de la </w:t>
      </w:r>
      <w:r w:rsidRPr="00871415">
        <w:rPr>
          <w:spacing w:val="-3"/>
        </w:rPr>
        <w:t>justice</w:t>
      </w:r>
      <w:r w:rsidRPr="00871415">
        <w:rPr>
          <w:rFonts w:eastAsia="Times New Roman"/>
          <w:spacing w:val="-3"/>
        </w:rPr>
        <w:t xml:space="preserve"> et de l’égalité aux femmes qui avaient travaillé dans les blanchisseries de la Madeleine, en application de la recommandation formulée par le juge Quirke dans son rapport.</w:t>
      </w:r>
    </w:p>
    <w:p w:rsidR="0008628C" w:rsidRPr="00E53D2C" w:rsidRDefault="0008628C" w:rsidP="0008628C">
      <w:pPr>
        <w:pStyle w:val="SingleTxtG"/>
      </w:pPr>
      <w:r w:rsidRPr="00E53D2C">
        <w:t>1</w:t>
      </w:r>
      <w:r>
        <w:t>4</w:t>
      </w:r>
      <w:r w:rsidRPr="00E53D2C">
        <w:t>.</w:t>
      </w:r>
      <w:r w:rsidRPr="00E53D2C">
        <w:tab/>
        <w:t>Eu égard aux précédentes observations finales du Comité (par.</w:t>
      </w:r>
      <w:r>
        <w:t> </w:t>
      </w:r>
      <w:r w:rsidRPr="00E53D2C">
        <w:t>2</w:t>
      </w:r>
      <w:r>
        <w:t>7</w:t>
      </w:r>
      <w:r w:rsidRPr="00E53D2C">
        <w:t xml:space="preserve"> et 2</w:t>
      </w:r>
      <w:r>
        <w:t>8</w:t>
      </w:r>
      <w:r w:rsidRPr="00E53D2C">
        <w:t>), indiquer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t>Si le mandat de la Commission d</w:t>
      </w:r>
      <w:r>
        <w:rPr>
          <w:rFonts w:eastAsia="Times New Roman"/>
        </w:rPr>
        <w:t>’</w:t>
      </w:r>
      <w:r w:rsidRPr="00E53D2C">
        <w:rPr>
          <w:rFonts w:eastAsia="Times New Roman"/>
        </w:rPr>
        <w:t xml:space="preserve">enquête sur les foyers pour mères et nourrissons, créée en février 2015, a été étendu afin que celle-ci puisse enquêter sur toutes les </w:t>
      </w:r>
      <w:r w:rsidRPr="0008628C">
        <w:t>institutions</w:t>
      </w:r>
      <w:r w:rsidRPr="00E53D2C">
        <w:rPr>
          <w:rFonts w:eastAsia="Times New Roman"/>
        </w:rPr>
        <w:t xml:space="preserve"> du pays dans lesquelles des mauvais traitements, y</w:t>
      </w:r>
      <w:r>
        <w:rPr>
          <w:rFonts w:eastAsia="Times New Roman"/>
        </w:rPr>
        <w:t> </w:t>
      </w:r>
      <w:r w:rsidRPr="00E53D2C">
        <w:rPr>
          <w:rFonts w:eastAsia="Times New Roman"/>
        </w:rPr>
        <w:t>compris des adoptions forcées et illégales, constitutifs de violations de la Convention</w:t>
      </w:r>
      <w:r>
        <w:rPr>
          <w:rFonts w:eastAsia="Times New Roman"/>
        </w:rPr>
        <w:t>,</w:t>
      </w:r>
      <w:r w:rsidRPr="00E53D2C">
        <w:rPr>
          <w:rFonts w:eastAsia="Times New Roman"/>
        </w:rPr>
        <w:t xml:space="preserve"> ont pu être commis, quels ont été les résultats des travaux de la Commission, qui devaient s</w:t>
      </w:r>
      <w:r>
        <w:rPr>
          <w:rFonts w:eastAsia="Times New Roman"/>
        </w:rPr>
        <w:t>’</w:t>
      </w:r>
      <w:r w:rsidRPr="00E53D2C">
        <w:rPr>
          <w:rFonts w:eastAsia="Times New Roman"/>
        </w:rPr>
        <w:t>achever en février 2018, si les archives de la Commission restent à la disposition du public, quels ont été les progrès accomplis depuis la création en juillet 2018</w:t>
      </w:r>
      <w:r w:rsidRPr="006E7E19">
        <w:rPr>
          <w:rFonts w:eastAsia="Times New Roman"/>
        </w:rPr>
        <w:t xml:space="preserve"> </w:t>
      </w:r>
      <w:r w:rsidRPr="00E53D2C">
        <w:rPr>
          <w:rFonts w:eastAsia="Times New Roman"/>
        </w:rPr>
        <w:t>du Forum de collaboration sur les foyers pour mères et nourrissons, et si les allégations d</w:t>
      </w:r>
      <w:r>
        <w:rPr>
          <w:rFonts w:eastAsia="Times New Roman"/>
        </w:rPr>
        <w:t>’</w:t>
      </w:r>
      <w:r w:rsidRPr="00E53D2C">
        <w:rPr>
          <w:rFonts w:eastAsia="Times New Roman"/>
        </w:rPr>
        <w:t xml:space="preserve">actes de violence et de torture commis dans </w:t>
      </w:r>
      <w:r>
        <w:rPr>
          <w:rFonts w:eastAsia="Times New Roman"/>
        </w:rPr>
        <w:t>c</w:t>
      </w:r>
      <w:r w:rsidRPr="00E53D2C">
        <w:rPr>
          <w:rFonts w:eastAsia="Times New Roman"/>
        </w:rPr>
        <w:t>es foyers ont fait l</w:t>
      </w:r>
      <w:r>
        <w:rPr>
          <w:rFonts w:eastAsia="Times New Roman"/>
        </w:rPr>
        <w:t>’</w:t>
      </w:r>
      <w:r w:rsidRPr="00E53D2C">
        <w:rPr>
          <w:rFonts w:eastAsia="Times New Roman"/>
        </w:rPr>
        <w:t>objet d</w:t>
      </w:r>
      <w:r>
        <w:rPr>
          <w:rFonts w:eastAsia="Times New Roman"/>
        </w:rPr>
        <w:t>’</w:t>
      </w:r>
      <w:r w:rsidRPr="00E53D2C">
        <w:rPr>
          <w:rFonts w:eastAsia="Times New Roman"/>
        </w:rPr>
        <w:t>enquêtes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Si des enquêtes ont été menées sur les allégations de mauvais traitements, y compris d</w:t>
      </w:r>
      <w:r>
        <w:rPr>
          <w:rFonts w:eastAsia="Times New Roman"/>
        </w:rPr>
        <w:t>’</w:t>
      </w:r>
      <w:r w:rsidRPr="00E53D2C">
        <w:rPr>
          <w:rFonts w:eastAsia="Times New Roman"/>
        </w:rPr>
        <w:t xml:space="preserve">adoptions forcées, constitutifs de violations de la Convention, survenus dans </w:t>
      </w:r>
      <w:r>
        <w:rPr>
          <w:rFonts w:eastAsia="Times New Roman"/>
        </w:rPr>
        <w:t>d</w:t>
      </w:r>
      <w:r w:rsidRPr="00E53D2C">
        <w:rPr>
          <w:rFonts w:eastAsia="Times New Roman"/>
        </w:rPr>
        <w:t>es foyers pour mères et nourrissons et institutions analogues du pays, si les auteurs de tels actes ont été poursuivis et sanctionnés, et si les victimes de violations des droits consacrés par la Convention ont obtenu réparation au cours de la période considérée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t xml:space="preserve">Si les informations relatives aux mauvais traitements commis dans </w:t>
      </w:r>
      <w:r>
        <w:rPr>
          <w:rFonts w:eastAsia="Times New Roman"/>
        </w:rPr>
        <w:t>d</w:t>
      </w:r>
      <w:r w:rsidRPr="00E53D2C">
        <w:rPr>
          <w:rFonts w:eastAsia="Times New Roman"/>
        </w:rPr>
        <w:t>es foyers pour mères et nourrissons et les institutions analogues sont mises à la disposition du public dans toute la mesure du possible.</w:t>
      </w:r>
    </w:p>
    <w:p w:rsidR="0008628C" w:rsidRPr="00E53D2C" w:rsidRDefault="0008628C" w:rsidP="0008628C">
      <w:pPr>
        <w:pStyle w:val="H23G"/>
      </w:pPr>
      <w:r w:rsidRPr="00E53D2C">
        <w:tab/>
      </w:r>
      <w:r w:rsidRPr="00E53D2C">
        <w:tab/>
        <w:t>Article</w:t>
      </w:r>
      <w:r>
        <w:t> </w:t>
      </w:r>
      <w:r w:rsidRPr="00E53D2C">
        <w:t>16</w:t>
      </w:r>
    </w:p>
    <w:p w:rsidR="0008628C" w:rsidRPr="00E53D2C" w:rsidRDefault="0008628C" w:rsidP="0008628C">
      <w:pPr>
        <w:pStyle w:val="SingleTxtG"/>
      </w:pPr>
      <w:r w:rsidRPr="00E53D2C">
        <w:t>1</w:t>
      </w:r>
      <w:r>
        <w:t>5</w:t>
      </w:r>
      <w:r w:rsidRPr="00E53D2C">
        <w:t>.</w:t>
      </w:r>
      <w:r w:rsidRPr="00E53D2C">
        <w:tab/>
        <w:t>Eu égard aux précédentes observations finales du Comité (par.</w:t>
      </w:r>
      <w:r>
        <w:t> </w:t>
      </w:r>
      <w:r w:rsidRPr="00E53D2C">
        <w:t>2</w:t>
      </w:r>
      <w:r>
        <w:t>9</w:t>
      </w:r>
      <w:r w:rsidRPr="00E53D2C">
        <w:t xml:space="preserve"> et </w:t>
      </w:r>
      <w:r>
        <w:t>30</w:t>
      </w:r>
      <w:r w:rsidRPr="00E53D2C">
        <w:t>), indiquer si les femmes ayant survécu à une symphyséotomie ont pu obtenir réparation, y</w:t>
      </w:r>
      <w:r>
        <w:t> </w:t>
      </w:r>
      <w:r w:rsidRPr="00E53D2C">
        <w:t>compris une indemnisation et des mesures de réadaptation déterminées au cas par cas, au cours de la période considérée. Préciser si des mesures particulières ont été prises pour pallier les lacunes du</w:t>
      </w:r>
      <w:r>
        <w:t xml:space="preserve"> rapport sur la pratique de la </w:t>
      </w:r>
      <w:r w:rsidRPr="00E53D2C">
        <w:t>symphyséotomie</w:t>
      </w:r>
      <w:r>
        <w:t xml:space="preserve"> en Irlande (1944-1984), dit</w:t>
      </w:r>
      <w:r w:rsidRPr="00E53D2C">
        <w:t xml:space="preserve"> </w:t>
      </w:r>
      <w:r>
        <w:t>« </w:t>
      </w:r>
      <w:r w:rsidRPr="00E53D2C">
        <w:t>rapport Walsh</w:t>
      </w:r>
      <w:r>
        <w:t> »</w:t>
      </w:r>
      <w:r w:rsidRPr="00E53D2C">
        <w:t>. En outre, fournir des renseignements sur les enquêtes et procédures pénales engagées pendant la période considérée contre les auteurs de violations de la Convention en lien avec la symphyséotomie, en particulier contre des médecins ayant refusé, pour des raisons plus religieuses que médicales, de réaliser d</w:t>
      </w:r>
      <w:r>
        <w:t>’</w:t>
      </w:r>
      <w:r w:rsidRPr="00E53D2C">
        <w:t>autres interventions qui auraient entraîné beaucoup moins de douleurs et de souffrances. Enfin, indiquer si les femmes qui ont survécu à une symphyséotomie et ont été indemnisées par l</w:t>
      </w:r>
      <w:r>
        <w:t>’</w:t>
      </w:r>
      <w:r w:rsidRPr="00E53D2C">
        <w:t>État ont dû, pour recevoir cette indemnisation, renoncer à leur droit d</w:t>
      </w:r>
      <w:r>
        <w:t>’</w:t>
      </w:r>
      <w:r w:rsidRPr="00E53D2C">
        <w:t>engager une action en justice tant contre les acteurs privés que les acteurs publics.</w:t>
      </w:r>
    </w:p>
    <w:p w:rsidR="0008628C" w:rsidRPr="00E53D2C" w:rsidRDefault="0008628C" w:rsidP="0008628C">
      <w:pPr>
        <w:pStyle w:val="SingleTxtG"/>
      </w:pPr>
      <w:r w:rsidRPr="00E53D2C">
        <w:t>1</w:t>
      </w:r>
      <w:r>
        <w:t>6</w:t>
      </w:r>
      <w:r w:rsidRPr="00E53D2C">
        <w:t>.</w:t>
      </w:r>
      <w:r w:rsidRPr="00E53D2C">
        <w:tab/>
        <w:t>Eu égard aux précédentes observations finales du Comité (par.</w:t>
      </w:r>
      <w:r>
        <w:t> </w:t>
      </w:r>
      <w:r w:rsidRPr="00E53D2C">
        <w:t>35 et 36), donner des renseignements actualisés sur :</w:t>
      </w:r>
    </w:p>
    <w:p w:rsidR="0008628C" w:rsidRPr="00E53D2C" w:rsidRDefault="0008628C" w:rsidP="0008628C">
      <w:pPr>
        <w:pStyle w:val="SingleTxtG"/>
        <w:ind w:firstLine="567"/>
        <w:rPr>
          <w:rFonts w:eastAsia="Times New Roman"/>
        </w:rPr>
      </w:pPr>
      <w:r w:rsidRPr="00E53D2C">
        <w:rPr>
          <w:rFonts w:eastAsia="Times New Roman"/>
        </w:rPr>
        <w:t>a)</w:t>
      </w:r>
      <w:r w:rsidRPr="00E53D2C">
        <w:rPr>
          <w:rFonts w:eastAsia="Times New Roman"/>
        </w:rPr>
        <w:tab/>
      </w:r>
      <w:r w:rsidRPr="007D7E97">
        <w:rPr>
          <w:rFonts w:eastAsia="Times New Roman"/>
        </w:rPr>
        <w:t>Les mesures prises par l</w:t>
      </w:r>
      <w:r>
        <w:rPr>
          <w:rFonts w:eastAsia="Times New Roman"/>
        </w:rPr>
        <w:t>’</w:t>
      </w:r>
      <w:r w:rsidRPr="007D7E97">
        <w:rPr>
          <w:rFonts w:eastAsia="Times New Roman"/>
        </w:rPr>
        <w:t>État partie pour abroger la loi de 1871 sur les règles applicables à l</w:t>
      </w:r>
      <w:r>
        <w:rPr>
          <w:rFonts w:eastAsia="Times New Roman"/>
        </w:rPr>
        <w:t>’</w:t>
      </w:r>
      <w:r w:rsidRPr="007D7E97">
        <w:rPr>
          <w:rFonts w:eastAsia="Times New Roman"/>
        </w:rPr>
        <w:t>aliénation mentale (Irlande), s</w:t>
      </w:r>
      <w:r>
        <w:rPr>
          <w:rFonts w:eastAsia="Times New Roman"/>
        </w:rPr>
        <w:t>’</w:t>
      </w:r>
      <w:r w:rsidRPr="007D7E97">
        <w:rPr>
          <w:rFonts w:eastAsia="Times New Roman"/>
        </w:rPr>
        <w:t xml:space="preserve">agissant en particulier du dispositif de tutelle ; selon </w:t>
      </w:r>
      <w:r w:rsidRPr="0008628C">
        <w:t>certaines</w:t>
      </w:r>
      <w:r w:rsidRPr="007D7E97">
        <w:rPr>
          <w:rFonts w:eastAsia="Times New Roman"/>
        </w:rPr>
        <w:t xml:space="preserve"> informations, ce dispositif, qui ne prévoirait ni garanties judicia</w:t>
      </w:r>
      <w:r>
        <w:rPr>
          <w:rFonts w:eastAsia="Times New Roman"/>
        </w:rPr>
        <w:t>i</w:t>
      </w:r>
      <w:r w:rsidRPr="007D7E97">
        <w:rPr>
          <w:rFonts w:eastAsia="Times New Roman"/>
        </w:rPr>
        <w:t>res ni le respect d</w:t>
      </w:r>
      <w:r>
        <w:rPr>
          <w:rFonts w:eastAsia="Times New Roman"/>
        </w:rPr>
        <w:t>’</w:t>
      </w:r>
      <w:r w:rsidRPr="007D7E97">
        <w:rPr>
          <w:rFonts w:eastAsia="Times New Roman"/>
        </w:rPr>
        <w:t>une procédure régulière, s</w:t>
      </w:r>
      <w:r>
        <w:rPr>
          <w:rFonts w:eastAsia="Times New Roman"/>
        </w:rPr>
        <w:t>’</w:t>
      </w:r>
      <w:r w:rsidRPr="007D7E97">
        <w:rPr>
          <w:rFonts w:eastAsia="Times New Roman"/>
        </w:rPr>
        <w:t>applique actuellement à plus de 3 000 adultes</w:t>
      </w:r>
      <w:r w:rsidRPr="000E6068">
        <w:rPr>
          <w:rFonts w:eastAsia="Times New Roman"/>
        </w:rPr>
        <w:t> ;</w:t>
      </w:r>
    </w:p>
    <w:p w:rsidR="0008628C" w:rsidRPr="00E53D2C" w:rsidRDefault="0008628C" w:rsidP="0008628C">
      <w:pPr>
        <w:pStyle w:val="SingleTxtG"/>
        <w:ind w:firstLine="567"/>
        <w:rPr>
          <w:rFonts w:eastAsia="Times New Roman"/>
        </w:rPr>
      </w:pPr>
      <w:r w:rsidRPr="00E53D2C">
        <w:rPr>
          <w:rFonts w:eastAsia="Times New Roman"/>
        </w:rPr>
        <w:t>b)</w:t>
      </w:r>
      <w:r w:rsidRPr="00E53D2C">
        <w:rPr>
          <w:rFonts w:eastAsia="Times New Roman"/>
        </w:rPr>
        <w:tab/>
        <w:t>Les mesures concrètes prises au cours de la période considérée pour faire de l</w:t>
      </w:r>
      <w:r>
        <w:rPr>
          <w:rFonts w:eastAsia="Times New Roman"/>
        </w:rPr>
        <w:t>’</w:t>
      </w:r>
      <w:r w:rsidRPr="00E53D2C">
        <w:rPr>
          <w:rFonts w:eastAsia="Times New Roman"/>
        </w:rPr>
        <w:t xml:space="preserve">entrée en vigueur de la loi de 2015 sur la prise de décisions assistée (capacité) une priorité, allouer des ressources suffisantes à sa mise en œuvre et veiller à ce que la capacité des personnes </w:t>
      </w:r>
      <w:r w:rsidRPr="0008628C">
        <w:t>actuellement</w:t>
      </w:r>
      <w:r w:rsidRPr="00E53D2C">
        <w:rPr>
          <w:rFonts w:eastAsia="Times New Roman"/>
        </w:rPr>
        <w:t xml:space="preserve"> placées sous tutelle soit réévaluée dans le cadre de la nouvelle loi et à ce que les personnes faisant l</w:t>
      </w:r>
      <w:r>
        <w:rPr>
          <w:rFonts w:eastAsia="Times New Roman"/>
        </w:rPr>
        <w:t>’</w:t>
      </w:r>
      <w:r w:rsidRPr="00E53D2C">
        <w:rPr>
          <w:rFonts w:eastAsia="Times New Roman"/>
        </w:rPr>
        <w:t>objet de cet examen bénéficient de l</w:t>
      </w:r>
      <w:r>
        <w:rPr>
          <w:rFonts w:eastAsia="Times New Roman"/>
        </w:rPr>
        <w:t>’</w:t>
      </w:r>
      <w:r w:rsidRPr="00E53D2C">
        <w:rPr>
          <w:rFonts w:eastAsia="Times New Roman"/>
        </w:rPr>
        <w:t>aide juridictionnelle ; préciser aussi les mesures prises pour se défaire de la vision « tutélaire » de la prise en charge, qui encourage le respect et l</w:t>
      </w:r>
      <w:r>
        <w:rPr>
          <w:rFonts w:eastAsia="Times New Roman"/>
        </w:rPr>
        <w:t>’</w:t>
      </w:r>
      <w:r w:rsidRPr="00E53D2C">
        <w:rPr>
          <w:rFonts w:eastAsia="Times New Roman"/>
        </w:rPr>
        <w:t>obéissance plutôt que l</w:t>
      </w:r>
      <w:r>
        <w:rPr>
          <w:rFonts w:eastAsia="Times New Roman"/>
        </w:rPr>
        <w:t>’</w:t>
      </w:r>
      <w:r w:rsidRPr="00E53D2C">
        <w:rPr>
          <w:rFonts w:eastAsia="Times New Roman"/>
        </w:rPr>
        <w:t>affirmation de soi, au profit d</w:t>
      </w:r>
      <w:r>
        <w:rPr>
          <w:rFonts w:eastAsia="Times New Roman"/>
        </w:rPr>
        <w:t>’</w:t>
      </w:r>
      <w:r w:rsidRPr="00E53D2C">
        <w:rPr>
          <w:rFonts w:eastAsia="Times New Roman"/>
        </w:rPr>
        <w:t>un modèle axé sur le soutien ;</w:t>
      </w:r>
    </w:p>
    <w:p w:rsidR="0008628C" w:rsidRPr="00E53D2C" w:rsidRDefault="0008628C" w:rsidP="0008628C">
      <w:pPr>
        <w:pStyle w:val="SingleTxtG"/>
        <w:ind w:firstLine="567"/>
        <w:rPr>
          <w:rFonts w:eastAsia="Times New Roman"/>
        </w:rPr>
      </w:pPr>
      <w:r w:rsidRPr="00E53D2C">
        <w:rPr>
          <w:rFonts w:eastAsia="Times New Roman"/>
        </w:rPr>
        <w:t>c)</w:t>
      </w:r>
      <w:r w:rsidRPr="00E53D2C">
        <w:rPr>
          <w:rFonts w:eastAsia="Times New Roman"/>
        </w:rPr>
        <w:tab/>
      </w:r>
      <w:r w:rsidRPr="003936A9">
        <w:rPr>
          <w:rFonts w:eastAsia="Times New Roman"/>
        </w:rPr>
        <w:t>Les mesures prises pour que</w:t>
      </w:r>
      <w:r w:rsidRPr="00AE285B">
        <w:rPr>
          <w:rFonts w:eastAsia="Times New Roman"/>
        </w:rPr>
        <w:t xml:space="preserve"> </w:t>
      </w:r>
      <w:r>
        <w:rPr>
          <w:rFonts w:eastAsia="Times New Roman"/>
        </w:rPr>
        <w:t>l’adoption du</w:t>
      </w:r>
      <w:r w:rsidRPr="00AE285B">
        <w:rPr>
          <w:rFonts w:eastAsia="Times New Roman"/>
        </w:rPr>
        <w:t xml:space="preserve"> projet de loi relatif à l</w:t>
      </w:r>
      <w:r>
        <w:rPr>
          <w:rFonts w:eastAsia="Times New Roman"/>
        </w:rPr>
        <w:t>’</w:t>
      </w:r>
      <w:r w:rsidRPr="00AE285B">
        <w:rPr>
          <w:rFonts w:eastAsia="Times New Roman"/>
        </w:rPr>
        <w:t>inspection des lieux de détention</w:t>
      </w:r>
      <w:r>
        <w:rPr>
          <w:rFonts w:eastAsia="Times New Roman"/>
        </w:rPr>
        <w:t xml:space="preserve">, en vue de la ratification par l’État partie du Protocole facultatif se </w:t>
      </w:r>
      <w:r w:rsidRPr="0008628C">
        <w:t>rapportant</w:t>
      </w:r>
      <w:r>
        <w:rPr>
          <w:rFonts w:eastAsia="Times New Roman"/>
        </w:rPr>
        <w:t xml:space="preserve"> à la Convention,</w:t>
      </w:r>
      <w:r w:rsidRPr="00AE285B">
        <w:rPr>
          <w:rFonts w:eastAsia="Times New Roman"/>
        </w:rPr>
        <w:t xml:space="preserve"> prévoie un contrôle indépendant</w:t>
      </w:r>
      <w:r>
        <w:rPr>
          <w:rFonts w:eastAsia="Times New Roman"/>
        </w:rPr>
        <w:t xml:space="preserve">, par un </w:t>
      </w:r>
      <w:r w:rsidRPr="00E53D2C">
        <w:rPr>
          <w:rFonts w:eastAsia="Times New Roman"/>
        </w:rPr>
        <w:t>mécanisme nationa</w:t>
      </w:r>
      <w:r>
        <w:rPr>
          <w:rFonts w:eastAsia="Times New Roman"/>
        </w:rPr>
        <w:t>l</w:t>
      </w:r>
      <w:r w:rsidRPr="00E53D2C">
        <w:rPr>
          <w:rFonts w:eastAsia="Times New Roman"/>
        </w:rPr>
        <w:t xml:space="preserve"> de prévention</w:t>
      </w:r>
      <w:r>
        <w:rPr>
          <w:rFonts w:eastAsia="Times New Roman"/>
        </w:rPr>
        <w:t>,</w:t>
      </w:r>
      <w:r w:rsidRPr="00AE285B">
        <w:rPr>
          <w:rFonts w:eastAsia="Times New Roman"/>
        </w:rPr>
        <w:t xml:space="preserve"> des institutions de soins et des centres d</w:t>
      </w:r>
      <w:r>
        <w:rPr>
          <w:rFonts w:eastAsia="Times New Roman"/>
        </w:rPr>
        <w:t>’</w:t>
      </w:r>
      <w:r w:rsidRPr="00AE285B">
        <w:rPr>
          <w:rFonts w:eastAsia="Times New Roman"/>
        </w:rPr>
        <w:t xml:space="preserve">hébergement collectif pour les personnes âgées et les </w:t>
      </w:r>
      <w:r w:rsidRPr="00BF003C">
        <w:rPr>
          <w:rFonts w:eastAsia="Times New Roman"/>
        </w:rPr>
        <w:t>personnes handicapées, en particulier les personnes présentant un handicap intellectuel, ainsi</w:t>
      </w:r>
      <w:r w:rsidRPr="00E80D3C">
        <w:rPr>
          <w:rFonts w:eastAsia="Times New Roman"/>
        </w:rPr>
        <w:t xml:space="preserve"> que toutes les autres mesures prises dans les institutions, notamment les maisons de soins</w:t>
      </w:r>
      <w:r>
        <w:rPr>
          <w:rFonts w:eastAsia="Times New Roman"/>
        </w:rPr>
        <w:t xml:space="preserve"> </w:t>
      </w:r>
      <w:r w:rsidRPr="00E53D2C">
        <w:rPr>
          <w:rFonts w:eastAsia="Times New Roman"/>
        </w:rPr>
        <w:t>et les prisons,</w:t>
      </w:r>
      <w:r>
        <w:rPr>
          <w:rFonts w:eastAsia="Times New Roman"/>
        </w:rPr>
        <w:t xml:space="preserve"> dans lesquelles des personnes handicapées peuvent être placées sans pouvoir en partir</w:t>
      </w:r>
      <w:r w:rsidRPr="00E53D2C">
        <w:rPr>
          <w:rFonts w:eastAsia="Times New Roman"/>
        </w:rPr>
        <w:t> ; indiquer en outre si les personnes qui résident dans ces structures peuvent soumettre des plaintes, y</w:t>
      </w:r>
      <w:r>
        <w:rPr>
          <w:rFonts w:eastAsia="Times New Roman"/>
        </w:rPr>
        <w:t> </w:t>
      </w:r>
      <w:r w:rsidRPr="00E53D2C">
        <w:rPr>
          <w:rFonts w:eastAsia="Times New Roman"/>
        </w:rPr>
        <w:t>compris concernant des décisions médicales, à ces mécanismes de contrôle indépendants, si les personnes soupçonnées d</w:t>
      </w:r>
      <w:r>
        <w:rPr>
          <w:rFonts w:eastAsia="Times New Roman"/>
        </w:rPr>
        <w:t>’</w:t>
      </w:r>
      <w:r w:rsidRPr="00E53D2C">
        <w:rPr>
          <w:rFonts w:eastAsia="Times New Roman"/>
        </w:rPr>
        <w:t>avoir commis des mauvais traitements, y compris d</w:t>
      </w:r>
      <w:r>
        <w:rPr>
          <w:rFonts w:eastAsia="Times New Roman"/>
        </w:rPr>
        <w:t>’</w:t>
      </w:r>
      <w:r w:rsidRPr="00E53D2C">
        <w:rPr>
          <w:rFonts w:eastAsia="Times New Roman"/>
        </w:rPr>
        <w:t>avoir recouru de manière abusive à la contention chimique, dans les institutions de soins ont fait l</w:t>
      </w:r>
      <w:r>
        <w:rPr>
          <w:rFonts w:eastAsia="Times New Roman"/>
        </w:rPr>
        <w:t>’</w:t>
      </w:r>
      <w:r w:rsidRPr="00E53D2C">
        <w:rPr>
          <w:rFonts w:eastAsia="Times New Roman"/>
        </w:rPr>
        <w:t>objet d</w:t>
      </w:r>
      <w:r>
        <w:rPr>
          <w:rFonts w:eastAsia="Times New Roman"/>
        </w:rPr>
        <w:t>’</w:t>
      </w:r>
      <w:r w:rsidRPr="00E53D2C">
        <w:rPr>
          <w:rFonts w:eastAsia="Times New Roman"/>
        </w:rPr>
        <w:t>enquêtes et de poursuites au cours de la période considérée, et si les victimes ont obtenu une quelconque réparation ;</w:t>
      </w:r>
    </w:p>
    <w:p w:rsidR="0008628C" w:rsidRPr="00E53D2C" w:rsidRDefault="0008628C" w:rsidP="0008628C">
      <w:pPr>
        <w:pStyle w:val="SingleTxtG"/>
        <w:ind w:firstLine="567"/>
        <w:rPr>
          <w:rFonts w:eastAsia="Times New Roman"/>
        </w:rPr>
      </w:pPr>
      <w:r w:rsidRPr="00E53D2C">
        <w:rPr>
          <w:rFonts w:eastAsia="Times New Roman"/>
        </w:rPr>
        <w:t>d)</w:t>
      </w:r>
      <w:r w:rsidRPr="00E53D2C">
        <w:rPr>
          <w:rFonts w:eastAsia="Times New Roman"/>
        </w:rPr>
        <w:tab/>
        <w:t>Si les institutions pour personnes handicapées rattachées à des congrégations religieuses continuent de ne faire l</w:t>
      </w:r>
      <w:r>
        <w:rPr>
          <w:rFonts w:eastAsia="Times New Roman"/>
        </w:rPr>
        <w:t>’</w:t>
      </w:r>
      <w:r w:rsidRPr="00E53D2C">
        <w:rPr>
          <w:rFonts w:eastAsia="Times New Roman"/>
        </w:rPr>
        <w:t>objet d</w:t>
      </w:r>
      <w:r>
        <w:rPr>
          <w:rFonts w:eastAsia="Times New Roman"/>
        </w:rPr>
        <w:t>’</w:t>
      </w:r>
      <w:r w:rsidRPr="00E53D2C">
        <w:rPr>
          <w:rFonts w:eastAsia="Times New Roman"/>
        </w:rPr>
        <w:t>aucun contrôle quant aux normes qu</w:t>
      </w:r>
      <w:r>
        <w:rPr>
          <w:rFonts w:eastAsia="Times New Roman"/>
        </w:rPr>
        <w:t>’</w:t>
      </w:r>
      <w:r w:rsidRPr="00E53D2C">
        <w:rPr>
          <w:rFonts w:eastAsia="Times New Roman"/>
        </w:rPr>
        <w:t>elles appliquent et aux pratiques qu</w:t>
      </w:r>
      <w:r>
        <w:rPr>
          <w:rFonts w:eastAsia="Times New Roman"/>
        </w:rPr>
        <w:t>’</w:t>
      </w:r>
      <w:r w:rsidRPr="00E53D2C">
        <w:rPr>
          <w:rFonts w:eastAsia="Times New Roman"/>
        </w:rPr>
        <w:t>elles adoptent, et si les personnes placées sous tutelle sont toujours privées, dans les faits, de la possibilité d</w:t>
      </w:r>
      <w:r>
        <w:rPr>
          <w:rFonts w:eastAsia="Times New Roman"/>
        </w:rPr>
        <w:t>’</w:t>
      </w:r>
      <w:r w:rsidRPr="00E53D2C">
        <w:rPr>
          <w:rFonts w:eastAsia="Times New Roman"/>
        </w:rPr>
        <w:t>obtenir réparation</w:t>
      </w:r>
      <w:r>
        <w:rPr>
          <w:rFonts w:eastAsia="Times New Roman"/>
        </w:rPr>
        <w:t> </w:t>
      </w:r>
      <w:r w:rsidRPr="00E53D2C">
        <w:rPr>
          <w:rFonts w:eastAsia="Times New Roman"/>
        </w:rPr>
        <w:t>; préciser les mesures prises comme suite à la publication par la Commission irlandaise de réforme du droit, le</w:t>
      </w:r>
      <w:r>
        <w:rPr>
          <w:rFonts w:eastAsia="Times New Roman"/>
        </w:rPr>
        <w:t> </w:t>
      </w:r>
      <w:r w:rsidRPr="00E53D2C">
        <w:rPr>
          <w:rFonts w:eastAsia="Times New Roman"/>
        </w:rPr>
        <w:t>29</w:t>
      </w:r>
      <w:r>
        <w:rPr>
          <w:rFonts w:eastAsia="Times New Roman"/>
        </w:rPr>
        <w:t> </w:t>
      </w:r>
      <w:r w:rsidRPr="00E53D2C">
        <w:rPr>
          <w:rFonts w:eastAsia="Times New Roman"/>
        </w:rPr>
        <w:t>janvier 2020, d</w:t>
      </w:r>
      <w:r>
        <w:rPr>
          <w:rFonts w:eastAsia="Times New Roman"/>
        </w:rPr>
        <w:t>’</w:t>
      </w:r>
      <w:r w:rsidRPr="00E53D2C">
        <w:rPr>
          <w:rFonts w:eastAsia="Times New Roman"/>
        </w:rPr>
        <w:t>un document de réflexion sur le cadre régissant la tutelle des adultes (</w:t>
      </w:r>
      <w:r w:rsidRPr="00E53D2C">
        <w:rPr>
          <w:rFonts w:eastAsia="Times New Roman"/>
          <w:i/>
        </w:rPr>
        <w:t>A Regulatory Framework for Adult Safeguarding</w:t>
      </w:r>
      <w:r w:rsidRPr="00E53D2C">
        <w:rPr>
          <w:rFonts w:eastAsia="Times New Roman"/>
        </w:rPr>
        <w:t>) ;</w:t>
      </w:r>
    </w:p>
    <w:p w:rsidR="0008628C" w:rsidRPr="00E53D2C" w:rsidRDefault="0008628C" w:rsidP="0008628C">
      <w:pPr>
        <w:pStyle w:val="SingleTxtG"/>
        <w:ind w:firstLine="567"/>
        <w:rPr>
          <w:rFonts w:eastAsia="Times New Roman"/>
        </w:rPr>
      </w:pPr>
      <w:r w:rsidRPr="00E53D2C">
        <w:rPr>
          <w:rFonts w:eastAsia="Times New Roman"/>
        </w:rPr>
        <w:t>e)</w:t>
      </w:r>
      <w:r w:rsidRPr="00E53D2C">
        <w:rPr>
          <w:rFonts w:eastAsia="Times New Roman"/>
        </w:rPr>
        <w:tab/>
      </w:r>
      <w:r w:rsidRPr="006A7A33">
        <w:rPr>
          <w:rFonts w:eastAsia="Times New Roman"/>
        </w:rPr>
        <w:t>Les activités de suivi réalisées jusqu</w:t>
      </w:r>
      <w:r>
        <w:rPr>
          <w:rFonts w:eastAsia="Times New Roman"/>
        </w:rPr>
        <w:t>’</w:t>
      </w:r>
      <w:r w:rsidRPr="006A7A33">
        <w:rPr>
          <w:rFonts w:eastAsia="Times New Roman"/>
        </w:rPr>
        <w:t>à présent dans le cadre de la stratégie nationale en faveur de l</w:t>
      </w:r>
      <w:r>
        <w:rPr>
          <w:rFonts w:eastAsia="Times New Roman"/>
        </w:rPr>
        <w:t>’</w:t>
      </w:r>
      <w:r w:rsidRPr="006A7A33">
        <w:rPr>
          <w:rFonts w:eastAsia="Times New Roman"/>
        </w:rPr>
        <w:t>inclusion</w:t>
      </w:r>
      <w:r w:rsidRPr="00E53D2C">
        <w:rPr>
          <w:rFonts w:eastAsia="Times New Roman"/>
        </w:rPr>
        <w:t xml:space="preserve"> des personnes handicapées</w:t>
      </w:r>
      <w:r>
        <w:rPr>
          <w:rFonts w:eastAsia="Times New Roman"/>
        </w:rPr>
        <w:t xml:space="preserve"> </w:t>
      </w:r>
      <w:r w:rsidRPr="00C8199F">
        <w:rPr>
          <w:rFonts w:eastAsia="Times New Roman"/>
        </w:rPr>
        <w:t>(2017</w:t>
      </w:r>
      <w:r>
        <w:rPr>
          <w:rFonts w:eastAsia="Times New Roman"/>
        </w:rPr>
        <w:t>-</w:t>
      </w:r>
      <w:r w:rsidRPr="00C8199F">
        <w:rPr>
          <w:rFonts w:eastAsia="Times New Roman"/>
        </w:rPr>
        <w:t>2021)</w:t>
      </w:r>
      <w:r w:rsidRPr="00E53D2C">
        <w:rPr>
          <w:rFonts w:eastAsia="Times New Roman"/>
        </w:rPr>
        <w:t>, compte tenu de l</w:t>
      </w:r>
      <w:r>
        <w:rPr>
          <w:rFonts w:eastAsia="Times New Roman"/>
        </w:rPr>
        <w:t>’</w:t>
      </w:r>
      <w:r w:rsidRPr="00E53D2C">
        <w:rPr>
          <w:rFonts w:eastAsia="Times New Roman"/>
        </w:rPr>
        <w:t xml:space="preserve">entrée en </w:t>
      </w:r>
      <w:r w:rsidRPr="0008628C">
        <w:t>vigueur</w:t>
      </w:r>
      <w:r w:rsidRPr="00E53D2C">
        <w:rPr>
          <w:rFonts w:eastAsia="Times New Roman"/>
        </w:rPr>
        <w:t>, dans l</w:t>
      </w:r>
      <w:r>
        <w:rPr>
          <w:rFonts w:eastAsia="Times New Roman"/>
        </w:rPr>
        <w:t>’</w:t>
      </w:r>
      <w:r w:rsidRPr="00E53D2C">
        <w:rPr>
          <w:rFonts w:eastAsia="Times New Roman"/>
        </w:rPr>
        <w:t>État partie, le 19 avril 2018, de la Convention des Nations</w:t>
      </w:r>
      <w:r>
        <w:rPr>
          <w:rFonts w:eastAsia="Times New Roman"/>
        </w:rPr>
        <w:t> </w:t>
      </w:r>
      <w:r w:rsidRPr="00E53D2C">
        <w:rPr>
          <w:rFonts w:eastAsia="Times New Roman"/>
        </w:rPr>
        <w:t>Unies relative aux droits des personnes handicapées</w:t>
      </w:r>
      <w:r>
        <w:rPr>
          <w:rFonts w:eastAsia="Times New Roman"/>
        </w:rPr>
        <w:t xml:space="preserve"> </w:t>
      </w:r>
      <w:r w:rsidRPr="00B77657">
        <w:rPr>
          <w:rFonts w:eastAsia="Times New Roman"/>
        </w:rPr>
        <w:t>(CAT/C/IRL/CO/2/Add.1, par.</w:t>
      </w:r>
      <w:r w:rsidR="00B51F6D">
        <w:rPr>
          <w:rFonts w:eastAsia="Times New Roman"/>
        </w:rPr>
        <w:t> </w:t>
      </w:r>
      <w:r w:rsidRPr="00B77657">
        <w:rPr>
          <w:rFonts w:eastAsia="Times New Roman"/>
        </w:rPr>
        <w:t>47)</w:t>
      </w:r>
      <w:r w:rsidRPr="00E53D2C">
        <w:rPr>
          <w:rFonts w:eastAsia="Times New Roman"/>
        </w:rPr>
        <w:t> ; donner en outre des informations sur l</w:t>
      </w:r>
      <w:r>
        <w:rPr>
          <w:rFonts w:eastAsia="Times New Roman"/>
        </w:rPr>
        <w:t>’</w:t>
      </w:r>
      <w:r w:rsidRPr="00E53D2C">
        <w:rPr>
          <w:rFonts w:eastAsia="Times New Roman"/>
        </w:rPr>
        <w:t>entrée en vigueur de la loi de 2018 portant modification de la loi relative à la santé mentale, dans laquelle la définition de « patient volontaire » a été révisée.</w:t>
      </w:r>
    </w:p>
    <w:p w:rsidR="0008628C" w:rsidRPr="00E53D2C" w:rsidRDefault="0008628C" w:rsidP="0008628C">
      <w:pPr>
        <w:pStyle w:val="SingleTxtG"/>
      </w:pPr>
      <w:r w:rsidRPr="00E53D2C">
        <w:t>1</w:t>
      </w:r>
      <w:r>
        <w:t>7</w:t>
      </w:r>
      <w:r w:rsidRPr="00E53D2C">
        <w:t>.</w:t>
      </w:r>
      <w:r w:rsidRPr="00E53D2C">
        <w:tab/>
        <w:t>Eu égard aux précédentes observations finales du Comité (par. 33 et 34), fournir des renseignements actualisés sur les poursuites engagées pendant la période considérée contre les personnes ayant enfreint la loi incriminant le fait d</w:t>
      </w:r>
      <w:r>
        <w:t>’</w:t>
      </w:r>
      <w:r w:rsidRPr="00E53D2C">
        <w:t>emmener une fille hors d</w:t>
      </w:r>
      <w:r>
        <w:t>’</w:t>
      </w:r>
      <w:r w:rsidRPr="00E53D2C">
        <w:t>Irlande pour lui faire subir des mutilations génitales, ainsi que sur les mesures prises pour revoir le critère de la double incrimination prévu en droit interne.</w:t>
      </w:r>
    </w:p>
    <w:p w:rsidR="0008628C" w:rsidRPr="00E53D2C" w:rsidRDefault="0008628C" w:rsidP="0008628C">
      <w:pPr>
        <w:pStyle w:val="H23G"/>
        <w:rPr>
          <w:lang w:eastAsia="es-ES"/>
        </w:rPr>
      </w:pPr>
      <w:r w:rsidRPr="00E53D2C">
        <w:rPr>
          <w:lang w:eastAsia="es-ES"/>
        </w:rPr>
        <w:tab/>
      </w:r>
      <w:r w:rsidRPr="00E53D2C">
        <w:rPr>
          <w:lang w:eastAsia="es-ES"/>
        </w:rPr>
        <w:tab/>
        <w:t>Autres questions</w:t>
      </w:r>
    </w:p>
    <w:p w:rsidR="0008628C" w:rsidRDefault="0008628C" w:rsidP="0008628C">
      <w:pPr>
        <w:pStyle w:val="SingleTxtG"/>
      </w:pPr>
      <w:r>
        <w:t>18</w:t>
      </w:r>
      <w:r w:rsidRPr="00E53D2C">
        <w:t>.</w:t>
      </w:r>
      <w:r w:rsidRPr="00E53D2C">
        <w:tab/>
        <w:t>Donner des renseignements à jour sur les mesures que l</w:t>
      </w:r>
      <w:r>
        <w:t>’</w:t>
      </w:r>
      <w:r w:rsidRPr="00E53D2C">
        <w:t>État partie a prises pour répondre à la menace d</w:t>
      </w:r>
      <w:r>
        <w:t>’</w:t>
      </w:r>
      <w:r w:rsidRPr="00E53D2C">
        <w:t>actes terroristes. Indiquer si ces mesures ont porté atteinte, en droit et en pratique, aux garanties concernant les droits de l</w:t>
      </w:r>
      <w:r>
        <w:t>’</w:t>
      </w:r>
      <w:r w:rsidRPr="00E53D2C">
        <w:t>homme et, si tel est le cas, de quelle manière. Indiquer également comment l</w:t>
      </w:r>
      <w:r>
        <w:t>’</w:t>
      </w:r>
      <w:r w:rsidRPr="00E53D2C">
        <w:t>État partie assure la compatibilité de ces mesures avec toutes ses obligations en droit international, en particulier au regard de la Convention. En outre, donner des informations sur la formation dispensée aux agents de la force publique dans ce domaine, le nombre de personnes condamnées en application de la législation antiterroriste, les garanties juridiques assurées et les voies de recours ouvertes, en droit et en pratique, aux personnes visées par des mesures antiterroristes, et préciser si des plaintes pour non-respect des règles internationales ont été déposées et quelle en a été l</w:t>
      </w:r>
      <w:r>
        <w:t>’</w:t>
      </w:r>
      <w:r w:rsidRPr="00E53D2C">
        <w:t>issue.</w:t>
      </w:r>
    </w:p>
    <w:p w:rsidR="0008628C" w:rsidRPr="00E53D2C" w:rsidRDefault="0008628C" w:rsidP="0008628C">
      <w:pPr>
        <w:pStyle w:val="SingleTxtG"/>
      </w:pPr>
      <w:r>
        <w:t>19.</w:t>
      </w:r>
      <w:r w:rsidR="004461D4">
        <w:tab/>
      </w:r>
      <w:r w:rsidRPr="007E5664">
        <w:t>Étant donné que l</w:t>
      </w:r>
      <w:r>
        <w:t>’</w:t>
      </w:r>
      <w:r w:rsidRPr="007E5664">
        <w:t>interdiction de la torture est absolue et qu</w:t>
      </w:r>
      <w:r>
        <w:t>’</w:t>
      </w:r>
      <w:r w:rsidRPr="007E5664">
        <w:t>il ne peut y être dérogé, même dans le cadre de mesures liées à l</w:t>
      </w:r>
      <w:r>
        <w:t>’</w:t>
      </w:r>
      <w:r w:rsidRPr="007E5664">
        <w:t>état d</w:t>
      </w:r>
      <w:r>
        <w:t>’</w:t>
      </w:r>
      <w:r w:rsidRPr="007E5664">
        <w:t>urgence et à d</w:t>
      </w:r>
      <w:r>
        <w:t>’</w:t>
      </w:r>
      <w:r w:rsidRPr="007E5664">
        <w:t>autres circonstances exceptionnelles, donner des informations sur les dispositions que l</w:t>
      </w:r>
      <w:r>
        <w:t>’</w:t>
      </w:r>
      <w:r w:rsidRPr="007E5664">
        <w:t>État partie a prises pendant la pandémie de maladie à coronavirus (COVID-19) pour faire en sorte que ses politiques et actions soient conformes aux obligations mises à sa charge par la Convention. Donner en outre des précisions sur les mesures prises à l</w:t>
      </w:r>
      <w:r>
        <w:t>’</w:t>
      </w:r>
      <w:r w:rsidRPr="007E5664">
        <w:t>égard des personnes privées de liberté ou en situation de confinement, y</w:t>
      </w:r>
      <w:r w:rsidR="004461D4">
        <w:t> </w:t>
      </w:r>
      <w:r w:rsidRPr="007E5664">
        <w:t>compris dans des lieux tels que les foyers pour personnes âgées, les hôpitaux ou les établissements pour personnes présentant un handicap intellectuel ou psychosocial</w:t>
      </w:r>
      <w:r w:rsidR="0017666E">
        <w:t>.</w:t>
      </w:r>
      <w:bookmarkStart w:id="0" w:name="_GoBack"/>
      <w:bookmarkEnd w:id="0"/>
    </w:p>
    <w:p w:rsidR="0008628C" w:rsidRPr="00E53D2C" w:rsidRDefault="0008628C" w:rsidP="0008628C">
      <w:pPr>
        <w:pStyle w:val="H1G"/>
        <w:rPr>
          <w:lang w:eastAsia="es-ES"/>
        </w:rPr>
      </w:pPr>
      <w:r w:rsidRPr="0008628C">
        <w:rPr>
          <w:spacing w:val="-2"/>
          <w:lang w:eastAsia="es-ES"/>
        </w:rPr>
        <w:tab/>
      </w:r>
      <w:r w:rsidRPr="0008628C">
        <w:rPr>
          <w:spacing w:val="-2"/>
          <w:lang w:eastAsia="es-ES"/>
        </w:rPr>
        <w:tab/>
        <w:t>Renseignements d’ordre général sur les autres mesures et faits nouveaux</w:t>
      </w:r>
      <w:r w:rsidRPr="00E53D2C">
        <w:rPr>
          <w:lang w:eastAsia="es-ES"/>
        </w:rPr>
        <w:t xml:space="preserve"> concernant la mise en œuvre de la Convention dans l</w:t>
      </w:r>
      <w:r>
        <w:rPr>
          <w:lang w:eastAsia="es-ES"/>
        </w:rPr>
        <w:t>’</w:t>
      </w:r>
      <w:r w:rsidRPr="00E53D2C">
        <w:rPr>
          <w:lang w:eastAsia="es-ES"/>
        </w:rPr>
        <w:t>État partie</w:t>
      </w:r>
    </w:p>
    <w:p w:rsidR="001D14FC" w:rsidRDefault="0008628C" w:rsidP="0008628C">
      <w:pPr>
        <w:pStyle w:val="SingleTxtG"/>
      </w:pPr>
      <w:r>
        <w:t>20</w:t>
      </w:r>
      <w:r w:rsidRPr="00E53D2C">
        <w:t>.</w:t>
      </w:r>
      <w:r w:rsidRPr="00E53D2C">
        <w:tab/>
        <w:t>Donner des informations détaillées sur toute mesure pertinente d</w:t>
      </w:r>
      <w:r>
        <w:t>’</w:t>
      </w:r>
      <w:r w:rsidRPr="00E53D2C">
        <w:t>ordre législatif, administratif, judiciaire ou autre qui aurait été prise pour mettre en œuvre les dispositions de la Convention ou pour donner suite aux recommandations du Comité, y</w:t>
      </w:r>
      <w:r>
        <w:t> </w:t>
      </w:r>
      <w:r w:rsidRPr="00E53D2C">
        <w:t>compris les aménagements, plans ou programmes institutionnels. Préciser les ressources affectées aux mesures en question et fournir des données statistiques. Fournir également tout autre renseignement que l</w:t>
      </w:r>
      <w:r>
        <w:t>’</w:t>
      </w:r>
      <w:r w:rsidRPr="00E53D2C">
        <w:t>État partie juge utile.</w:t>
      </w:r>
    </w:p>
    <w:p w:rsidR="0008628C" w:rsidRPr="0008628C" w:rsidRDefault="0008628C" w:rsidP="0008628C">
      <w:pPr>
        <w:pStyle w:val="SingleTxtG"/>
        <w:spacing w:before="240" w:after="0"/>
        <w:jc w:val="center"/>
        <w:rPr>
          <w:u w:val="single"/>
        </w:rPr>
      </w:pPr>
      <w:r>
        <w:rPr>
          <w:u w:val="single"/>
        </w:rPr>
        <w:tab/>
      </w:r>
      <w:r>
        <w:rPr>
          <w:u w:val="single"/>
        </w:rPr>
        <w:tab/>
      </w:r>
      <w:r>
        <w:rPr>
          <w:u w:val="single"/>
        </w:rPr>
        <w:tab/>
      </w:r>
    </w:p>
    <w:sectPr w:rsidR="0008628C" w:rsidRPr="0008628C" w:rsidSect="005446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F6D" w:rsidRPr="009C4D45" w:rsidRDefault="00B51F6D" w:rsidP="009C4D45">
      <w:pPr>
        <w:pStyle w:val="Pieddepage"/>
      </w:pPr>
    </w:p>
  </w:endnote>
  <w:endnote w:type="continuationSeparator" w:id="0">
    <w:p w:rsidR="00B51F6D" w:rsidRPr="009C4D45" w:rsidRDefault="00B51F6D" w:rsidP="009C4D45">
      <w:pPr>
        <w:pStyle w:val="Pieddepage"/>
      </w:pPr>
    </w:p>
  </w:endnote>
  <w:endnote w:type="continuationNotice" w:id="1">
    <w:p w:rsidR="00B51F6D" w:rsidRDefault="00B51F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1F6D" w:rsidRPr="00544697" w:rsidRDefault="00B51F6D" w:rsidP="00544697">
    <w:pPr>
      <w:pStyle w:val="Pieddepage"/>
      <w:tabs>
        <w:tab w:val="right" w:pos="9638"/>
      </w:tabs>
    </w:pPr>
    <w:r w:rsidRPr="00544697">
      <w:rPr>
        <w:b/>
        <w:sz w:val="18"/>
      </w:rPr>
      <w:fldChar w:fldCharType="begin"/>
    </w:r>
    <w:r w:rsidRPr="00544697">
      <w:rPr>
        <w:b/>
        <w:sz w:val="18"/>
      </w:rPr>
      <w:instrText xml:space="preserve"> PAGE  \* MERGEFORMAT </w:instrText>
    </w:r>
    <w:r w:rsidRPr="00544697">
      <w:rPr>
        <w:b/>
        <w:sz w:val="18"/>
      </w:rPr>
      <w:fldChar w:fldCharType="separate"/>
    </w:r>
    <w:r w:rsidRPr="00544697">
      <w:rPr>
        <w:b/>
        <w:noProof/>
        <w:sz w:val="18"/>
      </w:rPr>
      <w:t>2</w:t>
    </w:r>
    <w:r w:rsidRPr="00544697">
      <w:rPr>
        <w:b/>
        <w:sz w:val="18"/>
      </w:rPr>
      <w:fldChar w:fldCharType="end"/>
    </w:r>
    <w:r>
      <w:rPr>
        <w:b/>
        <w:sz w:val="18"/>
      </w:rPr>
      <w:tab/>
    </w:r>
    <w:r>
      <w:t>GE.20-07564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1F6D" w:rsidRPr="00544697" w:rsidRDefault="00B51F6D" w:rsidP="00544697">
    <w:pPr>
      <w:pStyle w:val="Pieddepage"/>
      <w:tabs>
        <w:tab w:val="right" w:pos="9638"/>
      </w:tabs>
      <w:rPr>
        <w:b/>
        <w:sz w:val="18"/>
      </w:rPr>
    </w:pPr>
    <w:r>
      <w:t>GE.20-07564</w:t>
    </w:r>
    <w:r>
      <w:tab/>
    </w:r>
    <w:r w:rsidRPr="00544697">
      <w:rPr>
        <w:b/>
        <w:sz w:val="18"/>
      </w:rPr>
      <w:fldChar w:fldCharType="begin"/>
    </w:r>
    <w:r w:rsidRPr="00544697">
      <w:rPr>
        <w:b/>
        <w:sz w:val="18"/>
      </w:rPr>
      <w:instrText xml:space="preserve"> PAGE  \* MERGEFORMAT </w:instrText>
    </w:r>
    <w:r w:rsidRPr="00544697">
      <w:rPr>
        <w:b/>
        <w:sz w:val="18"/>
      </w:rPr>
      <w:fldChar w:fldCharType="separate"/>
    </w:r>
    <w:r w:rsidRPr="00544697">
      <w:rPr>
        <w:b/>
        <w:noProof/>
        <w:sz w:val="18"/>
      </w:rPr>
      <w:t>3</w:t>
    </w:r>
    <w:r w:rsidRPr="005446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1F6D" w:rsidRPr="00544697" w:rsidRDefault="00B51F6D" w:rsidP="0054469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20-07564  (F)    060720    060720</w:t>
    </w:r>
    <w:r>
      <w:rPr>
        <w:sz w:val="20"/>
      </w:rPr>
      <w:br/>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sidRPr="0054469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F6D" w:rsidRPr="009C4D45" w:rsidRDefault="00B51F6D" w:rsidP="009C4D45">
      <w:pPr>
        <w:pStyle w:val="Pieddepage"/>
        <w:tabs>
          <w:tab w:val="right" w:pos="2155"/>
        </w:tabs>
        <w:spacing w:after="80" w:line="240" w:lineRule="atLeast"/>
        <w:ind w:left="680"/>
        <w:rPr>
          <w:u w:val="single"/>
        </w:rPr>
      </w:pPr>
      <w:r>
        <w:rPr>
          <w:u w:val="single"/>
        </w:rPr>
        <w:tab/>
      </w:r>
    </w:p>
  </w:footnote>
  <w:footnote w:type="continuationSeparator" w:id="0">
    <w:p w:rsidR="00B51F6D" w:rsidRPr="00035AE4" w:rsidRDefault="00B51F6D" w:rsidP="00035AE4">
      <w:pPr>
        <w:pStyle w:val="Pieddepage"/>
        <w:tabs>
          <w:tab w:val="right" w:pos="2155"/>
        </w:tabs>
        <w:spacing w:after="80" w:line="240" w:lineRule="atLeast"/>
        <w:ind w:left="680"/>
        <w:rPr>
          <w:u w:val="single"/>
        </w:rPr>
      </w:pPr>
      <w:r>
        <w:rPr>
          <w:u w:val="single"/>
        </w:rPr>
        <w:tab/>
      </w:r>
    </w:p>
  </w:footnote>
  <w:footnote w:type="continuationNotice" w:id="1">
    <w:p w:rsidR="00B51F6D" w:rsidRPr="00035AE4" w:rsidRDefault="00B51F6D">
      <w:pPr>
        <w:spacing w:line="240" w:lineRule="auto"/>
        <w:rPr>
          <w:sz w:val="2"/>
          <w:szCs w:val="2"/>
        </w:rPr>
      </w:pPr>
    </w:p>
  </w:footnote>
  <w:footnote w:id="2">
    <w:p w:rsidR="00B51F6D" w:rsidRPr="0008628C" w:rsidRDefault="00B51F6D">
      <w:pPr>
        <w:pStyle w:val="Notedebasdepage"/>
      </w:pPr>
      <w:r>
        <w:rPr>
          <w:rStyle w:val="Appelnotedebasdep"/>
        </w:rPr>
        <w:tab/>
      </w:r>
      <w:r w:rsidRPr="0008628C">
        <w:rPr>
          <w:rStyle w:val="Appelnotedebasdep"/>
          <w:sz w:val="20"/>
          <w:vertAlign w:val="baseline"/>
        </w:rPr>
        <w:t>*</w:t>
      </w:r>
      <w:r>
        <w:rPr>
          <w:rStyle w:val="Appelnotedebasdep"/>
          <w:sz w:val="20"/>
          <w:vertAlign w:val="baseline"/>
        </w:rPr>
        <w:tab/>
      </w:r>
      <w:r w:rsidRPr="007A6A85">
        <w:t>Adoptée par le Comité le 7</w:t>
      </w:r>
      <w:r>
        <w:t> </w:t>
      </w:r>
      <w:r w:rsidRPr="007A6A85">
        <w:t xml:space="preserve">mai 2020, </w:t>
      </w:r>
      <w:r>
        <w:t>pendant l’intersession</w:t>
      </w:r>
      <w:r w:rsidRPr="007A6A85">
        <w:t>.</w:t>
      </w:r>
    </w:p>
  </w:footnote>
  <w:footnote w:id="3">
    <w:p w:rsidR="00B51F6D" w:rsidRPr="007A6A85" w:rsidRDefault="00B51F6D" w:rsidP="0008628C">
      <w:pPr>
        <w:pStyle w:val="Notedebasdepage"/>
      </w:pPr>
      <w:r w:rsidRPr="007A6A85">
        <w:tab/>
      </w:r>
      <w:r w:rsidRPr="00864417">
        <w:rPr>
          <w:rStyle w:val="Appelnotedebasdep"/>
        </w:rPr>
        <w:footnoteRef/>
      </w:r>
      <w:r w:rsidRPr="007A6A85">
        <w:tab/>
        <w:t>Sauf indication contraire, les numéros de paragraphes entre parenthèses renvoient aux précédentes observations finales du Comité.</w:t>
      </w:r>
    </w:p>
  </w:footnote>
  <w:footnote w:id="4">
    <w:p w:rsidR="00B51F6D" w:rsidRPr="007A6A85" w:rsidRDefault="00B51F6D" w:rsidP="0008628C">
      <w:pPr>
        <w:pStyle w:val="Notedebasdepage"/>
      </w:pPr>
      <w:r w:rsidRPr="007A6A85">
        <w:tab/>
      </w:r>
      <w:r w:rsidRPr="00864417">
        <w:rPr>
          <w:rStyle w:val="Appelnotedebasdep"/>
        </w:rPr>
        <w:footnoteRef/>
      </w:r>
      <w:r w:rsidRPr="007A6A85">
        <w:tab/>
        <w:t>Les questions soulevées au titre de l</w:t>
      </w:r>
      <w:r>
        <w:t>’</w:t>
      </w:r>
      <w:r w:rsidRPr="007A6A85">
        <w:t>article 2 peuvent également l</w:t>
      </w:r>
      <w:r>
        <w:t>’</w:t>
      </w:r>
      <w:r w:rsidRPr="007A6A85">
        <w:t>être au titre d</w:t>
      </w:r>
      <w:r>
        <w:t>’</w:t>
      </w:r>
      <w:r w:rsidRPr="007A6A85">
        <w:t>autres articles de la Convention, notamment de l</w:t>
      </w:r>
      <w:r>
        <w:t>’</w:t>
      </w:r>
      <w:r w:rsidRPr="007A6A85">
        <w:t>article 16. Comme il est indiqué au paragraphe</w:t>
      </w:r>
      <w:r>
        <w:t> </w:t>
      </w:r>
      <w:r w:rsidRPr="007A6A85">
        <w:t>3 de l</w:t>
      </w:r>
      <w:r>
        <w:t>’</w:t>
      </w:r>
      <w:r w:rsidRPr="007A6A85">
        <w:t xml:space="preserve">observation générale </w:t>
      </w:r>
      <w:r w:rsidRPr="007A6A85">
        <w:rPr>
          <w:rFonts w:eastAsia="MS Mincho"/>
        </w:rPr>
        <w:t>n</w:t>
      </w:r>
      <w:r w:rsidRPr="007A6A85">
        <w:rPr>
          <w:rFonts w:eastAsia="MS Mincho"/>
          <w:vertAlign w:val="superscript"/>
        </w:rPr>
        <w:t>o</w:t>
      </w:r>
      <w:r w:rsidRPr="007A6A85">
        <w:t> 2 (2007) du Comité sur l</w:t>
      </w:r>
      <w:r>
        <w:t>’</w:t>
      </w:r>
      <w:r w:rsidRPr="007A6A85">
        <w:t>application de l</w:t>
      </w:r>
      <w:r>
        <w:t>’</w:t>
      </w:r>
      <w:r w:rsidRPr="007A6A85">
        <w:t>article 2 par les États parties, l</w:t>
      </w:r>
      <w:r>
        <w:t>’</w:t>
      </w:r>
      <w:r w:rsidRPr="007A6A85">
        <w:t>obligation de prévenir la torture consacrée à l</w:t>
      </w:r>
      <w:r>
        <w:t>’</w:t>
      </w:r>
      <w:r w:rsidRPr="007A6A85">
        <w:t>article 2 est de portée large. Cette obligation et celle de prévenir les peines ou traitements cruels, inhumains ou dégradants, énoncée au paragraphe</w:t>
      </w:r>
      <w:r>
        <w:t> </w:t>
      </w:r>
      <w:r w:rsidRPr="007A6A85">
        <w:t>1 de l</w:t>
      </w:r>
      <w:r>
        <w:t>’</w:t>
      </w:r>
      <w:r w:rsidRPr="007A6A85">
        <w:t>article</w:t>
      </w:r>
      <w:r>
        <w:t> </w:t>
      </w:r>
      <w:r w:rsidRPr="007A6A85">
        <w:t>16 sont indissociables, interdépendantes et intimement liées. L</w:t>
      </w:r>
      <w:r>
        <w:t>’</w:t>
      </w:r>
      <w:r w:rsidRPr="007A6A85">
        <w:t>obligation de prévenir les mauvais traitements recoupe dans la pratique celle d</w:t>
      </w:r>
      <w:r>
        <w:t>’</w:t>
      </w:r>
      <w:r w:rsidRPr="007A6A85">
        <w:t>empêcher que des actes de torture ne soient commis et lui est dans une large mesure équivalente. Dans la pratique, la ligne de démarcation entre les mauvais traitements et la torture est souvent floue. Voir également la partie</w:t>
      </w:r>
      <w:r>
        <w:t> </w:t>
      </w:r>
      <w:r w:rsidRPr="007A6A85">
        <w:t>V de cette même observation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1F6D" w:rsidRPr="00544697" w:rsidRDefault="00B51F6D">
    <w:pPr>
      <w:pStyle w:val="En-tte"/>
    </w:pPr>
    <w:fldSimple w:instr=" TITLE  \* MERGEFORMAT ">
      <w:r w:rsidR="0091580A">
        <w:t>CAT/C/IRL/QPR/3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1F6D" w:rsidRPr="00544697" w:rsidRDefault="00B51F6D" w:rsidP="00544697">
    <w:pPr>
      <w:pStyle w:val="En-tte"/>
      <w:jc w:val="right"/>
    </w:pPr>
    <w:fldSimple w:instr=" TITLE  \* MERGEFORMAT ">
      <w:r w:rsidR="0091580A">
        <w:t>CAT/C/IRL/QPR/3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2DAF"/>
    <w:rsid w:val="00023842"/>
    <w:rsid w:val="00035AE4"/>
    <w:rsid w:val="00037DF1"/>
    <w:rsid w:val="0007796D"/>
    <w:rsid w:val="0008628C"/>
    <w:rsid w:val="00101756"/>
    <w:rsid w:val="00111F2F"/>
    <w:rsid w:val="0014365E"/>
    <w:rsid w:val="00176178"/>
    <w:rsid w:val="0017666E"/>
    <w:rsid w:val="001D14FC"/>
    <w:rsid w:val="001F525A"/>
    <w:rsid w:val="00200FFC"/>
    <w:rsid w:val="00216E66"/>
    <w:rsid w:val="004461D4"/>
    <w:rsid w:val="00446FE5"/>
    <w:rsid w:val="004D6539"/>
    <w:rsid w:val="004F046A"/>
    <w:rsid w:val="00544697"/>
    <w:rsid w:val="00553A1F"/>
    <w:rsid w:val="00573BE5"/>
    <w:rsid w:val="00586ED3"/>
    <w:rsid w:val="00587A52"/>
    <w:rsid w:val="005970D5"/>
    <w:rsid w:val="005A51D3"/>
    <w:rsid w:val="005B4E23"/>
    <w:rsid w:val="005E3C0B"/>
    <w:rsid w:val="005F7D5B"/>
    <w:rsid w:val="00616CB0"/>
    <w:rsid w:val="00621144"/>
    <w:rsid w:val="0071601D"/>
    <w:rsid w:val="007432FB"/>
    <w:rsid w:val="0080684C"/>
    <w:rsid w:val="00807D21"/>
    <w:rsid w:val="00840C6C"/>
    <w:rsid w:val="00871415"/>
    <w:rsid w:val="00871C75"/>
    <w:rsid w:val="008776DC"/>
    <w:rsid w:val="008964ED"/>
    <w:rsid w:val="0091580A"/>
    <w:rsid w:val="009705C8"/>
    <w:rsid w:val="009C4D45"/>
    <w:rsid w:val="009F531E"/>
    <w:rsid w:val="00A05770"/>
    <w:rsid w:val="00A37C92"/>
    <w:rsid w:val="00A704A8"/>
    <w:rsid w:val="00AA0CD3"/>
    <w:rsid w:val="00AB1B55"/>
    <w:rsid w:val="00AC495B"/>
    <w:rsid w:val="00AE323C"/>
    <w:rsid w:val="00B51F6D"/>
    <w:rsid w:val="00BA41F4"/>
    <w:rsid w:val="00BE2DAF"/>
    <w:rsid w:val="00C02897"/>
    <w:rsid w:val="00CA243F"/>
    <w:rsid w:val="00CA5CE1"/>
    <w:rsid w:val="00CD326D"/>
    <w:rsid w:val="00D21E12"/>
    <w:rsid w:val="00DB1831"/>
    <w:rsid w:val="00DD3BFD"/>
    <w:rsid w:val="00E554A4"/>
    <w:rsid w:val="00EA0D23"/>
    <w:rsid w:val="00EA3F83"/>
    <w:rsid w:val="00EA4A48"/>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E7D0760"/>
  <w15:docId w15:val="{C9A01F77-327B-45B5-AE35-1D6F4003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5349</Words>
  <Characters>28725</Characters>
  <Application>Microsoft Office Word</Application>
  <DocSecurity>0</DocSecurity>
  <Lines>448</Lines>
  <Paragraphs>113</Paragraphs>
  <ScaleCrop>false</ScaleCrop>
  <HeadingPairs>
    <vt:vector size="2" baseType="variant">
      <vt:variant>
        <vt:lpstr>Titre</vt:lpstr>
      </vt:variant>
      <vt:variant>
        <vt:i4>1</vt:i4>
      </vt:variant>
    </vt:vector>
  </HeadingPairs>
  <TitlesOfParts>
    <vt:vector size="1" baseType="lpstr">
      <vt:lpstr>CAT/C/IRL/QPR/3</vt:lpstr>
    </vt:vector>
  </TitlesOfParts>
  <Company>DCM</Company>
  <LinksUpToDate>false</LinksUpToDate>
  <CharactersWithSpaces>33961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CAT/C/IRL/QPR/3</dc:title>
  <dc:subject/>
  <dc:creator>Marie DESCHAMPS</dc:creator>
  <cp:keywords/>
  <cp:lastModifiedBy>Marie Deschamps</cp:lastModifiedBy>
  <cp:revision>2</cp:revision>
  <dcterms:created xsi:type="dcterms:W3CDTF">2020-07-06T13:46:00Z</dcterms:created>
  <dcterms:modified xsi:type="dcterms:W3CDTF">2020-07-06T13:46:00Z</dcterms:modified>
</cp:coreProperties>
</file>