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5647D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647D2" w:rsidP="005647D2">
            <w:pPr>
              <w:jc w:val="right"/>
            </w:pPr>
            <w:r w:rsidRPr="005647D2">
              <w:rPr>
                <w:sz w:val="40"/>
              </w:rPr>
              <w:t>CERD</w:t>
            </w:r>
            <w:r>
              <w:t>/C/SVK/Q/9-10</w:t>
            </w:r>
          </w:p>
        </w:tc>
      </w:tr>
      <w:tr w:rsidR="002D5AAC" w:rsidTr="005647D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5647D2" w:rsidRDefault="005647D2" w:rsidP="00B778C8">
            <w:pPr>
              <w:spacing w:before="240"/>
            </w:pPr>
            <w:r>
              <w:t>Distr. general</w:t>
            </w:r>
          </w:p>
          <w:p w:rsidR="005647D2" w:rsidRDefault="005647D2" w:rsidP="005647D2">
            <w:pPr>
              <w:spacing w:line="240" w:lineRule="exact"/>
            </w:pPr>
            <w:r>
              <w:t>7 de enero de 2013</w:t>
            </w:r>
          </w:p>
          <w:p w:rsidR="005647D2" w:rsidRDefault="005647D2" w:rsidP="005647D2">
            <w:pPr>
              <w:spacing w:line="240" w:lineRule="exact"/>
            </w:pPr>
            <w:r>
              <w:t>Español</w:t>
            </w:r>
          </w:p>
          <w:p w:rsidR="002D5AAC" w:rsidRDefault="005647D2" w:rsidP="005647D2">
            <w:pPr>
              <w:spacing w:line="240" w:lineRule="exact"/>
            </w:pPr>
            <w:r>
              <w:t>Original: inglés</w:t>
            </w:r>
          </w:p>
        </w:tc>
      </w:tr>
    </w:tbl>
    <w:p w:rsidR="005647D2" w:rsidRPr="004C51B0" w:rsidRDefault="005647D2" w:rsidP="005647D2">
      <w:pPr>
        <w:spacing w:before="120"/>
        <w:rPr>
          <w:b/>
          <w:sz w:val="24"/>
          <w:szCs w:val="24"/>
        </w:rPr>
      </w:pPr>
      <w:r w:rsidRPr="004C51B0">
        <w:rPr>
          <w:b/>
          <w:sz w:val="24"/>
          <w:szCs w:val="24"/>
        </w:rPr>
        <w:t>Comité para la Eliminación de la Discriminación Racial</w:t>
      </w:r>
    </w:p>
    <w:p w:rsidR="005647D2" w:rsidRPr="004C51B0" w:rsidRDefault="005647D2" w:rsidP="005647D2">
      <w:pPr>
        <w:rPr>
          <w:b/>
        </w:rPr>
      </w:pPr>
      <w:r w:rsidRPr="004C51B0">
        <w:rPr>
          <w:b/>
        </w:rPr>
        <w:t>82º período de sesiones</w:t>
      </w:r>
    </w:p>
    <w:p w:rsidR="005647D2" w:rsidRPr="004C51B0" w:rsidRDefault="005647D2" w:rsidP="005647D2">
      <w:r w:rsidRPr="004C51B0">
        <w:t>11 de febrero a 1 de marzo de 2013</w:t>
      </w:r>
    </w:p>
    <w:p w:rsidR="005647D2" w:rsidRPr="004C51B0" w:rsidRDefault="005647D2" w:rsidP="005647D2">
      <w:r w:rsidRPr="004C51B0">
        <w:t>Tema 4 del programa provisional</w:t>
      </w:r>
    </w:p>
    <w:p w:rsidR="005647D2" w:rsidRPr="004C51B0" w:rsidRDefault="005647D2" w:rsidP="005647D2">
      <w:pPr>
        <w:rPr>
          <w:b/>
        </w:rPr>
      </w:pPr>
      <w:r w:rsidRPr="004C51B0">
        <w:rPr>
          <w:b/>
        </w:rPr>
        <w:t xml:space="preserve">Examen de los informes, observaciones e información presentados </w:t>
      </w:r>
    </w:p>
    <w:p w:rsidR="005647D2" w:rsidRPr="004C51B0" w:rsidRDefault="005647D2" w:rsidP="005647D2">
      <w:pPr>
        <w:rPr>
          <w:b/>
        </w:rPr>
      </w:pPr>
      <w:r w:rsidRPr="004C51B0">
        <w:rPr>
          <w:b/>
        </w:rPr>
        <w:t>por los Estados partes en virtud del artículo 9 de la Convención</w:t>
      </w:r>
    </w:p>
    <w:p w:rsidR="005647D2" w:rsidRPr="004C51B0" w:rsidRDefault="005647D2" w:rsidP="005647D2">
      <w:pPr>
        <w:pStyle w:val="HChG"/>
      </w:pPr>
      <w:r w:rsidRPr="004C51B0">
        <w:tab/>
      </w:r>
      <w:r w:rsidRPr="004C51B0">
        <w:tab/>
        <w:t>Lista de temas que deben abordarse al examinar los informes periódicos noveno y décimo de Eslovaquia (CERD/C/SVK/9-10)</w:t>
      </w:r>
    </w:p>
    <w:p w:rsidR="005647D2" w:rsidRPr="004C51B0" w:rsidRDefault="005647D2" w:rsidP="005647D2">
      <w:pPr>
        <w:pStyle w:val="H1G"/>
      </w:pPr>
      <w:r w:rsidRPr="004C51B0">
        <w:tab/>
      </w:r>
      <w:r w:rsidRPr="004C51B0">
        <w:tab/>
        <w:t>Nota del Relator para el país</w:t>
      </w:r>
      <w:r w:rsidRPr="004C51B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tbl>
      <w:tblPr>
        <w:tblStyle w:val="TableGrid"/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7"/>
      </w:tblGrid>
      <w:tr w:rsidR="005647D2" w:rsidTr="00CA1759">
        <w:trPr>
          <w:jc w:val="center"/>
        </w:trPr>
        <w:tc>
          <w:tcPr>
            <w:tcW w:w="9637" w:type="dxa"/>
            <w:tcBorders>
              <w:bottom w:val="nil"/>
            </w:tcBorders>
          </w:tcPr>
          <w:p w:rsidR="005647D2" w:rsidRPr="004C51B0" w:rsidRDefault="005647D2" w:rsidP="00CA1759">
            <w:pPr>
              <w:tabs>
                <w:tab w:val="left" w:pos="255"/>
              </w:tabs>
              <w:spacing w:before="240" w:after="120"/>
              <w:rPr>
                <w:sz w:val="24"/>
              </w:rPr>
            </w:pPr>
            <w:r>
              <w:tab/>
            </w:r>
            <w:r>
              <w:rPr>
                <w:i/>
                <w:sz w:val="24"/>
              </w:rPr>
              <w:t>Resumen</w:t>
            </w:r>
          </w:p>
        </w:tc>
      </w:tr>
      <w:tr w:rsidR="005647D2" w:rsidTr="00CA1759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:rsidR="005647D2" w:rsidRDefault="005647D2" w:rsidP="00CA1759">
            <w:pPr>
              <w:pStyle w:val="SingleTxtG"/>
            </w:pPr>
            <w:r w:rsidRPr="004C51B0">
              <w:tab/>
              <w:t>En su 76º período de sesiones, el Comité para la Eliminación de la Discriminación Racial</w:t>
            </w:r>
            <w:r w:rsidRPr="004C51B0">
              <w:rPr>
                <w:b/>
              </w:rPr>
              <w:t xml:space="preserve"> </w:t>
            </w:r>
            <w:r w:rsidRPr="004C51B0">
              <w:t xml:space="preserve">decidió (A/65/18, párr. 85) que el Relator para el país enviase al Estado parte en cuestión una breve lista de temas con miras a orientar y centrar el diálogo entre la delegación del Estado parte y el Comité durante el examen del informe del Estado parte. </w:t>
            </w:r>
            <w:r>
              <w:t xml:space="preserve">En </w:t>
            </w:r>
            <w:r w:rsidRPr="004C51B0">
              <w:t xml:space="preserve">la lista que figura a continuación </w:t>
            </w:r>
            <w:r>
              <w:t xml:space="preserve">se </w:t>
            </w:r>
            <w:r w:rsidRPr="004C51B0">
              <w:t>enumera</w:t>
            </w:r>
            <w:r>
              <w:t>n</w:t>
            </w:r>
            <w:r w:rsidRPr="004C51B0">
              <w:t xml:space="preserve"> una serie de temas relacionados con el examen de los informes periódicos antes mencionados, y no requiere respuestas por escrito. No es una lista exhaustiva, pues durante el diálogo con el Estado parte podrán abordarse otros asuntos.</w:t>
            </w:r>
          </w:p>
        </w:tc>
      </w:tr>
      <w:tr w:rsidR="005647D2" w:rsidTr="00CA1759">
        <w:trPr>
          <w:jc w:val="center"/>
        </w:trPr>
        <w:tc>
          <w:tcPr>
            <w:tcW w:w="9637" w:type="dxa"/>
            <w:tcBorders>
              <w:top w:val="nil"/>
            </w:tcBorders>
          </w:tcPr>
          <w:p w:rsidR="005647D2" w:rsidRDefault="005647D2" w:rsidP="00CA1759"/>
        </w:tc>
      </w:tr>
    </w:tbl>
    <w:p w:rsidR="005647D2" w:rsidRDefault="005647D2" w:rsidP="005647D2">
      <w:pPr>
        <w:pStyle w:val="H23G"/>
      </w:pPr>
    </w:p>
    <w:p w:rsidR="005647D2" w:rsidRPr="004C51B0" w:rsidRDefault="005647D2" w:rsidP="005647D2">
      <w:pPr>
        <w:pStyle w:val="H23G"/>
      </w:pPr>
      <w:r>
        <w:br w:type="page"/>
      </w:r>
      <w:r w:rsidRPr="004C51B0">
        <w:tab/>
        <w:t>1.</w:t>
      </w:r>
      <w:r w:rsidRPr="004C51B0">
        <w:tab/>
        <w:t>La Convención en el derecho interno</w:t>
      </w:r>
      <w:r>
        <w:t>;</w:t>
      </w:r>
      <w:r w:rsidRPr="004C51B0">
        <w:t xml:space="preserve"> marco institucional y de políticas para su aplicación (artículos 2, 4, 6 y 7)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a)</w:t>
      </w:r>
      <w:r w:rsidRPr="004C51B0">
        <w:tab/>
        <w:t>Esfuerzos para adoptar un enfoque amplio y exhaustivo en la aplicación de la legislación y las políticas a fin de tener en cuenta el alcance de la discriminación racial en todas sus formas y manifestaciones (CERD/C/SVK/CO/6-8, párr. 8; CERD/C/SVK/9-10, párrs. 57 a 78);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b)</w:t>
      </w:r>
      <w:r w:rsidRPr="004C51B0">
        <w:tab/>
        <w:t xml:space="preserve">Casos de aplicación directa de la Convención en el ordenamiento jurídico interno; información sobre denuncias relacionadas con la discriminación racial e invocación de la Ley contra la </w:t>
      </w:r>
      <w:r w:rsidR="00A124D2" w:rsidRPr="004C51B0">
        <w:t>Discriminación</w:t>
      </w:r>
      <w:r w:rsidR="00A124D2" w:rsidRPr="00A124D2">
        <w:t xml:space="preserve"> </w:t>
      </w:r>
      <w:r w:rsidRPr="004C51B0">
        <w:t>en los tribunales (CERD/C/SVK/CO/6-8, párrs. 10 y 19; CERD/C/SVK/9-10, párrs. 140 a 143 y 189 a 195);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c)</w:t>
      </w:r>
      <w:r w:rsidRPr="004C51B0">
        <w:tab/>
        <w:t xml:space="preserve">Información actualizada sobre las penas impuestas y </w:t>
      </w:r>
      <w:r>
        <w:t>medidas de recurso</w:t>
      </w:r>
      <w:r w:rsidRPr="004C51B0">
        <w:t xml:space="preserve"> facilitad</w:t>
      </w:r>
      <w:r>
        <w:t>a</w:t>
      </w:r>
      <w:r w:rsidRPr="004C51B0">
        <w:t>s a las víctimas de discriminación racial; información sobre el uso del artículo 149 d) del Código Penal en relación con las circunstancias agravantes en el caso de los delitos cometidos por motivos raciales (CERD/C/SVK/9-10, párrs. 196 a 198);</w:t>
      </w:r>
    </w:p>
    <w:p w:rsidR="005647D2" w:rsidRPr="0017571D" w:rsidRDefault="005647D2" w:rsidP="005647D2">
      <w:pPr>
        <w:pStyle w:val="SingleTxtG"/>
      </w:pPr>
      <w:r>
        <w:tab/>
      </w:r>
      <w:r w:rsidRPr="004C51B0">
        <w:t>d)</w:t>
      </w:r>
      <w:r w:rsidRPr="004C51B0">
        <w:tab/>
        <w:t>Información adicional sobre los recursos humanos y financieros asignados al Centro Nacional de Derechos Humanos de Eslovaquia y sobre su labor en materia de cuestiones relacionadas con la no discriminación; logros conseguidos gracias al Plan de Acción para la prevención de todas las formas de discriminación, racismo, xenofobia, antisemitismo y otras manifestaciones de intolerancia (2009-2011); información adicional sobre la labor y el valor añadido del Comité para la Prevención y la Eliminación del Racismo, la Xenofobia, el Antisemitismo y otras Formas de Intolerancia, creado en junio de 2011 (CERD/C/SVK/9-10, párrs. 32 a 38, 49</w:t>
      </w:r>
      <w:r w:rsidR="0032418E">
        <w:t>,</w:t>
      </w:r>
      <w:r w:rsidRPr="004C51B0">
        <w:t xml:space="preserve"> 50</w:t>
      </w:r>
      <w:r w:rsidR="0032418E">
        <w:t>,</w:t>
      </w:r>
      <w:r w:rsidRPr="004C51B0">
        <w:t xml:space="preserve"> 53 </w:t>
      </w:r>
      <w:r>
        <w:t>y</w:t>
      </w:r>
      <w:r w:rsidRPr="004C51B0">
        <w:t xml:space="preserve"> 54);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e)</w:t>
      </w:r>
      <w:r w:rsidRPr="004C51B0">
        <w:tab/>
        <w:t xml:space="preserve">Información sobre los esfuerzos emprendidos para capacitar a los agentes de las fuerzas del orden en la correcta investigación de los delitos motivados por </w:t>
      </w:r>
      <w:r>
        <w:t>el odio</w:t>
      </w:r>
      <w:r w:rsidRPr="004C51B0">
        <w:t>; medidas adicionales, en particular un mecanismo de vigilancia independiente,</w:t>
      </w:r>
      <w:r w:rsidRPr="001C1221">
        <w:t xml:space="preserve"> </w:t>
      </w:r>
      <w:r w:rsidRPr="004C51B0">
        <w:t>a fin de enjuiciar los casos de brutalidad policial contra personas pertenecientes a las minorías (CERD/C/SVK/CO/6-8, párr. 14; CERD/C/SVK/9-10, párrs. 148 a 150);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f)</w:t>
      </w:r>
      <w:r w:rsidRPr="004C51B0">
        <w:tab/>
        <w:t>Esfuerzos adicionales para hacer frente a</w:t>
      </w:r>
      <w:r w:rsidR="00A124D2">
        <w:t>l</w:t>
      </w:r>
      <w:r w:rsidRPr="004C51B0">
        <w:t xml:space="preserve"> discurso racista en los medios de comunicación, incluido Internet.</w:t>
      </w:r>
    </w:p>
    <w:p w:rsidR="005647D2" w:rsidRPr="004C51B0" w:rsidRDefault="005647D2" w:rsidP="005647D2">
      <w:pPr>
        <w:pStyle w:val="H23G"/>
      </w:pPr>
      <w:r w:rsidRPr="004C51B0">
        <w:tab/>
        <w:t>2.</w:t>
      </w:r>
      <w:r w:rsidRPr="004C51B0">
        <w:tab/>
        <w:t xml:space="preserve">Aplicación de la Convención a las minorías nacionales y étnicas (artículos 2, 4, 5 y 7) </w:t>
      </w:r>
    </w:p>
    <w:p w:rsidR="005647D2" w:rsidRPr="0017571D" w:rsidRDefault="005647D2" w:rsidP="005647D2">
      <w:pPr>
        <w:pStyle w:val="SingleTxtG"/>
      </w:pPr>
      <w:r>
        <w:tab/>
      </w:r>
      <w:r w:rsidRPr="004C51B0">
        <w:t>a)</w:t>
      </w:r>
      <w:r w:rsidRPr="004C51B0">
        <w:tab/>
        <w:t>Datos desglosados sobre la situación socioeconómica de las minorías; resultados del proyecto "Seguimiento estadístico de las condiciones de vida de determinados grupos" respecto a la recopilación de datos sobre las condiciones de vida de las minorías, en particular de los romaníes (CERD/C/SVK/CO/6-8, párr. 7; CERD/C/SVK/9-10, párrs. 5 a 11 y 135 a 137);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b)</w:t>
      </w:r>
      <w:r w:rsidRPr="004C51B0">
        <w:tab/>
        <w:t xml:space="preserve">Medidas adicionales para combatir la violencia por motivos raciales contra las minorías; datos sobre los delitos motivados por </w:t>
      </w:r>
      <w:r>
        <w:t>el odio</w:t>
      </w:r>
      <w:r w:rsidRPr="004C51B0">
        <w:t xml:space="preserve"> desglosados por edad, sexo y origen nacional o étnico de la víctima (CERD/C/SVK/CO/6-8, párr. 12; CERD/C/SVK/9-10, párrs. 52</w:t>
      </w:r>
      <w:r w:rsidR="00A124D2">
        <w:t xml:space="preserve"> a </w:t>
      </w:r>
      <w:r w:rsidRPr="004C51B0">
        <w:t>78 y CERD/C/SVK/9-10/Add. 1, párrs. 1</w:t>
      </w:r>
      <w:r w:rsidR="00A124D2">
        <w:t xml:space="preserve"> a </w:t>
      </w:r>
      <w:r w:rsidRPr="004C51B0">
        <w:t>18; carta de seguimiento del Comité para la Eliminación de la Discriminación Racial, de 2 de septiembre de 2011);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c)</w:t>
      </w:r>
      <w:r w:rsidRPr="004C51B0">
        <w:tab/>
        <w:t>Actividades de sensibilización sobre los derechos humanos y la Convención destinadas a combatir los estereotipos y la discriminación de las minorías y mejorar el diálogo intercultural y la tolerancia (CERD/C/SVK/9-10, párrs. 34 9) y 160);</w:t>
      </w:r>
    </w:p>
    <w:p w:rsidR="005647D2" w:rsidRPr="004C51B0" w:rsidRDefault="005647D2" w:rsidP="005647D2">
      <w:pPr>
        <w:pStyle w:val="SingleTxtG"/>
      </w:pPr>
      <w:r w:rsidRPr="004C51B0">
        <w:tab/>
        <w:t>d)</w:t>
      </w:r>
      <w:r w:rsidRPr="004C51B0">
        <w:tab/>
        <w:t>Esfuerzos para promover las actividades culturales de las minorías, en particular el derecho a utilizar los idiomas de las minorías en la vida pública y privada (CERD/C/SVK/9-10, párrs. 116, 132 a 134).</w:t>
      </w:r>
    </w:p>
    <w:p w:rsidR="005647D2" w:rsidRPr="004C51B0" w:rsidRDefault="005647D2" w:rsidP="005647D2">
      <w:pPr>
        <w:pStyle w:val="H23G"/>
      </w:pPr>
      <w:r w:rsidRPr="004C51B0">
        <w:tab/>
        <w:t>3.</w:t>
      </w:r>
      <w:r w:rsidRPr="004C51B0">
        <w:tab/>
        <w:t>Situación de la comunidad romaní (artículos 2 a 7)</w:t>
      </w:r>
    </w:p>
    <w:p w:rsidR="005647D2" w:rsidRPr="0017571D" w:rsidRDefault="005647D2" w:rsidP="005647D2">
      <w:pPr>
        <w:pStyle w:val="SingleTxtG"/>
      </w:pPr>
      <w:r>
        <w:tab/>
      </w:r>
      <w:r w:rsidRPr="004C51B0">
        <w:t>a)</w:t>
      </w:r>
      <w:r w:rsidRPr="004C51B0">
        <w:tab/>
        <w:t>Aplicación de medidas especiales para poner remedio a las desventajas existentes y promover la igualdad de los miembros de la comunidad romaní (CERD/C/SVK/9-10, párrs. 149 y 150);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b)</w:t>
      </w:r>
      <w:r w:rsidRPr="004C51B0">
        <w:tab/>
        <w:t>Información actualiza</w:t>
      </w:r>
      <w:r>
        <w:t>da</w:t>
      </w:r>
      <w:r w:rsidRPr="004C51B0">
        <w:t xml:space="preserve"> sobre los resultados logrados hasta la fecha gracias a la estrategia hasta 2020 para la integración de los romaníes; recursos asignados a la Oficina del Plenipotenciario del Gobierno para las Comunidades Romaníes (CERD/C/SVK/CO/6-8, párr. 11; CERD/C/SVK/9-10, párrs. 96</w:t>
      </w:r>
      <w:r>
        <w:t xml:space="preserve"> y </w:t>
      </w:r>
      <w:r w:rsidRPr="004C51B0">
        <w:t>97, 144 y 145);</w:t>
      </w:r>
    </w:p>
    <w:p w:rsidR="005647D2" w:rsidRPr="009F7066" w:rsidRDefault="005647D2" w:rsidP="005647D2">
      <w:pPr>
        <w:pStyle w:val="SingleTxtG"/>
      </w:pPr>
      <w:r>
        <w:tab/>
      </w:r>
      <w:r w:rsidRPr="004C51B0">
        <w:t>c)</w:t>
      </w:r>
      <w:r w:rsidRPr="004C51B0">
        <w:tab/>
        <w:t xml:space="preserve">Esfuerzos para contrarrestar la estigmatización y la discriminación de los romaníes, en particular por cargos públicos y políticos; nuevas medidas emprendidas para atajar su bajo nivel de participación en la vida pública y representación en la policía (CERD/C/SVK/CO/6-8, párrs. 13 y 14; CERD/C/SVK/9-10, párrs. 121 a 125, 149 </w:t>
      </w:r>
      <w:r>
        <w:t>y</w:t>
      </w:r>
      <w:r w:rsidRPr="004C51B0">
        <w:t xml:space="preserve"> 150);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d)</w:t>
      </w:r>
      <w:r w:rsidRPr="004C51B0">
        <w:tab/>
        <w:t>Información actualizada sobre los esfuerzos para hacer frente a la segregación de hecho en el sistema educativo y la colocación de los niños romaníes en escuelas especiales (CERD/C/SVK/CO/6-8, párr</w:t>
      </w:r>
      <w:r>
        <w:t>.</w:t>
      </w:r>
      <w:r w:rsidRPr="004C51B0">
        <w:t xml:space="preserve"> 16; CERD/C/SVK/9-10, párrs. 113 a 115 y 152 a 161);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e)</w:t>
      </w:r>
      <w:r w:rsidRPr="004C51B0">
        <w:tab/>
        <w:t xml:space="preserve">Medidas adicionales para promover los derechos de los romaníes a una vivienda adecuada, </w:t>
      </w:r>
      <w:r>
        <w:t xml:space="preserve">a </w:t>
      </w:r>
      <w:r w:rsidRPr="004C51B0">
        <w:t xml:space="preserve">la salud y al empleo; información actualizada sobre la situación de los romaníes de Plavecky Stvrtok; información sobre los esfuerzos para superar las degradantes condiciones de los asentamientos de Eslovaquia </w:t>
      </w:r>
      <w:r w:rsidR="00A124D2" w:rsidRPr="004C51B0">
        <w:t>Oriental</w:t>
      </w:r>
      <w:r w:rsidRPr="004C51B0">
        <w:t>, y medidas adoptadas para poner fin a la segregación en la vivienda (CERD/C/SVK/CO/6-8, párrs. 11, 17 y 20, párrs. 100 a 112, 162 a 167, 203, y CERD/C/SVK/CO/6-8/Add. 1, párrs. 19 a 22; cartas del Comité para la Eliminación de la Discriminación Racial en el marco de las medidas de alerta temprana y</w:t>
      </w:r>
      <w:r w:rsidR="009F7066">
        <w:t xml:space="preserve"> el procedimiento de urgencia);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f)</w:t>
      </w:r>
      <w:r w:rsidRPr="004C51B0">
        <w:tab/>
        <w:t xml:space="preserve">Información actualizada sobre los procesos judiciales relativos a la esterilización de mujeres romaníes sin su consentimiento pleno e informado; información adicional sobre la aplicación de las decisiones del Tribunal Europeo de Derechos Humanos, de noviembre de 2011 y junio de 2012 (CERD/C/SVK/CO/6-8, párr. 18; CERD/C/SVK/9-10, párrs. 111 </w:t>
      </w:r>
      <w:r w:rsidR="00A124D2">
        <w:t>y</w:t>
      </w:r>
      <w:r w:rsidRPr="004C51B0">
        <w:t xml:space="preserve"> 112, 168 a 188).</w:t>
      </w:r>
    </w:p>
    <w:p w:rsidR="005647D2" w:rsidRPr="004C51B0" w:rsidRDefault="005647D2" w:rsidP="005647D2">
      <w:pPr>
        <w:pStyle w:val="H23G"/>
      </w:pPr>
      <w:r w:rsidRPr="004C51B0">
        <w:tab/>
        <w:t>4.</w:t>
      </w:r>
      <w:r w:rsidRPr="004C51B0">
        <w:tab/>
        <w:t>Discriminación contra los no ciudadanos, incluidos los refugiados y solicitantes de</w:t>
      </w:r>
      <w:r>
        <w:t> </w:t>
      </w:r>
      <w:r w:rsidRPr="004C51B0">
        <w:t>asilo (artículos 5 y 6)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a)</w:t>
      </w:r>
      <w:r w:rsidRPr="004C51B0">
        <w:tab/>
        <w:t xml:space="preserve">Información actualizada sobre las medidas adoptadas a fin de seguir facilitando aún más la integración de los no ciudadanos, </w:t>
      </w:r>
      <w:r>
        <w:t xml:space="preserve">en particular </w:t>
      </w:r>
      <w:r w:rsidRPr="004C51B0">
        <w:t xml:space="preserve">los solicitantes de asilo y los refugiados, </w:t>
      </w:r>
      <w:r>
        <w:t>incluyendo</w:t>
      </w:r>
      <w:r w:rsidRPr="004C51B0">
        <w:t xml:space="preserve"> el "Concepto de la Integración de Extranjeros en la República de Eslovaquia" (CERD/C/SVK/9-10, párr. 19);</w:t>
      </w:r>
    </w:p>
    <w:p w:rsidR="005647D2" w:rsidRPr="004C51B0" w:rsidRDefault="005647D2" w:rsidP="005647D2">
      <w:pPr>
        <w:pStyle w:val="SingleTxtG"/>
      </w:pPr>
      <w:r>
        <w:tab/>
      </w:r>
      <w:r w:rsidRPr="004C51B0">
        <w:t>b)</w:t>
      </w:r>
      <w:r w:rsidRPr="004C51B0">
        <w:tab/>
        <w:t>Información sobre los efectos del reciente Plan de acción de la política de migración en los derechos económicos y sociales de los no ciudadanos, en particular el acceso a una vivienda digna, los servicios de salud y las instituciones educativas (CERD/C/SVK/9-10, párr. 19).</w:t>
      </w:r>
    </w:p>
    <w:p w:rsidR="005647D2" w:rsidRPr="00197E30" w:rsidRDefault="005647D2" w:rsidP="005647D2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1075E9"/>
    <w:sectPr w:rsidR="00381C24" w:rsidRPr="001075E9" w:rsidSect="005647D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4DA" w:rsidRDefault="00A204DA">
      <w:r>
        <w:separator/>
      </w:r>
    </w:p>
  </w:endnote>
  <w:endnote w:type="continuationSeparator" w:id="0">
    <w:p w:rsidR="00A204DA" w:rsidRDefault="00A20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7D2" w:rsidRPr="005647D2" w:rsidRDefault="005647D2" w:rsidP="005647D2">
    <w:pPr>
      <w:pStyle w:val="Footer"/>
      <w:tabs>
        <w:tab w:val="right" w:pos="9638"/>
      </w:tabs>
    </w:pPr>
    <w:r w:rsidRPr="005647D2">
      <w:rPr>
        <w:b/>
        <w:sz w:val="18"/>
      </w:rPr>
      <w:fldChar w:fldCharType="begin"/>
    </w:r>
    <w:r w:rsidRPr="005647D2">
      <w:rPr>
        <w:b/>
        <w:sz w:val="18"/>
      </w:rPr>
      <w:instrText xml:space="preserve"> PAGE  \* MERGEFORMAT </w:instrText>
    </w:r>
    <w:r w:rsidRPr="005647D2">
      <w:rPr>
        <w:b/>
        <w:sz w:val="18"/>
      </w:rPr>
      <w:fldChar w:fldCharType="separate"/>
    </w:r>
    <w:r w:rsidR="006A4DB8">
      <w:rPr>
        <w:b/>
        <w:noProof/>
        <w:sz w:val="18"/>
      </w:rPr>
      <w:t>2</w:t>
    </w:r>
    <w:r w:rsidRPr="005647D2">
      <w:rPr>
        <w:b/>
        <w:sz w:val="18"/>
      </w:rPr>
      <w:fldChar w:fldCharType="end"/>
    </w:r>
    <w:r>
      <w:rPr>
        <w:b/>
        <w:sz w:val="18"/>
      </w:rPr>
      <w:tab/>
    </w:r>
    <w:r>
      <w:t>GE.13-40088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7D2" w:rsidRPr="005647D2" w:rsidRDefault="005647D2" w:rsidP="005647D2">
    <w:pPr>
      <w:pStyle w:val="Footer"/>
      <w:tabs>
        <w:tab w:val="right" w:pos="9638"/>
      </w:tabs>
      <w:rPr>
        <w:b/>
        <w:sz w:val="18"/>
      </w:rPr>
    </w:pPr>
    <w:r>
      <w:t>GE.13-40088</w:t>
    </w:r>
    <w:r>
      <w:tab/>
    </w:r>
    <w:r w:rsidRPr="005647D2">
      <w:rPr>
        <w:b/>
        <w:sz w:val="18"/>
      </w:rPr>
      <w:fldChar w:fldCharType="begin"/>
    </w:r>
    <w:r w:rsidRPr="005647D2">
      <w:rPr>
        <w:b/>
        <w:sz w:val="18"/>
      </w:rPr>
      <w:instrText xml:space="preserve"> PAGE  \* MERGEFORMAT </w:instrText>
    </w:r>
    <w:r w:rsidRPr="005647D2">
      <w:rPr>
        <w:b/>
        <w:sz w:val="18"/>
      </w:rPr>
      <w:fldChar w:fldCharType="separate"/>
    </w:r>
    <w:r w:rsidR="006A4DB8">
      <w:rPr>
        <w:b/>
        <w:noProof/>
        <w:sz w:val="18"/>
      </w:rPr>
      <w:t>3</w:t>
    </w:r>
    <w:r w:rsidRPr="005647D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ECD" w:rsidRPr="005647D2" w:rsidRDefault="005647D2">
    <w:pPr>
      <w:pStyle w:val="Footer"/>
      <w:rPr>
        <w:sz w:val="20"/>
      </w:rPr>
    </w:pPr>
    <w:r>
      <w:rPr>
        <w:sz w:val="20"/>
      </w:rPr>
      <w:t>GE.</w:t>
    </w:r>
    <w:r w:rsidR="00757EC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13-40088  (S)    280113    300113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4DA" w:rsidRPr="001075E9" w:rsidRDefault="00A204D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204DA" w:rsidRDefault="00A204DA">
      <w:r>
        <w:continuationSeparator/>
      </w:r>
    </w:p>
  </w:footnote>
  <w:footnote w:id="1">
    <w:p w:rsidR="005647D2" w:rsidRPr="004C51B0" w:rsidRDefault="005647D2" w:rsidP="005647D2">
      <w:pPr>
        <w:pStyle w:val="FootnoteText"/>
        <w:rPr>
          <w:sz w:val="20"/>
        </w:rPr>
      </w:pPr>
      <w:r>
        <w:tab/>
      </w:r>
      <w:r w:rsidRPr="004C51B0">
        <w:rPr>
          <w:rStyle w:val="FootnoteReference"/>
          <w:sz w:val="20"/>
          <w:vertAlign w:val="baseline"/>
        </w:rPr>
        <w:t>*</w:t>
      </w:r>
      <w:r w:rsidRPr="004C51B0">
        <w:tab/>
        <w:t>Documento presentado con retraso.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7D2" w:rsidRPr="005647D2" w:rsidRDefault="005647D2">
    <w:pPr>
      <w:pStyle w:val="Header"/>
    </w:pPr>
    <w:r>
      <w:t>CERD/C/SVK/Q/9-10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7D2" w:rsidRPr="005647D2" w:rsidRDefault="005647D2" w:rsidP="005647D2">
    <w:pPr>
      <w:pStyle w:val="Header"/>
      <w:jc w:val="right"/>
    </w:pPr>
    <w:r>
      <w:t>CERD/C/SVK/Q/9-10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7ECD"/>
    <w:rsid w:val="00006BB9"/>
    <w:rsid w:val="000107A1"/>
    <w:rsid w:val="0002339D"/>
    <w:rsid w:val="00036733"/>
    <w:rsid w:val="000B57E7"/>
    <w:rsid w:val="000F09DF"/>
    <w:rsid w:val="000F61B2"/>
    <w:rsid w:val="00103A93"/>
    <w:rsid w:val="001075E9"/>
    <w:rsid w:val="00145F2F"/>
    <w:rsid w:val="00160FF7"/>
    <w:rsid w:val="0017571D"/>
    <w:rsid w:val="00180183"/>
    <w:rsid w:val="00196389"/>
    <w:rsid w:val="001C7A89"/>
    <w:rsid w:val="00201F1A"/>
    <w:rsid w:val="002433EC"/>
    <w:rsid w:val="0025226E"/>
    <w:rsid w:val="002A2EFC"/>
    <w:rsid w:val="002C0E18"/>
    <w:rsid w:val="002C33BB"/>
    <w:rsid w:val="002D5AAC"/>
    <w:rsid w:val="00301299"/>
    <w:rsid w:val="00322004"/>
    <w:rsid w:val="0032418E"/>
    <w:rsid w:val="003402C2"/>
    <w:rsid w:val="00381C24"/>
    <w:rsid w:val="003958D0"/>
    <w:rsid w:val="004031F0"/>
    <w:rsid w:val="00454E07"/>
    <w:rsid w:val="00471CB3"/>
    <w:rsid w:val="0050108D"/>
    <w:rsid w:val="0051740C"/>
    <w:rsid w:val="005647D2"/>
    <w:rsid w:val="00572E19"/>
    <w:rsid w:val="005F0B42"/>
    <w:rsid w:val="00634841"/>
    <w:rsid w:val="00655A21"/>
    <w:rsid w:val="006725B3"/>
    <w:rsid w:val="006808A9"/>
    <w:rsid w:val="006A4DB8"/>
    <w:rsid w:val="006D631C"/>
    <w:rsid w:val="006F35EE"/>
    <w:rsid w:val="007021FF"/>
    <w:rsid w:val="0070344D"/>
    <w:rsid w:val="007076CB"/>
    <w:rsid w:val="00757ECD"/>
    <w:rsid w:val="007967DF"/>
    <w:rsid w:val="00834B71"/>
    <w:rsid w:val="0086445C"/>
    <w:rsid w:val="00865FAC"/>
    <w:rsid w:val="008728CD"/>
    <w:rsid w:val="008A08D7"/>
    <w:rsid w:val="008A13F9"/>
    <w:rsid w:val="008C0F65"/>
    <w:rsid w:val="00906890"/>
    <w:rsid w:val="00951972"/>
    <w:rsid w:val="00954E65"/>
    <w:rsid w:val="009F7066"/>
    <w:rsid w:val="00A124D2"/>
    <w:rsid w:val="00A17DFD"/>
    <w:rsid w:val="00A204DA"/>
    <w:rsid w:val="00A4674B"/>
    <w:rsid w:val="00A47DB2"/>
    <w:rsid w:val="00A917B3"/>
    <w:rsid w:val="00AB4B51"/>
    <w:rsid w:val="00AE0E6C"/>
    <w:rsid w:val="00B066FC"/>
    <w:rsid w:val="00B10CC7"/>
    <w:rsid w:val="00B62458"/>
    <w:rsid w:val="00B778C8"/>
    <w:rsid w:val="00BA3587"/>
    <w:rsid w:val="00BB36EA"/>
    <w:rsid w:val="00BD33EE"/>
    <w:rsid w:val="00C141EB"/>
    <w:rsid w:val="00C60F0C"/>
    <w:rsid w:val="00C63C2A"/>
    <w:rsid w:val="00C805C9"/>
    <w:rsid w:val="00CA1679"/>
    <w:rsid w:val="00CA1759"/>
    <w:rsid w:val="00D05347"/>
    <w:rsid w:val="00D90138"/>
    <w:rsid w:val="00DA26B8"/>
    <w:rsid w:val="00DD4E25"/>
    <w:rsid w:val="00E73F76"/>
    <w:rsid w:val="00EA31D8"/>
    <w:rsid w:val="00EA5579"/>
    <w:rsid w:val="00EF1360"/>
    <w:rsid w:val="00EF3220"/>
    <w:rsid w:val="00EF7198"/>
    <w:rsid w:val="00F41883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semiHidden/>
    <w:rsid w:val="00EA31D8"/>
    <w:rPr>
      <w:i/>
      <w:iCs/>
    </w:rPr>
  </w:style>
  <w:style w:type="character" w:styleId="HTMLCode">
    <w:name w:val="HTML Code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semiHidden/>
    <w:rsid w:val="00EA31D8"/>
    <w:rPr>
      <w:color w:val="0000FF"/>
      <w:u w:val="single"/>
    </w:rPr>
  </w:style>
  <w:style w:type="character" w:styleId="FollowedHyperlink">
    <w:name w:val="FollowedHyperlink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</Pages>
  <Words>1177</Words>
  <Characters>6477</Characters>
  <Application>Microsoft Office Word</Application>
  <DocSecurity>4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CERD/C/SVK/Q/9-10  -  13-40088 </vt:lpstr>
    </vt:vector>
  </TitlesOfParts>
  <Company/>
  <LinksUpToDate>false</LinksUpToDate>
  <CharactersWithSpaces>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CERD/C/SVK/Q/9-10  -  13-40088 </dc:title>
  <dc:subject>FINAL</dc:subject>
  <dc:creator>Luz María Urquizu</dc:creator>
  <cp:keywords/>
  <dc:description/>
  <cp:lastModifiedBy>María de la Plaza</cp:lastModifiedBy>
  <cp:revision>2</cp:revision>
  <cp:lastPrinted>2013-01-30T11:32:00Z</cp:lastPrinted>
  <dcterms:created xsi:type="dcterms:W3CDTF">2013-01-30T12:34:00Z</dcterms:created>
  <dcterms:modified xsi:type="dcterms:W3CDTF">2013-01-30T12:34:00Z</dcterms:modified>
</cp:coreProperties>
</file>