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40806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E/C.12/2000/SA/1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17 February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>КОМИТЕТ ПО ЭКОНОМИЧЕСКИМ, СОЦИАЛЬНЫМ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И КУЛЬТУРНЫМ ПРАВАМ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Двадцать вторая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25 апреля – 12 мая 2000 года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center" w:pos="4819"/>
        </w:tabs>
        <w:suppressAutoHyphens/>
        <w:jc w:val="center"/>
      </w:pPr>
      <w:r>
        <w:t>ОСУЩЕСТВЛЕНИЕ МЕЖДУНАРОДНОГО ПАКТА</w:t>
      </w:r>
    </w:p>
    <w:p w:rsidR="00000000" w:rsidRDefault="00000000">
      <w:pPr>
        <w:tabs>
          <w:tab w:val="center" w:pos="4819"/>
        </w:tabs>
        <w:suppressAutoHyphens/>
        <w:jc w:val="center"/>
      </w:pPr>
      <w:r>
        <w:t>ОБ ЭКОНОМИЧЕСКИХ, СОЦИАЛЬНЫХ</w:t>
      </w:r>
    </w:p>
    <w:p w:rsidR="00000000" w:rsidRDefault="00000000">
      <w:pPr>
        <w:tabs>
          <w:tab w:val="center" w:pos="4819"/>
        </w:tabs>
        <w:suppressAutoHyphens/>
        <w:jc w:val="center"/>
      </w:pPr>
      <w:r>
        <w:t>И КУЛЬТУРНЫХ ПРАВАХ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center" w:pos="4819"/>
        </w:tabs>
        <w:suppressAutoHyphens/>
        <w:jc w:val="center"/>
      </w:pPr>
      <w:r>
        <w:t>Записка Генерального секретаря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ab/>
        <w:t>Генеральный секретарь имеет честь настоящим препроводить двадцать седьмой доклад Международной организации труда согласно статье 18 Международного пакта об экономических, социальных и культурных правах, представляемый в соответствии с резолюцией 1988</w:t>
      </w:r>
      <w:r>
        <w:rPr>
          <w:lang w:val="en-US"/>
        </w:rPr>
        <w:t xml:space="preserve"> </w:t>
      </w:r>
      <w:r>
        <w:t>(LX) Экономического и Социального Совета.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right" w:pos="9638"/>
        </w:tabs>
        <w:suppressAutoHyphens/>
        <w:jc w:val="right"/>
      </w:pPr>
      <w:r>
        <w:tab/>
        <w:t>[8 февраля 2000 года]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clear" w:pos="1134"/>
          <w:tab w:val="left" w:pos="851"/>
          <w:tab w:val="center" w:pos="4678"/>
        </w:tabs>
        <w:suppressAutoHyphens/>
        <w:jc w:val="center"/>
        <w:rPr>
          <w:b/>
        </w:rPr>
      </w:pPr>
      <w:r>
        <w:br w:type="page"/>
      </w:r>
      <w:r>
        <w:rPr>
          <w:b/>
        </w:rPr>
        <w:t>СОДЕРЖАНИЕ</w:t>
      </w:r>
    </w:p>
    <w:p w:rsidR="00000000" w:rsidRDefault="00000000">
      <w:pPr>
        <w:tabs>
          <w:tab w:val="center" w:pos="4678"/>
        </w:tabs>
        <w:suppressAutoHyphens/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Пункты</w:t>
      </w:r>
      <w:r>
        <w:tab/>
      </w:r>
      <w:r>
        <w:rPr>
          <w:u w:val="single"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</w:pPr>
    </w:p>
    <w:p w:rsidR="00000000" w:rsidRDefault="00000000">
      <w:pPr>
        <w:pStyle w:val="a0"/>
        <w:widowControl/>
        <w:tabs>
          <w:tab w:val="left" w:pos="0"/>
          <w:tab w:val="left" w:pos="566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 xml:space="preserve">Введение </w:t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 xml:space="preserve"> 1 </w:t>
      </w:r>
      <w:r>
        <w:rPr>
          <w:rFonts w:ascii="Times New Roman" w:hAnsi="Times New Roman"/>
          <w:snapToGrid/>
          <w:lang w:val="en-US"/>
        </w:rPr>
        <w:t>-</w:t>
      </w:r>
      <w:r>
        <w:rPr>
          <w:rFonts w:ascii="Times New Roman" w:hAnsi="Times New Roman"/>
          <w:snapToGrid/>
        </w:rPr>
        <w:t xml:space="preserve"> 3 </w:t>
      </w:r>
      <w:r>
        <w:rPr>
          <w:rFonts w:ascii="Times New Roman" w:hAnsi="Times New Roman"/>
          <w:snapToGrid/>
        </w:rPr>
        <w:tab/>
        <w:t>3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  <w:t>I.</w:t>
      </w:r>
      <w:r>
        <w:rPr>
          <w:rFonts w:ascii="Times New Roman" w:hAnsi="Times New Roman"/>
          <w:snapToGrid/>
        </w:rPr>
        <w:tab/>
        <w:t xml:space="preserve">ОСНОВНЫЕ КОНВЕНЦИИ МОТ, ИМЕЮЩИЕ 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>ОТНОШЕНИЕ К СТАТЬЯМ 6-10 МЕЖДУНАРОДНОГО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>ПАКТА ОБ ЭКОНОМИЧЕСКИХ, СОЦИАЛЬНЫХ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>И КУЛЬТУРНЫХ ПРАВАХ</w:t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>4</w:t>
      </w:r>
      <w:r>
        <w:rPr>
          <w:rFonts w:ascii="Times New Roman" w:hAnsi="Times New Roman"/>
          <w:snapToGrid/>
        </w:rPr>
        <w:tab/>
        <w:t>4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851"/>
          <w:tab w:val="left" w:pos="1700"/>
          <w:tab w:val="left" w:pos="2268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  <w:lang w:val="en-US"/>
        </w:rPr>
        <w:t>II.</w:t>
      </w:r>
      <w:r>
        <w:rPr>
          <w:rFonts w:ascii="Times New Roman" w:hAnsi="Times New Roman"/>
          <w:snapToGrid/>
        </w:rPr>
        <w:tab/>
        <w:t xml:space="preserve">СВЕДЕНИЯ О ПОЛОЖЕНИИ В ОТДЕЛЬНЫХ СТРАНАХ </w:t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 xml:space="preserve"> 5 </w:t>
      </w:r>
      <w:r>
        <w:rPr>
          <w:rFonts w:ascii="Times New Roman" w:hAnsi="Times New Roman"/>
          <w:snapToGrid/>
          <w:lang w:val="en-US"/>
        </w:rPr>
        <w:t>-</w:t>
      </w:r>
      <w:r>
        <w:rPr>
          <w:rFonts w:ascii="Times New Roman" w:hAnsi="Times New Roman"/>
          <w:snapToGrid/>
        </w:rPr>
        <w:t xml:space="preserve"> 54</w:t>
      </w:r>
      <w:r>
        <w:rPr>
          <w:rFonts w:ascii="Times New Roman" w:hAnsi="Times New Roman"/>
          <w:snapToGrid/>
        </w:rPr>
        <w:tab/>
        <w:t>9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851"/>
          <w:tab w:val="left" w:pos="1700"/>
          <w:tab w:val="left" w:pos="2268"/>
          <w:tab w:val="right" w:leader="dot" w:pos="7513"/>
          <w:tab w:val="center" w:pos="8039"/>
          <w:tab w:val="center" w:pos="9121"/>
        </w:tabs>
        <w:suppressAutoHyphens/>
        <w:spacing w:line="360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>А.</w:t>
      </w:r>
      <w:r>
        <w:rPr>
          <w:rFonts w:ascii="Times New Roman" w:hAnsi="Times New Roman"/>
          <w:snapToGrid/>
        </w:rPr>
        <w:tab/>
        <w:t xml:space="preserve">Египет </w:t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 xml:space="preserve"> 9 </w:t>
      </w:r>
      <w:r>
        <w:rPr>
          <w:rFonts w:ascii="Times New Roman" w:hAnsi="Times New Roman"/>
          <w:snapToGrid/>
          <w:lang w:val="en-US"/>
        </w:rPr>
        <w:t>–</w:t>
      </w:r>
      <w:r>
        <w:rPr>
          <w:rFonts w:ascii="Times New Roman" w:hAnsi="Times New Roman"/>
          <w:snapToGrid/>
        </w:rPr>
        <w:t xml:space="preserve"> 20</w:t>
      </w:r>
      <w:r>
        <w:rPr>
          <w:rFonts w:ascii="Times New Roman" w:hAnsi="Times New Roman"/>
          <w:snapToGrid/>
        </w:rPr>
        <w:tab/>
        <w:t>10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6237"/>
          <w:tab w:val="left" w:pos="0"/>
          <w:tab w:val="decimal" w:pos="566"/>
          <w:tab w:val="left" w:pos="851"/>
          <w:tab w:val="left" w:pos="1700"/>
          <w:tab w:val="right" w:leader="dot" w:pos="7513"/>
          <w:tab w:val="center" w:pos="8039"/>
          <w:tab w:val="center" w:pos="9121"/>
        </w:tabs>
        <w:suppressAutoHyphens/>
        <w:spacing w:line="360" w:lineRule="auto"/>
      </w:pPr>
      <w:r>
        <w:tab/>
      </w:r>
      <w:r>
        <w:tab/>
      </w:r>
      <w:r>
        <w:rPr>
          <w:lang w:val="en-US"/>
        </w:rPr>
        <w:t>B</w:t>
      </w:r>
      <w:r>
        <w:tab/>
        <w:t xml:space="preserve">Грузия </w:t>
      </w:r>
      <w:r>
        <w:tab/>
      </w:r>
      <w:r>
        <w:tab/>
        <w:t xml:space="preserve">21 </w:t>
      </w:r>
      <w:r>
        <w:rPr>
          <w:lang w:val="en-US"/>
        </w:rPr>
        <w:t>–</w:t>
      </w:r>
      <w:r>
        <w:t xml:space="preserve"> 23</w:t>
      </w:r>
      <w:r>
        <w:tab/>
        <w:t>13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851"/>
          <w:tab w:val="left" w:pos="1700"/>
          <w:tab w:val="left" w:pos="2268"/>
          <w:tab w:val="right" w:leader="dot" w:pos="7513"/>
          <w:tab w:val="center" w:pos="8039"/>
          <w:tab w:val="center" w:pos="9121"/>
        </w:tabs>
        <w:suppressAutoHyphens/>
        <w:spacing w:line="360" w:lineRule="auto"/>
        <w:rPr>
          <w:rFonts w:ascii="Times New Roman" w:hAnsi="Times New Roman"/>
          <w:snapToGrid/>
          <w:lang w:val="en-US"/>
        </w:rPr>
      </w:pP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C.</w:t>
      </w:r>
      <w:r>
        <w:rPr>
          <w:rFonts w:ascii="Times New Roman" w:hAnsi="Times New Roman"/>
          <w:snapToGrid/>
          <w:lang w:val="en-US"/>
        </w:rPr>
        <w:tab/>
        <w:t xml:space="preserve">Италия </w:t>
      </w: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24 – 32</w:t>
      </w:r>
      <w:r>
        <w:rPr>
          <w:rFonts w:ascii="Times New Roman" w:hAnsi="Times New Roman"/>
          <w:snapToGrid/>
          <w:lang w:val="en-US"/>
        </w:rPr>
        <w:tab/>
        <w:t>14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851"/>
          <w:tab w:val="left" w:pos="1700"/>
          <w:tab w:val="left" w:pos="2268"/>
          <w:tab w:val="right" w:leader="dot" w:pos="7513"/>
          <w:tab w:val="center" w:pos="8039"/>
          <w:tab w:val="center" w:pos="9121"/>
        </w:tabs>
        <w:suppressAutoHyphens/>
        <w:spacing w:line="360" w:lineRule="auto"/>
        <w:rPr>
          <w:rFonts w:ascii="Times New Roman" w:hAnsi="Times New Roman"/>
          <w:snapToGrid/>
          <w:lang w:val="en-US"/>
        </w:rPr>
      </w:pP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D.</w:t>
      </w:r>
      <w:r>
        <w:rPr>
          <w:rFonts w:ascii="Times New Roman" w:hAnsi="Times New Roman"/>
          <w:snapToGrid/>
          <w:lang w:val="en-US"/>
        </w:rPr>
        <w:tab/>
        <w:t xml:space="preserve">Иордания </w:t>
      </w: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33 – 41</w:t>
      </w:r>
      <w:r>
        <w:rPr>
          <w:rFonts w:ascii="Times New Roman" w:hAnsi="Times New Roman"/>
          <w:snapToGrid/>
          <w:lang w:val="en-US"/>
        </w:rPr>
        <w:tab/>
        <w:t>17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851"/>
          <w:tab w:val="left" w:pos="1700"/>
          <w:tab w:val="left" w:pos="2268"/>
          <w:tab w:val="right" w:leader="dot" w:pos="7513"/>
          <w:tab w:val="center" w:pos="8039"/>
          <w:tab w:val="center" w:pos="9121"/>
        </w:tabs>
        <w:suppressAutoHyphens/>
        <w:spacing w:line="360" w:lineRule="auto"/>
        <w:rPr>
          <w:rFonts w:ascii="Times New Roman" w:hAnsi="Times New Roman"/>
          <w:snapToGrid/>
          <w:lang w:val="en-US"/>
        </w:rPr>
      </w:pP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E.</w:t>
      </w:r>
      <w:r>
        <w:rPr>
          <w:rFonts w:ascii="Times New Roman" w:hAnsi="Times New Roman"/>
          <w:snapToGrid/>
          <w:lang w:val="en-US"/>
        </w:rPr>
        <w:tab/>
        <w:t xml:space="preserve">Португалия </w:t>
      </w:r>
      <w:r>
        <w:rPr>
          <w:rFonts w:ascii="Times New Roman" w:hAnsi="Times New Roman"/>
          <w:snapToGrid/>
          <w:lang w:val="en-US"/>
        </w:rPr>
        <w:tab/>
      </w:r>
      <w:r>
        <w:rPr>
          <w:rFonts w:ascii="Times New Roman" w:hAnsi="Times New Roman"/>
          <w:snapToGrid/>
          <w:lang w:val="en-US"/>
        </w:rPr>
        <w:tab/>
        <w:t>42 – 54</w:t>
      </w:r>
      <w:r>
        <w:rPr>
          <w:rFonts w:ascii="Times New Roman" w:hAnsi="Times New Roman"/>
          <w:snapToGrid/>
          <w:lang w:val="en-US"/>
        </w:rPr>
        <w:tab/>
        <w:t>19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6237"/>
          <w:tab w:val="left" w:pos="0"/>
          <w:tab w:val="decimal" w:pos="566"/>
          <w:tab w:val="left" w:pos="1700"/>
          <w:tab w:val="right" w:leader="dot" w:pos="7513"/>
          <w:tab w:val="center" w:pos="8039"/>
          <w:tab w:val="center" w:pos="9121"/>
        </w:tabs>
        <w:suppressAutoHyphens/>
      </w:pPr>
      <w:r>
        <w:rPr>
          <w:lang w:val="en-US"/>
        </w:rPr>
        <w:tab/>
      </w:r>
      <w:r>
        <w:t>.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>Приложение.</w:t>
      </w:r>
      <w:r>
        <w:rPr>
          <w:rFonts w:ascii="Times New Roman" w:hAnsi="Times New Roman"/>
          <w:snapToGrid/>
        </w:rPr>
        <w:tab/>
        <w:t>Указатель стран и соответствующей информации,</w:t>
      </w:r>
    </w:p>
    <w:p w:rsidR="00000000" w:rsidRDefault="00000000">
      <w:pPr>
        <w:pStyle w:val="a0"/>
        <w:widowControl/>
        <w:tabs>
          <w:tab w:val="left" w:pos="0"/>
          <w:tab w:val="decimal" w:pos="566"/>
          <w:tab w:val="left" w:pos="1134"/>
          <w:tab w:val="left" w:pos="1700"/>
          <w:tab w:val="left" w:pos="2268"/>
          <w:tab w:val="left" w:pos="6237"/>
          <w:tab w:val="right" w:leader="dot" w:pos="7513"/>
          <w:tab w:val="center" w:pos="8039"/>
          <w:tab w:val="center" w:pos="9121"/>
        </w:tabs>
        <w:suppressAutoHyphens/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  <w:t xml:space="preserve">представленной МОТ начиная с 1980 года </w:t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</w:r>
      <w:r>
        <w:rPr>
          <w:rFonts w:ascii="Times New Roman" w:hAnsi="Times New Roman"/>
          <w:snapToGrid/>
        </w:rPr>
        <w:tab/>
      </w:r>
    </w:p>
    <w:p w:rsidR="00000000" w:rsidRDefault="00000000">
      <w:pPr>
        <w:tabs>
          <w:tab w:val="center" w:pos="4678"/>
        </w:tabs>
        <w:suppressAutoHyphens/>
        <w:jc w:val="center"/>
      </w:pPr>
      <w:r>
        <w:br w:type="page"/>
      </w:r>
      <w:r>
        <w:rPr>
          <w:u w:val="single"/>
        </w:rPr>
        <w:t>Введение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1.</w:t>
      </w:r>
      <w:r>
        <w:tab/>
        <w:t>Настоящий доклад подготовлен в соответствии со схемой, одобренной Административным советом Международного бюро труда</w:t>
      </w:r>
      <w:r>
        <w:rPr>
          <w:rStyle w:val="FootnoteReference"/>
          <w:b/>
        </w:rPr>
        <w:footnoteReference w:id="1"/>
      </w:r>
      <w:r>
        <w:t xml:space="preserve"> в целях выполнения резолюции 1988</w:t>
      </w:r>
      <w:r>
        <w:rPr>
          <w:lang w:val="en-US"/>
        </w:rPr>
        <w:t xml:space="preserve"> </w:t>
      </w:r>
      <w:r>
        <w:t>(LX) Экономического и Социального Совета Организации Объединенных Наций от 11 мая 1976 года, в которой Совет просил специализированные учреждения представлять доклады в соответствии со статьей 18 Международного пакта об экономических, социальных и культурных правах о прогрессе на пути к достижению соблюдения положений Пакта, относящихся к сфере их деятельности.  Согласно этой схеме, на Международное бюро труда возложена задача поддержания связей с Организацией Объединенных Наций в целях представления Комитету по экономическим, социальным и культурным правам информации о результатах деятельности различных наблюдательных процедур МОТ в областях, охватываемых Пактом.  Комитет экспертов по применению конвенций и рекомендаций будет представлять информацию о конкретных ситуациях всякий раз, когда он сочтет это целесообразным или когда об этом специально попросит Комитет по экономическим, социальным и культурным правам.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2.</w:t>
      </w:r>
      <w:r>
        <w:tab/>
        <w:t xml:space="preserve">В докладе используется подход, принятый с 1985 года;  в нем содержатся:  а)  сведения об основных Конвенциях МОТ, имеющих отношение к статьям 6-10 и 13 Пакта;  и  </w:t>
      </w:r>
      <w:r>
        <w:rPr>
          <w:lang w:val="en-US"/>
        </w:rPr>
        <w:t xml:space="preserve">b) </w:t>
      </w:r>
      <w:r>
        <w:t xml:space="preserve">сведения о ратификации этих Конвенций, а также замечания наблюдательных органов МОТ относительно применения этих Конвенций соответствующими государствами (по тем аспектам, по которым затрагиваемые вопросы имеют отношение также к положениям Пакта).  Последняя информация основана главным образом на замечаниях Комитета экспертов, сформулированных по итогам рассмотрения докладов о выполнении упомянутых конвенций.  Учтены также выводы и рекомендации, принятые согласно установленным процедурам рассмотрения представлений или жалоб, а в случае статьи 8 Пакта - выводы и рекомендации Комитета по свободе объединения Административного совета МОТ, принятые после рассмотрения жалоб, содержащих утверждения о нарушениях прав профсоюзов.  С учетом все более широкого применения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Совместной процедуры МОТ/ЮНЕСКО в отношении заявлений, касающихся положения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br w:type="page"/>
        <w:t>учителей, информация о рассматриваемых по этой процедуре случаях включается в раздел, посвященный статье 13 Пакта, когда это имеет отношение к изучаемым докладам стран</w:t>
      </w:r>
      <w:r>
        <w:rPr>
          <w:rStyle w:val="FootnoteReference"/>
          <w:b/>
        </w:rPr>
        <w:footnoteReference w:id="2"/>
      </w:r>
      <w:r>
        <w:t>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3.</w:t>
      </w:r>
      <w:r>
        <w:tab/>
        <w:t>Перечень стран, по которым в настоящем докладе представлена информация, приводится в содержании.  Сводный перечень государств - участников Пакта и докладов МОТ, содержащих информацию по этим странам, приводится в приложении.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  <w:jc w:val="center"/>
      </w:pPr>
    </w:p>
    <w:p w:rsidR="00000000" w:rsidRDefault="00000000">
      <w:pPr>
        <w:tabs>
          <w:tab w:val="center" w:pos="4678"/>
        </w:tabs>
        <w:suppressAutoHyphens/>
        <w:jc w:val="center"/>
        <w:rPr>
          <w:b/>
          <w:lang w:val="en-US"/>
        </w:rPr>
      </w:pPr>
      <w:r>
        <w:t>I.</w:t>
      </w:r>
      <w:r>
        <w:tab/>
      </w:r>
      <w:r>
        <w:rPr>
          <w:b/>
        </w:rPr>
        <w:t>ОСНОВНЫЕ КОНВЕНЦИИ МОТ, ИМЕЮЩИЕ ОТНОШЕНИЕ</w:t>
      </w:r>
      <w:r>
        <w:rPr>
          <w:b/>
          <w:lang w:val="en-US"/>
        </w:rPr>
        <w:t xml:space="preserve"> </w:t>
      </w:r>
    </w:p>
    <w:p w:rsidR="00000000" w:rsidRDefault="00000000">
      <w:pPr>
        <w:tabs>
          <w:tab w:val="center" w:pos="4678"/>
        </w:tabs>
        <w:suppressAutoHyphens/>
        <w:ind w:left="1395" w:hanging="261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</w:rPr>
        <w:t>К СТАТЬЯМ 6-10 И</w:t>
      </w:r>
      <w:r>
        <w:rPr>
          <w:b/>
          <w:lang w:val="en-US"/>
        </w:rPr>
        <w:t xml:space="preserve"> </w:t>
      </w:r>
      <w:r>
        <w:rPr>
          <w:b/>
        </w:rPr>
        <w:t>13 МЕЖДУНАРОДНОГО ПАКТА ОБ ЭКОНОМИЧЕСКИХ, СОЦИАЛЬНЫХ</w:t>
      </w:r>
      <w:r>
        <w:rPr>
          <w:b/>
          <w:lang w:val="en-US"/>
        </w:rPr>
        <w:t xml:space="preserve"> </w:t>
      </w:r>
      <w:r>
        <w:rPr>
          <w:b/>
        </w:rPr>
        <w:t>И КУЛЬТУРНЫХ</w:t>
      </w:r>
    </w:p>
    <w:p w:rsidR="00000000" w:rsidRDefault="00000000">
      <w:pPr>
        <w:tabs>
          <w:tab w:val="center" w:pos="4678"/>
        </w:tabs>
        <w:suppressAutoHyphens/>
        <w:ind w:left="1701" w:hanging="261"/>
        <w:rPr>
          <w:b/>
        </w:rPr>
      </w:pPr>
      <w:r>
        <w:rPr>
          <w:b/>
        </w:rPr>
        <w:t>ПРАВАХ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  <w:jc w:val="center"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4.</w:t>
      </w:r>
      <w:r>
        <w:tab/>
        <w:t>Ниже приводится перечень основных конвенций МОТ, имеющих отношение к статьям 6-10 и 13 Пакта</w:t>
      </w:r>
      <w:r>
        <w:rPr>
          <w:rStyle w:val="FootnoteReference"/>
          <w:b/>
        </w:rPr>
        <w:footnoteReference w:id="3"/>
      </w:r>
      <w:r>
        <w:t>.  Информация о ратификации этих конвенций каждым соответствующим государством содержится в части II (сведения о положении в отдельных странах).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enter" w:pos="4678"/>
        </w:tabs>
        <w:suppressAutoHyphens/>
      </w:pPr>
      <w:r>
        <w:tab/>
      </w:r>
      <w:r>
        <w:rPr>
          <w:u w:val="single"/>
        </w:rPr>
        <w:t>Статья 6 Пакта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безработице 1919 года (№ 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принудительном труде 1930 года (№ 29)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платных бюро найма 1933 года (№ 34)</w:t>
      </w:r>
    </w:p>
    <w:p w:rsidR="00000000" w:rsidRDefault="00000000">
      <w:pPr>
        <w:tabs>
          <w:tab w:val="left" w:pos="0"/>
        </w:tabs>
        <w:suppressAutoHyphens/>
      </w:pPr>
      <w:r>
        <w:t>Конвенция об организации службы занятости 1948 года (№ 88)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платных бюро по найму 1949 года (№ 96)</w:t>
      </w:r>
    </w:p>
    <w:p w:rsidR="00000000" w:rsidRDefault="00000000">
      <w:pPr>
        <w:tabs>
          <w:tab w:val="left" w:pos="0"/>
        </w:tabs>
        <w:suppressAutoHyphens/>
      </w:pPr>
      <w:r>
        <w:t>Конвенция об упразднении принудительного труда 1957 года (№ 105)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коренном и другом населении, ведущем племенной образ жизни,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1957 года (№ 107)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дискриминации в области труда и занятий 1958 года (№ 111)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основных целях и нормах социальной политики 1962 года (№ 117)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политике в области занятости 1964 года (№ 122)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оплачиваемых учебных отпусках 1974 года (№ 140)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развитии людских ресурсов 1975 года (№ 142)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трудящихся с семейными обязанностями 1981 года (№ 156)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прекращении трудовых отношений 1982 года (№ 158)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профессиональной реабилитации и занятости инвалидов 1983 года (№ 159)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содействии занятости и защите от безработицы 1988 года (№ 168), часть II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Конвенция о коренных народах и народах, ведущих племенной образ жизни,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1989 года (№ 169)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pStyle w:val="Heading5"/>
      </w:pPr>
      <w:r>
        <w:t>Статья 7 Пакта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rPr>
          <w:u w:val="single"/>
        </w:rPr>
        <w:t>Вознаграждение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процедуре установления минимальной заработной платы 1928 года (№ 26)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Конвенция о процедуре установления минимальной заработной платы в сельском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хозяйстве 1951 года (№ 99)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установлении минимальной заработной платы 1970 года (№ 131)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  <w:rPr>
          <w:u w:val="single"/>
        </w:rPr>
      </w:pPr>
      <w:r>
        <w:rPr>
          <w:u w:val="single"/>
        </w:rPr>
        <w:t>Равное вознаграждение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  <w:rPr>
          <w:u w:val="single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равном вознаграждении 1951 года (№ 100)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rPr>
          <w:u w:val="single"/>
        </w:rPr>
        <w:t>Безопасные и здоровые условия труда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свинцовых белилах в малярном деле 1921 года (№ 13)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указании веса грузов, перевозимых на судах, 1929 года (№ 27)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докеров от несчастных случаев 1929 года (№ 28)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докеров от несчастных случаев 1932 года (№ 32)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технике безопасности в строительстве 1937 года (№ 62)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инспекции труда 1947 года (№ 81)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от радиации 1960 года (№ 115)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снабжении машин защитными приспособлениями 1963 года (№ 119)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гигиене в торговле и учреждениях 1964 года (№ 120)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максимальном грузе 1967 года (№ 127)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инспекции труда в сельском хозяйстве 1969 года (№ 129)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бензоле 1971 года (№ 136)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трудящихся от профессионального риска, вызываемого загрязнением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воздуха, шумом и вибрацией на рабочих местах 1977 года (№ 148)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технике безопасности и гигиене труда на портовых работах 1979 года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(№ 152)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безопасности и гигиене труда и производственной среде 1981 года (№ 155)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службах гигиены труда 1985 года (№ 161)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асбесте 1986 года (№ 162)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безопасности и гигиене труда в строительстве 1988 года (№ 167)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химических веществах 1990 года (№ 170)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ночном труде 1990 года (№ 171)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rPr>
          <w:u w:val="single"/>
        </w:rPr>
        <w:t>Отдых, регламентация рабочего времени и оплачиваемый отпуск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рабочем времени в промышленности 1919 года (№ 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еженедельном отдыхе в промышленности 1921 года (№ 14)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рабочем времени в торговле и в учреждениях 1930 года (№ 30)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сорокачасовой рабочей неделе 1935 года (№ 47)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оплачиваемых отпусках 1936 года (№ 52)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оплачиваемых отпусках в сельском хозяйстве 1952 года (№ 101)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еженедельном отдыхе в торговле и учреждениях 1957 года (№ 106)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оплачиваемых отпусках (пересмотренная) 1970 года (№ 132)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работе на условиях неполного рабочего времени 1994 года (№ 175)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надомном труде 1996 года (№ 177)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pStyle w:val="Heading5"/>
      </w:pPr>
      <w:r>
        <w:t>Статья 8 Пакта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праве на объединение в сельском хозяйстве 1921 года (№ 11)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свободе ассоциации и защите права на организацию 1948 года (№ 87)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праве на организацию и на ведение коллективных переговоров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1949 года (№ 98)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прав представителей трудящихся 1971 года (№ 135)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организациях сельских трудящихся 1975 года (№ 141)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трудовых отношениях на государственной службе 1978 года (№ 151)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содействии коллективным переговорам 1981 года (№ 154)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pStyle w:val="Heading5"/>
      </w:pPr>
      <w:r>
        <w:t>Статья 9 Пакта</w:t>
      </w:r>
    </w:p>
    <w:p w:rsidR="00000000" w:rsidRDefault="00000000"/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возмещении при несчастных случаях в сельском хозяйстве 1921 года (№ 12)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возмещении трудящимся при несчастных случаях на производстве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1925 года (№ 17)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возмещении трудящимся при профессиональных заболеваниях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1925 года (№ 18)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равноправии в области возмещения при несчастных случаях 1925 года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(№ 19)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по болезни в промышленности 1927 года (№ 24)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по болезни трудящихся в сельском хозяйстве 1927 года (№ 25)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по старости в промышленности 1933 года (№ 35)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по старости в сельском хозяйстве 1933 года (№ 36)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Конвенция о страховании на случай инвалидности в промышленности и т.д.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1933 года (№ 37)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по инвалидности в сельском хозяйстве 1933 года (№ 38)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на случай потери кормильца в промышленности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1933 года (№ 39)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страховании на случай потери кормильца в сельском хозяйстве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1933 года (№ 40)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возмещении в случае профессиональных заболеваний (пересмотренная)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1934 года (№ 42)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безработице 1934 года (№ 44)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сохранении за мигрантами прав на пенсию 1935 года (№ 48)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минимальных нормах социального обеспечения 1952 года (№ 102)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равноправии в области социального обеспечения 1962 года (№ 118)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пособиях в случаях производственного травматизма 1964 года (№ 121)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пособиях по инвалидности, по старости и по случаю потери кормильца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1967 года (№ 128)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медицинской помощи и пособиях по болезни 1969 года (№ 130)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сохранении прав в области социального обеспечения 1982 года (№ 157)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содействии занятости и защите от безработицы 1988 года (№ 168)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pStyle w:val="Heading5"/>
      </w:pPr>
      <w:r>
        <w:t>Статья 10 Пакта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а)</w:t>
      </w:r>
      <w:r>
        <w:tab/>
      </w:r>
      <w:r>
        <w:rPr>
          <w:u w:val="single"/>
        </w:rPr>
        <w:t>Охрана материнства</w:t>
      </w:r>
      <w:r>
        <w:t xml:space="preserve"> (пункт 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охране материнства 1919 года (№ 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охране материнства (пересмотренная) 1952 года (№ 103)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b)</w:t>
      </w:r>
      <w:r>
        <w:tab/>
      </w:r>
      <w:r>
        <w:rPr>
          <w:u w:val="single"/>
        </w:rPr>
        <w:t>Защита детей и молодежи применительно к занятости и труду</w:t>
      </w:r>
      <w:r>
        <w:t xml:space="preserve"> (пункт 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для приема на работу в промышленности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1919 года (№ 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для работы в море 1920 года (№ 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в сельском хозяйстве 1921 года (№ 10)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для грузчиков угля и кочегаров во флоте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1921 года (№ 15)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на непромышленных работах 1932 года (№ 33)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Конвенция о минимальном возрасте для работы в море (пересмотренная)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1936 года (№ 58)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в промышленности (пересмотренная)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1937 года (№ 59)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на непромышленных работах (пересмотренная)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1937 года (№ 60)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рыбаков 1959 года (№ 112)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об основных целях и нормах социальной политики 1962 года (№ 117)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допуска на подземные работы 1965 года (№ 123)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минимальном возрасте 1973 года (№ 138)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ночном труде подростков в промышленности 1919 года (№ 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ночной работе в булочных 1925 года (№ 20)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ночном труде подростков на непромышленных работах 1946 года (№ 79)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ночном труде подростков в промышленности (пересмотренная)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1948 года (№ 90)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свинцовых белилах в малярном деле 1921 года (№ 13) (статья 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защите от радиации 1960 года (№ 115) (статья 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максимальном грузе 1967 года (№ 127) (статья 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бензоле 1971 года (№ 136) (статья 11)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освидетельствовании подростков на борту судов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1921 года (№ 16)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освидетельствовании моряков 1946 года (№ 73)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освидетельствовании подростков в промышленности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1946 года (№ 77)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освидетельствовании подростков на непромышленных работах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1946 года (№ 78)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осмотре рыбаков 1959 года (№ 113)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медицинском освидетельствовании молодых людей для подземных работ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 xml:space="preserve">    1965 года (№ 124)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pStyle w:val="Heading5"/>
      </w:pPr>
      <w:r>
        <w:t>Статья 13 Пакта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Конвенция о развитии людских ресурсов 1975 года (№ 142)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ab/>
        <w:t>В соответствующих случаях даются также ссылки на Совместную рекомендацию МОТ/ЮНЕСКО, касающуюся положения учителей, и на работу Совместного комитета МОТ/ЮНЕСКО, который осуществляет наблюдение за ее применением.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enter" w:pos="4678"/>
        </w:tabs>
        <w:suppressAutoHyphens/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>.</w:t>
      </w: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ВЕДЕНИЯ О ПОЛОЖЕНИИ В ОТДЕЛЬНЫХ СТРАНАХ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5.</w:t>
      </w:r>
      <w:r>
        <w:tab/>
        <w:t>По каждой рассматриваемой статье Пакта в приводимых сведениях указывается состояние ратификации соответствующих конвенций указываемой страной и приводятся ссылки на соответствующие замечания наблюдательных органов МОТ относительно применения этих конвенций.  Полные варианты (на английском, испанском и французском языках) замечаний Комитета экспертов, с которыми рекомендуется ознакомиться для получения более подробной информации, могут быть получены для ознакомления в секретариате.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6.</w:t>
      </w:r>
      <w:r>
        <w:tab/>
        <w:t>Отсутствие любых подобных ссылок говорит о том, что на настоящий момент комментарии по применению конкретной конвенции отсутствуют, или о том, что комментарии касаются либо аспектов, не относящихся к положениям Пакта, либо вопросов (например, простые запросы информации), которые, как представляется, нет необходимости рассматривать на этой стадии, или, наконец, о том, что ответ правительства, касающийся применения той или иной конвенции, по которой были сделаны комментарии, пока не рассматривался Комитетом экспертов.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7.</w:t>
      </w:r>
      <w:r>
        <w:tab/>
        <w:t>Когда ссылки делаются на "замечания" Комитета экспертов, то имеются в виду тексты, опубликованные в докладе Комитета за указанный год (доклад III (часть 1A) соответствующей сессии Международной конференции труда).  Кроме того, комментарии формулируются в запросах информации, направляемых непосредственно Комитетом экспертов соответствующим правительствам;  такие комментарии не публикуются, но их текст доводится до сведения заинтересованных сторон.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</w:pPr>
      <w:r>
        <w:t>8.</w:t>
      </w:r>
      <w:r>
        <w:tab/>
        <w:t>И наконец, следует отметить, что в порядке исключения Комитет экспертов провел в 1995 году две сессии:  в марте и в ноябре-декабре.  В соответствующих случаях в тексте дается указание на то, о какой из этих двух сессий идет речь.</w:t>
      </w:r>
    </w:p>
    <w:p w:rsidR="00000000" w:rsidRDefault="00000000">
      <w:pPr>
        <w:tabs>
          <w:tab w:val="left" w:pos="0"/>
        </w:tabs>
        <w:suppressAutoHyphens/>
        <w:jc w:val="center"/>
        <w:rPr>
          <w:u w:val="single"/>
        </w:rPr>
      </w:pPr>
      <w:r>
        <w:rPr>
          <w:lang w:val="en-US"/>
        </w:rPr>
        <w:br w:type="page"/>
        <w:t>A.</w:t>
      </w:r>
      <w:r>
        <w:rPr>
          <w:lang w:val="en-US"/>
        </w:rPr>
        <w:tab/>
      </w:r>
      <w:r>
        <w:rPr>
          <w:u w:val="single"/>
        </w:rPr>
        <w:t>Египет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9.</w:t>
      </w:r>
      <w:r>
        <w:tab/>
        <w:t>Информация, касающаяся Египта, ранее Комитету не представлялась.</w:t>
      </w:r>
    </w:p>
    <w:p w:rsidR="00000000" w:rsidRDefault="00000000"/>
    <w:p w:rsidR="00000000" w:rsidRDefault="00000000">
      <w:pPr>
        <w:rPr>
          <w:lang w:val="en-US"/>
        </w:rPr>
      </w:pPr>
      <w:r>
        <w:t>10.</w:t>
      </w:r>
      <w:r>
        <w:tab/>
        <w:t>Египтом были ратифицированы и для него вступили в силу следующие соответствующие Конвенции (полные названия см. в списке Конвенций в части </w:t>
      </w:r>
      <w:r>
        <w:rPr>
          <w:lang w:val="en-US"/>
        </w:rPr>
        <w:t>I</w:t>
      </w:r>
      <w:r>
        <w:t xml:space="preserve"> выше):</w:t>
      </w:r>
      <w:r>
        <w:rPr>
          <w:lang w:val="en-US"/>
        </w:rPr>
        <w:t xml:space="preserve">  1, 2, 11, 14, 17, 18, 19, 26, 29, 30, 52, 62, 73, 81, 87, 88, 96, 98, 100, 101, 105 106, 107, 111, 115, 118, 131, 135, 142, 148, 152  </w:t>
      </w:r>
      <w:r>
        <w:t>и</w:t>
      </w:r>
      <w:r>
        <w:rPr>
          <w:lang w:val="en-US"/>
        </w:rPr>
        <w:t xml:space="preserve"> 159.</w:t>
      </w:r>
    </w:p>
    <w:p w:rsidR="00000000" w:rsidRDefault="00000000">
      <w:pPr>
        <w:rPr>
          <w:lang w:val="en-US"/>
        </w:rPr>
      </w:pPr>
    </w:p>
    <w:p w:rsidR="00000000" w:rsidRDefault="00000000">
      <w:r>
        <w:rPr>
          <w:u w:val="single"/>
          <w:lang w:val="en-US"/>
        </w:rPr>
        <w:t>Статья 6</w:t>
      </w:r>
      <w:r>
        <w:t xml:space="preserve"> </w:t>
      </w:r>
    </w:p>
    <w:p w:rsidR="00000000" w:rsidRDefault="00000000"/>
    <w:p w:rsidR="00000000" w:rsidRDefault="00000000">
      <w:r>
        <w:t>11.</w:t>
      </w:r>
      <w:r>
        <w:tab/>
        <w:t>В своем замечании 1998 года по Конвенции № 105 Комитет принял к сведению информацию, представленную правительством о том, что в стране было принято новое законодательство, предусматривающее независимость журналистов от вмешательства в их деятельность и запрещающее заключение журналистов под стражу до суда за преступления, связанные с публикацией материалов.  Комитет просил правительство представить копию нового законодательства и вновь выразил свою надежду, что правительство пересмотрит другие законы, в отношении которых Комитет ранее высказывал замечания и которые касаются цензуры кинофильмов, деятельности ассоциаций и частных фондов, организации публичных митингов и формирования политических партий, с тем чтобы обеспечить соблюдение Конвенции.  Комитет также повторил свои обеспокоенности, касающиеся некоторых положений Уголовного кодекса, в соответствии с которыми любой государственный служащий, организовавший забастовку, может быть наказан лишением свободы с обязательным привлечением к принудительному труду.  Он вновь выразил свою озабоченность в отношении некоторых положений Закона об обеспечении безопасности, правопорядка и дисциплины (Закон о торговом флоте), в соответствии с которыми моряки, организовавшие коллективную акцию неповиновения, могут быть наказаны лишением свободы с привлечением к принудительному труду.  Комитет отметил, что статья 1 Конвенции запрещает использование принудительного или обязательного труда в качестве средства повышения трудовой дисциплины и в качестве наказания за участие в забастовках и вновь выразил свою надежду, что правительство вскоре примет все необходимые меры для обеспечения соблюдения данных положений Конвенции.</w:t>
      </w:r>
    </w:p>
    <w:p w:rsidR="00000000" w:rsidRDefault="00000000"/>
    <w:p w:rsidR="00000000" w:rsidRDefault="00000000">
      <w:r>
        <w:t>12.</w:t>
      </w:r>
      <w:r>
        <w:tab/>
        <w:t>Что касается Конвенции об организации службы занятости 1948 года (№ 88), то в своем замечании 1996 года Комитет  принял к сведению факт создания в 1992 году Комиссии по планированию людских ресурсов и профессиональной подготовки и учреждения в 1995 году Главного комитета по трудовым и производственным стимулам.  Он просил правительство сообщить, проводятся ли с этими органами консультации по вопросам организации и функционирования службы занятости и политики в этой области, а если такие консультации не проводятся, указать, каковы механизмы обеспечения сотрудничества представителей трудящихся и работодателей в этих вопросах.  В своем замечании 1998 года по Конвенции № 88 Комитет отметил, что в докладе правительства не содержится ответа на предыдущие замечания Комитета.  В этой связи Комитет вновь повторил свое предыдущее замечание.</w:t>
      </w:r>
    </w:p>
    <w:p w:rsidR="00000000" w:rsidRDefault="00000000"/>
    <w:p w:rsidR="00000000" w:rsidRDefault="00000000">
      <w:r>
        <w:t>13.</w:t>
      </w:r>
      <w:r>
        <w:tab/>
        <w:t>В своем замечании 1997 года по Конвенции о дискриминации в области труда и занятий 1958 года (№ 111) Комитет экспертов с удовлетворением отметил отмену Закона № </w:t>
      </w:r>
      <w:r>
        <w:rPr>
          <w:lang w:val="en-US"/>
        </w:rPr>
        <w:t xml:space="preserve"> </w:t>
      </w:r>
      <w:r>
        <w:t>48 от 1980 года, напомнив свои ранее высказанные замечания о том, что в статье 18 этого Закона содержалось положение, представляющее собой дискриминацию по признаку выражения политических мнений, которое ограничивает по политическим мотивам публикацию газет или право собственности на такие газеты.  Комитет принял к сведению представленную правительством информацию о положении в области занятости женщин в Египте, отметив, что положение в этой области может быть улучшено путем принятия соответствующих мер для поощрения к профессиональной подготовки женщин и получения ими профессий, которые обычно или традиционно считаются "неженскими", с тем чтобы содействовать осуществлению принципа равенства.  Комитет далее принял к сведению информацию, представленную правительством, и резюме его доклада на четвертой Всемирной конференции по положению женщин в Пекине в 1995 году.  Он просил правительство продолжать представлять информацию об успехах, достигнутых различными механизмами, предназначенными для повышения доли женщин в области занятости и улучшения их представленности на высокопоставленных должностях.  Комитет принял к сведению упоминание, содержащееся в докладе правительства на Пекинской конференции, о "преобладающем влиянии традиционных ценностей" в качестве одного из препятствий на пути интеграции женщин в процесс развития и их выхода на официальный рынок рабочей силы и просил правительство сообщить в своем следующем докладе о любых принятых или планируемых мерах по преодолению этого препятствия.</w:t>
      </w:r>
    </w:p>
    <w:p w:rsidR="00000000" w:rsidRDefault="00000000"/>
    <w:p w:rsidR="00000000" w:rsidRDefault="00000000">
      <w:pPr>
        <w:pStyle w:val="Heading2"/>
      </w:pPr>
      <w:r>
        <w:t>Статья 7</w:t>
      </w:r>
    </w:p>
    <w:p w:rsidR="00000000" w:rsidRDefault="00000000">
      <w:pPr>
        <w:pStyle w:val="Heading2"/>
      </w:pPr>
    </w:p>
    <w:p w:rsidR="00000000" w:rsidRDefault="00000000">
      <w:r>
        <w:t>14.</w:t>
      </w:r>
      <w:r>
        <w:tab/>
      </w:r>
      <w:r>
        <w:rPr>
          <w:u w:val="single"/>
        </w:rPr>
        <w:t>Безопасные и здоровые условия труда</w:t>
      </w:r>
      <w:r>
        <w:t>.  В своем замечании 1995 года в отношении Конвенции об инспекции труда 1947 года (№ 81) Комитет экспертов с интересом принял к сведению доклад правительства, содержащий копии докладов об инспекции труда и мерах в области безопасности за первые шесть месяцев 1993 года.  Комитет отметил, что эти доклады опубликованы по форме, требуемой статьей 20 Конвенции, и что они содержат соответствующую информацию, требуемую статьей 21 Конвенции.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Отдых,  регламентация рабочего времени и оплачиваемый отпуск</w:t>
      </w:r>
      <w:r>
        <w:t>.  В своем замечании 1995 года в отношении Конвенции о еженедельном отдыхе в торговле и учреждениях 1957 года (№ 106) Комитет, как и в представленных ранее замечаниях отметил, что Трудовой кодекс 1981 года не обеспечивает предоставление отгула лицам, работавшим в выходной день, что является нарушением положений Конвенции.  Комитет отметил, что в соответствии с Конвенцией отгул должен предоставляться вне зависимости от денежного вознаграждения, с учетом временных изъятий согласно пункту 1 статьи 8 Конвенции, и выразил надежду, что правительство вскоре сможет представить информацию о положениях, принятых в целях приведения законодательства в соответствие с Конвенцией.</w:t>
      </w:r>
    </w:p>
    <w:p w:rsidR="00000000" w:rsidRDefault="00000000"/>
    <w:p w:rsidR="00000000" w:rsidRDefault="00000000">
      <w:pPr>
        <w:pStyle w:val="Heading2"/>
      </w:pPr>
      <w:r>
        <w:t>Статья 8</w:t>
      </w:r>
    </w:p>
    <w:p w:rsidR="00000000" w:rsidRDefault="00000000">
      <w:pPr>
        <w:pStyle w:val="Heading2"/>
      </w:pPr>
    </w:p>
    <w:p w:rsidR="00000000" w:rsidRDefault="00000000">
      <w:r>
        <w:t>16.</w:t>
      </w:r>
      <w:r>
        <w:tab/>
        <w:t>Что касается Конвенции о свободе ассоциации и защите права на организацию 1</w:t>
      </w:r>
      <w:r>
        <w:rPr>
          <w:lang w:val="en-US"/>
        </w:rPr>
        <w:t>9</w:t>
      </w:r>
      <w:r>
        <w:t>48</w:t>
      </w:r>
      <w:r>
        <w:rPr>
          <w:lang w:val="en-US"/>
        </w:rPr>
        <w:t> </w:t>
      </w:r>
      <w:r>
        <w:t>года (№ 87), то Комитет в 1998 году вновь обратил внимание правительства на то, что оно до сих пор не устранило расхождений между законодательством и Конвенцией, которые отмечались Комитетом в течение ряда лет в связи с институционализацией монополии профсоюзов.  Комитет настоятельно призвал правительство обеспечить трудящимся право на создание организаций по своему выбору и право организации трудящихся выбирать своих представителей и беспрепятственно осуществлять управленческие функции.  Комитет принял к сведению представленную правительством информацию о статье 70 </w:t>
      </w:r>
      <w:r>
        <w:rPr>
          <w:lang w:val="en-US"/>
        </w:rPr>
        <w:t>b)</w:t>
      </w:r>
      <w:r>
        <w:t xml:space="preserve"> Закона о профсоюзах 1976 года, согласно которой государственный прокурор уполномочен просить уголовный суд отстранять от должности членов исполнительного комитета профсоюза, которые спровоцировали проведение забастовок или невыход на работу в государственных службах.  Что касается возможности проведения обязательного арбитража по просьбе одной из сторон в случае забастовки, то Комитет настоятельно призвал к тому, чтобы любые ограничения права на забастовку не выходили за пределы служб жизнеобеспечения в строгом смысле этого слова, и просил правительство изменить свое законодательство для приведение его в соответствие с принципами свободы ассоциаций.  Кроме того, касаясь статьи 14 </w:t>
      </w:r>
      <w:r>
        <w:rPr>
          <w:lang w:val="en-US"/>
        </w:rPr>
        <w:t>i)</w:t>
      </w:r>
      <w:r>
        <w:t xml:space="preserve"> Закона № 12 от 1995 года, Комитет отметил, что данное положение требует одобрения Генерального союза для организации забастовки.  Комитет просил правительство изменить статью 14 </w:t>
      </w:r>
      <w:r>
        <w:rPr>
          <w:lang w:val="en-US"/>
        </w:rPr>
        <w:t>i)</w:t>
      </w:r>
      <w:r>
        <w:t xml:space="preserve"> для приведения ее в большее соответствие с принципами ассоциации, закрепленными в Конвенции, с тем чтобы организации первого уровня обладали правом на проведение забастовки без получения разрешения Генерального союза.</w:t>
      </w:r>
    </w:p>
    <w:p w:rsidR="00000000" w:rsidRDefault="00000000"/>
    <w:p w:rsidR="00000000" w:rsidRDefault="00000000">
      <w:r>
        <w:t>17.</w:t>
      </w:r>
      <w:r>
        <w:tab/>
        <w:t>Что касается Конвенции о праве на организацию и на ведение коллективных переговоров 1949 года (№ 98), то в течение целого ряда лет Комитет экспертов отмечал настоятельную необходимость внесения изменений в статью 87 Трудового кодекса Египта с поправками, внесенными в него на основании Закона № 137 от 1981 года, в котором предусматривается, что любое положение коллективного соглашения, которое может нанести ущерб экономическим интересам страны, объявляется недействительным.  Комитет напомнил, что данное положение ограничивает сферу действия коллективных переговоров и может подрывать принцип добровольных переговоров согласно статье 4 Конвенции.  Комитет указал, что в случае экономических трудностей, правительство должно использовать метод убеждения, а не ограничения, и что в любом случае стороны должны иметь полную свободу при принятии своих окончательных решений.  Правительство сообщило, что рассматриваемый в настоящее время новый проект трудового кодекса не содержит более положений, аналогичных статье 87 Трудового кодекса 1981 года.</w:t>
      </w:r>
    </w:p>
    <w:p w:rsidR="00000000" w:rsidRDefault="00000000"/>
    <w:p w:rsidR="00000000" w:rsidRDefault="00000000">
      <w:r>
        <w:t>18.</w:t>
      </w:r>
      <w:r>
        <w:tab/>
        <w:t>В 1997 году Комитет просил правительство представить экземпляр нового кодекса после его принятия и публикации.</w:t>
      </w:r>
    </w:p>
    <w:p w:rsidR="00000000" w:rsidRDefault="00000000"/>
    <w:p w:rsidR="00000000" w:rsidRDefault="00000000">
      <w:pPr>
        <w:pStyle w:val="Heading2"/>
      </w:pPr>
      <w:r>
        <w:t>Статья 10</w:t>
      </w:r>
    </w:p>
    <w:p w:rsidR="00000000" w:rsidRDefault="00000000">
      <w:pPr>
        <w:pStyle w:val="Heading2"/>
      </w:pPr>
    </w:p>
    <w:p w:rsidR="00000000" w:rsidRDefault="00000000">
      <w:r>
        <w:t>19.</w:t>
      </w:r>
      <w:r>
        <w:tab/>
        <w:t>Что касается пункта 3 (Защита детей и молодежи в области труда и занятий), то в своем замечании 1998 года по Конвенции о медицинском обследовании моряков 1946 года (№ 73), Комитет экспертов отметил, что в течение целого ряда лет он представлял замечания по поводу выполнения требования, содержащегося в статье 5 Конвенции, о том, что срок действия медицинского сертификата не должен превышать двух лет.  В своем докладе правительство сообщило, что на практике медицинский сертификат обновляется каждые два года.  Вместе с тем Комитет вновь обратился с просьбой к правительству привести свое законодательство в соответствии с Конвенцией и существующей практикой.</w:t>
      </w:r>
    </w:p>
    <w:p w:rsidR="00000000" w:rsidRDefault="00000000"/>
    <w:p w:rsidR="00000000" w:rsidRDefault="00000000">
      <w:r>
        <w:t>20.</w:t>
      </w:r>
      <w:r>
        <w:tab/>
        <w:t>Кроме того, Комитет экспертов в 1995 году обратился к правительству с прямыми запросами в отношении Конвенций № 29, 105, 111 и 159, а в 1996 году – в отношении Конвенций № 87, 100, 118 и 152.  В 1997 году Комитет направил прямые запросы правительству по Конвенциям № 29 и 111, а в 1998 году – по Конвенциям № 29, 87, 100, 105 и 131.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В.</w:t>
      </w:r>
      <w:r>
        <w:tab/>
      </w:r>
      <w:r>
        <w:rPr>
          <w:u w:val="single"/>
        </w:rPr>
        <w:t>Грузия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21.</w:t>
      </w:r>
      <w:r>
        <w:tab/>
        <w:t>Информация, касающаяся Грузии, ранее Комитету не представлялась.</w:t>
      </w:r>
    </w:p>
    <w:p w:rsidR="00000000" w:rsidRDefault="00000000"/>
    <w:p w:rsidR="00000000" w:rsidRDefault="00000000">
      <w:r>
        <w:t>22.</w:t>
      </w:r>
      <w:r>
        <w:tab/>
        <w:t>Грузией были ратифицированы и для нее вступили в силу следующие соответствующие Конвенции:  29, 52, 98, 100, 105, 111, 117, 122, 138 и 142.</w:t>
      </w:r>
    </w:p>
    <w:p w:rsidR="00000000" w:rsidRDefault="00000000"/>
    <w:p w:rsidR="00000000" w:rsidRDefault="00000000">
      <w:r>
        <w:t>23.</w:t>
      </w:r>
      <w:r>
        <w:tab/>
        <w:t xml:space="preserve">В течение более двух лет первых докладов о ратифицированных Конвенциях от Грузии не поступало. (см.  </w:t>
      </w:r>
      <w:r>
        <w:rPr>
          <w:lang w:val="en-US"/>
        </w:rPr>
        <w:t>Report of the Committee of Experts on the Application of Conventions  and Recommendations, ILC, 87th Session, 1999, Report III (Part 1A)</w:t>
      </w:r>
      <w:r>
        <w:t>, пункт 186 раздела</w:t>
      </w:r>
      <w:r>
        <w:rPr>
          <w:lang w:val="en-US"/>
        </w:rPr>
        <w:t> III</w:t>
      </w:r>
      <w:r>
        <w:t xml:space="preserve"> общего доклада.)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Италия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24.</w:t>
      </w:r>
      <w:r>
        <w:tab/>
        <w:t>Информация, касающаяся Италии, ранее представлялась Комитету в 1982 году.</w:t>
      </w:r>
    </w:p>
    <w:p w:rsidR="00000000" w:rsidRDefault="00000000"/>
    <w:p w:rsidR="00000000" w:rsidRDefault="00000000">
      <w:r>
        <w:t>25.</w:t>
      </w:r>
      <w:r>
        <w:tab/>
        <w:t>Италией были ратифицированы и для нее вступили в силу следующие соответствующие Конвенции:  2, 3, 6, 11, 12, 13, 14, 16, 18, 19, 26, 27, 29, 32, 35, 36, 37, 38, 39, 40, 42, 44, 48, 73, 77, 78, 7</w:t>
      </w:r>
      <w:r>
        <w:rPr>
          <w:lang w:val="en-US"/>
        </w:rPr>
        <w:t>9</w:t>
      </w:r>
      <w:r>
        <w:t>, 81, 87, 90, 96, 98, 99, 100, 102, 103, 105, 106, 111, 115, 117, 118, 119, 120, 122, 124, 127, 129, 132, 135, 136, 138, 141, 142, 148 и 151.</w:t>
      </w:r>
    </w:p>
    <w:p w:rsidR="00000000" w:rsidRDefault="00000000"/>
    <w:p w:rsidR="00000000" w:rsidRDefault="00000000">
      <w:pPr>
        <w:pStyle w:val="Heading2"/>
      </w:pPr>
      <w:r>
        <w:t>Статья 6</w:t>
      </w:r>
    </w:p>
    <w:p w:rsidR="00000000" w:rsidRDefault="00000000">
      <w:pPr>
        <w:pStyle w:val="Heading2"/>
      </w:pPr>
    </w:p>
    <w:p w:rsidR="00000000" w:rsidRDefault="00000000">
      <w:r>
        <w:t>26.</w:t>
      </w:r>
      <w:r>
        <w:tab/>
        <w:t>В своем замечании 1998 года Комитет отметил, что с учетом стагнации в области занятости уровень безработицы сохранился в пределах выше 12%, в то время как вызывающий обеспокоенность характер распределения уровня безработицы остался прежним и даже ухудшился, особенно с точки зрения разрыва между уровнем безработицы на севере страны (6,5% в январе 1998 года) и на юге Италии (22,4%).</w:t>
      </w:r>
      <w:r>
        <w:rPr>
          <w:lang w:val="en-US"/>
        </w:rPr>
        <w:t xml:space="preserve">  </w:t>
      </w:r>
      <w:r>
        <w:t>Обеспокоенность Комитета также вызвал разрыв в уровне безработицы среди мужчин (9,4%) и женщин (16,8%), положение молодых людей в возрасте до 25 лет (33,8% безработных) и случаи долговременной безработицы (67,8% всех безработных).  С учетом отсутствия в докладе Италии информации о политике в области занятости Комитет ссылается на Национальный план действий в области занятости, направленный в апреле 1998 года Совету и Комиссии европейских сообществ.  В этом документе правительство подчеркивает, что с утверждением среднесрочной программы экономической и финансовой политики на 1999-2001 годы, в общем контексте экономической и финансовой политики впервые были приняты меры в области занятости, направленные на достижение более высоких темпов роста и ликвидацию структурных причин безработицы, особенно на юге страны.  Комитет также принимает к сведению информацию правительства о различных стратегических программах, касающихся рынка рабочей силы, включая работу на благо общества и договоры в сфере профессиональной подготовки.</w:t>
      </w:r>
    </w:p>
    <w:p w:rsidR="00000000" w:rsidRDefault="00000000"/>
    <w:p w:rsidR="00000000" w:rsidRDefault="00000000">
      <w:pPr>
        <w:pStyle w:val="Heading2"/>
      </w:pPr>
      <w:r>
        <w:t>Статья 7</w:t>
      </w:r>
    </w:p>
    <w:p w:rsidR="00000000" w:rsidRDefault="00000000">
      <w:pPr>
        <w:pStyle w:val="Heading2"/>
      </w:pPr>
    </w:p>
    <w:p w:rsidR="00000000" w:rsidRDefault="00000000">
      <w:r>
        <w:t>27.</w:t>
      </w:r>
      <w:r>
        <w:tab/>
      </w:r>
      <w:r>
        <w:rPr>
          <w:u w:val="single"/>
        </w:rPr>
        <w:t>Безопасные и здоровые условия труда</w:t>
      </w:r>
      <w:r>
        <w:t>.  В своем замечании 1998 года в отношении Конвенции о защите докеров от несчастных случаев 1932 года (№ 32) Комитет экспертов сослался на свои предыдущие замечания по поводу принятия законодательства о реорганизации законов, касающихся портов.  Комитет напомнил правительству о том, что в течение 32 лет он обращал внимание правительства на необходимость принятия текста, обеспечивающего предотвращение несчастных случаев во всех портах на национальной территории.  Комитет отметил, что в соответствии со статьей 1 Законодательного декрета № 242 от марта 1996 года министр транспорта и грузовых перевозок обязан был подготовить проект текста по данному вопросу, и он выразил надежду, что в ближайшее время правительство примет текст, обеспечивающий вступление в силу Конвенции, и представит соответствующие экземпляры.  В своем замечании 1997 года по поводу данной Конвенции Комитет также принял к сведению содержащиеся в докладе правительства упоминания о ратификации Италией Конвенции о технике безопасности и гигиене труда на портовых работах 1979 года (№ 152).  Вместе с тем он указал, что факт ратификации данной Конвенции не был официально сообщен Генеральному директору для регистрации</w:t>
      </w:r>
      <w:r>
        <w:rPr>
          <w:rStyle w:val="FootnoteReference"/>
        </w:rPr>
        <w:footnoteReference w:id="4"/>
      </w:r>
      <w:r>
        <w:t>.</w:t>
      </w:r>
    </w:p>
    <w:p w:rsidR="00000000" w:rsidRDefault="00000000"/>
    <w:p w:rsidR="00000000" w:rsidRDefault="00000000">
      <w:r>
        <w:t>28.</w:t>
      </w:r>
      <w:r>
        <w:tab/>
        <w:t>В своем замечании 1998 года в отношении Конвенции об инспекции труда 1947 года (№ 81) Комитет принял к сведению информацию, содержащуюся в докладе правительства, а также замечания ассоциации профсоюзов кредитных компаний о порядке применения данной Конвенции в Италии.  Комитет принял к сведению Законодательный декрет № 687 от 7 ноября 1996 года, регулирующий объединение периферийных служб и реорганизацию региональных и провинциальных управлений по вопросам трудовых ресурсов, включая отдел, занимающийся инспекцией труда.  Ассоциация профсоюзов кредитных компаний (ASSICREDIТО) подняла вопрос о передаче местным органам здравоохранения, по условиям Закона № 833 от 23 декабря 1978 года, функций управлений трудовой инспекции в области предотвращения несчастных случаев и обеспечения безопасных и здоровых условий труда.  В своих предыдущих замечаниях Комитет уже выражал свою обеспокоенность в отношении проблем координации, которые могут возникнуть в связи с передачей таких функций.  Комитет напомнил, что в соответствии с Конвенцией компетентные власти принимают соответствующие меры для обеспечения эффективного сотрудничества между инспекционными службами и другими государственными службами и государственными или частными предприятиями, занимающимися аналогичной деятельностью, и выразил надежду, что правительство в ближайшее время примет меры для реализации данного положения.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</w:p>
    <w:p w:rsidR="00000000" w:rsidRDefault="00000000">
      <w:r>
        <w:t>29.</w:t>
      </w:r>
      <w:r>
        <w:tab/>
        <w:t>В замечании 1998 года по поводу Конвенции о бензоле 1971 года (№ 136) Комитет с интересом отметил принятия Законодательного указа № 626 от 19 декабря 1994 года, обеспечивающего, в частности, реализацию Европейской директивы 90/394, которая регулирует применение статей 1, 5 и 7 Конвенции.  Отмечая тот факт, что некоторые положения Конвенции не охватываются Европейской директивой 90/394, Комитет также просил правительство указать порядок реализации статей 4, 6, 9, 10 и 11 Конвенции.</w:t>
      </w:r>
    </w:p>
    <w:p w:rsidR="00000000" w:rsidRDefault="00000000"/>
    <w:p w:rsidR="00000000" w:rsidRDefault="00000000">
      <w:pPr>
        <w:pStyle w:val="Heading2"/>
      </w:pPr>
      <w:r>
        <w:t>Статья 9</w:t>
      </w:r>
    </w:p>
    <w:p w:rsidR="00000000" w:rsidRDefault="00000000">
      <w:pPr>
        <w:pStyle w:val="Heading2"/>
      </w:pPr>
    </w:p>
    <w:p w:rsidR="00000000" w:rsidRDefault="00000000">
      <w:r>
        <w:t>30.</w:t>
      </w:r>
      <w:r>
        <w:tab/>
        <w:t>В своем замечании 1997 года в отношении Конвенции о равном обращении в области социального обеспечения 1962 года (№ 118) Комитет принял к сведению информацию, представленную правительством в его докладе, где указывалось, что социальные пособия (assegno sociale), предусмотренные в национальном законодательстве и заменившие пенсии по линии социального обеспечения, являются денежным пособием, выплачиваемым только итальянским гражданам в возрасте старше 65 лет, которые проживают в Италии.  Комитет напомнил о важности соблюдения принципа равного обращения в соответствии с Конвенцией и выразил надежду, что правительство в своем следующем докладе сообщит о принятых или планируемых им мерах для предоставления права на такое пособие гражданам других государств-членов, на которых распространяется данная Конвенция, а также беженцам и лицам без гражданства и обеспечит выплату социального пособия лицам в случае их проживания за границей.</w:t>
      </w:r>
    </w:p>
    <w:p w:rsidR="00000000" w:rsidRDefault="00000000"/>
    <w:p w:rsidR="00000000" w:rsidRDefault="00000000">
      <w:pPr>
        <w:pStyle w:val="Heading2"/>
      </w:pPr>
      <w:r>
        <w:t>Статья 10</w:t>
      </w:r>
    </w:p>
    <w:p w:rsidR="00000000" w:rsidRDefault="00000000">
      <w:pPr>
        <w:pStyle w:val="Heading2"/>
      </w:pPr>
    </w:p>
    <w:p w:rsidR="00000000" w:rsidRDefault="00000000">
      <w:r>
        <w:t>31.</w:t>
      </w:r>
      <w:r>
        <w:tab/>
        <w:t>Что касается пункта 2 (Защита материнства), то в своем замечании 1997 года в отношении Конвенции об охране материнства (пересмотренной) 1952 года (№ 103) Комитет с интересом принял к сведению информацию правительства о том, что в соответствии с новым коллективным соглашением от 16 июля 1996 года по поводу домашнего труда домашние работницы не могут увольняться в течение периода, начинающегося с даты представления медицинской справки о беременности и до конца периода обязательного отпуска.  Вместе с тем Комитет напомнил правительству о необходимости внести изменения в Закон № 1204 от 1971 года, ранее обещанные правительством, с целью распространения на домашнюю прислугу мер защиты от увольнения, предусмотренные в этом Законе, поскольку вышеуказанное коллективное соглашение не будет иметь эффекта erga omnes.</w:t>
      </w:r>
    </w:p>
    <w:p w:rsidR="00000000" w:rsidRDefault="00000000"/>
    <w:p w:rsidR="00000000" w:rsidRDefault="00000000">
      <w:r>
        <w:t>32.</w:t>
      </w:r>
      <w:r>
        <w:tab/>
        <w:t>Кроме того, Комитет экспертов в 1995 году направил правительству прямые запросы по Конвенциям № 32, 98, 105, 106, 111, 132, 135 и 148, а в 1996 году – по Конвенциям № 32 и 122.  В 1997 году Комитет направил прямые запросы правительству по Конвенциям № 100, 102, 103, 105, 111, 118, 119 и 138, а в 1998 году – по Конвенциям № 26, 29, 99, 100 и 105.</w:t>
      </w:r>
    </w:p>
    <w:p w:rsidR="00000000" w:rsidRDefault="00000000"/>
    <w:p w:rsidR="00000000" w:rsidRDefault="00000000">
      <w:pPr>
        <w:jc w:val="center"/>
      </w:pPr>
      <w:r>
        <w:t>D.</w:t>
      </w:r>
      <w:r>
        <w:tab/>
      </w:r>
      <w:r>
        <w:rPr>
          <w:u w:val="single"/>
        </w:rPr>
        <w:t>Иордания</w:t>
      </w:r>
    </w:p>
    <w:p w:rsidR="00000000" w:rsidRDefault="00000000">
      <w:pPr>
        <w:pStyle w:val="10"/>
      </w:pPr>
    </w:p>
    <w:p w:rsidR="00000000" w:rsidRDefault="00000000">
      <w:r>
        <w:t>33.</w:t>
      </w:r>
      <w:r>
        <w:tab/>
        <w:t>Информация, касающаяся Иордании, в последний раз представлялась Комитету в 1987 году.</w:t>
      </w:r>
    </w:p>
    <w:p w:rsidR="00000000" w:rsidRDefault="00000000"/>
    <w:p w:rsidR="00000000" w:rsidRDefault="00000000">
      <w:r>
        <w:t>34.</w:t>
      </w:r>
      <w:r>
        <w:tab/>
        <w:t>Иорданией были ратифицированы и для нее вступили в силу следующие соответствующие Конвенции:  29, 81, 98, 100, 105, 106, 111, 117, 118, 119, 120, 122, 123, 124, 135, 138</w:t>
      </w:r>
      <w:r>
        <w:rPr>
          <w:rStyle w:val="FootnoteReference"/>
        </w:rPr>
        <w:footnoteReference w:id="5"/>
      </w:r>
      <w:r>
        <w:t xml:space="preserve"> и 142.</w:t>
      </w:r>
    </w:p>
    <w:p w:rsidR="00000000" w:rsidRDefault="00000000"/>
    <w:p w:rsidR="00000000" w:rsidRDefault="00000000">
      <w:r>
        <w:rPr>
          <w:u w:val="single"/>
        </w:rPr>
        <w:t>Статья 6</w:t>
      </w:r>
    </w:p>
    <w:p w:rsidR="00000000" w:rsidRDefault="00000000"/>
    <w:p w:rsidR="00000000" w:rsidRDefault="00000000">
      <w:r>
        <w:t>35.</w:t>
      </w:r>
      <w:r>
        <w:tab/>
        <w:t>В своем замечании 1996 года в отношении Конвенции о дискриминации в области труда и занятий 1958 года (№ 111) Комитет с интересом отметил, что многие положения нового Трудового кодекса (Закон № 8 от 1996 года) соответствует целям Конвенции, включая более широкую защиту материнства, и приветствовал существенное улучшение законодательства в результате принятия нового Трудового кодекса.  Комитет также с интересом отметил, что Национальный комитет по делам женщин представлен в парламентских дебатах по вопросам, которые прямо или косвенно связаны с дискриминационным отношением к женщинам, и что постановление премьер-министра № 55/93 требует от всех государственных департаментов и учреждений применять положения Национальной стратегии в интересах женщин.  Комитет принял к сведению представленную правительством подробную информацию о деятельности Национального комитета по делам женщин в связи с мерами, принятыми для увеличения числа женщин в сфере труда.  Он также принял к сведению информацию, содержащуюся в докладе правительства и касающуюся ряда улучшений в области доступа к трудовой деятельности инвалидов.</w:t>
      </w:r>
    </w:p>
    <w:p w:rsidR="00000000" w:rsidRDefault="00000000"/>
    <w:p w:rsidR="00000000" w:rsidRDefault="00000000">
      <w:r>
        <w:rPr>
          <w:u w:val="single"/>
        </w:rPr>
        <w:t>Статья 7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Безопасные и здоровые условия труда</w:t>
      </w:r>
      <w:r>
        <w:t>.  В своих замечаниях 1998 года в отношении Конвенции об инспекции труда 1947 года (№ 81) Комитет с удовлетворением отметил, что Трудовой кодекс, введенный Законом № 8 от 1996 года, и принятые одновременно с ним Правила инспекции труда позволяют осуществить на практике целый ряд положений Конвенции.  Он также с интересом принял к сведению подробную информацию правительства об усилиях по укреплению служб инспекции труда, обеспечению сбалансированного распределения персонала и создания условий для постоянной профессиональной подготовки кадров.</w:t>
      </w:r>
    </w:p>
    <w:p w:rsidR="00000000" w:rsidRDefault="00000000"/>
    <w:p w:rsidR="00000000" w:rsidRDefault="00000000">
      <w:r>
        <w:t>37.</w:t>
      </w:r>
      <w:r>
        <w:tab/>
        <w:t>В замечании 1997 года по поводу Конвенции о снабжении машин защитными приспособлениями 1963 года (№ 119) Комитет с интересом отметил факт принятия в новом Трудовом кодексе общих положений, направленных на защиту трудящихся от опасности и заболеваний, которые могут носить профессиональный характер или явиться результатом работы на соответствующем оборудовании.  Он отметил, что статья 85 с) Кодекса предусматривает принятие правила, обеспечивающего принятие профилактических мер и мер безопасности при работе на промышленном оборудовании и на рабочем месте.  Комитет выразил надежду, что это правило позволит обеспечить соблюдение Конвенции, и просил правительство представить копию текста данного правила после его принятия.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Отдых, регламентация рабочего времени и оплачиваемый отпуск</w:t>
      </w:r>
      <w:r>
        <w:t>.  В своем замечании 1998 года в отношении Конвенции о еженедельном отдыхе в торговле и учреждениях 1957 года (№ 106) Комитет обратил внимание на принятие Трудового кодекса (Закон № 8 от 1996 года).  В этой связи Комитет отметил, что, несмотря на ранее высказанные замечания, в новом Трудовом кодексе предусматривается, что трудящийся с согласия работодателя может накапливать еженедельные дни отдыха, с тем чтобы лишь один раз в месяц полностью их отгулять.  Комитет напомнил, что в течение целого ряда лет он обращал внимание правительства на то обстоятельство, что подобное положение не соответствует Конвенции.  Комитет также напомнил, что независимо от любой финансовой компенсации отгул может предоставляться с учетом временных изъятий, предусмотренных в Конвенции.  Поэтому он просил правительство в самое ближайшее время принять все необходимые меры для приведения национального законодательства в соответствие с Конвенцией.</w:t>
      </w:r>
    </w:p>
    <w:p w:rsidR="00000000" w:rsidRDefault="00000000"/>
    <w:p w:rsidR="00000000" w:rsidRDefault="00000000">
      <w:r>
        <w:rPr>
          <w:u w:val="single"/>
        </w:rPr>
        <w:t>Статья 8</w:t>
      </w:r>
    </w:p>
    <w:p w:rsidR="00000000" w:rsidRDefault="00000000"/>
    <w:p w:rsidR="00000000" w:rsidRDefault="00000000">
      <w:r>
        <w:t>39.</w:t>
      </w:r>
      <w:r>
        <w:tab/>
        <w:t>В своем замечании 1997 года в отношении Конвенции о праве на организацию и на ведение коллективных переговоров 1949 года (№ 98) Комитет отметил, что новый Трудовой кодекс 1996 года не предусматривает какой</w:t>
      </w:r>
      <w:r>
        <w:noBreakHyphen/>
        <w:t>либо защиты от вмешательства для обеспечения соблюдения статьи 2 Конвенции, и напомнил, что он уже высказывал свои замечания по данному вопросу с 1968 года.  Комитет указал, что в национальном законодательстве должно содержаться положение об ускоренных процедурах обжалования в сочетании с эффективными санкциями, препятствующими осуществлению вмешательства для обеспечения применения Конвенции.  Отмечая, что данный Кодекс не распространяется на домашнюю прислугу, поваров, садовников и сельскохозяйственных рабочих, Комитет просил правительство рассмотреть возможность дополнения существующего законодательства для распространения Конвенции на эти категории трудящихся.</w:t>
      </w:r>
    </w:p>
    <w:p w:rsidR="00000000" w:rsidRDefault="00000000"/>
    <w:p w:rsidR="00000000" w:rsidRDefault="00000000">
      <w:r>
        <w:t>40.</w:t>
      </w:r>
      <w:r>
        <w:tab/>
        <w:t>В замечании 1997 года по поводу Конвенции о защите прав представителей трудящихся 1975 года (№ 135) Комитет отметил факт принятия Трудового кодекса 1996 года.  Он сослался на сделанные им ранее замечания по поводу необходимости принятия мер в целях обеспечения применения статьи 2 Конвенции, отметив, что, за исключением 14-дневного оплачиваемого отпуска для обучения на курсах, новый Кодекс не содержит каких</w:t>
      </w:r>
      <w:r>
        <w:noBreakHyphen/>
        <w:t>либо положений, дающих льготы представителям трудящихся, которые предоставляли бы им возможность надлежащим образом и эффективно выполнять свои функции.  Комитет просил правительство принять меры для полного соблюдения Конвенции в данной области.</w:t>
      </w:r>
    </w:p>
    <w:p w:rsidR="00000000" w:rsidRDefault="00000000">
      <w:pPr>
        <w:rPr>
          <w:lang w:val="en-US"/>
        </w:rPr>
      </w:pPr>
    </w:p>
    <w:p w:rsidR="00000000" w:rsidRDefault="00000000">
      <w:r>
        <w:t>41.</w:t>
      </w:r>
      <w:r>
        <w:tab/>
        <w:t xml:space="preserve">Кроме того, в 1996 году Комитет экспертов направил правительству прямой запрос по Конвенции № 100.  В 1997 году он направил правительству прямые запросы по Конвенциям №  29, </w:t>
      </w:r>
      <w:r>
        <w:rPr>
          <w:lang w:val="en-US"/>
        </w:rPr>
        <w:t>9</w:t>
      </w:r>
      <w:r>
        <w:t>8,</w:t>
      </w:r>
      <w:r>
        <w:rPr>
          <w:lang w:val="en-US"/>
        </w:rPr>
        <w:t xml:space="preserve"> </w:t>
      </w:r>
      <w:r>
        <w:t>111, 117, 122 и 123.  В 1998 году Комитет направил прямые запросы правительству по Конвенциям № 29, 81, 100, 105 и 142.</w:t>
      </w:r>
    </w:p>
    <w:p w:rsidR="00000000" w:rsidRDefault="00000000"/>
    <w:p w:rsidR="00000000" w:rsidRDefault="00000000">
      <w:pPr>
        <w:jc w:val="center"/>
      </w:pPr>
      <w:r>
        <w:t>E.</w:t>
      </w:r>
      <w:r>
        <w:tab/>
      </w:r>
      <w:r>
        <w:rPr>
          <w:u w:val="single"/>
        </w:rPr>
        <w:t>Португалия</w:t>
      </w:r>
    </w:p>
    <w:p w:rsidR="00000000" w:rsidRDefault="00000000">
      <w:pPr>
        <w:jc w:val="center"/>
      </w:pPr>
    </w:p>
    <w:p w:rsidR="00000000" w:rsidRDefault="00000000">
      <w:r>
        <w:t>42.</w:t>
      </w:r>
      <w:r>
        <w:tab/>
        <w:t>Информация, касающаяся Португалии, ранее представлялась Комитету в 1996 году.</w:t>
      </w:r>
    </w:p>
    <w:p w:rsidR="00000000" w:rsidRDefault="00000000"/>
    <w:p w:rsidR="00000000" w:rsidRDefault="00000000">
      <w:r>
        <w:t>43.</w:t>
      </w:r>
      <w:r>
        <w:tab/>
        <w:t>Португалией были ратифицированы и для нее вступили в силу следующие соответствующие Конвенции:  1, 6, 7, 11, 12, 14, 17, 18, 19, 26, 27, 29, 73, 77, 78 , 81, 87, 88, 96, 98, 100, 102, 103, 105, 106, 107, 111, 115, 117, 120, 122, 124, 127, 129, 131, 132, 135, 138</w:t>
      </w:r>
      <w:r>
        <w:rPr>
          <w:rStyle w:val="FootnoteReference"/>
        </w:rPr>
        <w:footnoteReference w:id="6"/>
      </w:r>
      <w:r>
        <w:t xml:space="preserve">, 142, 148, 151, 155, 156, 158 и 171. </w:t>
      </w:r>
    </w:p>
    <w:p w:rsidR="00000000" w:rsidRDefault="00000000"/>
    <w:p w:rsidR="00000000" w:rsidRDefault="00000000">
      <w:r>
        <w:t>44.</w:t>
      </w:r>
      <w:r>
        <w:tab/>
        <w:t>В своем замечании 1997 года по Конвенции о дискриминации в области труда и занятий 1958 года (№ 111) Комитет принял к сведению информацию, содержащуюся в докладе правительства, и замечания, сделанные Конфедерацией португальской промышленности (КПП).  Ссылаясь на свое предыдущее замечание, Комитет отметил, что социальные партнеры представлены в Комиссии по обеспечению равенства в области труда и занятий (КРТЗ).  Что касается надзорных функций, выполняемых КРТЗ и Генеральной инспекцией труда в связи с применением Конвенции, то Комитет с интересом отметил, что с 1 июня 1995 года по 31 мая 1997 года КРТЗ представила свои мнения по 33 случаям дискриминации, которые позволили некоторые из них урегулировать.  Комитет далее отметил, что КРТЗ регулярно контролирует напечатанные в газетах рекламные объявления для обеспечения того, чтобы они не содержали дискриминационных положений.  Что касается существующей практики работы женщин в ночную смену в промышленности, то Комитет принял к сведению данное правительством объяснение о том, что запрет на работу в ночную смену для женщин противоречит конституционному принципу равенства и что это запрещение было устранено.</w:t>
      </w:r>
    </w:p>
    <w:p w:rsidR="00000000" w:rsidRDefault="00000000"/>
    <w:p w:rsidR="00000000" w:rsidRDefault="00000000">
      <w:r>
        <w:t>45.</w:t>
      </w:r>
      <w:r>
        <w:tab/>
        <w:t>В замечании Комитета 1997 года в отношении Конвенции о политики в области занятости 1964 года (№ 122) Комитет отметил, что незначительное увеличение в сфере занятости Португалии после 1996 года является недостаточным для компенсации происшедшего ранее снижения в условиях продолжающегося роста безработицы с 6,9% в 1994 году до 7,3% в 1996 году.  Комитет отметил, что уровень безработицы для лиц в возрасте до 25 лет более чем в два раза превышает общий уровень безработицы и что положение в области долгосрочной безработицы также ухудшилось.  Правительство сообщило, что главными целями в ее среднесрочной стратегии в сфере социально-экономического развития являются увеличение экономического роста, позволяющего создать хорошо оплачиваемые рабочие места для квалифицированных трудящихся, и повышение конкурентоспособности экономики при сокращении государственного вмешательства.  Комитет принял к сведению цели плана регионального развития на 1994</w:t>
      </w:r>
      <w:r>
        <w:noBreakHyphen/>
        <w:t>1999 годы, направленного на содействие созданию рабочих мест в отраслях, наиболее подверженных международной конкуренции, путем усовершенствования начальной и постоянной профессиональной подготовки трудящихся.</w:t>
      </w:r>
    </w:p>
    <w:p w:rsidR="00000000" w:rsidRDefault="00000000"/>
    <w:p w:rsidR="00000000" w:rsidRDefault="00000000">
      <w:r>
        <w:t>46.</w:t>
      </w:r>
      <w:r>
        <w:tab/>
        <w:t>В своем замечании 1998 года по Конвенции о прекращении трудовых отношений 1982 года (№ 158) Комитет с интересом принял к сведению первый доклад правительства по поводу применения данной Конвенции, который также содержит замечания Всеобщей конфедерации португальских трудящихся (ВКПТ).  По ее мнению, хотя законодательство в целом соответствует Конвенции, контроль за ее осуществлением на практике недостаточен.  В частности, ВКПТ указала, что значительное количество срочных контрактов заключаются для постоянных должностей, что является нарушением соответствующего законодательства.  Она также выразила обеспокоенность по поводу того, что контракты в сфере обслуживания заключаются для сокрытия отношений занятостей, предполагающих регулярную выплату заработной платы, а также существование незаконной или нелегальной рабочей силы.  В своем докладе правительство признает факты существования незаконной рабочей силы, с которыми необходимо бороться, и ссылается на Соглашение о согласованных стратегиях, заключенное с социальными партнерами (которое ВКПТ отказалась подписать).  В нем содержится глава о законодательных мерах, подлежащих принятию с целью ликвидации различных форм незаконного труда.  Правительство указало, что данное законодательство находится в стадии подготовки.  Комитет просил правительство представить экземпляр этих законодательных текстов после их принятия.</w:t>
      </w:r>
    </w:p>
    <w:p w:rsidR="00000000" w:rsidRDefault="00000000"/>
    <w:p w:rsidR="00000000" w:rsidRDefault="00000000">
      <w:pPr>
        <w:pStyle w:val="Heading2"/>
      </w:pPr>
      <w:r>
        <w:t>Статья 7</w:t>
      </w:r>
    </w:p>
    <w:p w:rsidR="00000000" w:rsidRDefault="00000000">
      <w:pPr>
        <w:pStyle w:val="Heading2"/>
      </w:pPr>
    </w:p>
    <w:p w:rsidR="00000000" w:rsidRDefault="00000000">
      <w:r>
        <w:t>47.</w:t>
      </w:r>
      <w:r>
        <w:tab/>
        <w:t>В своем замечании 1998 года по поводу Конвенции об установлении минимальной заработной платы 1970 года (№ 131) Комитет принял к сведению информацию, представленную правительством в его докладе, а также замечания, высказанные ВКПТ в связи с нарушениями в применении Конвенции.  По мнению ВКПТ, уровень национальной заработной платы может сокращаться в зависимости от отрасли, возраста, квалификации трудящегося и его производительности.  Такая практика используется работодателями, в частности, в качестве одного из способов выплаты более низкой заработной платы молодым рабочим.  ВКПТ также отметила, что критерии корректировки минимальной заработной платы, предусмотренной в Конвенции, игнорируются в угоду экономическим критериям.   Она указала, что политика в области минимальной заработной платы стала одним из методов ограничения заработной платы в целом, который утратил свою эффективность, поскольку он не соответствовал средним темпам роста заработной платы.  ВКПТ также заявила, что коррективы уровня минимальной заработной платы, введенной в 1997 году, явились серьезным нарушением права на участие профсоюзов, как это предусмотрено в Конвенции и национальном законодательстве.  Комитет выразил надежду, что в ближайшем будущем правительство прокомментирует замечания ВКПТ.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Безопасные и здоровые условия труда</w:t>
      </w:r>
      <w:r>
        <w:t>.  В замечании 1998 года по Конвенции об инспекции труда 1947 года (№ 81) Комитет принимает к сведению информацию, представленную правительством в его докладе, а также его отклик на замечания, высказанные КПП и ВКПТ.  Комитет отметил меры, принятые для борьбы с использованием детского труда, в особенности усилия трудовой инспекции, которая сотрудничает с Национальной комиссией по ликвидации детского труда.  Он также принял к сведению подробные статистические данные, представленные правительством по конкретным мероприятиям, проведенным трудовой инспекцией в связи с использованием детского труда в течение прошлого десятилетия, и отметил тот факт, что данные за 1996-1997 годы свидетельствуют о том, что нарушения, сообщенные инспекторами, касаются главным образом несоблюдения минимального возраста приема на работу.</w:t>
      </w:r>
    </w:p>
    <w:p w:rsidR="00000000" w:rsidRDefault="00000000"/>
    <w:p w:rsidR="00000000" w:rsidRDefault="00000000">
      <w:r>
        <w:t>49.</w:t>
      </w:r>
      <w:r>
        <w:tab/>
        <w:t>В замечании 1998 года по Конвенции об инспекции труда в сельском хозяйстве 1969 года (№ 129) Комитет принял к сведению ежегодные доклады о проведении инспекций в 1996 и 1997 годах, а также замечания ВКПТ.  По мнению ВКПТ, правительство не располагает необходимыми людскими и материальными ресурсами для эффективного выполнения своей инспекционной деятельности, особенно в том, что касается возмещения путевых расходов, понесенных инспекторами, в результате чего основное свое внимание они уделяют городским, а не сельским районам, где ведется основная сельскохозяйственная деятельность.  Комитет просил правительство принять необходимые меры и в своем следующем докладе представить информацию о прогрессе, достигнутом в этой области.</w:t>
      </w:r>
    </w:p>
    <w:p w:rsidR="00000000" w:rsidRDefault="00000000"/>
    <w:p w:rsidR="00000000" w:rsidRDefault="00000000">
      <w:pPr>
        <w:pStyle w:val="Heading2"/>
      </w:pPr>
      <w:r>
        <w:t>Статья 8</w:t>
      </w:r>
    </w:p>
    <w:p w:rsidR="00000000" w:rsidRDefault="00000000">
      <w:pPr>
        <w:pStyle w:val="Heading2"/>
      </w:pPr>
    </w:p>
    <w:p w:rsidR="00000000" w:rsidRDefault="00000000">
      <w:r>
        <w:t>50.</w:t>
      </w:r>
      <w:r>
        <w:tab/>
        <w:t>В замечании 1998 года по Конвенции о свободе ассоциации и защите права на организацию 1948 года (№ 87) Комитет сослался на свои предыдущие комментарии по Законодательному декрету № 215/С/75 относительно количества трудящихся и работодателей, необходимого для создания профсоюза, конфедерации профсоюзов, организации работодателей и федерации (2000 трудящихся и 20 работодателей).  Комитет отмечает, что, по мнению правительства, международные договоры, ратифицированные правительством, имеют обязательную юридическую силу наравне с национальным законодательством, что, таким образом, имплицитно отменяет любые противоречивые положения вышеупомянутого законодательного декрета.  С учетом утверждения правительства о том, что в любом случае соответствующее законодательство необходимо будет отменить, Комитет выразил свою твердую уверенность в том, что соответствующие положения будут официально отменены.</w:t>
      </w:r>
    </w:p>
    <w:p w:rsidR="00000000" w:rsidRDefault="00000000"/>
    <w:p w:rsidR="00000000" w:rsidRDefault="00000000">
      <w:r>
        <w:t>51.</w:t>
      </w:r>
      <w:r>
        <w:tab/>
        <w:t>В замечании 1998 года по поводу Конвенции о праве на организацию и на ведение коллективных переговоров 1949 года (№ 98) Комитет принял к сведению информацию, представленную правительством в его докладе, а также комментарии ВКПТ по поводу применения Конвенции.  Комитет принял к сведению высказанные ВКПТ возражения против обязательного арбитража в связи со спорами, возникающими в ходе переговоров по коллективным соглашениям, согласно статье 35 Указа № 209/92.  Комитет сообщил о своем мнении, которое заключается в том, что законодательство, разрешающее одной из сторон спора в одностороннем порядке использовать вмешательство административного органа для целей обязательного арбитража, несовместимо с принципом поощрения коллективных переговоров.  В этой связи Комитет просил правительство в полном соответствии с Конвенцией принять меры по изменению Указа таким образом, чтобы обязательный арбитраж проводился лишь по совместной просьбе сторон.</w:t>
      </w:r>
    </w:p>
    <w:p w:rsidR="00000000" w:rsidRDefault="00000000"/>
    <w:p w:rsidR="00000000" w:rsidRDefault="00000000">
      <w:pPr>
        <w:pStyle w:val="Heading2"/>
      </w:pPr>
      <w:r>
        <w:t>Статья 9</w:t>
      </w:r>
    </w:p>
    <w:p w:rsidR="00000000" w:rsidRDefault="00000000">
      <w:pPr>
        <w:pStyle w:val="Heading2"/>
      </w:pPr>
    </w:p>
    <w:p w:rsidR="00000000" w:rsidRDefault="00000000">
      <w:r>
        <w:t>52.</w:t>
      </w:r>
      <w:r>
        <w:tab/>
        <w:t>В своем замечании 1998 года по Конвенции о минимальных нормах социального обеспечения 1952 года (№ 102) Комитет обратил внимание правительства на ряд моментов.  Он, в частности, отметил содержащееся в национальном законодательстве положение об относительно длительном периоде (минимум 540 оплачиваемых рабочих дней в течение последних 24 месяцев), дающем право на получение пособия по безработице.  В этой связи Комитет напомнил, что в Конвенции предусматривается лишь такой соответствующий период, который считается необходимым для пресечения возможных злоупотреблений, и просил правительство по</w:t>
      </w:r>
      <w:r>
        <w:noBreakHyphen/>
        <w:t>прежнему представлять ему информацию о любых принятых мерах по уменьшению соответствующего периода для получения пособий по безработице в конкретных экономических секторах.</w:t>
      </w:r>
    </w:p>
    <w:p w:rsidR="00000000" w:rsidRDefault="00000000"/>
    <w:p w:rsidR="00000000" w:rsidRDefault="00000000">
      <w:pPr>
        <w:pStyle w:val="Heading2"/>
      </w:pPr>
      <w:r>
        <w:t>Статья 10</w:t>
      </w:r>
    </w:p>
    <w:p w:rsidR="00000000" w:rsidRDefault="00000000">
      <w:pPr>
        <w:pStyle w:val="Heading2"/>
      </w:pPr>
    </w:p>
    <w:p w:rsidR="00000000" w:rsidRDefault="00000000">
      <w:r>
        <w:t>53.</w:t>
      </w:r>
      <w:r>
        <w:tab/>
        <w:t>Что касается пункта 2 (Охрана материнства), то в своем замечании 1997 года в отношении Конвенции об охране материнства (пересмотренной) 1952 года (№ 103) Комитет принял к сведению изменения, внесенные на основании Закона № 17/95 в Закон № 4/84, касающийся защиты матерей и отцов.  Он также принял к сведению замечания, высказанные ВКПТ и КПП.</w:t>
      </w:r>
    </w:p>
    <w:p w:rsidR="00000000" w:rsidRDefault="00000000"/>
    <w:p w:rsidR="00000000" w:rsidRDefault="00000000">
      <w:r>
        <w:t>54.</w:t>
      </w:r>
      <w:r>
        <w:tab/>
        <w:t>Кроме того, в 1995 году Комитет экспертов направил правительству прямой запрос по Конвенции № 81, а в 1996 году – по Конвенциям № 87 и 100.  В 1997 году он направил прямые запросы правительству по Конвенциям № 87, 102, 103, 135 и 171, а в 1998 году – по Конвенциям № 81, 87, 100, 102, 129, 131 и 158.</w:t>
      </w:r>
    </w:p>
    <w:p w:rsidR="00000000" w:rsidRDefault="00000000"/>
    <w:p w:rsidR="00000000" w:rsidRDefault="00000000">
      <w:pPr>
        <w:pStyle w:val="16"/>
        <w:tabs>
          <w:tab w:val="center" w:pos="4678"/>
        </w:tabs>
        <w:suppressAutoHyphens/>
        <w:rPr>
          <w:b/>
        </w:rPr>
      </w:pPr>
      <w:r>
        <w:rPr>
          <w:lang w:val="en-US"/>
        </w:rPr>
        <w:br w:type="page"/>
      </w:r>
      <w:r>
        <w:rPr>
          <w:b/>
        </w:rPr>
        <w:t>ПРИЛОЖЕНИЕ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</w:tabs>
        <w:suppressAutoHyphens/>
        <w:jc w:val="center"/>
        <w:rPr>
          <w:b/>
        </w:rPr>
      </w:pPr>
    </w:p>
    <w:p w:rsidR="00000000" w:rsidRDefault="00000000">
      <w:pPr>
        <w:pStyle w:val="Heading7"/>
        <w:rPr>
          <w:lang w:val="en-US"/>
        </w:rPr>
      </w:pPr>
      <w:r>
        <w:t>Указатель стран и соответствующей информации, представленной</w:t>
      </w:r>
    </w:p>
    <w:p w:rsidR="00000000" w:rsidRDefault="00000000">
      <w:pPr>
        <w:tabs>
          <w:tab w:val="center" w:pos="4678"/>
        </w:tabs>
        <w:suppressAutoHyphens/>
        <w:ind w:left="567" w:hanging="567"/>
        <w:jc w:val="center"/>
        <w:rPr>
          <w:b/>
        </w:rPr>
      </w:pPr>
      <w:r>
        <w:rPr>
          <w:b/>
        </w:rPr>
        <w:t>МОТ начиная с 1978 года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u w:val="single"/>
        </w:rPr>
      </w:pPr>
      <w:r>
        <w:rPr>
          <w:u w:val="single"/>
        </w:rPr>
        <w:t>Страна</w:t>
      </w:r>
      <w:r>
        <w:tab/>
      </w:r>
      <w:r>
        <w:tab/>
      </w:r>
      <w:r>
        <w:tab/>
      </w:r>
      <w: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(</w:t>
      </w:r>
      <w:r>
        <w:rPr>
          <w:u w:val="single"/>
        </w:rPr>
        <w:t>Условное</w:t>
      </w:r>
      <w:r>
        <w:tab/>
        <w:t>(</w:t>
      </w:r>
      <w:r>
        <w:rPr>
          <w:u w:val="single"/>
        </w:rPr>
        <w:t>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Афганистан</w:t>
      </w:r>
      <w:r>
        <w:tab/>
      </w:r>
      <w:r>
        <w:tab/>
      </w:r>
      <w:r>
        <w:tab/>
        <w:t>E/1986/60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Алжир</w:t>
      </w:r>
      <w:r>
        <w:tab/>
      </w:r>
      <w:r>
        <w:tab/>
      </w:r>
      <w:r>
        <w:tab/>
      </w:r>
      <w:r>
        <w:tab/>
        <w:t>E/1995/127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Аргентина</w:t>
      </w:r>
      <w:r>
        <w:tab/>
      </w:r>
      <w:r>
        <w:tab/>
      </w:r>
      <w:r>
        <w:tab/>
      </w:r>
      <w:r>
        <w:tab/>
        <w:t>E/1995/5</w:t>
      </w:r>
      <w:r>
        <w:tab/>
        <w:t>E/1995/5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Австралия</w:t>
      </w:r>
      <w:r>
        <w:tab/>
      </w:r>
      <w:r>
        <w:tab/>
      </w:r>
      <w:r>
        <w:tab/>
      </w:r>
      <w:r>
        <w:tab/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Австрия</w:t>
      </w:r>
      <w:r>
        <w:tab/>
      </w:r>
      <w:r>
        <w:tab/>
      </w:r>
      <w:r>
        <w:tab/>
      </w:r>
      <w:r>
        <w:tab/>
        <w:t>E/1988/6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E/1994/5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Азербайджан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Барбадос</w:t>
      </w:r>
      <w:r>
        <w:tab/>
      </w:r>
      <w:r>
        <w:tab/>
      </w:r>
      <w:r>
        <w:tab/>
      </w:r>
      <w:r>
        <w:tab/>
        <w:t>E/1982/41</w:t>
      </w:r>
      <w:r>
        <w:tab/>
        <w:t>E/1982/41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Бельгия</w:t>
      </w:r>
      <w:r>
        <w:tab/>
      </w:r>
      <w:r>
        <w:tab/>
      </w:r>
      <w:r>
        <w:tab/>
      </w:r>
      <w:r>
        <w:tab/>
        <w:t>E/1994/63</w:t>
      </w:r>
      <w:r>
        <w:tab/>
        <w:t>E/1994/63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Болгария</w:t>
      </w:r>
      <w:r>
        <w:tab/>
      </w:r>
      <w:r>
        <w:tab/>
      </w:r>
      <w:r>
        <w:tab/>
      </w:r>
      <w:r>
        <w:tab/>
        <w:t>E/1980/35</w:t>
      </w:r>
      <w:r>
        <w:tab/>
        <w:t>E/1983/40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E/1998/17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 xml:space="preserve">Беларусь </w:t>
      </w:r>
      <w:r>
        <w:tab/>
      </w:r>
      <w:r>
        <w:tab/>
      </w:r>
      <w:r>
        <w:rPr>
          <w:lang w:val="en-US"/>
        </w:rP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E/1996/98</w:t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br w:type="page"/>
      </w:r>
      <w:r>
        <w:rPr>
          <w:u w:val="single"/>
        </w:rPr>
        <w:t>Страна</w:t>
      </w:r>
      <w:r>
        <w:tab/>
      </w:r>
      <w:r>
        <w:tab/>
      </w:r>
      <w:r>
        <w:tab/>
      </w:r>
      <w: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Камерун</w:t>
      </w:r>
      <w:r>
        <w:tab/>
      </w:r>
      <w:r>
        <w:tab/>
      </w:r>
      <w:r>
        <w:tab/>
      </w:r>
      <w:r>
        <w:tab/>
        <w:t xml:space="preserve">   -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lang w:val="en-US"/>
        </w:rPr>
        <w:tab/>
      </w:r>
      <w:r>
        <w:tab/>
      </w:r>
      <w:r>
        <w:tab/>
      </w:r>
      <w:r>
        <w:tab/>
      </w:r>
      <w:r>
        <w:tab/>
        <w:t>E/1999/27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Канада</w:t>
      </w:r>
      <w:r>
        <w:tab/>
      </w:r>
      <w:r>
        <w:tab/>
      </w:r>
      <w:r>
        <w:tab/>
      </w:r>
      <w:r>
        <w:tab/>
        <w:t>E/1982/41</w:t>
      </w:r>
      <w:r>
        <w:tab/>
        <w:t>E/1994/5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E/1998/17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Центральноафриканская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Республика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Чили</w:t>
      </w:r>
      <w:r>
        <w:tab/>
      </w:r>
      <w:r>
        <w:tab/>
      </w:r>
      <w:r>
        <w:tab/>
      </w:r>
      <w:r>
        <w:tab/>
      </w:r>
      <w:r>
        <w:tab/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Колумбия</w:t>
      </w:r>
      <w:r>
        <w:tab/>
      </w:r>
      <w:r>
        <w:tab/>
      </w:r>
      <w:r>
        <w:tab/>
      </w:r>
      <w:r>
        <w:tab/>
        <w:t>E/1979/33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E/1995/127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Коста-Рика</w:t>
      </w:r>
      <w:r>
        <w:tab/>
      </w:r>
      <w:r>
        <w:tab/>
      </w:r>
      <w:r>
        <w:tab/>
        <w:t>E/1990/9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Кипр</w:t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Чешская и Словацкая</w:t>
      </w:r>
      <w:r>
        <w:tab/>
      </w:r>
      <w:r>
        <w:tab/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Федеративная Республика</w:t>
      </w:r>
      <w:r>
        <w:tab/>
        <w:t>E/1986/60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Дания</w:t>
      </w:r>
      <w:r>
        <w:tab/>
      </w:r>
      <w:r>
        <w:tab/>
      </w:r>
      <w:r>
        <w:tab/>
      </w:r>
      <w:r>
        <w:tab/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E/1998/17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u w:val="single"/>
        </w:rPr>
        <w:br w:type="page"/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Доминиканская Республика</w:t>
      </w:r>
      <w:r>
        <w:tab/>
        <w:t>E/1990/9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E/1991/4</w:t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E/1995/127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Эквадор</w:t>
      </w:r>
      <w:r>
        <w:tab/>
      </w:r>
      <w:r>
        <w:tab/>
      </w:r>
      <w:r>
        <w:tab/>
      </w:r>
      <w:r>
        <w:tab/>
        <w:t>E/1978/27</w:t>
      </w:r>
      <w:r>
        <w:tab/>
        <w:t>E/1990/90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Сальвадор</w:t>
      </w:r>
      <w:r>
        <w:tab/>
      </w:r>
      <w:r>
        <w:tab/>
      </w:r>
      <w:r>
        <w:tab/>
      </w:r>
      <w:r>
        <w:tab/>
        <w:t>E/1996/40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Финляндия</w:t>
      </w:r>
      <w:r>
        <w:tab/>
      </w:r>
      <w:r>
        <w:tab/>
      </w:r>
      <w:r>
        <w:tab/>
        <w:t>E/1979/33</w:t>
      </w:r>
      <w:r>
        <w:tab/>
        <w:t>E/1981/41</w:t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E/1996/98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Франция</w:t>
      </w:r>
      <w:r>
        <w:tab/>
      </w:r>
      <w:r>
        <w:tab/>
      </w:r>
      <w:r>
        <w:tab/>
      </w:r>
      <w:r>
        <w:tab/>
        <w:t>E/1986/60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Германская</w:t>
      </w:r>
      <w:r>
        <w:tab/>
      </w:r>
      <w:r>
        <w:tab/>
      </w:r>
      <w:r>
        <w:tab/>
        <w:t>E/1978/27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Демократическая</w:t>
      </w:r>
      <w:r>
        <w:tab/>
      </w:r>
      <w:r>
        <w:tab/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Республика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Германия, Федеративная</w:t>
      </w:r>
      <w:r>
        <w:tab/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Республика</w:t>
      </w:r>
      <w:r>
        <w:tab/>
      </w:r>
      <w:r>
        <w:tab/>
      </w:r>
      <w:r>
        <w:tab/>
        <w:t>E/1986/60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Гватемала</w:t>
      </w:r>
      <w:r>
        <w:tab/>
      </w:r>
      <w:r>
        <w:tab/>
      </w:r>
      <w:r>
        <w:tab/>
      </w:r>
      <w:r>
        <w:tab/>
        <w:t>E/1995/27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E/1996/40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Гвинея</w:t>
      </w:r>
      <w:r>
        <w:tab/>
      </w:r>
      <w:r>
        <w:tab/>
      </w:r>
      <w:r>
        <w:tab/>
      </w:r>
      <w:r>
        <w:tab/>
        <w:t>E/1996/40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Гайана</w:t>
      </w:r>
      <w:r>
        <w:tab/>
      </w:r>
      <w:r>
        <w:tab/>
      </w:r>
      <w:r>
        <w:tab/>
      </w:r>
      <w:r>
        <w:tab/>
        <w:t>E/1995/127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Гондурас</w:t>
      </w:r>
      <w:r>
        <w:tab/>
      </w:r>
      <w:r>
        <w:tab/>
      </w:r>
      <w:r>
        <w:tab/>
      </w:r>
      <w:r>
        <w:tab/>
        <w:t>E/1996/98</w:t>
      </w:r>
      <w:r>
        <w:tab/>
        <w:t xml:space="preserve">   -</w:t>
      </w:r>
      <w:r>
        <w:tab/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Венгрия</w:t>
      </w:r>
      <w:r>
        <w:tab/>
      </w:r>
      <w:r>
        <w:tab/>
      </w:r>
      <w:r>
        <w:tab/>
      </w:r>
      <w:r>
        <w:tab/>
        <w:t>E/1978/27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E/1985/63</w:t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u w:val="single"/>
        </w:rPr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Исландия</w:t>
      </w:r>
      <w:r>
        <w:tab/>
      </w:r>
      <w:r>
        <w:tab/>
      </w:r>
      <w:r>
        <w:tab/>
      </w:r>
      <w:r>
        <w:tab/>
        <w:t>E/1994/5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E/1998/17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Индия</w:t>
      </w:r>
      <w:r>
        <w:tab/>
      </w:r>
      <w:r>
        <w:tab/>
      </w:r>
      <w:r>
        <w:tab/>
      </w:r>
      <w:r>
        <w:tab/>
        <w:t>E/1986/60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Иран, Исламская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Республика</w:t>
      </w:r>
      <w:r>
        <w:tab/>
      </w:r>
      <w:r>
        <w:tab/>
      </w:r>
      <w:r>
        <w:tab/>
        <w:t>E/1978/27</w:t>
      </w:r>
      <w:r>
        <w:tab/>
        <w:t>E/1994/5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Ирак</w:t>
      </w:r>
      <w:r>
        <w:tab/>
      </w:r>
      <w:r>
        <w:tab/>
      </w:r>
      <w:r>
        <w:tab/>
      </w:r>
      <w:r>
        <w:tab/>
      </w:r>
      <w:r>
        <w:tab/>
        <w:t>E/1985/63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Израиль</w:t>
      </w:r>
      <w:r>
        <w:tab/>
      </w:r>
      <w:r>
        <w:tab/>
      </w:r>
      <w:r>
        <w:tab/>
      </w:r>
      <w:r>
        <w:tab/>
        <w:t>E/1998/17</w:t>
      </w:r>
      <w:r>
        <w:tab/>
        <w:t>E/1998/17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  <w:r>
        <w:t>Италия</w:t>
      </w:r>
      <w:r>
        <w:tab/>
      </w:r>
      <w:r>
        <w:tab/>
      </w:r>
      <w:r>
        <w:tab/>
      </w:r>
      <w:r>
        <w:tab/>
        <w:t>E/1982/41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Ямайка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E/1980/35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Япония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Иордания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E/1987/59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Кения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E/1994/63</w:t>
      </w:r>
      <w:r>
        <w:tab/>
        <w:t>E/1994/63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Ливийская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E/1996/98</w:t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Арабская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proofErr w:type="spellStart"/>
      <w:r>
        <w:t>Джамахирия</w:t>
      </w:r>
      <w:proofErr w:type="spellEnd"/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Люксембург</w:t>
      </w:r>
      <w:r>
        <w:tab/>
      </w:r>
      <w:r>
        <w:tab/>
      </w:r>
      <w:r>
        <w:rPr>
          <w:lang w:val="en-US"/>
        </w:rPr>
        <w:tab/>
      </w:r>
      <w:r>
        <w:t>E/1990/9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Мадагаскар</w:t>
      </w:r>
      <w:r>
        <w:tab/>
      </w:r>
      <w:r>
        <w:tab/>
      </w:r>
      <w:r>
        <w:rPr>
          <w:lang w:val="en-US"/>
        </w:rPr>
        <w:tab/>
      </w:r>
      <w:r>
        <w:t>E/1981/41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Маврикий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E/1995/127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u w:val="single"/>
        </w:rPr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Мексика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E/1994/5</w:t>
      </w:r>
      <w:r>
        <w:tab/>
        <w:t>E/1994/5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Монголия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E/1978/27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Марокко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E/1994/63</w:t>
      </w:r>
      <w:r>
        <w:tab/>
        <w:t>E/1994/63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Нидерланды</w:t>
      </w:r>
      <w:r>
        <w:tab/>
      </w:r>
      <w:r>
        <w:tab/>
      </w:r>
      <w:r>
        <w:rPr>
          <w:lang w:val="en-US"/>
        </w:rPr>
        <w:tab/>
      </w:r>
      <w:r>
        <w:t>E/1989/6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E/1998/17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Нидерланды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(Антильские о-ва)</w:t>
      </w:r>
      <w:r>
        <w:tab/>
      </w:r>
      <w:r>
        <w:rPr>
          <w:lang w:val="en-US"/>
        </w:rPr>
        <w:tab/>
      </w:r>
      <w:r>
        <w:t>E/1987/59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Нидерланды (</w:t>
      </w:r>
      <w:proofErr w:type="spellStart"/>
      <w:r>
        <w:t>Аруба</w:t>
      </w:r>
      <w:proofErr w:type="spellEnd"/>
      <w:r>
        <w:t>)</w:t>
      </w:r>
      <w:r>
        <w:tab/>
      </w:r>
      <w:r>
        <w:rPr>
          <w:lang w:val="en-US"/>
        </w:rPr>
        <w:tab/>
      </w:r>
      <w:r>
        <w:t>E/1998/17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Новая Зеландия</w:t>
      </w:r>
      <w:r>
        <w:tab/>
      </w:r>
      <w:r>
        <w:tab/>
      </w:r>
      <w:r>
        <w:rPr>
          <w:lang w:val="en-US"/>
        </w:rPr>
        <w:tab/>
      </w:r>
      <w:r>
        <w:t>E/1994/5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Никарагуа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E/1986/60</w:t>
      </w:r>
      <w:r>
        <w:tab/>
        <w:t>E/1994/5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Нигерия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E/1997/</w:t>
      </w:r>
      <w:r>
        <w:tab/>
        <w:t>E/1997/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E/1998/17</w:t>
      </w:r>
      <w:r>
        <w:tab/>
        <w:t>E/1998/17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Норвегия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E/1995/127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Панама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E/1988/6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E/1989/6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E/1990/9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E/1991/4</w:t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E/1992/4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Парагвай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E/1996/40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u w:val="single"/>
        </w:rPr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Перу</w:t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Филиппины</w:t>
      </w:r>
      <w:r>
        <w:tab/>
      </w:r>
      <w:r>
        <w:tab/>
      </w:r>
      <w:r>
        <w:rPr>
          <w:lang w:val="en-US"/>
        </w:rPr>
        <w:tab/>
      </w:r>
      <w:r>
        <w:t>E/1978/27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Польша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E/1986/60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  <w:t>-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E/1998/17</w:t>
      </w:r>
      <w:r>
        <w:tab/>
        <w:t>E/1998/17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Португалия</w:t>
      </w:r>
      <w:r>
        <w:tab/>
      </w:r>
      <w:r>
        <w:tab/>
      </w:r>
      <w:r>
        <w:rPr>
          <w:lang w:val="en-US"/>
        </w:rPr>
        <w:tab/>
      </w:r>
      <w:r>
        <w:t>E/1996/98</w:t>
      </w:r>
      <w:r>
        <w:tab/>
        <w:t>E/1996/98</w:t>
      </w:r>
      <w:r>
        <w:tab/>
        <w:t>E/1996/98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Румыния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Российская Федерация</w:t>
      </w:r>
      <w:r>
        <w:tab/>
      </w:r>
      <w:r>
        <w:rPr>
          <w:lang w:val="en-US"/>
        </w:rPr>
        <w:t xml:space="preserve">     </w:t>
      </w:r>
      <w:r>
        <w:t>-</w:t>
      </w:r>
      <w:r>
        <w:tab/>
        <w:t xml:space="preserve"> 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Руанда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proofErr w:type="spellStart"/>
      <w:r>
        <w:t>Сент-Венсент</w:t>
      </w:r>
      <w:proofErr w:type="spellEnd"/>
      <w:r>
        <w:t xml:space="preserve"> 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Гренадины</w:t>
      </w:r>
      <w:r>
        <w:tab/>
      </w:r>
      <w:r>
        <w:tab/>
      </w:r>
      <w:r>
        <w:tab/>
      </w:r>
      <w:r>
        <w:rPr>
          <w:lang w:val="en-US"/>
        </w:rPr>
        <w:t xml:space="preserve">     </w:t>
      </w:r>
      <w:r>
        <w:t>-</w:t>
      </w:r>
      <w:r>
        <w:tab/>
        <w:t xml:space="preserve"> 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Сенегал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E/1994/5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Соломоновы острова</w:t>
      </w:r>
      <w:r>
        <w:tab/>
      </w:r>
      <w:r>
        <w:tab/>
      </w:r>
      <w:r>
        <w:rPr>
          <w:lang w:val="en-US"/>
        </w:rPr>
        <w:t xml:space="preserve">     </w:t>
      </w:r>
      <w:r>
        <w:t>-</w:t>
      </w:r>
      <w:r>
        <w:tab/>
        <w:t xml:space="preserve"> 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spacing w:line="240" w:lineRule="auto"/>
      </w:pPr>
      <w:r>
        <w:t>Испания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E/1980/35</w:t>
      </w:r>
      <w:r>
        <w:tab/>
        <w:t>E/1982/41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spacing w:line="240" w:lineRule="auto"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spacing w:line="240" w:lineRule="auto"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E/1996/40</w:t>
      </w:r>
      <w:r>
        <w:tab/>
        <w:t>E/1996/40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spacing w:line="240" w:lineRule="auto"/>
        <w:rPr>
          <w:lang w:val="en-US"/>
        </w:rPr>
      </w:pPr>
      <w:r>
        <w:rPr>
          <w:lang w:val="en-US"/>
        </w:rP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Шри-Ланка</w:t>
      </w:r>
      <w:r>
        <w:tab/>
      </w:r>
      <w:r>
        <w:tab/>
      </w:r>
      <w:r>
        <w:rPr>
          <w:lang w:val="en-US"/>
        </w:rPr>
        <w:tab/>
      </w:r>
      <w:r>
        <w:t>E/1998/17</w:t>
      </w:r>
      <w:r>
        <w:tab/>
        <w:t>E/1998/17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Суринам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E/1995/5</w:t>
      </w:r>
      <w:r>
        <w:tab/>
        <w:t>E/1995/5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rPr>
          <w:u w:val="single"/>
        </w:rPr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Швеция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E/1978/27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Сирийская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E/1980/35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Арабская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E/1990/9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Республика</w:t>
      </w:r>
      <w:r>
        <w:tab/>
      </w:r>
      <w:r>
        <w:tab/>
      </w:r>
      <w:r>
        <w:rPr>
          <w:lang w:val="en-US"/>
        </w:rPr>
        <w:tab/>
      </w:r>
      <w:r>
        <w:t>E/1992/4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Тринидад и Тобаго</w:t>
      </w:r>
      <w:r>
        <w:tab/>
      </w:r>
      <w:r>
        <w:rPr>
          <w:lang w:val="en-US"/>
        </w:rPr>
        <w:tab/>
      </w:r>
      <w:r>
        <w:t>E/1989/6</w:t>
      </w:r>
      <w:r>
        <w:tab/>
        <w:t>E/1989/6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Тунис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E/1978/27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E/1998/17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Украинская ССР</w:t>
      </w:r>
      <w:r>
        <w:tab/>
      </w:r>
      <w:r>
        <w:rPr>
          <w:lang w:val="en-US"/>
        </w:rPr>
        <w:tab/>
      </w:r>
      <w:r>
        <w:t>E/1979/33</w:t>
      </w:r>
      <w:r>
        <w:tab/>
        <w:t>E/1982/41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Украина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E/1995/127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Соединенное</w:t>
      </w:r>
      <w:r>
        <w:tab/>
      </w:r>
      <w:r>
        <w:tab/>
      </w:r>
      <w:r>
        <w:rPr>
          <w:lang w:val="en-US"/>
        </w:rPr>
        <w:tab/>
      </w:r>
      <w:r>
        <w:t>E/1978/27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Королевство</w:t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Великобритании</w:t>
      </w:r>
      <w:r>
        <w:tab/>
      </w:r>
      <w:r>
        <w:tab/>
      </w:r>
      <w:r>
        <w:tab/>
        <w:t>E/1995/5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и Северной Ирландии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Соединенное</w:t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E/1982/41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Королевство</w:t>
      </w:r>
      <w:r>
        <w:tab/>
      </w:r>
      <w:r>
        <w:tab/>
      </w:r>
      <w:r>
        <w:rPr>
          <w:lang w:val="en-US"/>
        </w:rPr>
        <w:tab/>
      </w:r>
      <w:r>
        <w:t>E/1996/98</w:t>
      </w:r>
      <w:r>
        <w:tab/>
        <w:t>E/1985/63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(другие территории,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помимо метрополии)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 xml:space="preserve">Объединенная 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  <w:r>
        <w:t>Республика Танзания</w:t>
      </w:r>
      <w:r>
        <w:tab/>
      </w:r>
      <w:r>
        <w:tab/>
      </w:r>
      <w:r>
        <w:rPr>
          <w:lang w:val="en-US"/>
        </w:rPr>
        <w:t xml:space="preserve">    </w:t>
      </w:r>
      <w:r>
        <w:t>-</w:t>
      </w:r>
      <w:r>
        <w:tab/>
      </w:r>
      <w:r>
        <w:rPr>
          <w:lang w:val="en-US"/>
        </w:rPr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Уругвай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E/1994/5</w:t>
      </w:r>
      <w:r>
        <w:tab/>
        <w:t>E/1994/63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E/1994/63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br w:type="page"/>
      </w:r>
      <w:r>
        <w:rPr>
          <w:u w:val="single"/>
        </w:rPr>
        <w:t>Страна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Статьи 6-9</w:t>
      </w:r>
      <w:r>
        <w:tab/>
      </w:r>
      <w:r>
        <w:rPr>
          <w:u w:val="single"/>
        </w:rPr>
        <w:t>Статья 10</w:t>
      </w:r>
      <w:r>
        <w:tab/>
      </w:r>
      <w:r>
        <w:rPr>
          <w:u w:val="single"/>
        </w:rPr>
        <w:t>Статья 13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(</w:t>
      </w:r>
      <w:r>
        <w:rPr>
          <w:u w:val="single"/>
        </w:rPr>
        <w:t>Условное</w:t>
      </w:r>
      <w:r>
        <w:tab/>
      </w:r>
      <w:r>
        <w:rPr>
          <w:u w:val="single"/>
        </w:rPr>
        <w:t>(Условное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обозначение</w:t>
      </w:r>
      <w:r>
        <w:tab/>
      </w:r>
      <w:r>
        <w:rPr>
          <w:u w:val="single"/>
        </w:rPr>
        <w:t>обозначение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rPr>
          <w:u w:val="single"/>
        </w:rPr>
        <w:t>документа</w:t>
      </w:r>
      <w:r>
        <w:t>)</w:t>
      </w:r>
      <w:r>
        <w:tab/>
      </w:r>
      <w:r>
        <w:rPr>
          <w:u w:val="single"/>
        </w:rPr>
        <w:t>документа</w:t>
      </w:r>
      <w:r>
        <w:t>)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СССР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E/1979/33</w:t>
      </w:r>
      <w:r>
        <w:tab/>
        <w:t>E/1981/41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E/1987/59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Венесуэла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  <w:t>E/1986/60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Вьетнам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E/1994/5</w:t>
      </w:r>
      <w:r>
        <w:tab/>
        <w:t xml:space="preserve">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Йемен</w:t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E/1990/9</w:t>
      </w:r>
      <w:r>
        <w:tab/>
        <w:t>E/1990/9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E/1991/4</w:t>
      </w:r>
      <w:r>
        <w:tab/>
        <w:t>E/1991/4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Югославия</w:t>
      </w:r>
      <w:r>
        <w:tab/>
      </w:r>
      <w:r>
        <w:tab/>
      </w:r>
      <w:r>
        <w:rPr>
          <w:lang w:val="en-US"/>
        </w:rPr>
        <w:tab/>
      </w:r>
      <w:r>
        <w:t>E/1983/40</w:t>
      </w:r>
      <w:r>
        <w:tab/>
        <w:t>E/1983/40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E/1985/63</w:t>
      </w:r>
      <w:r>
        <w:tab/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Заир</w:t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E/1988/6</w:t>
      </w:r>
      <w:r>
        <w:tab/>
        <w:t>E/1988/6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Замбия</w:t>
      </w:r>
      <w:r>
        <w:tab/>
      </w:r>
      <w:r>
        <w:tab/>
      </w:r>
      <w:r>
        <w:tab/>
      </w:r>
      <w:r>
        <w:rPr>
          <w:lang w:val="en-US"/>
        </w:rPr>
        <w:tab/>
      </w:r>
      <w:r>
        <w:t xml:space="preserve">   -</w:t>
      </w:r>
      <w:r>
        <w:tab/>
        <w:t>E/1988/60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  <w:r>
        <w:t>Зимбабве</w:t>
      </w:r>
      <w:r>
        <w:tab/>
      </w:r>
      <w:r>
        <w:tab/>
      </w:r>
      <w:r>
        <w:tab/>
      </w:r>
      <w:r>
        <w:rPr>
          <w:lang w:val="en-US"/>
        </w:rPr>
        <w:tab/>
      </w:r>
      <w:r>
        <w:t xml:space="preserve">   -</w:t>
      </w:r>
      <w:r>
        <w:tab/>
        <w:t xml:space="preserve">    -</w:t>
      </w: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tabs>
          <w:tab w:val="clear" w:pos="567"/>
          <w:tab w:val="clear" w:pos="1701"/>
          <w:tab w:val="left" w:pos="0"/>
          <w:tab w:val="left" w:pos="566"/>
          <w:tab w:val="left" w:pos="1700"/>
          <w:tab w:val="left" w:pos="2916"/>
          <w:tab w:val="left" w:pos="5292"/>
          <w:tab w:val="left" w:pos="7776"/>
        </w:tabs>
        <w:suppressAutoHyphens/>
      </w:pPr>
    </w:p>
    <w:p w:rsidR="00000000" w:rsidRDefault="00000000">
      <w:pPr>
        <w:pStyle w:val="16"/>
        <w:tabs>
          <w:tab w:val="center" w:pos="4678"/>
        </w:tabs>
        <w:suppressAutoHyphens/>
      </w:pPr>
      <w:r>
        <w:t>--------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  <w:tabs>
          <w:tab w:val="left" w:pos="0"/>
          <w:tab w:val="left" w:pos="566"/>
          <w:tab w:val="left" w:pos="1134"/>
          <w:tab w:val="left" w:pos="1700"/>
          <w:tab w:val="left" w:pos="2268"/>
          <w:tab w:val="right" w:leader="dot" w:pos="7603"/>
          <w:tab w:val="center" w:pos="8467"/>
        </w:tabs>
        <w:suppressAutoHyphens/>
        <w:spacing w:after="240" w:line="216" w:lineRule="auto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  <w:b/>
        </w:rPr>
        <w:footnoteRef/>
      </w:r>
      <w:r>
        <w:rPr>
          <w:rFonts w:ascii="Times New Roman" w:hAnsi="Times New Roman"/>
        </w:rPr>
        <w:tab/>
        <w:t>Решения Административного совета, принятые на его 201-й сессии (ноябрь</w:t>
      </w:r>
      <w:r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1976года) и 236-й сессии (май 1987 года).</w:t>
      </w:r>
    </w:p>
  </w:footnote>
  <w:footnote w:id="2">
    <w:p w:rsidR="00000000" w:rsidRDefault="00000000">
      <w:pPr>
        <w:pStyle w:val="FootnoteText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after="240" w:line="216" w:lineRule="auto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  <w:b/>
        </w:rPr>
        <w:footnoteRef/>
      </w:r>
      <w:r>
        <w:rPr>
          <w:rFonts w:ascii="Times New Roman" w:hAnsi="Times New Roman"/>
        </w:rPr>
        <w:tab/>
        <w:t>Информация о процедурах и механизме осуществления стандартов МОТ, включая деятельность ее наблюдательных органов, содержится в документе "Деятельность Организации Объединенных Наций в области прав человека" (издание Организации Объединенных Наций, Нью-Йорк, 1988 год, в продаже под № R.94.</w:t>
      </w:r>
      <w:r>
        <w:rPr>
          <w:rFonts w:ascii="Times New Roman" w:hAnsi="Times New Roman"/>
          <w:lang w:val="en-US"/>
        </w:rPr>
        <w:t>XIV.11</w:t>
      </w:r>
      <w:r>
        <w:rPr>
          <w:rFonts w:ascii="Times New Roman" w:hAnsi="Times New Roman"/>
        </w:rPr>
        <w:t xml:space="preserve">), глава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>, раздел С.1.  Более подробная информация содержится в документе, представленном Подготовительному комитету для  Всемирной конференции по правам человека (A/CONF.157/PC/6/Add.3).</w:t>
      </w:r>
    </w:p>
  </w:footnote>
  <w:footnote w:id="3">
    <w:p w:rsidR="00000000" w:rsidRDefault="00000000">
      <w:pPr>
        <w:pStyle w:val="FootnoteText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after="240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  <w:b/>
        </w:rPr>
        <w:footnoteRef/>
      </w:r>
      <w:r>
        <w:rPr>
          <w:rFonts w:ascii="Times New Roman" w:hAnsi="Times New Roman"/>
        </w:rPr>
        <w:tab/>
        <w:t xml:space="preserve">Кроме того, в частности применительно к статьям 7 и 9, имеется целый ряд конвенций, которые регулируют соответствующие вопросы в конкретных областях занятости (например, дорожный транспорт, моряки, рыбаки, докеры, сельскохозяйственные рабочие, персонал по медицинскому уходу) или относятся к конкретным категориям работников (например, трудящиеся-мигранты, трудящиеся на территориях, не являющихся метрополиями).  Эти конвенции не включены в настоящий перечень, однако они учитываются при подготовке материалов о положении в отдельных странах. </w:t>
      </w:r>
    </w:p>
  </w:footnote>
  <w:footnote w:id="4">
    <w:p w:rsidR="00000000" w:rsidRDefault="00000000">
      <w:pPr>
        <w:pStyle w:val="FootnoteText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Италия еще не ратифицировала Конвенцию о технике безопасности и гигиене труда на портовых работах 1979 года (№ 152).</w:t>
      </w:r>
    </w:p>
  </w:footnote>
  <w:footnote w:id="5">
    <w:p w:rsidR="00000000" w:rsidRDefault="00000000">
      <w:pPr>
        <w:pStyle w:val="FootnoteText"/>
        <w:keepNext/>
        <w:keepLines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Иордания ратифицировала Конвенцию о минимальном возрасте 1973 года (№ 138) 23 марта 1998 года.</w:t>
      </w:r>
    </w:p>
    <w:p w:rsidR="00000000" w:rsidRDefault="00000000">
      <w:pPr>
        <w:pStyle w:val="FootnoteText"/>
        <w:keepNext/>
        <w:keepLines/>
      </w:pPr>
    </w:p>
  </w:footnote>
  <w:footnote w:id="6">
    <w:p w:rsidR="00000000" w:rsidRDefault="00000000">
      <w:pPr>
        <w:pStyle w:val="FootnoteText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</w:rPr>
        <w:t>Португалия ратифицировала Конвенцию о минимальном возрасте 1973 года (№ 138) 20 мая 1998 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E/C.12/2000/SA/1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E/C.12/2000/SA/1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95098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tabs>
        <w:tab w:val="center" w:pos="4678"/>
      </w:tabs>
      <w:suppressAutoHyphens/>
      <w:jc w:val="center"/>
      <w:outlineLvl w:val="4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center" w:pos="4678"/>
        <w:tab w:val="left" w:pos="6237"/>
      </w:tabs>
      <w:suppressAutoHyphens/>
      <w:ind w:left="567" w:hanging="567"/>
      <w:jc w:val="center"/>
      <w:outlineLvl w:val="6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/>
      <w:kern w:val="0"/>
      <w:sz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ListBullet">
    <w:name w:val="List Bullet"/>
    <w:basedOn w:val="Normal"/>
    <w:autoRedefine/>
    <w:semiHidden/>
    <w:pPr>
      <w:numPr>
        <w:numId w:val="4"/>
      </w:numPr>
      <w:tabs>
        <w:tab w:val="left" w:pos="1134"/>
        <w:tab w:val="left" w:pos="1701"/>
        <w:tab w:val="left" w:pos="2268"/>
        <w:tab w:val="left" w:pos="6237"/>
      </w:tabs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7706</Words>
  <Characters>43926</Characters>
  <Application>Microsoft Office Word</Application>
  <DocSecurity>4</DocSecurity>
  <Lines>366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40806.doc</vt:lpstr>
    </vt:vector>
  </TitlesOfParts>
  <Company> </Company>
  <LinksUpToDate>false</LinksUpToDate>
  <CharactersWithSpaces>53944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40806.doc</dc:title>
  <dc:subject>Muraviev</dc:subject>
  <dc:creator>Smirnova</dc:creator>
  <cp:keywords/>
  <dc:description/>
  <cp:lastModifiedBy>Smirnova </cp:lastModifiedBy>
  <cp:revision>2</cp:revision>
  <cp:lastPrinted>2000-04-10T11:31:00Z</cp:lastPrinted>
  <dcterms:created xsi:type="dcterms:W3CDTF">2000-04-10T11:41:00Z</dcterms:created>
  <dcterms:modified xsi:type="dcterms:W3CDTF">2000-04-10T11:41:00Z</dcterms:modified>
</cp:coreProperties>
</file>