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4032" w14:paraId="4F5709CC" w14:textId="77777777">
        <w:trPr>
          <w:cantSplit/>
          <w:trHeight w:hRule="exact" w:val="851"/>
        </w:trPr>
        <w:tc>
          <w:tcPr>
            <w:tcW w:w="1276" w:type="dxa"/>
            <w:tcBorders>
              <w:bottom w:val="single" w:sz="4" w:space="0" w:color="auto"/>
            </w:tcBorders>
            <w:vAlign w:val="bottom"/>
          </w:tcPr>
          <w:p w14:paraId="440B6EB4" w14:textId="77777777" w:rsidR="00F6234B" w:rsidRDefault="00F6234B">
            <w:pPr>
              <w:spacing w:after="80"/>
            </w:pPr>
          </w:p>
        </w:tc>
        <w:tc>
          <w:tcPr>
            <w:tcW w:w="2268" w:type="dxa"/>
            <w:tcBorders>
              <w:bottom w:val="single" w:sz="4" w:space="0" w:color="auto"/>
            </w:tcBorders>
            <w:vAlign w:val="bottom"/>
          </w:tcPr>
          <w:p w14:paraId="05A2B860" w14:textId="77777777" w:rsidR="00F6234B" w:rsidRDefault="00EF3AA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87EB34" w14:textId="77777777" w:rsidR="00F6234B" w:rsidRDefault="00EF3AA5">
            <w:pPr>
              <w:suppressAutoHyphens w:val="0"/>
              <w:spacing w:after="20"/>
              <w:jc w:val="right"/>
            </w:pPr>
            <w:r>
              <w:rPr>
                <w:sz w:val="40"/>
              </w:rPr>
              <w:t>CAT</w:t>
            </w:r>
            <w:r>
              <w:t>/C/LIE/FCO/5</w:t>
            </w:r>
          </w:p>
        </w:tc>
      </w:tr>
      <w:tr w:rsidR="00324032" w14:paraId="65519AA7" w14:textId="77777777">
        <w:trPr>
          <w:cantSplit/>
          <w:trHeight w:hRule="exact" w:val="2835"/>
        </w:trPr>
        <w:tc>
          <w:tcPr>
            <w:tcW w:w="1276" w:type="dxa"/>
            <w:tcBorders>
              <w:top w:val="single" w:sz="4" w:space="0" w:color="auto"/>
              <w:bottom w:val="single" w:sz="12" w:space="0" w:color="auto"/>
            </w:tcBorders>
          </w:tcPr>
          <w:p w14:paraId="591FC421" w14:textId="77777777" w:rsidR="00F6234B" w:rsidRDefault="00EF3AA5">
            <w:pPr>
              <w:spacing w:before="120"/>
              <w:jc w:val="center"/>
            </w:pPr>
            <w:r>
              <w:rPr>
                <w:noProof/>
                <w:lang w:val="fr-CH" w:eastAsia="zh-CN"/>
              </w:rPr>
              <w:drawing>
                <wp:inline distT="0" distB="0" distL="0" distR="0" wp14:anchorId="7AEA35B3" wp14:editId="061B12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B40AD8" w14:textId="77777777" w:rsidR="00F6234B" w:rsidRDefault="00EF3AA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010C6AD" w14:textId="77777777" w:rsidR="00F6234B" w:rsidRDefault="00EF3AA5">
            <w:pPr>
              <w:suppressAutoHyphens w:val="0"/>
              <w:spacing w:before="240" w:line="240" w:lineRule="exact"/>
            </w:pPr>
            <w:r>
              <w:t>Distr.: General</w:t>
            </w:r>
          </w:p>
          <w:p w14:paraId="5EA2BC41" w14:textId="33FA3855" w:rsidR="00F6234B" w:rsidRDefault="004B1EC3">
            <w:pPr>
              <w:suppressAutoHyphens w:val="0"/>
            </w:pPr>
            <w:r>
              <w:t xml:space="preserve">4 </w:t>
            </w:r>
            <w:r w:rsidR="00757AE1">
              <w:t>June 2025</w:t>
            </w:r>
          </w:p>
          <w:p w14:paraId="241CE88D" w14:textId="77777777" w:rsidR="00F6234B" w:rsidRDefault="00F6234B">
            <w:pPr>
              <w:suppressAutoHyphens w:val="0"/>
            </w:pPr>
          </w:p>
          <w:p w14:paraId="04122206" w14:textId="77777777" w:rsidR="00F6234B" w:rsidRDefault="00EF3AA5">
            <w:pPr>
              <w:suppressAutoHyphens w:val="0"/>
            </w:pPr>
            <w:r>
              <w:t>Original: English</w:t>
            </w:r>
          </w:p>
          <w:p w14:paraId="46AFE784" w14:textId="77777777" w:rsidR="00F6234B" w:rsidRDefault="00EF3AA5">
            <w:pPr>
              <w:suppressAutoHyphens w:val="0"/>
            </w:pPr>
            <w:r>
              <w:t>English, French and Spanish only</w:t>
            </w:r>
          </w:p>
        </w:tc>
      </w:tr>
    </w:tbl>
    <w:p w14:paraId="06A6E17F" w14:textId="77777777" w:rsidR="00F6234B" w:rsidRDefault="00EF3AA5">
      <w:pPr>
        <w:spacing w:before="120"/>
        <w:rPr>
          <w:b/>
          <w:sz w:val="24"/>
          <w:szCs w:val="24"/>
        </w:rPr>
      </w:pPr>
      <w:r>
        <w:rPr>
          <w:b/>
          <w:sz w:val="24"/>
          <w:szCs w:val="24"/>
        </w:rPr>
        <w:t>Committee against Torture</w:t>
      </w:r>
    </w:p>
    <w:p w14:paraId="4B257D08" w14:textId="77777777" w:rsidR="00F6234B" w:rsidRDefault="00EF3AA5" w:rsidP="00065353">
      <w:pPr>
        <w:pStyle w:val="HMG"/>
      </w:pPr>
      <w:r>
        <w:tab/>
      </w:r>
      <w:r>
        <w:tab/>
        <w:t>Information received from Liechtenstein on follow-up to the concluding observations</w:t>
      </w:r>
      <w:r w:rsidR="009C1A19">
        <w:t xml:space="preserve"> on its fifth periodic report</w:t>
      </w:r>
      <w:r>
        <w:rPr>
          <w:rStyle w:val="FootnoteReference"/>
          <w:b w:val="0"/>
          <w:sz w:val="20"/>
          <w:vertAlign w:val="baseline"/>
        </w:rPr>
        <w:footnoteReference w:customMarkFollows="1" w:id="2"/>
        <w:t>*</w:t>
      </w:r>
    </w:p>
    <w:p w14:paraId="783A8913" w14:textId="20FB42D4" w:rsidR="00F6234B" w:rsidRDefault="00EF3AA5">
      <w:pPr>
        <w:pStyle w:val="SingleTxtG"/>
        <w:jc w:val="right"/>
      </w:pPr>
      <w:r>
        <w:t>[Date received:</w:t>
      </w:r>
      <w:r>
        <w:rPr>
          <w:color w:val="FF0000"/>
        </w:rPr>
        <w:t xml:space="preserve"> </w:t>
      </w:r>
      <w:r w:rsidR="00B93EB3" w:rsidRPr="00B93EB3">
        <w:t>27 May 2025</w:t>
      </w:r>
      <w:r>
        <w:t>]</w:t>
      </w:r>
      <w:r w:rsidR="00C1374B" w:rsidRPr="0027112F">
        <w:rPr>
          <w:noProof/>
          <w:lang w:val="en-US"/>
        </w:rPr>
        <w:drawing>
          <wp:anchor distT="0" distB="0" distL="114300" distR="114300" simplePos="0" relativeHeight="251659264" behindDoc="0" locked="1" layoutInCell="1" allowOverlap="1" wp14:anchorId="623F8D17" wp14:editId="3B148F8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20BAA2" w14:textId="2A27826C" w:rsidR="00B93EB3" w:rsidRDefault="00B93EB3">
      <w:pPr>
        <w:suppressAutoHyphens w:val="0"/>
        <w:spacing w:after="200" w:line="276" w:lineRule="auto"/>
        <w:rPr>
          <w:rFonts w:eastAsiaTheme="minorHAnsi"/>
          <w:color w:val="0000FF"/>
        </w:rPr>
      </w:pPr>
      <w:r>
        <w:rPr>
          <w:color w:val="0000FF"/>
        </w:rPr>
        <w:br w:type="page"/>
      </w:r>
    </w:p>
    <w:p w14:paraId="487593C3" w14:textId="057F81E4" w:rsidR="00783059" w:rsidRPr="001B5200" w:rsidRDefault="00783059" w:rsidP="00783059">
      <w:pPr>
        <w:pStyle w:val="HChG"/>
        <w:rPr>
          <w:bCs/>
        </w:rPr>
      </w:pPr>
      <w:r w:rsidRPr="00731D42">
        <w:rPr>
          <w:b w:val="0"/>
        </w:rPr>
        <w:lastRenderedPageBreak/>
        <w:tab/>
      </w:r>
      <w:r w:rsidRPr="00731D42">
        <w:rPr>
          <w:bCs/>
        </w:rPr>
        <w:t>I.</w:t>
      </w:r>
      <w:r w:rsidRPr="00731D42">
        <w:rPr>
          <w:bCs/>
        </w:rPr>
        <w:tab/>
      </w:r>
      <w:r>
        <w:t>I</w:t>
      </w:r>
      <w:r w:rsidRPr="00731D42">
        <w:t>ntroduction</w:t>
      </w:r>
      <w:r w:rsidRPr="001B5200">
        <w:rPr>
          <w:bCs/>
        </w:rPr>
        <w:t xml:space="preserve"> </w:t>
      </w:r>
    </w:p>
    <w:p w14:paraId="59846DCF" w14:textId="06C5FC1A" w:rsidR="00783059" w:rsidRPr="00227D2B" w:rsidRDefault="00227D2B" w:rsidP="00227D2B">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In the concluding observations on the fifth periodic report of Liechtenstein (CAT/C/LIE/CO/5) from 7 May 2024, the Committee against Torture issued 20 recommendations to Liechtenstein, requesting information on follow-up to three of them concerning the fundamental legal safeguards, conditions of detention and extraterritorial incarceration by 10 May 2025.</w:t>
      </w:r>
    </w:p>
    <w:p w14:paraId="07B7EDD0" w14:textId="25ABBAF2" w:rsidR="00A957C8" w:rsidRPr="00A957C8" w:rsidRDefault="00227D2B" w:rsidP="00A957C8">
      <w:pPr>
        <w:pStyle w:val="HChG"/>
        <w:rPr>
          <w:lang w:val="en-US"/>
        </w:rPr>
      </w:pPr>
      <w:r>
        <w:rPr>
          <w:lang w:val="en-US"/>
        </w:rPr>
        <w:tab/>
        <w:t>II.</w:t>
      </w:r>
      <w:r>
        <w:rPr>
          <w:lang w:val="en-US"/>
        </w:rPr>
        <w:tab/>
      </w:r>
      <w:r>
        <w:rPr>
          <w:lang w:val="en-US"/>
        </w:rPr>
        <w:tab/>
      </w:r>
      <w:r w:rsidR="00A957C8" w:rsidRPr="00A957C8">
        <w:rPr>
          <w:lang w:val="en-US"/>
        </w:rPr>
        <w:t xml:space="preserve">Follow-up </w:t>
      </w:r>
      <w:r w:rsidR="007035C8">
        <w:rPr>
          <w:lang w:val="en-US"/>
        </w:rPr>
        <w:t>information on the concluding observations (</w:t>
      </w:r>
      <w:r w:rsidR="007035C8" w:rsidRPr="00A957C8">
        <w:t xml:space="preserve">CAT/C/LIE/CO/5) </w:t>
      </w:r>
    </w:p>
    <w:p w14:paraId="6F935868" w14:textId="77777777" w:rsidR="00CE736E" w:rsidRDefault="00AE1525" w:rsidP="000941EE">
      <w:pPr>
        <w:pStyle w:val="H1G"/>
      </w:pPr>
      <w:r>
        <w:tab/>
      </w:r>
      <w:r>
        <w:tab/>
      </w:r>
      <w:r w:rsidR="00CE736E">
        <w:t xml:space="preserve">Fundamental legal safeguards </w:t>
      </w:r>
    </w:p>
    <w:p w14:paraId="0F97AC71" w14:textId="7E810F3D" w:rsidR="00A957C8" w:rsidRPr="00A957C8" w:rsidRDefault="00CE736E" w:rsidP="004B45AD">
      <w:pPr>
        <w:pStyle w:val="H23G"/>
      </w:pPr>
      <w:r>
        <w:tab/>
      </w:r>
      <w:r>
        <w:tab/>
      </w:r>
      <w:r w:rsidR="00A60CB6">
        <w:t xml:space="preserve">Information relating to </w:t>
      </w:r>
      <w:r w:rsidR="004631ED">
        <w:t>paragraph</w:t>
      </w:r>
      <w:r w:rsidR="004631ED" w:rsidRPr="00A957C8">
        <w:t xml:space="preserve"> </w:t>
      </w:r>
      <w:r w:rsidR="00A957C8" w:rsidRPr="00A957C8">
        <w:t>14</w:t>
      </w:r>
    </w:p>
    <w:p w14:paraId="48BF22F2" w14:textId="77777777" w:rsidR="00A957C8" w:rsidRPr="00A957C8" w:rsidRDefault="00A957C8" w:rsidP="00ED2EC0">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The Liechtenstein Code of Criminal Procedure (</w:t>
      </w:r>
      <w:proofErr w:type="spellStart"/>
      <w:r w:rsidRPr="00A957C8">
        <w:rPr>
          <w:rFonts w:eastAsia="SimSun"/>
          <w:lang w:eastAsia="zh-CN"/>
        </w:rPr>
        <w:t>StPO</w:t>
      </w:r>
      <w:proofErr w:type="spellEnd"/>
      <w:r w:rsidRPr="00A957C8">
        <w:rPr>
          <w:rFonts w:eastAsia="SimSun"/>
          <w:lang w:eastAsia="zh-CN"/>
        </w:rPr>
        <w:t xml:space="preserve">) does not provide for a general obligation to make audio or video recordings of interviews. Pursuant to Article 50a </w:t>
      </w:r>
      <w:proofErr w:type="spellStart"/>
      <w:r w:rsidRPr="00A957C8">
        <w:rPr>
          <w:rFonts w:eastAsia="SimSun"/>
          <w:lang w:eastAsia="zh-CN"/>
        </w:rPr>
        <w:t>StPO</w:t>
      </w:r>
      <w:proofErr w:type="spellEnd"/>
      <w:r w:rsidRPr="00A957C8">
        <w:rPr>
          <w:rFonts w:eastAsia="SimSun"/>
          <w:lang w:eastAsia="zh-CN"/>
        </w:rPr>
        <w:t xml:space="preserve">, it is permissible to make an audio or video recording of an interview, provided the interviewee is expressly informed and the recording is made in its entirety. In addition, Article 115a </w:t>
      </w:r>
      <w:proofErr w:type="spellStart"/>
      <w:r w:rsidRPr="00A957C8">
        <w:rPr>
          <w:rFonts w:eastAsia="SimSun"/>
          <w:lang w:eastAsia="zh-CN"/>
        </w:rPr>
        <w:t>StPO</w:t>
      </w:r>
      <w:proofErr w:type="spellEnd"/>
      <w:r w:rsidRPr="00A957C8">
        <w:rPr>
          <w:rFonts w:eastAsia="SimSun"/>
          <w:lang w:eastAsia="zh-CN"/>
        </w:rPr>
        <w:t xml:space="preserve"> stipulates that the investigating judge may order the audio or video recording of the interview in cases of contradictory examination. In practice, however, the National Police always carry out video recordings in cases involving minors who are victims of sexual offences.</w:t>
      </w:r>
    </w:p>
    <w:p w14:paraId="67AC8B15" w14:textId="77777777" w:rsidR="00A957C8" w:rsidRPr="00A957C8" w:rsidRDefault="00A957C8" w:rsidP="00ED2EC0">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Minors and young adults are always informed during police interviews in accordance with Article 21a of the Juvenile Court Act (JGG), which grants them the opportunity to be accompanied by a trusted person during the interview. No formal request is required for such accompaniment; the minor may contact a trusted person directly or ask the police for assistance in doing so.</w:t>
      </w:r>
    </w:p>
    <w:p w14:paraId="6160976B" w14:textId="77777777" w:rsidR="00A957C8" w:rsidRPr="00A957C8" w:rsidRDefault="00A957C8" w:rsidP="00ED2EC0">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 xml:space="preserve">During the interview, the minor has the right to be accompanied by legal counsel. The minor may appoint a defence counsel pursuant to Article 147 </w:t>
      </w:r>
      <w:proofErr w:type="spellStart"/>
      <w:r w:rsidRPr="00A957C8">
        <w:rPr>
          <w:rFonts w:eastAsia="SimSun"/>
          <w:lang w:eastAsia="zh-CN"/>
        </w:rPr>
        <w:t>StPO</w:t>
      </w:r>
      <w:proofErr w:type="spellEnd"/>
      <w:r w:rsidRPr="00A957C8">
        <w:rPr>
          <w:rFonts w:eastAsia="SimSun"/>
          <w:lang w:eastAsia="zh-CN"/>
        </w:rPr>
        <w:t xml:space="preserve">. If the minor does not know a lawyer, the National Police can assist by providing access to the official list of attorneys. Outside regular business hours, the Bar Association operates a hotline. No formal request is required for this support. However, if legal aid counsel must be appointed (Article 26 para. 2 </w:t>
      </w:r>
      <w:proofErr w:type="spellStart"/>
      <w:r w:rsidRPr="00A957C8">
        <w:rPr>
          <w:rFonts w:eastAsia="SimSun"/>
          <w:lang w:eastAsia="zh-CN"/>
        </w:rPr>
        <w:t>StPO</w:t>
      </w:r>
      <w:proofErr w:type="spellEnd"/>
      <w:r w:rsidRPr="00A957C8">
        <w:rPr>
          <w:rFonts w:eastAsia="SimSun"/>
          <w:lang w:eastAsia="zh-CN"/>
        </w:rPr>
        <w:t xml:space="preserve">), a formal application is necessary. In cases falling under Article 26 para. 3 </w:t>
      </w:r>
      <w:proofErr w:type="spellStart"/>
      <w:r w:rsidRPr="00A957C8">
        <w:rPr>
          <w:rFonts w:eastAsia="SimSun"/>
          <w:lang w:eastAsia="zh-CN"/>
        </w:rPr>
        <w:t>StPO</w:t>
      </w:r>
      <w:proofErr w:type="spellEnd"/>
      <w:r w:rsidRPr="00A957C8">
        <w:rPr>
          <w:rFonts w:eastAsia="SimSun"/>
          <w:lang w:eastAsia="zh-CN"/>
        </w:rPr>
        <w:t xml:space="preserve"> (mandatory defence for pre-trial detention and final hearing before the Criminal Court) or Article 25 JGG (juvenile criminal proceedings for a felony), the court is responsible for appointing a defence counsel.</w:t>
      </w:r>
    </w:p>
    <w:p w14:paraId="760F1BA3" w14:textId="77777777" w:rsidR="00CE736E" w:rsidRDefault="008716DB" w:rsidP="00B37749">
      <w:pPr>
        <w:pStyle w:val="H1G"/>
      </w:pPr>
      <w:r>
        <w:tab/>
      </w:r>
      <w:r>
        <w:tab/>
      </w:r>
      <w:r w:rsidR="00CE736E">
        <w:t>Conditions of detention</w:t>
      </w:r>
    </w:p>
    <w:p w14:paraId="519DC833" w14:textId="3437F3D0" w:rsidR="00A957C8" w:rsidRPr="00A957C8" w:rsidRDefault="00CE736E" w:rsidP="004B45AD">
      <w:pPr>
        <w:pStyle w:val="H23G"/>
      </w:pPr>
      <w:r>
        <w:tab/>
      </w:r>
      <w:r>
        <w:tab/>
      </w:r>
      <w:r w:rsidR="00F52D63" w:rsidRPr="00B37749">
        <w:t xml:space="preserve">Information relating to </w:t>
      </w:r>
      <w:r w:rsidR="004631ED">
        <w:t>paragraph</w:t>
      </w:r>
      <w:r w:rsidR="004631ED" w:rsidRPr="00A957C8">
        <w:t xml:space="preserve"> </w:t>
      </w:r>
      <w:r w:rsidR="00A957C8" w:rsidRPr="00A957C8">
        <w:t>16</w:t>
      </w:r>
      <w:r w:rsidR="004631ED">
        <w:t xml:space="preserve"> (</w:t>
      </w:r>
      <w:r w:rsidR="00A957C8" w:rsidRPr="00A957C8">
        <w:t>d</w:t>
      </w:r>
      <w:r w:rsidR="004631ED">
        <w:t>)</w:t>
      </w:r>
    </w:p>
    <w:p w14:paraId="2D162EAF" w14:textId="77777777" w:rsidR="00A957C8" w:rsidRPr="00A957C8" w:rsidRDefault="00A957C8" w:rsidP="00B37749">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 xml:space="preserve">New detainees are examined by an external contract doctor as soon as possible and have the right to request a doctor at any time. The prison doctor undertakes his best efforts </w:t>
      </w:r>
      <w:proofErr w:type="gramStart"/>
      <w:r w:rsidRPr="00A957C8">
        <w:rPr>
          <w:rFonts w:eastAsia="SimSun"/>
          <w:lang w:eastAsia="zh-CN"/>
        </w:rPr>
        <w:t>in order to</w:t>
      </w:r>
      <w:proofErr w:type="gramEnd"/>
      <w:r w:rsidRPr="00A957C8">
        <w:rPr>
          <w:rFonts w:eastAsia="SimSun"/>
          <w:lang w:eastAsia="zh-CN"/>
        </w:rPr>
        <w:t xml:space="preserve"> examine persons arriving in the national prison as soon as possible</w:t>
      </w:r>
    </w:p>
    <w:p w14:paraId="4709C777" w14:textId="77777777" w:rsidR="00A957C8" w:rsidRPr="00A957C8" w:rsidRDefault="00A957C8" w:rsidP="00B37749">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Staff are obliged to notify a contract doctor immediately, who decides on the level of urgency based on the notification, just as he does with his patients in the doctor's surgery. In addition, a doctor visits the prison once a week to enable spontaneous rounds. Anyone who wants to see the doctor can do so. There are no postponements to the following week.</w:t>
      </w:r>
    </w:p>
    <w:p w14:paraId="03234885" w14:textId="77777777" w:rsidR="00CE736E" w:rsidRPr="004631ED" w:rsidRDefault="00B24147" w:rsidP="004631ED">
      <w:pPr>
        <w:pStyle w:val="H1G"/>
      </w:pPr>
      <w:r>
        <w:rPr>
          <w:rFonts w:cstheme="minorBidi"/>
        </w:rPr>
        <w:tab/>
      </w:r>
      <w:r>
        <w:rPr>
          <w:rFonts w:cstheme="minorBidi"/>
        </w:rPr>
        <w:tab/>
      </w:r>
      <w:r w:rsidR="00CE736E" w:rsidRPr="004631ED">
        <w:t>Extraterritorial incarceration</w:t>
      </w:r>
    </w:p>
    <w:p w14:paraId="7B2631F1" w14:textId="7FB281BD" w:rsidR="00A957C8" w:rsidRPr="00A957C8" w:rsidRDefault="00CE736E" w:rsidP="004B45AD">
      <w:pPr>
        <w:pStyle w:val="H23G"/>
      </w:pPr>
      <w:r>
        <w:tab/>
      </w:r>
      <w:r>
        <w:tab/>
      </w:r>
      <w:r w:rsidR="00F509D4" w:rsidRPr="00B37749">
        <w:t xml:space="preserve">Information relating to </w:t>
      </w:r>
      <w:r w:rsidR="004631ED">
        <w:t>paragraph</w:t>
      </w:r>
      <w:r w:rsidR="004631ED" w:rsidRPr="00A957C8">
        <w:t xml:space="preserve"> </w:t>
      </w:r>
      <w:r w:rsidR="00A957C8" w:rsidRPr="00A957C8">
        <w:t>20</w:t>
      </w:r>
      <w:r w:rsidR="004631ED">
        <w:t xml:space="preserve"> (</w:t>
      </w:r>
      <w:r w:rsidR="00A957C8" w:rsidRPr="00A957C8">
        <w:t>a</w:t>
      </w:r>
      <w:r w:rsidR="004631ED">
        <w:t>)</w:t>
      </w:r>
    </w:p>
    <w:p w14:paraId="0356D567" w14:textId="77777777" w:rsidR="00A957C8" w:rsidRPr="00A957C8" w:rsidRDefault="00A957C8" w:rsidP="00F509D4">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In accordance with Article 31 para. 3(a) of the Vienna Convention on the Law of Treaties, Liechtenstein and Austria signed an interpretative declaration on the bilateral treaty of 1982 on the accommodation of prisoners on 12 March 2025 (</w:t>
      </w:r>
      <w:proofErr w:type="spellStart"/>
      <w:r w:rsidRPr="00A957C8">
        <w:rPr>
          <w:rFonts w:eastAsia="SimSun"/>
          <w:lang w:eastAsia="zh-CN"/>
        </w:rPr>
        <w:t>LGBl</w:t>
      </w:r>
      <w:proofErr w:type="spellEnd"/>
      <w:r w:rsidRPr="00A957C8">
        <w:rPr>
          <w:rFonts w:eastAsia="SimSun"/>
          <w:lang w:eastAsia="zh-CN"/>
        </w:rPr>
        <w:t xml:space="preserve">-Nr. 2025.237, LR-Nr. </w:t>
      </w:r>
      <w:r w:rsidRPr="00A957C8">
        <w:rPr>
          <w:rFonts w:eastAsia="SimSun"/>
          <w:lang w:eastAsia="zh-CN"/>
        </w:rPr>
        <w:lastRenderedPageBreak/>
        <w:t xml:space="preserve">0.354.910.211). The interpretative declaration clarifies that detainees from Liechtenstein, held in Austria according to Article 1 of the treaty, enjoy the same rights and legal protection as all detainees in Austria. It further states that the provision of Article 5 para. 3 of the treaty guarantees the application of Austrian law in its entirety which also comprises the European Convention on Human Rights which has constitutional status in Austria, </w:t>
      </w:r>
      <w:proofErr w:type="gramStart"/>
      <w:r w:rsidRPr="00A957C8">
        <w:rPr>
          <w:rFonts w:eastAsia="SimSun"/>
          <w:lang w:eastAsia="zh-CN"/>
        </w:rPr>
        <w:t>in particular</w:t>
      </w:r>
      <w:proofErr w:type="gramEnd"/>
      <w:r w:rsidRPr="00A957C8">
        <w:rPr>
          <w:rFonts w:eastAsia="SimSun"/>
          <w:lang w:eastAsia="zh-CN"/>
        </w:rPr>
        <w:t xml:space="preserve"> its Article 3, the provision on national prevention measures according to Article 148a para. 3 of the Austrian Federal Constitutional Law as well as the legal protection provisions of the Austrian Penal Enforcement Act. </w:t>
      </w:r>
    </w:p>
    <w:p w14:paraId="354584CB" w14:textId="77777777" w:rsidR="00A957C8" w:rsidRPr="00A957C8" w:rsidRDefault="00A957C8" w:rsidP="00F509D4">
      <w:pPr>
        <w:pStyle w:val="SingleTxtG"/>
        <w:numPr>
          <w:ilvl w:val="0"/>
          <w:numId w:val="23"/>
        </w:numPr>
        <w:tabs>
          <w:tab w:val="clear" w:pos="2835"/>
        </w:tabs>
        <w:kinsoku/>
        <w:overflowPunct/>
        <w:autoSpaceDE/>
        <w:autoSpaceDN/>
        <w:adjustRightInd/>
        <w:snapToGrid/>
        <w:ind w:left="1134" w:firstLine="0"/>
        <w:rPr>
          <w:rFonts w:eastAsia="SimSun"/>
          <w:lang w:eastAsia="zh-CN"/>
        </w:rPr>
      </w:pPr>
      <w:r w:rsidRPr="00A957C8">
        <w:rPr>
          <w:rFonts w:eastAsia="SimSun"/>
          <w:lang w:eastAsia="zh-CN"/>
        </w:rPr>
        <w:t xml:space="preserve">The detention of Liechtenstein prisoners in Austrian prisons does not involve any disproportionate distances and therefore does not cause significant difficulties in the possibility of visits and maintaining social contacts compared to the detention of people within larger countries. In Switzerland, imprisonment only takes place in </w:t>
      </w:r>
      <w:proofErr w:type="spellStart"/>
      <w:r w:rsidRPr="00A957C8">
        <w:rPr>
          <w:rFonts w:eastAsia="SimSun"/>
          <w:lang w:eastAsia="zh-CN"/>
        </w:rPr>
        <w:t>Saxerriet</w:t>
      </w:r>
      <w:proofErr w:type="spellEnd"/>
      <w:r w:rsidRPr="00A957C8">
        <w:rPr>
          <w:rFonts w:eastAsia="SimSun"/>
          <w:lang w:eastAsia="zh-CN"/>
        </w:rPr>
        <w:t xml:space="preserve">, which is about 15 </w:t>
      </w:r>
      <w:proofErr w:type="spellStart"/>
      <w:r w:rsidRPr="00A957C8">
        <w:rPr>
          <w:rFonts w:eastAsia="SimSun"/>
          <w:lang w:eastAsia="zh-CN"/>
        </w:rPr>
        <w:t>kilometers</w:t>
      </w:r>
      <w:proofErr w:type="spellEnd"/>
      <w:r w:rsidRPr="00A957C8">
        <w:rPr>
          <w:rFonts w:eastAsia="SimSun"/>
          <w:lang w:eastAsia="zh-CN"/>
        </w:rPr>
        <w:t xml:space="preserve"> from Liechtenstein’s capital.</w:t>
      </w:r>
    </w:p>
    <w:p w14:paraId="2EA494B8" w14:textId="4FAA0568" w:rsidR="008E7BFD" w:rsidRPr="00F509D4" w:rsidRDefault="00F509D4" w:rsidP="00F509D4">
      <w:pPr>
        <w:pStyle w:val="SingleTxtG"/>
        <w:spacing w:before="240" w:after="0"/>
        <w:ind w:left="0" w:right="0"/>
        <w:jc w:val="center"/>
        <w:rPr>
          <w:u w:val="single"/>
        </w:rPr>
      </w:pPr>
      <w:r>
        <w:rPr>
          <w:u w:val="single"/>
        </w:rPr>
        <w:tab/>
      </w:r>
      <w:r>
        <w:rPr>
          <w:u w:val="single"/>
        </w:rPr>
        <w:tab/>
      </w:r>
      <w:r>
        <w:rPr>
          <w:u w:val="single"/>
        </w:rPr>
        <w:tab/>
      </w:r>
    </w:p>
    <w:sectPr w:rsidR="008E7BFD" w:rsidRPr="00F509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31CAF" w14:textId="77777777" w:rsidR="006101C8" w:rsidRDefault="006101C8">
      <w:pPr>
        <w:spacing w:line="240" w:lineRule="auto"/>
      </w:pPr>
    </w:p>
  </w:endnote>
  <w:endnote w:type="continuationSeparator" w:id="0">
    <w:p w14:paraId="39D38CD6" w14:textId="77777777" w:rsidR="006101C8" w:rsidRDefault="006101C8">
      <w:pPr>
        <w:pStyle w:val="Footer"/>
      </w:pPr>
    </w:p>
  </w:endnote>
  <w:endnote w:type="continuationNotice" w:id="1">
    <w:p w14:paraId="2B5058E5" w14:textId="77777777" w:rsidR="006101C8" w:rsidRDefault="006101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C54DA" w14:textId="77777777" w:rsidR="00F6234B" w:rsidRDefault="00EF3AA5">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B669" w14:textId="77777777" w:rsidR="00F6234B" w:rsidRDefault="00EF3AA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155E1" w14:textId="77777777" w:rsidR="00F6234B" w:rsidRDefault="00EF3AA5" w:rsidP="00C1374B">
    <w:pPr>
      <w:pStyle w:val="Footer"/>
    </w:pPr>
    <w:r w:rsidRPr="00B72DEE">
      <w:t xml:space="preserve"> </w:t>
    </w:r>
  </w:p>
  <w:p w14:paraId="10BFEDC8" w14:textId="4A57AE5D" w:rsidR="00C1374B" w:rsidRPr="00C1374B" w:rsidRDefault="00C1374B" w:rsidP="00C1374B">
    <w:pPr>
      <w:pStyle w:val="Footer"/>
      <w:ind w:right="1134"/>
      <w:rPr>
        <w:sz w:val="20"/>
      </w:rPr>
    </w:pPr>
    <w:r>
      <w:rPr>
        <w:sz w:val="20"/>
      </w:rPr>
      <w:t>GE.25-</w:t>
    </w:r>
    <w:proofErr w:type="gramStart"/>
    <w:r>
      <w:rPr>
        <w:sz w:val="20"/>
      </w:rPr>
      <w:t>08697  (</w:t>
    </w:r>
    <w:proofErr w:type="gramEnd"/>
    <w:r>
      <w:rPr>
        <w:sz w:val="20"/>
      </w:rPr>
      <w:t>E)</w:t>
    </w:r>
    <w:r>
      <w:rPr>
        <w:noProof/>
        <w:sz w:val="20"/>
      </w:rPr>
      <w:drawing>
        <wp:anchor distT="0" distB="0" distL="114300" distR="114300" simplePos="0" relativeHeight="251658240" behindDoc="0" locked="0" layoutInCell="1" allowOverlap="1" wp14:anchorId="144D4299" wp14:editId="4E7D63D3">
          <wp:simplePos x="0" y="0"/>
          <wp:positionH relativeFrom="margin">
            <wp:posOffset>5583555</wp:posOffset>
          </wp:positionH>
          <wp:positionV relativeFrom="margin">
            <wp:posOffset>8981440</wp:posOffset>
          </wp:positionV>
          <wp:extent cx="571500" cy="571500"/>
          <wp:effectExtent l="0" t="0" r="0" b="0"/>
          <wp:wrapNone/>
          <wp:docPr id="82224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404A" w14:textId="77777777" w:rsidR="006101C8" w:rsidRDefault="006101C8">
      <w:pPr>
        <w:pStyle w:val="Footer"/>
        <w:tabs>
          <w:tab w:val="right" w:pos="2155"/>
        </w:tabs>
        <w:spacing w:after="80" w:line="240" w:lineRule="atLeast"/>
        <w:ind w:left="680"/>
        <w:rPr>
          <w:u w:val="single"/>
        </w:rPr>
      </w:pPr>
      <w:r>
        <w:rPr>
          <w:u w:val="single"/>
        </w:rPr>
        <w:tab/>
      </w:r>
    </w:p>
  </w:footnote>
  <w:footnote w:type="continuationSeparator" w:id="0">
    <w:p w14:paraId="1BCC60C2" w14:textId="77777777" w:rsidR="006101C8" w:rsidRDefault="006101C8">
      <w:pPr>
        <w:pStyle w:val="Footer"/>
        <w:tabs>
          <w:tab w:val="right" w:pos="2155"/>
        </w:tabs>
        <w:spacing w:after="80" w:line="240" w:lineRule="atLeast"/>
        <w:ind w:left="680"/>
        <w:rPr>
          <w:u w:val="single"/>
        </w:rPr>
      </w:pPr>
      <w:r>
        <w:rPr>
          <w:u w:val="single"/>
        </w:rPr>
        <w:tab/>
      </w:r>
    </w:p>
  </w:footnote>
  <w:footnote w:type="continuationNotice" w:id="1">
    <w:p w14:paraId="06ADA861" w14:textId="77777777" w:rsidR="006101C8" w:rsidRDefault="006101C8">
      <w:pPr>
        <w:spacing w:line="240" w:lineRule="auto"/>
        <w:rPr>
          <w:sz w:val="2"/>
          <w:szCs w:val="2"/>
        </w:rPr>
      </w:pPr>
    </w:p>
  </w:footnote>
  <w:footnote w:id="2">
    <w:p w14:paraId="058930A6" w14:textId="77777777" w:rsidR="00F6234B" w:rsidRDefault="00EF3AA5">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C725B" w14:textId="77777777" w:rsidR="00F6234B" w:rsidRDefault="00EF3AA5">
    <w:pPr>
      <w:pStyle w:val="Header"/>
    </w:pPr>
    <w:r>
      <w:t>CAT/C/LIE/FCO/5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A5C13" w14:textId="77777777" w:rsidR="00F6234B" w:rsidRDefault="00EF3AA5">
    <w:pPr>
      <w:pStyle w:val="Header"/>
      <w:jc w:val="right"/>
    </w:pPr>
    <w:r>
      <w:t>CAT/C/LIE/FCO/5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3F3AF0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0B04B96" w:tentative="1">
      <w:start w:val="1"/>
      <w:numFmt w:val="lowerLetter"/>
      <w:lvlText w:val="%2."/>
      <w:lvlJc w:val="left"/>
      <w:pPr>
        <w:tabs>
          <w:tab w:val="num" w:pos="1440"/>
        </w:tabs>
        <w:ind w:left="1440" w:hanging="360"/>
      </w:pPr>
    </w:lvl>
    <w:lvl w:ilvl="2" w:tplc="34BEBEDC" w:tentative="1">
      <w:start w:val="1"/>
      <w:numFmt w:val="lowerRoman"/>
      <w:lvlText w:val="%3."/>
      <w:lvlJc w:val="right"/>
      <w:pPr>
        <w:tabs>
          <w:tab w:val="num" w:pos="2160"/>
        </w:tabs>
        <w:ind w:left="2160" w:hanging="180"/>
      </w:pPr>
    </w:lvl>
    <w:lvl w:ilvl="3" w:tplc="A4C0C5F2" w:tentative="1">
      <w:start w:val="1"/>
      <w:numFmt w:val="decimal"/>
      <w:lvlText w:val="%4."/>
      <w:lvlJc w:val="left"/>
      <w:pPr>
        <w:tabs>
          <w:tab w:val="num" w:pos="2880"/>
        </w:tabs>
        <w:ind w:left="2880" w:hanging="360"/>
      </w:pPr>
    </w:lvl>
    <w:lvl w:ilvl="4" w:tplc="753AAFAA" w:tentative="1">
      <w:start w:val="1"/>
      <w:numFmt w:val="lowerLetter"/>
      <w:lvlText w:val="%5."/>
      <w:lvlJc w:val="left"/>
      <w:pPr>
        <w:tabs>
          <w:tab w:val="num" w:pos="3600"/>
        </w:tabs>
        <w:ind w:left="3600" w:hanging="360"/>
      </w:pPr>
    </w:lvl>
    <w:lvl w:ilvl="5" w:tplc="A0B25C6E" w:tentative="1">
      <w:start w:val="1"/>
      <w:numFmt w:val="lowerRoman"/>
      <w:lvlText w:val="%6."/>
      <w:lvlJc w:val="right"/>
      <w:pPr>
        <w:tabs>
          <w:tab w:val="num" w:pos="4320"/>
        </w:tabs>
        <w:ind w:left="4320" w:hanging="180"/>
      </w:pPr>
    </w:lvl>
    <w:lvl w:ilvl="6" w:tplc="47920332" w:tentative="1">
      <w:start w:val="1"/>
      <w:numFmt w:val="decimal"/>
      <w:lvlText w:val="%7."/>
      <w:lvlJc w:val="left"/>
      <w:pPr>
        <w:tabs>
          <w:tab w:val="num" w:pos="5040"/>
        </w:tabs>
        <w:ind w:left="5040" w:hanging="360"/>
      </w:pPr>
    </w:lvl>
    <w:lvl w:ilvl="7" w:tplc="E0D4B686" w:tentative="1">
      <w:start w:val="1"/>
      <w:numFmt w:val="lowerLetter"/>
      <w:lvlText w:val="%8."/>
      <w:lvlJc w:val="left"/>
      <w:pPr>
        <w:tabs>
          <w:tab w:val="num" w:pos="5760"/>
        </w:tabs>
        <w:ind w:left="5760" w:hanging="360"/>
      </w:pPr>
    </w:lvl>
    <w:lvl w:ilvl="8" w:tplc="C3A637BC" w:tentative="1">
      <w:start w:val="1"/>
      <w:numFmt w:val="lowerRoman"/>
      <w:lvlText w:val="%9."/>
      <w:lvlJc w:val="right"/>
      <w:pPr>
        <w:tabs>
          <w:tab w:val="num" w:pos="6480"/>
        </w:tabs>
        <w:ind w:left="6480" w:hanging="180"/>
      </w:pPr>
    </w:lvl>
  </w:abstractNum>
  <w:abstractNum w:abstractNumId="13" w15:restartNumberingAfterBreak="0">
    <w:nsid w:val="1808289D"/>
    <w:multiLevelType w:val="hybridMultilevel"/>
    <w:tmpl w:val="B03EE48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67E3E24"/>
    <w:multiLevelType w:val="hybridMultilevel"/>
    <w:tmpl w:val="1EEA45D2"/>
    <w:lvl w:ilvl="0" w:tplc="6226C1F4">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3ACF4EB2"/>
    <w:multiLevelType w:val="hybridMultilevel"/>
    <w:tmpl w:val="CB6C816A"/>
    <w:lvl w:ilvl="0" w:tplc="74F43214">
      <w:start w:val="1"/>
      <w:numFmt w:val="bullet"/>
      <w:pStyle w:val="Bullet2G"/>
      <w:lvlText w:val="•"/>
      <w:lvlJc w:val="left"/>
      <w:pPr>
        <w:tabs>
          <w:tab w:val="num" w:pos="2268"/>
        </w:tabs>
        <w:ind w:left="2268" w:hanging="170"/>
      </w:pPr>
      <w:rPr>
        <w:rFonts w:ascii="Times New Roman" w:hAnsi="Times New Roman" w:cs="Times New Roman" w:hint="default"/>
      </w:rPr>
    </w:lvl>
    <w:lvl w:ilvl="1" w:tplc="872C31A0" w:tentative="1">
      <w:start w:val="1"/>
      <w:numFmt w:val="bullet"/>
      <w:lvlText w:val="o"/>
      <w:lvlJc w:val="left"/>
      <w:pPr>
        <w:tabs>
          <w:tab w:val="num" w:pos="3708"/>
        </w:tabs>
        <w:ind w:left="3708" w:hanging="360"/>
      </w:pPr>
      <w:rPr>
        <w:rFonts w:ascii="Courier New" w:hAnsi="Courier New" w:hint="default"/>
      </w:rPr>
    </w:lvl>
    <w:lvl w:ilvl="2" w:tplc="3A984AF6" w:tentative="1">
      <w:start w:val="1"/>
      <w:numFmt w:val="bullet"/>
      <w:lvlText w:val=""/>
      <w:lvlJc w:val="left"/>
      <w:pPr>
        <w:tabs>
          <w:tab w:val="num" w:pos="4428"/>
        </w:tabs>
        <w:ind w:left="4428" w:hanging="360"/>
      </w:pPr>
      <w:rPr>
        <w:rFonts w:ascii="Wingdings" w:hAnsi="Wingdings" w:hint="default"/>
      </w:rPr>
    </w:lvl>
    <w:lvl w:ilvl="3" w:tplc="18387F28" w:tentative="1">
      <w:start w:val="1"/>
      <w:numFmt w:val="bullet"/>
      <w:lvlText w:val=""/>
      <w:lvlJc w:val="left"/>
      <w:pPr>
        <w:tabs>
          <w:tab w:val="num" w:pos="5148"/>
        </w:tabs>
        <w:ind w:left="5148" w:hanging="360"/>
      </w:pPr>
      <w:rPr>
        <w:rFonts w:ascii="Symbol" w:hAnsi="Symbol" w:hint="default"/>
      </w:rPr>
    </w:lvl>
    <w:lvl w:ilvl="4" w:tplc="A4B8970E" w:tentative="1">
      <w:start w:val="1"/>
      <w:numFmt w:val="bullet"/>
      <w:lvlText w:val="o"/>
      <w:lvlJc w:val="left"/>
      <w:pPr>
        <w:tabs>
          <w:tab w:val="num" w:pos="5868"/>
        </w:tabs>
        <w:ind w:left="5868" w:hanging="360"/>
      </w:pPr>
      <w:rPr>
        <w:rFonts w:ascii="Courier New" w:hAnsi="Courier New" w:hint="default"/>
      </w:rPr>
    </w:lvl>
    <w:lvl w:ilvl="5" w:tplc="8CC02026" w:tentative="1">
      <w:start w:val="1"/>
      <w:numFmt w:val="bullet"/>
      <w:lvlText w:val=""/>
      <w:lvlJc w:val="left"/>
      <w:pPr>
        <w:tabs>
          <w:tab w:val="num" w:pos="6588"/>
        </w:tabs>
        <w:ind w:left="6588" w:hanging="360"/>
      </w:pPr>
      <w:rPr>
        <w:rFonts w:ascii="Wingdings" w:hAnsi="Wingdings" w:hint="default"/>
      </w:rPr>
    </w:lvl>
    <w:lvl w:ilvl="6" w:tplc="D1227D08" w:tentative="1">
      <w:start w:val="1"/>
      <w:numFmt w:val="bullet"/>
      <w:lvlText w:val=""/>
      <w:lvlJc w:val="left"/>
      <w:pPr>
        <w:tabs>
          <w:tab w:val="num" w:pos="7308"/>
        </w:tabs>
        <w:ind w:left="7308" w:hanging="360"/>
      </w:pPr>
      <w:rPr>
        <w:rFonts w:ascii="Symbol" w:hAnsi="Symbol" w:hint="default"/>
      </w:rPr>
    </w:lvl>
    <w:lvl w:ilvl="7" w:tplc="328EC926" w:tentative="1">
      <w:start w:val="1"/>
      <w:numFmt w:val="bullet"/>
      <w:lvlText w:val="o"/>
      <w:lvlJc w:val="left"/>
      <w:pPr>
        <w:tabs>
          <w:tab w:val="num" w:pos="8028"/>
        </w:tabs>
        <w:ind w:left="8028" w:hanging="360"/>
      </w:pPr>
      <w:rPr>
        <w:rFonts w:ascii="Courier New" w:hAnsi="Courier New" w:hint="default"/>
      </w:rPr>
    </w:lvl>
    <w:lvl w:ilvl="8" w:tplc="6A54A34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011358D"/>
    <w:multiLevelType w:val="hybridMultilevel"/>
    <w:tmpl w:val="1D8E3FFC"/>
    <w:lvl w:ilvl="0" w:tplc="558414EE">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9504DD4">
      <w:start w:val="1"/>
      <w:numFmt w:val="bullet"/>
      <w:pStyle w:val="Bullet1G"/>
      <w:lvlText w:val="•"/>
      <w:lvlJc w:val="left"/>
      <w:pPr>
        <w:tabs>
          <w:tab w:val="num" w:pos="1701"/>
        </w:tabs>
        <w:ind w:left="1701" w:hanging="170"/>
      </w:pPr>
      <w:rPr>
        <w:rFonts w:ascii="Times New Roman" w:hAnsi="Times New Roman" w:cs="Times New Roman" w:hint="default"/>
      </w:rPr>
    </w:lvl>
    <w:lvl w:ilvl="1" w:tplc="42147246" w:tentative="1">
      <w:start w:val="1"/>
      <w:numFmt w:val="bullet"/>
      <w:lvlText w:val="o"/>
      <w:lvlJc w:val="left"/>
      <w:pPr>
        <w:tabs>
          <w:tab w:val="num" w:pos="3141"/>
        </w:tabs>
        <w:ind w:left="3141" w:hanging="360"/>
      </w:pPr>
      <w:rPr>
        <w:rFonts w:ascii="Courier New" w:hAnsi="Courier New" w:hint="default"/>
      </w:rPr>
    </w:lvl>
    <w:lvl w:ilvl="2" w:tplc="88F6E6A6" w:tentative="1">
      <w:start w:val="1"/>
      <w:numFmt w:val="bullet"/>
      <w:lvlText w:val=""/>
      <w:lvlJc w:val="left"/>
      <w:pPr>
        <w:tabs>
          <w:tab w:val="num" w:pos="3861"/>
        </w:tabs>
        <w:ind w:left="3861" w:hanging="360"/>
      </w:pPr>
      <w:rPr>
        <w:rFonts w:ascii="Wingdings" w:hAnsi="Wingdings" w:hint="default"/>
      </w:rPr>
    </w:lvl>
    <w:lvl w:ilvl="3" w:tplc="2DBC05B8" w:tentative="1">
      <w:start w:val="1"/>
      <w:numFmt w:val="bullet"/>
      <w:lvlText w:val=""/>
      <w:lvlJc w:val="left"/>
      <w:pPr>
        <w:tabs>
          <w:tab w:val="num" w:pos="4581"/>
        </w:tabs>
        <w:ind w:left="4581" w:hanging="360"/>
      </w:pPr>
      <w:rPr>
        <w:rFonts w:ascii="Symbol" w:hAnsi="Symbol" w:hint="default"/>
      </w:rPr>
    </w:lvl>
    <w:lvl w:ilvl="4" w:tplc="DEA4F018" w:tentative="1">
      <w:start w:val="1"/>
      <w:numFmt w:val="bullet"/>
      <w:lvlText w:val="o"/>
      <w:lvlJc w:val="left"/>
      <w:pPr>
        <w:tabs>
          <w:tab w:val="num" w:pos="5301"/>
        </w:tabs>
        <w:ind w:left="5301" w:hanging="360"/>
      </w:pPr>
      <w:rPr>
        <w:rFonts w:ascii="Courier New" w:hAnsi="Courier New" w:hint="default"/>
      </w:rPr>
    </w:lvl>
    <w:lvl w:ilvl="5" w:tplc="7F1AA88E" w:tentative="1">
      <w:start w:val="1"/>
      <w:numFmt w:val="bullet"/>
      <w:lvlText w:val=""/>
      <w:lvlJc w:val="left"/>
      <w:pPr>
        <w:tabs>
          <w:tab w:val="num" w:pos="6021"/>
        </w:tabs>
        <w:ind w:left="6021" w:hanging="360"/>
      </w:pPr>
      <w:rPr>
        <w:rFonts w:ascii="Wingdings" w:hAnsi="Wingdings" w:hint="default"/>
      </w:rPr>
    </w:lvl>
    <w:lvl w:ilvl="6" w:tplc="EFF41B88" w:tentative="1">
      <w:start w:val="1"/>
      <w:numFmt w:val="bullet"/>
      <w:lvlText w:val=""/>
      <w:lvlJc w:val="left"/>
      <w:pPr>
        <w:tabs>
          <w:tab w:val="num" w:pos="6741"/>
        </w:tabs>
        <w:ind w:left="6741" w:hanging="360"/>
      </w:pPr>
      <w:rPr>
        <w:rFonts w:ascii="Symbol" w:hAnsi="Symbol" w:hint="default"/>
      </w:rPr>
    </w:lvl>
    <w:lvl w:ilvl="7" w:tplc="A62A4034" w:tentative="1">
      <w:start w:val="1"/>
      <w:numFmt w:val="bullet"/>
      <w:lvlText w:val="o"/>
      <w:lvlJc w:val="left"/>
      <w:pPr>
        <w:tabs>
          <w:tab w:val="num" w:pos="7461"/>
        </w:tabs>
        <w:ind w:left="7461" w:hanging="360"/>
      </w:pPr>
      <w:rPr>
        <w:rFonts w:ascii="Courier New" w:hAnsi="Courier New" w:hint="default"/>
      </w:rPr>
    </w:lvl>
    <w:lvl w:ilvl="8" w:tplc="60CAA7E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1628525">
    <w:abstractNumId w:val="18"/>
  </w:num>
  <w:num w:numId="2" w16cid:durableId="1002970264">
    <w:abstractNumId w:val="15"/>
  </w:num>
  <w:num w:numId="3" w16cid:durableId="689798973">
    <w:abstractNumId w:val="12"/>
  </w:num>
  <w:num w:numId="4" w16cid:durableId="1064059555">
    <w:abstractNumId w:val="8"/>
  </w:num>
  <w:num w:numId="5" w16cid:durableId="1123574824">
    <w:abstractNumId w:val="3"/>
  </w:num>
  <w:num w:numId="6" w16cid:durableId="395933055">
    <w:abstractNumId w:val="2"/>
  </w:num>
  <w:num w:numId="7" w16cid:durableId="133301600">
    <w:abstractNumId w:val="1"/>
  </w:num>
  <w:num w:numId="8" w16cid:durableId="991562264">
    <w:abstractNumId w:val="0"/>
  </w:num>
  <w:num w:numId="9" w16cid:durableId="722870076">
    <w:abstractNumId w:val="9"/>
  </w:num>
  <w:num w:numId="10" w16cid:durableId="842085117">
    <w:abstractNumId w:val="7"/>
  </w:num>
  <w:num w:numId="11" w16cid:durableId="34157578">
    <w:abstractNumId w:val="6"/>
  </w:num>
  <w:num w:numId="12" w16cid:durableId="668873090">
    <w:abstractNumId w:val="5"/>
  </w:num>
  <w:num w:numId="13" w16cid:durableId="1147624523">
    <w:abstractNumId w:val="4"/>
  </w:num>
  <w:num w:numId="14" w16cid:durableId="76874074">
    <w:abstractNumId w:val="18"/>
  </w:num>
  <w:num w:numId="15" w16cid:durableId="1130246520">
    <w:abstractNumId w:val="15"/>
  </w:num>
  <w:num w:numId="16" w16cid:durableId="1642806168">
    <w:abstractNumId w:val="12"/>
  </w:num>
  <w:num w:numId="17" w16cid:durableId="1724480673">
    <w:abstractNumId w:val="11"/>
  </w:num>
  <w:num w:numId="18" w16cid:durableId="2059668341">
    <w:abstractNumId w:val="17"/>
  </w:num>
  <w:num w:numId="19" w16cid:durableId="733435912">
    <w:abstractNumId w:val="10"/>
  </w:num>
  <w:num w:numId="20" w16cid:durableId="1667050383">
    <w:abstractNumId w:val="19"/>
  </w:num>
  <w:num w:numId="21" w16cid:durableId="1554267325">
    <w:abstractNumId w:val="16"/>
  </w:num>
  <w:num w:numId="22" w16cid:durableId="260066486">
    <w:abstractNumId w:val="14"/>
  </w:num>
  <w:num w:numId="23" w16cid:durableId="7607562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40642"/>
    <w:rsid w:val="0004229E"/>
    <w:rsid w:val="00065353"/>
    <w:rsid w:val="00091B57"/>
    <w:rsid w:val="000941EE"/>
    <w:rsid w:val="000C06B2"/>
    <w:rsid w:val="001C5F73"/>
    <w:rsid w:val="001E07D3"/>
    <w:rsid w:val="00210EC9"/>
    <w:rsid w:val="00227D2B"/>
    <w:rsid w:val="00277CC0"/>
    <w:rsid w:val="002E6328"/>
    <w:rsid w:val="00324032"/>
    <w:rsid w:val="00413656"/>
    <w:rsid w:val="004631ED"/>
    <w:rsid w:val="004B1EC3"/>
    <w:rsid w:val="004B45AD"/>
    <w:rsid w:val="004C6FD4"/>
    <w:rsid w:val="0054144C"/>
    <w:rsid w:val="006101C8"/>
    <w:rsid w:val="00620285"/>
    <w:rsid w:val="007035C8"/>
    <w:rsid w:val="00723ABF"/>
    <w:rsid w:val="00757AE1"/>
    <w:rsid w:val="00764C8A"/>
    <w:rsid w:val="00783059"/>
    <w:rsid w:val="008474FA"/>
    <w:rsid w:val="008716DB"/>
    <w:rsid w:val="008E7BFD"/>
    <w:rsid w:val="00922B3B"/>
    <w:rsid w:val="009762B1"/>
    <w:rsid w:val="009C1A19"/>
    <w:rsid w:val="00A33810"/>
    <w:rsid w:val="00A47833"/>
    <w:rsid w:val="00A60CB6"/>
    <w:rsid w:val="00A67EFE"/>
    <w:rsid w:val="00A957C8"/>
    <w:rsid w:val="00AE1525"/>
    <w:rsid w:val="00B1772F"/>
    <w:rsid w:val="00B24147"/>
    <w:rsid w:val="00B37749"/>
    <w:rsid w:val="00B72DEE"/>
    <w:rsid w:val="00B93EB3"/>
    <w:rsid w:val="00BC32C3"/>
    <w:rsid w:val="00C00BA4"/>
    <w:rsid w:val="00C07355"/>
    <w:rsid w:val="00C1374B"/>
    <w:rsid w:val="00C25DAC"/>
    <w:rsid w:val="00C31AF3"/>
    <w:rsid w:val="00CA75E4"/>
    <w:rsid w:val="00CE736E"/>
    <w:rsid w:val="00D113BF"/>
    <w:rsid w:val="00DE79A0"/>
    <w:rsid w:val="00E0542D"/>
    <w:rsid w:val="00E1584D"/>
    <w:rsid w:val="00E27D7A"/>
    <w:rsid w:val="00E34D7B"/>
    <w:rsid w:val="00E72104"/>
    <w:rsid w:val="00ED2EC0"/>
    <w:rsid w:val="00EF3AA5"/>
    <w:rsid w:val="00F5056F"/>
    <w:rsid w:val="00F509D4"/>
    <w:rsid w:val="00F52D63"/>
    <w:rsid w:val="00F6193F"/>
    <w:rsid w:val="00F6234B"/>
    <w:rsid w:val="00FF73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A1930"/>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631E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414083">
      <w:bodyDiv w:val="1"/>
      <w:marLeft w:val="0"/>
      <w:marRight w:val="0"/>
      <w:marTop w:val="0"/>
      <w:marBottom w:val="0"/>
      <w:divBdr>
        <w:top w:val="none" w:sz="0" w:space="0" w:color="auto"/>
        <w:left w:val="none" w:sz="0" w:space="0" w:color="auto"/>
        <w:bottom w:val="none" w:sz="0" w:space="0" w:color="auto"/>
        <w:right w:val="none" w:sz="0" w:space="0" w:color="auto"/>
      </w:divBdr>
    </w:div>
    <w:div w:id="209886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B18DE-BE29-47AC-8B2B-7881027AC7BB}">
  <ds:schemaRefs>
    <ds:schemaRef ds:uri="http://schemas.microsoft.com/sharepoint/v3/contenttype/forms"/>
  </ds:schemaRefs>
</ds:datastoreItem>
</file>

<file path=customXml/itemProps2.xml><?xml version="1.0" encoding="utf-8"?>
<ds:datastoreItem xmlns:ds="http://schemas.openxmlformats.org/officeDocument/2006/customXml" ds:itemID="{D8FBDAED-90FF-4D5A-818A-AB98A238ABE1}">
  <ds:schemaRefs>
    <ds:schemaRef ds:uri="http://schemas.microsoft.com/office/2006/metadata/properties"/>
    <ds:schemaRef ds:uri="http://schemas.microsoft.com/office/infopath/2007/PartnerControls"/>
    <ds:schemaRef ds:uri="c11320bd-0376-468b-ae19-b827459cb638"/>
    <ds:schemaRef ds:uri="985ec44e-1bab-4c0b-9df0-6ba128686fc9"/>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F4821917-C923-44AC-8664-E798EE7F4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735</Words>
  <Characters>4054</Characters>
  <Application>Microsoft Office Word</Application>
  <DocSecurity>0</DocSecurity>
  <Lines>78</Lines>
  <Paragraphs>26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CAT/C/LIE/FCO/5</vt:lpstr>
      <vt:lpstr/>
      <vt:lpstr/>
    </vt:vector>
  </TitlesOfParts>
  <Company>DCM</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CAT/C/LIE/FCO/5</dc:title>
  <dc:subject>2508697</dc:subject>
  <dc:creator>Gloria</dc:creator>
  <cp:keywords/>
  <dc:description/>
  <cp:lastModifiedBy>Pauline Anne Escalante</cp:lastModifiedBy>
  <cp:revision>2</cp:revision>
  <cp:lastPrinted>2014-05-14T10:59:00Z</cp:lastPrinted>
  <dcterms:created xsi:type="dcterms:W3CDTF">2025-06-04T07:19:00Z</dcterms:created>
  <dcterms:modified xsi:type="dcterms:W3CDTF">2025-06-04T07:19:00Z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Liechtenstein</vt:lpwstr>
  </property>
  <property fmtid="{D5CDD505-2E9C-101B-9397-08002B2CF9AE}" pid="9" name="countw">
    <vt:lpwstr>Liechtenstein</vt:lpwstr>
  </property>
  <property fmtid="{D5CDD505-2E9C-101B-9397-08002B2CF9AE}" pid="10" name="countwd">
    <vt:lpwstr>Liechtenstein</vt:lpwstr>
  </property>
  <property fmtid="{D5CDD505-2E9C-101B-9397-08002B2CF9AE}" pid="11" name="date">
    <vt:lpwstr>4 June 2025</vt:lpwstr>
  </property>
  <property fmtid="{D5CDD505-2E9C-101B-9397-08002B2CF9AE}" pid="12" name="Date-Generated">
    <vt:filetime>2025-05-30T14:41:03Z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fifth periodic report of Liechtenstein</vt:lpwstr>
  </property>
  <property fmtid="{D5CDD505-2E9C-101B-9397-08002B2CF9AE}" pid="24" name="preps">
    <vt:lpwstr>fifth periodic report of Liechtenstein</vt:lpwstr>
  </property>
  <property fmtid="{D5CDD505-2E9C-101B-9397-08002B2CF9AE}" pid="25" name="prepw">
    <vt:lpwstr>fifth periodic report</vt:lpwstr>
  </property>
  <property fmtid="{D5CDD505-2E9C-101B-9397-08002B2CF9AE}" pid="26" name="prepwc">
    <vt:lpwstr>Fifth periodic report </vt:lpwstr>
  </property>
  <property fmtid="{D5CDD505-2E9C-101B-9397-08002B2CF9AE}" pid="27" name="prepws">
    <vt:lpwstr>fifth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C/LIE/FCO/5</vt:lpwstr>
  </property>
  <property fmtid="{D5CDD505-2E9C-101B-9397-08002B2CF9AE}" pid="33" name="symh">
    <vt:lpwstr>CAT/C/LIE/FCO/5</vt:lpwstr>
  </property>
  <property fmtid="{D5CDD505-2E9C-101B-9397-08002B2CF9AE}" pid="34" name="Title">
    <vt:lpwstr>CAT/C/LIE/FCO/5</vt:lpwstr>
  </property>
  <property fmtid="{D5CDD505-2E9C-101B-9397-08002B2CF9AE}" pid="35" name="tlang">
    <vt:lpwstr/>
  </property>
  <property fmtid="{D5CDD505-2E9C-101B-9397-08002B2CF9AE}" pid="36" name="virs">
    <vt:lpwstr>English, French and Spanish only</vt:lpwstr>
  </property>
</Properties>
</file>