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9E3" w:rsidRPr="0096288A" w:rsidRDefault="00B849E3" w:rsidP="00B849E3">
      <w:pPr>
        <w:spacing w:line="240" w:lineRule="auto"/>
        <w:rPr>
          <w:sz w:val="2"/>
        </w:rPr>
        <w:sectPr w:rsidR="00B849E3" w:rsidRPr="0096288A" w:rsidSect="00B849E3">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2232" w:left="1200" w:header="576" w:footer="1030" w:gutter="0"/>
          <w:cols w:space="720"/>
          <w:titlePg/>
          <w:docGrid w:linePitch="360"/>
        </w:sectPr>
      </w:pPr>
      <w:r w:rsidRPr="0096288A">
        <w:rPr>
          <w:rStyle w:val="CommentReference"/>
        </w:rPr>
        <w:commentReference w:id="0"/>
      </w:r>
      <w:bookmarkStart w:id="1" w:name="_GoBack"/>
      <w:bookmarkEnd w:id="1"/>
    </w:p>
    <w:p w:rsidR="00872773" w:rsidRDefault="006113B2" w:rsidP="006113B2">
      <w:pPr>
        <w:pStyle w:val="H1"/>
        <w:ind w:left="0" w:right="1260" w:firstLine="0"/>
      </w:pPr>
      <w:r>
        <w:lastRenderedPageBreak/>
        <w:t xml:space="preserve">Committee on the Elimination of Discrimination </w:t>
      </w:r>
    </w:p>
    <w:p w:rsidR="006113B2" w:rsidRDefault="006113B2" w:rsidP="006113B2">
      <w:pPr>
        <w:pStyle w:val="H1"/>
        <w:ind w:left="0" w:right="1260" w:firstLine="0"/>
      </w:pPr>
      <w:r>
        <w:t xml:space="preserve">against Women </w:t>
      </w:r>
    </w:p>
    <w:p w:rsidR="006113B2" w:rsidRPr="006113B2" w:rsidRDefault="006113B2" w:rsidP="006113B2">
      <w:pPr>
        <w:pStyle w:val="SingleTxt"/>
        <w:spacing w:after="0" w:line="120" w:lineRule="exact"/>
        <w:rPr>
          <w:sz w:val="10"/>
        </w:rPr>
      </w:pPr>
    </w:p>
    <w:p w:rsidR="006113B2" w:rsidRPr="006113B2" w:rsidRDefault="006113B2" w:rsidP="006113B2">
      <w:pPr>
        <w:pStyle w:val="SingleTxt"/>
        <w:spacing w:after="0" w:line="120" w:lineRule="exact"/>
        <w:rPr>
          <w:sz w:val="10"/>
        </w:rPr>
      </w:pPr>
    </w:p>
    <w:p w:rsidR="006113B2" w:rsidRPr="006113B2" w:rsidRDefault="006113B2" w:rsidP="006113B2">
      <w:pPr>
        <w:pStyle w:val="SingleTxt"/>
        <w:spacing w:after="0" w:line="120" w:lineRule="exact"/>
        <w:rPr>
          <w:sz w:val="10"/>
        </w:rPr>
      </w:pPr>
    </w:p>
    <w:p w:rsidR="00B849E3" w:rsidRDefault="006113B2" w:rsidP="006113B2">
      <w:pPr>
        <w:pStyle w:val="HCh"/>
        <w:ind w:left="1267" w:right="1260" w:hanging="1267"/>
      </w:pPr>
      <w:r>
        <w:tab/>
      </w:r>
      <w:r>
        <w:tab/>
        <w:t>Concluding observations on the seventh periodic report of Argentina</w:t>
      </w:r>
      <w:r w:rsidRPr="006113B2">
        <w:rPr>
          <w:rStyle w:val="FootnoteReference"/>
          <w:b w:val="0"/>
          <w:bCs/>
          <w:sz w:val="20"/>
          <w:vertAlign w:val="baseline"/>
        </w:rPr>
        <w:footnoteReference w:customMarkFollows="1" w:id="1"/>
        <w:t>*</w:t>
      </w:r>
      <w:r w:rsidRPr="006113B2">
        <w:rPr>
          <w:b w:val="0"/>
          <w:bCs/>
          <w:sz w:val="20"/>
        </w:rPr>
        <w:t xml:space="preserve"> </w:t>
      </w:r>
    </w:p>
    <w:p w:rsidR="006113B2" w:rsidRPr="006113B2" w:rsidRDefault="006113B2" w:rsidP="006113B2">
      <w:pPr>
        <w:pStyle w:val="SingleTxt"/>
        <w:spacing w:after="0" w:line="120" w:lineRule="exact"/>
        <w:rPr>
          <w:sz w:val="10"/>
        </w:rPr>
      </w:pPr>
    </w:p>
    <w:p w:rsidR="006113B2" w:rsidRPr="006113B2" w:rsidRDefault="006113B2" w:rsidP="006113B2">
      <w:pPr>
        <w:pStyle w:val="SingleTxt"/>
        <w:spacing w:after="0" w:line="120" w:lineRule="exact"/>
        <w:rPr>
          <w:sz w:val="10"/>
        </w:rPr>
      </w:pPr>
    </w:p>
    <w:p w:rsidR="006113B2" w:rsidRDefault="006113B2" w:rsidP="006113B2">
      <w:pPr>
        <w:pStyle w:val="SingleTxt"/>
      </w:pPr>
      <w:r>
        <w:t>1.</w:t>
      </w:r>
      <w:r>
        <w:tab/>
        <w:t>The Committee considered the seventh periodic report of Argentina (</w:t>
      </w:r>
      <w:hyperlink r:id="rId16" w:history="1">
        <w:r w:rsidRPr="006113B2">
          <w:rPr>
            <w:rStyle w:val="Hyperlink"/>
          </w:rPr>
          <w:t>CEDAW/C/ARG/7</w:t>
        </w:r>
      </w:hyperlink>
      <w:r>
        <w:t xml:space="preserve">) at its 1443rd and 1444th meetings, on 1 November 2016 (see </w:t>
      </w:r>
      <w:hyperlink r:id="rId17" w:history="1">
        <w:r w:rsidRPr="006113B2">
          <w:rPr>
            <w:rStyle w:val="Hyperlink"/>
          </w:rPr>
          <w:t>CEDAW/C/SR.1443</w:t>
        </w:r>
      </w:hyperlink>
      <w:r>
        <w:t xml:space="preserve"> and 1444). The Committee’s list of issues and questions is contained in </w:t>
      </w:r>
      <w:hyperlink r:id="rId18" w:history="1">
        <w:r w:rsidRPr="006113B2">
          <w:rPr>
            <w:rStyle w:val="Hyperlink"/>
          </w:rPr>
          <w:t>CEDAW/C/ARG/Q/7</w:t>
        </w:r>
      </w:hyperlink>
      <w:r>
        <w:t xml:space="preserve"> and the responses of Argentina are contained in </w:t>
      </w:r>
      <w:hyperlink r:id="rId19" w:history="1">
        <w:r w:rsidRPr="006113B2">
          <w:rPr>
            <w:rStyle w:val="Hyperlink"/>
          </w:rPr>
          <w:t>CEDAW/C/ARG/Q/7/Add.1</w:t>
        </w:r>
      </w:hyperlink>
      <w:r>
        <w:t xml:space="preserve">. </w:t>
      </w:r>
    </w:p>
    <w:p w:rsidR="006113B2" w:rsidRPr="006113B2" w:rsidRDefault="006113B2" w:rsidP="006113B2">
      <w:pPr>
        <w:pStyle w:val="SingleTxt"/>
        <w:spacing w:after="0" w:line="120" w:lineRule="exact"/>
        <w:rPr>
          <w:sz w:val="10"/>
        </w:rPr>
      </w:pPr>
    </w:p>
    <w:p w:rsidR="006113B2" w:rsidRPr="006113B2" w:rsidRDefault="006113B2" w:rsidP="006113B2">
      <w:pPr>
        <w:pStyle w:val="SingleTxt"/>
        <w:spacing w:after="0" w:line="120" w:lineRule="exact"/>
        <w:rPr>
          <w:sz w:val="10"/>
        </w:rPr>
      </w:pPr>
    </w:p>
    <w:p w:rsidR="006113B2" w:rsidRDefault="006113B2" w:rsidP="006113B2">
      <w:pPr>
        <w:pStyle w:val="H1"/>
        <w:ind w:right="1260"/>
      </w:pPr>
      <w:r>
        <w:tab/>
        <w:t>A.</w:t>
      </w:r>
      <w:r>
        <w:tab/>
        <w:t xml:space="preserve">Introduction </w:t>
      </w:r>
    </w:p>
    <w:p w:rsidR="006113B2" w:rsidRPr="006113B2" w:rsidRDefault="006113B2" w:rsidP="006113B2">
      <w:pPr>
        <w:pStyle w:val="SingleTxt"/>
        <w:spacing w:after="0" w:line="120" w:lineRule="exact"/>
        <w:rPr>
          <w:sz w:val="10"/>
        </w:rPr>
      </w:pPr>
    </w:p>
    <w:p w:rsidR="006113B2" w:rsidRPr="006113B2" w:rsidRDefault="006113B2" w:rsidP="006113B2">
      <w:pPr>
        <w:pStyle w:val="SingleTxt"/>
        <w:spacing w:after="0" w:line="120" w:lineRule="exact"/>
        <w:rPr>
          <w:sz w:val="10"/>
        </w:rPr>
      </w:pPr>
    </w:p>
    <w:p w:rsidR="006113B2" w:rsidRDefault="006113B2" w:rsidP="006113B2">
      <w:pPr>
        <w:pStyle w:val="SingleTxt"/>
      </w:pPr>
      <w:r>
        <w:t>2.</w:t>
      </w:r>
      <w:r>
        <w:tab/>
        <w:t xml:space="preserve">The Committee appreciates the submission by the State party of its seventh periodic report. It also appreciates the State party’s written replies to the list of issues and questions raised by the pre-sessional working group and welcomes the oral presentation by the delegation, the further clarifications provided in response to the questions posed orally by the Committee during the dialogue and the further written replies sent to the Committee. </w:t>
      </w:r>
    </w:p>
    <w:p w:rsidR="006113B2" w:rsidRDefault="006113B2" w:rsidP="006113B2">
      <w:pPr>
        <w:pStyle w:val="SingleTxt"/>
      </w:pPr>
      <w:r>
        <w:t>3.</w:t>
      </w:r>
      <w:r>
        <w:tab/>
        <w:t xml:space="preserve">The Committee commends the State party on its delegation, which was headed by the President of the National Council for Women, María Fabiana Tuñez, and also included representatives of the Ministry of Health, the Ministry of Justice and Human Rights, the Ministry of Foreign Affairs and Worship, the Supreme Court, the National Institute of Statistics and Censuses and the Permanent Mission of Argentina to the United Nations Office and other international organizations in Geneva. </w:t>
      </w:r>
    </w:p>
    <w:p w:rsidR="006113B2" w:rsidRPr="006113B2" w:rsidRDefault="006113B2" w:rsidP="006113B2">
      <w:pPr>
        <w:pStyle w:val="SingleTxt"/>
        <w:spacing w:after="0" w:line="120" w:lineRule="exact"/>
        <w:rPr>
          <w:sz w:val="10"/>
        </w:rPr>
      </w:pPr>
    </w:p>
    <w:p w:rsidR="006113B2" w:rsidRPr="006113B2" w:rsidRDefault="006113B2" w:rsidP="006113B2">
      <w:pPr>
        <w:pStyle w:val="SingleTxt"/>
        <w:spacing w:after="0" w:line="120" w:lineRule="exact"/>
        <w:rPr>
          <w:sz w:val="10"/>
        </w:rPr>
      </w:pPr>
    </w:p>
    <w:p w:rsidR="006113B2" w:rsidRDefault="006113B2" w:rsidP="006113B2">
      <w:pPr>
        <w:pStyle w:val="H1"/>
        <w:ind w:right="1260"/>
      </w:pPr>
      <w:r>
        <w:tab/>
        <w:t>B.</w:t>
      </w:r>
      <w:r>
        <w:tab/>
        <w:t xml:space="preserve">Positive aspects </w:t>
      </w:r>
    </w:p>
    <w:p w:rsidR="006113B2" w:rsidRPr="006113B2" w:rsidRDefault="006113B2" w:rsidP="006113B2">
      <w:pPr>
        <w:pStyle w:val="SingleTxt"/>
        <w:spacing w:after="0" w:line="120" w:lineRule="exact"/>
        <w:rPr>
          <w:sz w:val="10"/>
        </w:rPr>
      </w:pPr>
    </w:p>
    <w:p w:rsidR="006113B2" w:rsidRPr="006113B2" w:rsidRDefault="006113B2" w:rsidP="006113B2">
      <w:pPr>
        <w:pStyle w:val="SingleTxt"/>
        <w:spacing w:after="0" w:line="120" w:lineRule="exact"/>
        <w:rPr>
          <w:sz w:val="10"/>
        </w:rPr>
      </w:pPr>
    </w:p>
    <w:p w:rsidR="006113B2" w:rsidRDefault="006113B2" w:rsidP="006113B2">
      <w:pPr>
        <w:pStyle w:val="SingleTxt"/>
      </w:pPr>
      <w:r>
        <w:t>4.</w:t>
      </w:r>
      <w:r>
        <w:tab/>
        <w:t>The Committee welcomes the progress achieved since its consideration in 2010 of the State party’s sixth periodic report (</w:t>
      </w:r>
      <w:hyperlink r:id="rId20" w:history="1">
        <w:r w:rsidRPr="006113B2">
          <w:rPr>
            <w:rStyle w:val="Hyperlink"/>
          </w:rPr>
          <w:t>CEDAW/C/ARG/6</w:t>
        </w:r>
      </w:hyperlink>
      <w:r>
        <w:t xml:space="preserve">), in particular the adoption of the following: </w:t>
      </w:r>
    </w:p>
    <w:p w:rsidR="006113B2" w:rsidRDefault="006113B2" w:rsidP="006113B2">
      <w:pPr>
        <w:pStyle w:val="SingleTxt"/>
      </w:pPr>
      <w:r>
        <w:lastRenderedPageBreak/>
        <w:tab/>
        <w:t>(a)</w:t>
      </w:r>
      <w:r>
        <w:tab/>
        <w:t xml:space="preserve">Act No. 27.210 of 4 November 2015, establishing a body of attorneys to provide legal aid to victims of gender-based violence; </w:t>
      </w:r>
    </w:p>
    <w:p w:rsidR="006113B2" w:rsidRDefault="006113B2" w:rsidP="006113B2">
      <w:pPr>
        <w:pStyle w:val="SingleTxt"/>
      </w:pPr>
      <w:r>
        <w:tab/>
        <w:t>(b)</w:t>
      </w:r>
      <w:r>
        <w:tab/>
        <w:t xml:space="preserve">National Code of Criminal Procedure (Act No. 27.063 of 4 December 2014), reducing the length of legal proceedings and recognizing the rights of victims of gender-based violence; </w:t>
      </w:r>
    </w:p>
    <w:p w:rsidR="006113B2" w:rsidRDefault="006113B2" w:rsidP="006113B2">
      <w:pPr>
        <w:pStyle w:val="SingleTxt"/>
      </w:pPr>
      <w:r>
        <w:tab/>
        <w:t>(c)</w:t>
      </w:r>
      <w:r>
        <w:tab/>
        <w:t xml:space="preserve">National Civil and Commercial Code (Act No. 26.994 of 1 October 2014), recognizing the economic value of household work; </w:t>
      </w:r>
    </w:p>
    <w:p w:rsidR="006113B2" w:rsidRDefault="006113B2" w:rsidP="006113B2">
      <w:pPr>
        <w:pStyle w:val="SingleTxt"/>
      </w:pPr>
      <w:r>
        <w:tab/>
        <w:t>(d)</w:t>
      </w:r>
      <w:r>
        <w:tab/>
        <w:t xml:space="preserve">Act No. 26.862 of 5 June 2013, guaranteeing access to all scientific methods of assisted fertilization; </w:t>
      </w:r>
    </w:p>
    <w:p w:rsidR="006113B2" w:rsidRDefault="006113B2" w:rsidP="006113B2">
      <w:pPr>
        <w:pStyle w:val="SingleTxt"/>
      </w:pPr>
      <w:r>
        <w:tab/>
        <w:t>(e)</w:t>
      </w:r>
      <w:r>
        <w:tab/>
        <w:t xml:space="preserve">Act No. 26.844 of 13 March 2013 on a special employment contract regime for persons employed in private homes, regulated by Decree No. </w:t>
      </w:r>
      <w:r w:rsidRPr="00356AB9">
        <w:t>467/201</w:t>
      </w:r>
      <w:r>
        <w:t xml:space="preserve">4, recognizing labour rights and protection for domestic workers; </w:t>
      </w:r>
    </w:p>
    <w:p w:rsidR="006113B2" w:rsidRDefault="006113B2" w:rsidP="006113B2">
      <w:pPr>
        <w:pStyle w:val="SingleTxt"/>
      </w:pPr>
      <w:r>
        <w:tab/>
        <w:t>(f)</w:t>
      </w:r>
      <w:r>
        <w:tab/>
        <w:t xml:space="preserve">Act No. 26.842 of 19 December 2012, providing for the prevention and punishment of trafficking in persons and assistance to victims; </w:t>
      </w:r>
    </w:p>
    <w:p w:rsidR="006113B2" w:rsidRDefault="006113B2" w:rsidP="006113B2">
      <w:pPr>
        <w:pStyle w:val="SingleTxt"/>
      </w:pPr>
      <w:r>
        <w:tab/>
        <w:t>(g)</w:t>
      </w:r>
      <w:r>
        <w:tab/>
        <w:t xml:space="preserve">Gender Identity Act (No. 26.743 of 9 May 2012), recognizing the right to one’s self-perceived gender identity; </w:t>
      </w:r>
    </w:p>
    <w:p w:rsidR="006113B2" w:rsidRDefault="00872773" w:rsidP="006113B2">
      <w:pPr>
        <w:pStyle w:val="SingleTxt"/>
      </w:pPr>
      <w:r>
        <w:tab/>
      </w:r>
      <w:r w:rsidR="006113B2">
        <w:t>(h)</w:t>
      </w:r>
      <w:r w:rsidR="006113B2">
        <w:tab/>
        <w:t>Decision of the Supreme Court (</w:t>
      </w:r>
      <w:r w:rsidR="006113B2" w:rsidRPr="00872773">
        <w:rPr>
          <w:i/>
        </w:rPr>
        <w:t>F., A.L. s/ Medida autosatisfactiva</w:t>
      </w:r>
      <w:r w:rsidR="006113B2">
        <w:t xml:space="preserve">, ruling of 13 March 2012) interpreting the Criminal Code provisions concerning the legal interruption of pregnancy; </w:t>
      </w:r>
    </w:p>
    <w:p w:rsidR="006113B2" w:rsidRDefault="006113B2" w:rsidP="006113B2">
      <w:pPr>
        <w:pStyle w:val="SingleTxt"/>
      </w:pPr>
      <w:r>
        <w:tab/>
        <w:t>(i)</w:t>
      </w:r>
      <w:r>
        <w:tab/>
        <w:t xml:space="preserve">Egalitarian Matrimony Act (No. 26.618 of 15 July 2010), recognizing equal rights to marriage for same-sex couples. </w:t>
      </w:r>
    </w:p>
    <w:p w:rsidR="006113B2" w:rsidRDefault="006113B2" w:rsidP="006113B2">
      <w:pPr>
        <w:pStyle w:val="SingleTxt"/>
      </w:pPr>
      <w:r>
        <w:t>5.</w:t>
      </w:r>
      <w:r>
        <w:tab/>
        <w:t xml:space="preserve">The Committee welcomes the State party’s efforts to improve its institutional and policy framework aimed at accelerating the elimination of discrimination against women and promoting gender equality, such as the adoption or establishment of the following: </w:t>
      </w:r>
    </w:p>
    <w:p w:rsidR="006113B2" w:rsidRDefault="006113B2" w:rsidP="006113B2">
      <w:pPr>
        <w:pStyle w:val="SingleTxt"/>
      </w:pPr>
      <w:r>
        <w:tab/>
        <w:t>(a)</w:t>
      </w:r>
      <w:r>
        <w:tab/>
        <w:t xml:space="preserve">National Action Plan for the Prevention and Eradication of Violence against Women and Assistance to Victims (2017-2019); </w:t>
      </w:r>
    </w:p>
    <w:p w:rsidR="006113B2" w:rsidRDefault="006113B2" w:rsidP="006113B2">
      <w:pPr>
        <w:pStyle w:val="SingleTxt"/>
      </w:pPr>
      <w:r>
        <w:tab/>
        <w:t>(b)</w:t>
      </w:r>
      <w:r>
        <w:tab/>
        <w:t xml:space="preserve">National Early Childhood Programme adopted by Decree No. </w:t>
      </w:r>
      <w:r w:rsidRPr="006113B2">
        <w:t>574/201</w:t>
      </w:r>
      <w:r>
        <w:t xml:space="preserve">6, providing for the establishment of childcare facilities, in 2016; </w:t>
      </w:r>
    </w:p>
    <w:p w:rsidR="006113B2" w:rsidRDefault="006113B2" w:rsidP="006113B2">
      <w:pPr>
        <w:pStyle w:val="SingleTxt"/>
      </w:pPr>
      <w:r>
        <w:tab/>
        <w:t>(c)</w:t>
      </w:r>
      <w:r>
        <w:tab/>
        <w:t xml:space="preserve">Justicia 2020 programme, providing for the establishment of centres where women belonging to disadvantaged groups may receive free legal aid, in 2016; </w:t>
      </w:r>
    </w:p>
    <w:p w:rsidR="006113B2" w:rsidRDefault="006113B2" w:rsidP="006113B2">
      <w:pPr>
        <w:pStyle w:val="SingleTxt"/>
      </w:pPr>
      <w:r>
        <w:tab/>
        <w:t>(d)</w:t>
      </w:r>
      <w:r>
        <w:tab/>
        <w:t xml:space="preserve">Department of Guidance, Support and Protection to Victims, responsible for the protection of victims of trafficking and sexual exploitation, gender-based violence and institutional or other forms of violence against children, in 2014. </w:t>
      </w:r>
    </w:p>
    <w:p w:rsidR="006113B2" w:rsidRDefault="006113B2" w:rsidP="006113B2">
      <w:pPr>
        <w:pStyle w:val="SingleTxt"/>
      </w:pPr>
      <w:r>
        <w:t>6.</w:t>
      </w:r>
      <w:r>
        <w:tab/>
        <w:t xml:space="preserve">The Committee welcomes the fact that, in the period since the consideration of the previous report, the State party has ratified or acceded to the following international and regional instruments: </w:t>
      </w:r>
    </w:p>
    <w:p w:rsidR="006113B2" w:rsidRDefault="006113B2" w:rsidP="006113B2">
      <w:pPr>
        <w:pStyle w:val="SingleTxt"/>
      </w:pPr>
      <w:r>
        <w:tab/>
        <w:t>(a)</w:t>
      </w:r>
      <w:r>
        <w:tab/>
        <w:t xml:space="preserve">Optional Protocol to the Convention on the Rights of the Child on a communications procedure, in 2015; </w:t>
      </w:r>
    </w:p>
    <w:p w:rsidR="006113B2" w:rsidRDefault="006113B2" w:rsidP="006113B2">
      <w:pPr>
        <w:pStyle w:val="SingleTxt"/>
      </w:pPr>
      <w:r>
        <w:lastRenderedPageBreak/>
        <w:tab/>
        <w:t>(b)</w:t>
      </w:r>
      <w:r>
        <w:tab/>
        <w:t xml:space="preserve">Optional Protocol to the International Covenant on Economic, Social and Cultural Rights, in 2011; </w:t>
      </w:r>
    </w:p>
    <w:p w:rsidR="006113B2" w:rsidRDefault="006113B2" w:rsidP="006113B2">
      <w:pPr>
        <w:pStyle w:val="SingleTxt"/>
      </w:pPr>
      <w:r>
        <w:tab/>
        <w:t>(c)</w:t>
      </w:r>
      <w:r>
        <w:tab/>
        <w:t xml:space="preserve">1961 Convention on the Reduction of Statelessness, in November 2014; </w:t>
      </w:r>
    </w:p>
    <w:p w:rsidR="006113B2" w:rsidRDefault="006113B2" w:rsidP="006113B2">
      <w:pPr>
        <w:pStyle w:val="SingleTxt"/>
      </w:pPr>
      <w:r>
        <w:tab/>
        <w:t>(d)</w:t>
      </w:r>
      <w:r>
        <w:tab/>
        <w:t xml:space="preserve">Domestic Workers Convention, 2011 (No. 189), of the International Labour Organization, in 2014. </w:t>
      </w:r>
    </w:p>
    <w:p w:rsidR="006113B2" w:rsidRPr="006113B2" w:rsidRDefault="006113B2" w:rsidP="006113B2">
      <w:pPr>
        <w:pStyle w:val="SingleTxt"/>
        <w:spacing w:after="0" w:line="120" w:lineRule="exact"/>
        <w:rPr>
          <w:sz w:val="10"/>
        </w:rPr>
      </w:pPr>
    </w:p>
    <w:p w:rsidR="006113B2" w:rsidRPr="006113B2" w:rsidRDefault="006113B2" w:rsidP="006113B2">
      <w:pPr>
        <w:pStyle w:val="SingleTxt"/>
        <w:spacing w:after="0" w:line="120" w:lineRule="exact"/>
        <w:rPr>
          <w:sz w:val="10"/>
        </w:rPr>
      </w:pPr>
    </w:p>
    <w:p w:rsidR="006113B2" w:rsidRDefault="006113B2" w:rsidP="006113B2">
      <w:pPr>
        <w:pStyle w:val="H1"/>
        <w:ind w:right="1260"/>
      </w:pPr>
      <w:r>
        <w:tab/>
        <w:t xml:space="preserve">C. </w:t>
      </w:r>
      <w:r>
        <w:tab/>
        <w:t xml:space="preserve">Parliament </w:t>
      </w:r>
    </w:p>
    <w:p w:rsidR="006113B2" w:rsidRPr="006113B2" w:rsidRDefault="006113B2" w:rsidP="006113B2">
      <w:pPr>
        <w:pStyle w:val="SingleTxt"/>
        <w:spacing w:after="0" w:line="120" w:lineRule="exact"/>
        <w:rPr>
          <w:sz w:val="10"/>
        </w:rPr>
      </w:pPr>
    </w:p>
    <w:p w:rsidR="006113B2" w:rsidRPr="006113B2" w:rsidRDefault="006113B2" w:rsidP="006113B2">
      <w:pPr>
        <w:pStyle w:val="SingleTxt"/>
        <w:spacing w:after="0" w:line="120" w:lineRule="exact"/>
        <w:rPr>
          <w:sz w:val="10"/>
        </w:rPr>
      </w:pPr>
    </w:p>
    <w:p w:rsidR="006113B2" w:rsidRDefault="006113B2" w:rsidP="006113B2">
      <w:pPr>
        <w:pStyle w:val="SingleTxt"/>
      </w:pPr>
      <w:r>
        <w:t>7.</w:t>
      </w:r>
      <w:r>
        <w:tab/>
      </w:r>
      <w:r w:rsidRPr="007E3DFC">
        <w:rPr>
          <w:b/>
          <w:bCs/>
        </w:rPr>
        <w:t>The Committee stresses the crucial role of the legislative power in ensuring the full implementation of the Convention (see the statement by the Committee on its relationship with parliamentarians, adopted at the forty-fifth session, in 2010). It invites the National Congress, in line with its mandate, to take the necessary steps regarding the implementation of the present concluding observations between now and the next reporting period under the Convention.</w:t>
      </w:r>
      <w:r>
        <w:t xml:space="preserve"> </w:t>
      </w:r>
    </w:p>
    <w:p w:rsidR="006113B2" w:rsidRPr="006113B2" w:rsidRDefault="006113B2" w:rsidP="006113B2">
      <w:pPr>
        <w:pStyle w:val="SingleTxt"/>
        <w:spacing w:after="0" w:line="120" w:lineRule="exact"/>
        <w:rPr>
          <w:sz w:val="10"/>
        </w:rPr>
      </w:pPr>
    </w:p>
    <w:p w:rsidR="006113B2" w:rsidRPr="006113B2" w:rsidRDefault="006113B2" w:rsidP="006113B2">
      <w:pPr>
        <w:pStyle w:val="SingleTxt"/>
        <w:spacing w:after="0" w:line="120" w:lineRule="exact"/>
        <w:rPr>
          <w:sz w:val="10"/>
        </w:rPr>
      </w:pPr>
    </w:p>
    <w:p w:rsidR="006113B2" w:rsidRDefault="006113B2" w:rsidP="006113B2">
      <w:pPr>
        <w:pStyle w:val="H1"/>
        <w:ind w:right="1260"/>
      </w:pPr>
      <w:r>
        <w:tab/>
        <w:t>D.</w:t>
      </w:r>
      <w:r>
        <w:tab/>
        <w:t xml:space="preserve">Principal areas of concern and recommendations </w:t>
      </w:r>
    </w:p>
    <w:p w:rsidR="006113B2" w:rsidRPr="006113B2" w:rsidRDefault="006113B2" w:rsidP="006113B2">
      <w:pPr>
        <w:pStyle w:val="SingleTxt"/>
        <w:spacing w:after="0" w:line="120" w:lineRule="exact"/>
        <w:rPr>
          <w:sz w:val="10"/>
        </w:rPr>
      </w:pPr>
    </w:p>
    <w:p w:rsidR="006113B2" w:rsidRPr="006113B2" w:rsidRDefault="006113B2" w:rsidP="006113B2">
      <w:pPr>
        <w:pStyle w:val="SingleTxt"/>
        <w:spacing w:after="0" w:line="120" w:lineRule="exact"/>
        <w:rPr>
          <w:sz w:val="10"/>
        </w:rPr>
      </w:pPr>
    </w:p>
    <w:p w:rsidR="006113B2" w:rsidRDefault="006113B2" w:rsidP="006113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Convention, the Optional Protocol and the Committee’s general recommendations </w:t>
      </w:r>
    </w:p>
    <w:p w:rsidR="006113B2" w:rsidRPr="006113B2" w:rsidRDefault="006113B2" w:rsidP="006113B2">
      <w:pPr>
        <w:pStyle w:val="SingleTxt"/>
        <w:spacing w:after="0" w:line="120" w:lineRule="exact"/>
        <w:rPr>
          <w:sz w:val="10"/>
          <w:lang w:val="en-US"/>
        </w:rPr>
      </w:pPr>
    </w:p>
    <w:p w:rsidR="006113B2" w:rsidRDefault="006113B2" w:rsidP="006113B2">
      <w:pPr>
        <w:pStyle w:val="SingleTxt"/>
      </w:pPr>
      <w:r>
        <w:t>8.</w:t>
      </w:r>
      <w:r>
        <w:tab/>
        <w:t>The Committee observes that the Convention takes precedence over national legislation in the State party and can be directly applied by the national courts and authorities. The Committee remains concerned, however, about the lack of court cases and administrative proceedings, in particular at the provincial and municipal levels, in which provisions of the Convention were directly invoked and/or applied. It is also concerned that the provisions of the Convention, the Optional Protocol thereto and the Committee’s general recommendations are not sufficiently known in the State party, including by the public authorities.</w:t>
      </w:r>
      <w:r w:rsidR="007E3DFC">
        <w:t xml:space="preserve"> </w:t>
      </w:r>
    </w:p>
    <w:p w:rsidR="006113B2" w:rsidRPr="007E3DFC" w:rsidRDefault="006113B2" w:rsidP="006113B2">
      <w:pPr>
        <w:pStyle w:val="SingleTxt"/>
        <w:rPr>
          <w:b/>
          <w:bCs/>
        </w:rPr>
      </w:pPr>
      <w:r>
        <w:t>9.</w:t>
      </w:r>
      <w:r>
        <w:tab/>
      </w:r>
      <w:r w:rsidRPr="007E3DFC">
        <w:rPr>
          <w:b/>
          <w:bCs/>
        </w:rPr>
        <w:t>The Committee recommends that the State party:</w:t>
      </w:r>
      <w:r w:rsidR="007E3DFC">
        <w:rPr>
          <w:b/>
          <w:bCs/>
        </w:rPr>
        <w:t xml:space="preserve"> </w:t>
      </w:r>
    </w:p>
    <w:p w:rsidR="006113B2" w:rsidRDefault="007E3DFC" w:rsidP="006113B2">
      <w:pPr>
        <w:pStyle w:val="SingleTxt"/>
      </w:pPr>
      <w:r>
        <w:tab/>
      </w:r>
      <w:r w:rsidR="006113B2">
        <w:t>(a)</w:t>
      </w:r>
      <w:r w:rsidR="006113B2">
        <w:tab/>
      </w:r>
      <w:r w:rsidR="006113B2" w:rsidRPr="007E3DFC">
        <w:rPr>
          <w:b/>
          <w:bCs/>
        </w:rPr>
        <w:t>Take appropriate measures to ensure the dissemination of the Convention, the Optional Protocol thereto and the Committee’s general recommendations among relevant stakeholders, including government officials, members of legislative bodies, the judiciary, lawyers, law enforcement officers and the general public, in order to promote awareness of women’s human rights in the State party;</w:t>
      </w:r>
      <w:r>
        <w:t xml:space="preserve"> </w:t>
      </w:r>
    </w:p>
    <w:p w:rsidR="006113B2" w:rsidRDefault="007E3DFC" w:rsidP="006113B2">
      <w:pPr>
        <w:pStyle w:val="SingleTxt"/>
      </w:pPr>
      <w:r>
        <w:tab/>
      </w:r>
      <w:r w:rsidR="006113B2">
        <w:t>(b)</w:t>
      </w:r>
      <w:r w:rsidR="006113B2">
        <w:tab/>
      </w:r>
      <w:r w:rsidR="006113B2" w:rsidRPr="007E3DFC">
        <w:rPr>
          <w:b/>
          <w:bCs/>
        </w:rPr>
        <w:t xml:space="preserve">Encourage judges at all levels of the judiciary, public officials and lawyers to apply or invoke the provisions of the Convention in court and administrative proceedings and to take into consideration the jurisprudence of the Committee under the Optional Protocol, as well as its general recommendations; </w:t>
      </w:r>
    </w:p>
    <w:p w:rsidR="006113B2" w:rsidRDefault="007E3DFC" w:rsidP="007E3DFC">
      <w:pPr>
        <w:pStyle w:val="SingleTxt"/>
        <w:spacing w:after="240"/>
      </w:pPr>
      <w:r>
        <w:tab/>
      </w:r>
      <w:r w:rsidR="006113B2">
        <w:t>(c)</w:t>
      </w:r>
      <w:r w:rsidR="006113B2">
        <w:tab/>
      </w:r>
      <w:r w:rsidR="006113B2" w:rsidRPr="007E3DFC">
        <w:rPr>
          <w:b/>
          <w:bCs/>
        </w:rPr>
        <w:t>Enhance women’s awareness of their rights and the means to enforce them, targeting specific groups of women such as indigenous women and women of African descent, women living in rural and remote areas, women with disabilities and older women.</w:t>
      </w:r>
      <w:r>
        <w:t xml:space="preserve"> </w:t>
      </w:r>
    </w:p>
    <w:p w:rsidR="006113B2" w:rsidRDefault="006113B2" w:rsidP="007E3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Legislative framework </w:t>
      </w:r>
    </w:p>
    <w:p w:rsidR="007E3DFC" w:rsidRPr="007E3DFC" w:rsidRDefault="007E3DFC" w:rsidP="007E3DFC">
      <w:pPr>
        <w:pStyle w:val="SingleTxt"/>
        <w:spacing w:after="0" w:line="120" w:lineRule="exact"/>
        <w:rPr>
          <w:sz w:val="10"/>
        </w:rPr>
      </w:pPr>
    </w:p>
    <w:p w:rsidR="006113B2" w:rsidRDefault="006113B2" w:rsidP="006113B2">
      <w:pPr>
        <w:pStyle w:val="SingleTxt"/>
      </w:pPr>
      <w:r>
        <w:t>10.</w:t>
      </w:r>
      <w:r>
        <w:tab/>
        <w:t>The Committee notes the State party’s adoption of key legislation aimed at promoting the substantive equality of women and men, but is concerned about:</w:t>
      </w:r>
      <w:r w:rsidR="007E3DFC">
        <w:t xml:space="preserve"> </w:t>
      </w:r>
    </w:p>
    <w:p w:rsidR="006113B2" w:rsidRDefault="007E3DFC" w:rsidP="006113B2">
      <w:pPr>
        <w:pStyle w:val="SingleTxt"/>
      </w:pPr>
      <w:r>
        <w:tab/>
      </w:r>
      <w:r w:rsidR="006113B2">
        <w:t>(a)</w:t>
      </w:r>
      <w:r w:rsidR="006113B2">
        <w:tab/>
        <w:t>The lack of effective implementation of the comprehensive legislative framework for the advancement of women in the State party, resulting in de facto discrimination against women in areas such as participation in political and public life, education, employment, health, housing and access to land;</w:t>
      </w:r>
      <w:r>
        <w:t xml:space="preserve"> </w:t>
      </w:r>
    </w:p>
    <w:p w:rsidR="006113B2" w:rsidRDefault="007E3DFC" w:rsidP="006113B2">
      <w:pPr>
        <w:pStyle w:val="SingleTxt"/>
      </w:pPr>
      <w:r>
        <w:tab/>
      </w:r>
      <w:r w:rsidR="006113B2">
        <w:t>(b)</w:t>
      </w:r>
      <w:r w:rsidR="006113B2">
        <w:tab/>
        <w:t>The challenges faced by the State party in the implementation of the Convention throughout its territory, including for the matters that are under the jurisdiction of the provinces, such as education and health.</w:t>
      </w:r>
      <w:r>
        <w:t xml:space="preserve"> </w:t>
      </w:r>
    </w:p>
    <w:p w:rsidR="006113B2" w:rsidRDefault="006113B2" w:rsidP="006113B2">
      <w:pPr>
        <w:pStyle w:val="SingleTxt"/>
      </w:pPr>
      <w:r>
        <w:t>11.</w:t>
      </w:r>
      <w:r>
        <w:tab/>
      </w:r>
      <w:r w:rsidRPr="007E3DFC">
        <w:rPr>
          <w:b/>
          <w:bCs/>
        </w:rPr>
        <w:t>The Committee recalls its previous concluding observations (</w:t>
      </w:r>
      <w:hyperlink r:id="rId21" w:history="1">
        <w:r w:rsidRPr="007E3DFC">
          <w:rPr>
            <w:rStyle w:val="Hyperlink"/>
            <w:b/>
            <w:bCs/>
          </w:rPr>
          <w:t>CEDAW/C/ARG/CO/6</w:t>
        </w:r>
      </w:hyperlink>
      <w:r w:rsidRPr="007E3DFC">
        <w:rPr>
          <w:b/>
          <w:bCs/>
        </w:rPr>
        <w:t>, para. 12) and recommends that the State party:</w:t>
      </w:r>
      <w:r w:rsidR="007E3DFC">
        <w:t xml:space="preserve"> </w:t>
      </w:r>
    </w:p>
    <w:p w:rsidR="006113B2" w:rsidRDefault="007E3DFC" w:rsidP="006113B2">
      <w:pPr>
        <w:pStyle w:val="SingleTxt"/>
      </w:pPr>
      <w:r>
        <w:tab/>
      </w:r>
      <w:r w:rsidR="006113B2">
        <w:t>(a)</w:t>
      </w:r>
      <w:r w:rsidR="006113B2">
        <w:tab/>
      </w:r>
      <w:r w:rsidR="006113B2" w:rsidRPr="007E3DFC">
        <w:rPr>
          <w:b/>
          <w:bCs/>
        </w:rPr>
        <w:t>Identify areas in which the legislation at the provincial level appears to diverge from the obligations of the State party under the Convention and promote legislative reforms and a process to harmonize legislation, according priority to legislation on women’s equal access to education and health services;</w:t>
      </w:r>
      <w:r>
        <w:t xml:space="preserve"> </w:t>
      </w:r>
    </w:p>
    <w:p w:rsidR="006113B2" w:rsidRPr="007E3DFC" w:rsidRDefault="007E3DFC" w:rsidP="006113B2">
      <w:pPr>
        <w:pStyle w:val="SingleTxt"/>
        <w:rPr>
          <w:b/>
          <w:bCs/>
        </w:rPr>
      </w:pPr>
      <w:r>
        <w:tab/>
      </w:r>
      <w:r w:rsidR="006113B2">
        <w:t>(b)</w:t>
      </w:r>
      <w:r w:rsidR="006113B2">
        <w:tab/>
      </w:r>
      <w:r w:rsidR="006113B2" w:rsidRPr="007E3DFC">
        <w:rPr>
          <w:b/>
          <w:bCs/>
        </w:rPr>
        <w:t xml:space="preserve">Set up accountability mechanisms to monitor the impact of the implementation of legislation intended to promote gender equality at all levels of jurisdiction, allocating appropriate human, technical and budgetary resources for such implementation; </w:t>
      </w:r>
    </w:p>
    <w:p w:rsidR="006113B2" w:rsidRPr="007E3DFC" w:rsidRDefault="007E3DFC" w:rsidP="006113B2">
      <w:pPr>
        <w:pStyle w:val="SingleTxt"/>
        <w:rPr>
          <w:b/>
          <w:bCs/>
        </w:rPr>
      </w:pPr>
      <w:r>
        <w:tab/>
      </w:r>
      <w:r w:rsidR="006113B2">
        <w:t>(c)</w:t>
      </w:r>
      <w:r w:rsidR="006113B2">
        <w:tab/>
      </w:r>
      <w:r w:rsidR="006113B2" w:rsidRPr="007E3DFC">
        <w:rPr>
          <w:b/>
          <w:bCs/>
        </w:rPr>
        <w:t>Raise awareness among public authorities at the provincial level about the rights enshrined in the Convention and strengthen the allocation of human, technical and financial resources for the implementation o</w:t>
      </w:r>
      <w:r>
        <w:rPr>
          <w:b/>
          <w:bCs/>
        </w:rPr>
        <w:t xml:space="preserve">f national equality programmes. </w:t>
      </w:r>
    </w:p>
    <w:p w:rsidR="007E3DFC" w:rsidRPr="007E3DFC" w:rsidRDefault="007E3DFC" w:rsidP="007E3DFC">
      <w:pPr>
        <w:pStyle w:val="SingleTxt"/>
        <w:spacing w:after="0" w:line="120" w:lineRule="exact"/>
        <w:rPr>
          <w:sz w:val="10"/>
        </w:rPr>
      </w:pPr>
    </w:p>
    <w:p w:rsidR="006113B2" w:rsidRDefault="006113B2" w:rsidP="007E3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and legal complaint mechanisms </w:t>
      </w:r>
    </w:p>
    <w:p w:rsidR="007E3DFC" w:rsidRPr="007E3DFC" w:rsidRDefault="007E3DFC" w:rsidP="007E3DFC">
      <w:pPr>
        <w:pStyle w:val="SingleTxt"/>
        <w:spacing w:after="0" w:line="120" w:lineRule="exact"/>
        <w:rPr>
          <w:sz w:val="10"/>
        </w:rPr>
      </w:pPr>
    </w:p>
    <w:p w:rsidR="006113B2" w:rsidRDefault="006113B2" w:rsidP="006113B2">
      <w:pPr>
        <w:pStyle w:val="SingleTxt"/>
      </w:pPr>
      <w:r>
        <w:t>12.</w:t>
      </w:r>
      <w:r>
        <w:tab/>
        <w:t>The Committee commends the State party for the establishment of a unit of attorneys for victims of gender-based violence at the Ministry of Justice and Human Rights (Act No. 27.210 of November 2015) and welcomes the establishment of access to justice centres, which provide free legal counselling, and the creation of specialized units at the Public Legal Aid Service that cover complaints and alternative dispute resolution mechanisms. Nonetheless, the Committee is concerned about the institutional, procedural and practical barriers faced by women in gaining access to justice, such as:</w:t>
      </w:r>
      <w:r w:rsidR="007E3DFC">
        <w:t xml:space="preserve"> </w:t>
      </w:r>
    </w:p>
    <w:p w:rsidR="006113B2" w:rsidRDefault="007E3DFC" w:rsidP="006113B2">
      <w:pPr>
        <w:pStyle w:val="SingleTxt"/>
      </w:pPr>
      <w:r>
        <w:tab/>
      </w:r>
      <w:r w:rsidR="006113B2">
        <w:t>(a)</w:t>
      </w:r>
      <w:r w:rsidR="006113B2">
        <w:tab/>
        <w:t xml:space="preserve">Discriminatory stereotyping, judicial bias and limited knowledge of women’s rights among the judiciary and the police; </w:t>
      </w:r>
    </w:p>
    <w:p w:rsidR="006113B2" w:rsidRDefault="007E3DFC" w:rsidP="006113B2">
      <w:pPr>
        <w:pStyle w:val="SingleTxt"/>
      </w:pPr>
      <w:r>
        <w:tab/>
      </w:r>
      <w:r w:rsidR="006113B2">
        <w:t>(b)</w:t>
      </w:r>
      <w:r w:rsidR="006113B2">
        <w:tab/>
        <w:t>Use of mediation in cases of gender-based violence against women;</w:t>
      </w:r>
      <w:r>
        <w:t xml:space="preserve"> </w:t>
      </w:r>
    </w:p>
    <w:p w:rsidR="006113B2" w:rsidRDefault="007E3DFC" w:rsidP="006113B2">
      <w:pPr>
        <w:pStyle w:val="SingleTxt"/>
      </w:pPr>
      <w:r>
        <w:tab/>
      </w:r>
      <w:r w:rsidR="006113B2">
        <w:t>(c)</w:t>
      </w:r>
      <w:r w:rsidR="006113B2">
        <w:tab/>
        <w:t xml:space="preserve">Limited access to legal aid and to interpreters of indigenous languages; </w:t>
      </w:r>
    </w:p>
    <w:p w:rsidR="006113B2" w:rsidRDefault="007E3DFC" w:rsidP="006113B2">
      <w:pPr>
        <w:pStyle w:val="SingleTxt"/>
      </w:pPr>
      <w:r>
        <w:tab/>
      </w:r>
      <w:r w:rsidR="006113B2">
        <w:t>(d)</w:t>
      </w:r>
      <w:r w:rsidR="006113B2">
        <w:tab/>
        <w:t xml:space="preserve">Long distances to courts in rural and remote areas; </w:t>
      </w:r>
    </w:p>
    <w:p w:rsidR="006113B2" w:rsidRDefault="007E3DFC" w:rsidP="006113B2">
      <w:pPr>
        <w:pStyle w:val="SingleTxt"/>
      </w:pPr>
      <w:r>
        <w:tab/>
      </w:r>
      <w:r w:rsidR="006113B2">
        <w:t>(e)</w:t>
      </w:r>
      <w:r w:rsidR="006113B2">
        <w:tab/>
        <w:t>Women’s limited access to information about their rights under the Convention, as well as about legal remedies available to women who are victims of gender-based violence, including marital rape.</w:t>
      </w:r>
      <w:r>
        <w:t xml:space="preserve"> </w:t>
      </w:r>
    </w:p>
    <w:p w:rsidR="006113B2" w:rsidRPr="007E3DFC" w:rsidRDefault="006113B2" w:rsidP="006113B2">
      <w:pPr>
        <w:pStyle w:val="SingleTxt"/>
        <w:rPr>
          <w:b/>
          <w:bCs/>
        </w:rPr>
      </w:pPr>
      <w:r>
        <w:t>13.</w:t>
      </w:r>
      <w:r>
        <w:tab/>
      </w:r>
      <w:r w:rsidRPr="007E3DFC">
        <w:rPr>
          <w:b/>
          <w:bCs/>
        </w:rPr>
        <w:t>The Committee, in line with its general recommendation No. 33 (2015) on women’s access to justice, recommends that the State party:</w:t>
      </w:r>
      <w:r w:rsidR="007E3DFC">
        <w:rPr>
          <w:b/>
          <w:bCs/>
        </w:rPr>
        <w:t xml:space="preserve"> </w:t>
      </w:r>
    </w:p>
    <w:p w:rsidR="006113B2" w:rsidRPr="007E3DFC" w:rsidRDefault="007E3DFC" w:rsidP="006113B2">
      <w:pPr>
        <w:pStyle w:val="SingleTxt"/>
        <w:rPr>
          <w:b/>
          <w:bCs/>
        </w:rPr>
      </w:pPr>
      <w:r>
        <w:tab/>
      </w:r>
      <w:r w:rsidR="006113B2">
        <w:t>(a)</w:t>
      </w:r>
      <w:r w:rsidR="006113B2">
        <w:tab/>
      </w:r>
      <w:r w:rsidR="006113B2" w:rsidRPr="007E3DFC">
        <w:rPr>
          <w:b/>
          <w:bCs/>
        </w:rPr>
        <w:t>Provide systematic and mandatory capacity-building to magistrates, judges, prosecutors, public defenders, lawyers, law enforcement officers, administrators, mediators and expert practitioners on women’s rights and the application of Act No. 26.485 on violence against women;</w:t>
      </w:r>
      <w:r>
        <w:rPr>
          <w:b/>
          <w:bCs/>
        </w:rPr>
        <w:t xml:space="preserve"> </w:t>
      </w:r>
    </w:p>
    <w:p w:rsidR="006113B2" w:rsidRPr="007E3DFC" w:rsidRDefault="007E3DFC" w:rsidP="006113B2">
      <w:pPr>
        <w:pStyle w:val="SingleTxt"/>
        <w:rPr>
          <w:b/>
          <w:bCs/>
        </w:rPr>
      </w:pPr>
      <w:r>
        <w:tab/>
      </w:r>
      <w:r w:rsidR="006113B2">
        <w:t>(b)</w:t>
      </w:r>
      <w:r w:rsidR="006113B2">
        <w:tab/>
      </w:r>
      <w:r w:rsidR="006113B2" w:rsidRPr="007E3DFC">
        <w:rPr>
          <w:b/>
          <w:bCs/>
        </w:rPr>
        <w:t xml:space="preserve">Strengthen the role of the Women’s Office at the Supreme Court to monitor respect for gender equality in the work of the judiciary; </w:t>
      </w:r>
    </w:p>
    <w:p w:rsidR="006113B2" w:rsidRPr="007E3DFC" w:rsidRDefault="007E3DFC" w:rsidP="006113B2">
      <w:pPr>
        <w:pStyle w:val="SingleTxt"/>
        <w:rPr>
          <w:b/>
          <w:bCs/>
        </w:rPr>
      </w:pPr>
      <w:r>
        <w:tab/>
      </w:r>
      <w:r w:rsidR="006113B2">
        <w:t>(c)</w:t>
      </w:r>
      <w:r w:rsidR="006113B2">
        <w:tab/>
      </w:r>
      <w:r w:rsidR="006113B2" w:rsidRPr="007E3DFC">
        <w:rPr>
          <w:b/>
          <w:bCs/>
        </w:rPr>
        <w:t xml:space="preserve">Ensure that cases of violence against women, including domestic violence, are under no circumstances addressed under mediation procedures and that victims have access to effective remedies and redress; </w:t>
      </w:r>
    </w:p>
    <w:p w:rsidR="006113B2" w:rsidRPr="007E3DFC" w:rsidRDefault="007E3DFC" w:rsidP="006113B2">
      <w:pPr>
        <w:pStyle w:val="SingleTxt"/>
        <w:rPr>
          <w:b/>
          <w:bCs/>
        </w:rPr>
      </w:pPr>
      <w:r>
        <w:tab/>
      </w:r>
      <w:r w:rsidR="006113B2">
        <w:t>(d)</w:t>
      </w:r>
      <w:r w:rsidR="006113B2">
        <w:tab/>
      </w:r>
      <w:r w:rsidR="006113B2" w:rsidRPr="007E3DFC">
        <w:rPr>
          <w:b/>
          <w:bCs/>
        </w:rPr>
        <w:t>Ensure that information on legal remedies is available to women who are victims of gender-based violence, including in indigenous languages and in formats accessible for women with disabilities;</w:t>
      </w:r>
      <w:r>
        <w:rPr>
          <w:b/>
          <w:bCs/>
        </w:rPr>
        <w:t xml:space="preserve"> </w:t>
      </w:r>
    </w:p>
    <w:p w:rsidR="006113B2" w:rsidRPr="007E3DFC" w:rsidRDefault="007E3DFC" w:rsidP="006113B2">
      <w:pPr>
        <w:pStyle w:val="SingleTxt"/>
        <w:rPr>
          <w:b/>
          <w:bCs/>
        </w:rPr>
      </w:pPr>
      <w:r>
        <w:tab/>
      </w:r>
      <w:r w:rsidR="006113B2">
        <w:t>(e)</w:t>
      </w:r>
      <w:r w:rsidR="006113B2">
        <w:tab/>
      </w:r>
      <w:r w:rsidR="006113B2" w:rsidRPr="007E3DFC">
        <w:rPr>
          <w:b/>
          <w:bCs/>
        </w:rPr>
        <w:t xml:space="preserve">Introduce a system of mobile courts, aimed at facilitating access to justice for women living in rural and remote areas; </w:t>
      </w:r>
    </w:p>
    <w:p w:rsidR="006113B2" w:rsidRPr="007E3DFC" w:rsidRDefault="007E3DFC" w:rsidP="006113B2">
      <w:pPr>
        <w:pStyle w:val="SingleTxt"/>
        <w:rPr>
          <w:b/>
          <w:bCs/>
        </w:rPr>
      </w:pPr>
      <w:r>
        <w:tab/>
      </w:r>
      <w:r w:rsidR="006113B2">
        <w:t>(f)</w:t>
      </w:r>
      <w:r w:rsidR="006113B2">
        <w:tab/>
      </w:r>
      <w:r w:rsidR="006113B2" w:rsidRPr="007E3DFC">
        <w:rPr>
          <w:b/>
          <w:bCs/>
        </w:rPr>
        <w:t>Ensure that the new unit of attorneys for victims of gender violence, the access to justice centres and the specialized units at the Public Legal Aid Service provide free legal aid to all women without sufficient means throughout the territory of the State party and provide interpretation services to indigenous women;</w:t>
      </w:r>
      <w:r>
        <w:rPr>
          <w:b/>
          <w:bCs/>
        </w:rPr>
        <w:t xml:space="preserve"> </w:t>
      </w:r>
    </w:p>
    <w:p w:rsidR="006113B2" w:rsidRPr="007E3DFC" w:rsidRDefault="007E3DFC" w:rsidP="006113B2">
      <w:pPr>
        <w:pStyle w:val="SingleTxt"/>
        <w:rPr>
          <w:b/>
          <w:bCs/>
        </w:rPr>
      </w:pPr>
      <w:r>
        <w:tab/>
      </w:r>
      <w:r w:rsidR="006113B2">
        <w:t>(g)</w:t>
      </w:r>
      <w:r w:rsidR="006113B2">
        <w:tab/>
      </w:r>
      <w:r w:rsidR="006113B2" w:rsidRPr="007E3DFC">
        <w:rPr>
          <w:b/>
          <w:bCs/>
        </w:rPr>
        <w:t xml:space="preserve">Ensure that victims of gender-based violence have access to timely and effective remedies that may take the form of restitution, compensation or rehabilitation. </w:t>
      </w:r>
    </w:p>
    <w:p w:rsidR="007E3DFC" w:rsidRPr="007E3DFC" w:rsidRDefault="007E3DFC" w:rsidP="007E3DFC">
      <w:pPr>
        <w:pStyle w:val="SingleTxt"/>
        <w:spacing w:after="0" w:line="120" w:lineRule="exact"/>
        <w:rPr>
          <w:sz w:val="10"/>
        </w:rPr>
      </w:pPr>
    </w:p>
    <w:p w:rsidR="006113B2" w:rsidRDefault="006113B2" w:rsidP="007E3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r w:rsidR="007E3DFC">
        <w:t xml:space="preserve"> </w:t>
      </w:r>
    </w:p>
    <w:p w:rsidR="007E3DFC" w:rsidRPr="007E3DFC" w:rsidRDefault="007E3DFC" w:rsidP="007E3DFC">
      <w:pPr>
        <w:pStyle w:val="SingleTxt"/>
        <w:spacing w:after="0" w:line="120" w:lineRule="exact"/>
        <w:rPr>
          <w:sz w:val="10"/>
          <w:lang w:val="en-US"/>
        </w:rPr>
      </w:pPr>
    </w:p>
    <w:p w:rsidR="006113B2" w:rsidRDefault="006113B2" w:rsidP="006113B2">
      <w:pPr>
        <w:pStyle w:val="SingleTxt"/>
      </w:pPr>
      <w:r>
        <w:t>14.</w:t>
      </w:r>
      <w:r>
        <w:tab/>
        <w:t xml:space="preserve">The Committee notes that the National Council for Women has increased its budget and that the Federal Council for Women has been strengthened through the establishment of a permanent secretariat that provides for the coordination of its initiatives. Nevertheless, the Committee is concerned about: </w:t>
      </w:r>
    </w:p>
    <w:p w:rsidR="006113B2" w:rsidRDefault="007E3DFC" w:rsidP="006113B2">
      <w:pPr>
        <w:pStyle w:val="SingleTxt"/>
      </w:pPr>
      <w:r>
        <w:tab/>
      </w:r>
      <w:r w:rsidR="006113B2">
        <w:t>(a)</w:t>
      </w:r>
      <w:r w:rsidR="006113B2">
        <w:tab/>
        <w:t xml:space="preserve">The limited resources of the National Council for Women to promote gender equality strategies, as well as to support its role as the coordinating body for the National Action Plan for the Prevention and Eradication of Violence against Women and Assistance to Victims (2017-2019); </w:t>
      </w:r>
    </w:p>
    <w:p w:rsidR="006113B2" w:rsidRDefault="007E3DFC" w:rsidP="007E3DFC">
      <w:pPr>
        <w:pStyle w:val="SingleTxt"/>
      </w:pPr>
      <w:r>
        <w:tab/>
      </w:r>
      <w:r w:rsidR="006113B2">
        <w:t>(b)</w:t>
      </w:r>
      <w:r w:rsidR="006113B2">
        <w:tab/>
        <w:t xml:space="preserve">The lack of systematic and institutionalized coordination between the federal and provincial governments, in particular the National Council for Women and the provincial and municipal women’s areas throughout the territory; </w:t>
      </w:r>
    </w:p>
    <w:p w:rsidR="006113B2" w:rsidRDefault="007E3DFC" w:rsidP="006113B2">
      <w:pPr>
        <w:pStyle w:val="SingleTxt"/>
      </w:pPr>
      <w:r>
        <w:tab/>
      </w:r>
      <w:r w:rsidR="006113B2">
        <w:t>(c)</w:t>
      </w:r>
      <w:r w:rsidR="006113B2">
        <w:tab/>
        <w:t>The lack of effective participation by women in the design and monitoring of public policies on gender equality.</w:t>
      </w:r>
      <w:r>
        <w:t xml:space="preserve"> </w:t>
      </w:r>
    </w:p>
    <w:p w:rsidR="006113B2" w:rsidRPr="007E3DFC" w:rsidRDefault="006113B2" w:rsidP="00356AB9">
      <w:pPr>
        <w:pStyle w:val="SingleTxt"/>
        <w:keepNext/>
        <w:rPr>
          <w:b/>
          <w:bCs/>
        </w:rPr>
      </w:pPr>
      <w:r>
        <w:t>15.</w:t>
      </w:r>
      <w:r>
        <w:tab/>
      </w:r>
      <w:r w:rsidRPr="007E3DFC">
        <w:rPr>
          <w:b/>
          <w:bCs/>
        </w:rPr>
        <w:t>The Committee recommends that the State party:</w:t>
      </w:r>
      <w:r w:rsidR="007E3DFC" w:rsidRPr="007E3DFC">
        <w:rPr>
          <w:b/>
          <w:bCs/>
        </w:rPr>
        <w:t xml:space="preserve"> </w:t>
      </w:r>
    </w:p>
    <w:p w:rsidR="006113B2" w:rsidRPr="007E3DFC" w:rsidRDefault="007E3DFC" w:rsidP="006113B2">
      <w:pPr>
        <w:pStyle w:val="SingleTxt"/>
        <w:rPr>
          <w:b/>
          <w:bCs/>
        </w:rPr>
      </w:pPr>
      <w:r>
        <w:tab/>
      </w:r>
      <w:r w:rsidR="006113B2">
        <w:t>(a)</w:t>
      </w:r>
      <w:r w:rsidR="006113B2">
        <w:tab/>
      </w:r>
      <w:r w:rsidR="006113B2" w:rsidRPr="007E3DFC">
        <w:rPr>
          <w:b/>
          <w:bCs/>
        </w:rPr>
        <w:t>Increase the human, technical and financial resources of the National Council for Women and give it ministerial rank, so as to make it more visible and enhance its capacity to promote and monitor the implementation of gender equality policies;</w:t>
      </w:r>
      <w:r>
        <w:rPr>
          <w:b/>
          <w:bCs/>
        </w:rPr>
        <w:t xml:space="preserve"> </w:t>
      </w:r>
    </w:p>
    <w:p w:rsidR="006113B2" w:rsidRPr="007E3DFC" w:rsidRDefault="007E3DFC" w:rsidP="006113B2">
      <w:pPr>
        <w:pStyle w:val="SingleTxt"/>
        <w:rPr>
          <w:b/>
          <w:bCs/>
        </w:rPr>
      </w:pPr>
      <w:r>
        <w:tab/>
      </w:r>
      <w:r w:rsidR="006113B2">
        <w:t>(b)</w:t>
      </w:r>
      <w:r w:rsidR="006113B2">
        <w:tab/>
      </w:r>
      <w:r w:rsidR="006113B2" w:rsidRPr="007E3DFC">
        <w:rPr>
          <w:b/>
          <w:bCs/>
        </w:rPr>
        <w:t xml:space="preserve">Strengthen efforts aimed at permanent coordination between the National Council for Women, the provincial women’s offices and the municipal women’s offices, establishing clear lines of interaction and reporting mandates concerning the implementation of national plans in the area of gender equality; </w:t>
      </w:r>
    </w:p>
    <w:p w:rsidR="006113B2" w:rsidRPr="007E3DFC" w:rsidRDefault="007E3DFC" w:rsidP="006113B2">
      <w:pPr>
        <w:pStyle w:val="SingleTxt"/>
        <w:rPr>
          <w:b/>
          <w:bCs/>
        </w:rPr>
      </w:pPr>
      <w:r>
        <w:tab/>
      </w:r>
      <w:r w:rsidR="006113B2">
        <w:t>(c)</w:t>
      </w:r>
      <w:r w:rsidR="006113B2">
        <w:tab/>
      </w:r>
      <w:r w:rsidR="006113B2" w:rsidRPr="007E3DFC">
        <w:rPr>
          <w:b/>
          <w:bCs/>
        </w:rPr>
        <w:t>Ensure that women’s organizations and other non-governmental organizations participate in the design and monitoring of the implementation of gender equality policies.</w:t>
      </w:r>
      <w:r>
        <w:rPr>
          <w:b/>
          <w:bCs/>
        </w:rPr>
        <w:t xml:space="preserve"> </w:t>
      </w:r>
    </w:p>
    <w:p w:rsidR="007E3DFC" w:rsidRPr="007E3DFC" w:rsidRDefault="007E3DFC" w:rsidP="007E3DFC">
      <w:pPr>
        <w:pStyle w:val="SingleTxt"/>
        <w:spacing w:after="0" w:line="120" w:lineRule="exact"/>
        <w:rPr>
          <w:sz w:val="10"/>
        </w:rPr>
      </w:pPr>
    </w:p>
    <w:p w:rsidR="006113B2" w:rsidRDefault="006113B2" w:rsidP="007E3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r w:rsidR="007E3DFC">
        <w:t xml:space="preserve"> </w:t>
      </w:r>
    </w:p>
    <w:p w:rsidR="007E3DFC" w:rsidRPr="007E3DFC" w:rsidRDefault="007E3DFC" w:rsidP="007E3DFC">
      <w:pPr>
        <w:pStyle w:val="SingleTxt"/>
        <w:spacing w:after="0" w:line="120" w:lineRule="exact"/>
        <w:rPr>
          <w:sz w:val="10"/>
        </w:rPr>
      </w:pPr>
    </w:p>
    <w:p w:rsidR="006113B2" w:rsidRDefault="006113B2" w:rsidP="006113B2">
      <w:pPr>
        <w:pStyle w:val="SingleTxt"/>
      </w:pPr>
      <w:r>
        <w:t>16.</w:t>
      </w:r>
      <w:r>
        <w:tab/>
        <w:t>The Committee observes that the State party recognizes as a form of temporary special measure the establishment of quotas for the representation of women in the National Congress (in 1991) and in trade unions (in 2002). It also notes the bills regarding parity in the participation of women and men in the three branches of government. Nevertheless, it notes with concern the limited implementation of quotas, as reflected by the low representation of women in provincial and municipal legislatures. The Committee is also concerned about the absence of temporary special measures to accelerate the achievement of substantive equality of women and men in other areas covered by the Convention, such as education and employment.</w:t>
      </w:r>
      <w:r w:rsidR="007E3DFC">
        <w:t xml:space="preserve"> </w:t>
      </w:r>
    </w:p>
    <w:p w:rsidR="006113B2" w:rsidRPr="007E3DFC" w:rsidRDefault="006113B2" w:rsidP="006113B2">
      <w:pPr>
        <w:pStyle w:val="SingleTxt"/>
        <w:rPr>
          <w:b/>
          <w:bCs/>
        </w:rPr>
      </w:pPr>
      <w:r>
        <w:t>17.</w:t>
      </w:r>
      <w:r>
        <w:tab/>
      </w:r>
      <w:r w:rsidRPr="007E3DFC">
        <w:rPr>
          <w:b/>
          <w:bCs/>
        </w:rPr>
        <w:t>The Committee recommends that the State party:</w:t>
      </w:r>
      <w:r w:rsidR="007E3DFC">
        <w:rPr>
          <w:b/>
          <w:bCs/>
        </w:rPr>
        <w:t xml:space="preserve"> </w:t>
      </w:r>
    </w:p>
    <w:p w:rsidR="006113B2" w:rsidRPr="007E3DFC" w:rsidRDefault="007E3DFC" w:rsidP="006113B2">
      <w:pPr>
        <w:pStyle w:val="SingleTxt"/>
        <w:rPr>
          <w:b/>
          <w:bCs/>
        </w:rPr>
      </w:pPr>
      <w:r>
        <w:tab/>
      </w:r>
      <w:r w:rsidR="006113B2">
        <w:t>(a)</w:t>
      </w:r>
      <w:r w:rsidR="006113B2">
        <w:tab/>
      </w:r>
      <w:r w:rsidR="006113B2" w:rsidRPr="007E3DFC">
        <w:rPr>
          <w:b/>
          <w:bCs/>
        </w:rPr>
        <w:t xml:space="preserve">Adopt and implement temporary special measures, in line with article 4 (1) of the Convention and its general recommendation No. 25 (2004) on the subject, at the federal, provincial and municipal levels, with specific targets and time frames to accelerate substantive equality of women and men in all areas in which women continue to be disadvantaged or underrepresented, including for indigenous women and women of African descent, migrant and older women and women with disabilities; </w:t>
      </w:r>
    </w:p>
    <w:p w:rsidR="006113B2" w:rsidRPr="007E3DFC" w:rsidRDefault="007E3DFC" w:rsidP="006113B2">
      <w:pPr>
        <w:pStyle w:val="SingleTxt"/>
        <w:rPr>
          <w:b/>
          <w:bCs/>
        </w:rPr>
      </w:pPr>
      <w:r>
        <w:tab/>
      </w:r>
      <w:r w:rsidR="006113B2">
        <w:t>(b)</w:t>
      </w:r>
      <w:r w:rsidR="006113B2">
        <w:tab/>
      </w:r>
      <w:r w:rsidR="006113B2" w:rsidRPr="007E3DFC">
        <w:rPr>
          <w:b/>
          <w:bCs/>
        </w:rPr>
        <w:t>Regularly monitor and evaluate the impact of such measures and provide information on the results achieved in the next periodic report.</w:t>
      </w:r>
      <w:r>
        <w:rPr>
          <w:b/>
          <w:bCs/>
        </w:rPr>
        <w:t xml:space="preserve"> </w:t>
      </w:r>
    </w:p>
    <w:p w:rsidR="007E3DFC" w:rsidRPr="007E3DFC" w:rsidRDefault="007E3DFC" w:rsidP="007E3DFC">
      <w:pPr>
        <w:pStyle w:val="SingleTxt"/>
        <w:spacing w:after="0" w:line="120" w:lineRule="exact"/>
        <w:rPr>
          <w:sz w:val="10"/>
        </w:rPr>
      </w:pPr>
    </w:p>
    <w:p w:rsidR="006113B2" w:rsidRDefault="006113B2" w:rsidP="007E3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rsidR="007E3DFC" w:rsidRPr="007E3DFC" w:rsidRDefault="007E3DFC" w:rsidP="007E3DFC">
      <w:pPr>
        <w:pStyle w:val="SingleTxt"/>
        <w:spacing w:after="0" w:line="120" w:lineRule="exact"/>
        <w:rPr>
          <w:sz w:val="10"/>
        </w:rPr>
      </w:pPr>
    </w:p>
    <w:p w:rsidR="006113B2" w:rsidRDefault="006113B2" w:rsidP="006113B2">
      <w:pPr>
        <w:pStyle w:val="SingleTxt"/>
      </w:pPr>
      <w:r>
        <w:t>18.</w:t>
      </w:r>
      <w:r>
        <w:tab/>
        <w:t xml:space="preserve">The Committee notes that the State party has adopted measures to combat discriminatory stereotypes against women, in particular providing capacity-building that targets government and justice system officials. It also notes that the State party, through public awareness-raising campaigns and legislation concerning the media, is preventing sexism and banning sex-trade advertisements. Nevertheless, it remains concerned about the persistence of discriminatory stereotypes about the roles and responsibilities of women and men in the family and in society, the intersecting forms of discrimination and the deep-rooted machismo culture in the State party, which underpin discrimination and gender-based violence against women, including sexual and domestic violence and femicide, as well as sexual abuse at school and sexual harassment in the workplace. </w:t>
      </w:r>
    </w:p>
    <w:p w:rsidR="006113B2" w:rsidRPr="007E3DFC" w:rsidRDefault="006113B2" w:rsidP="006113B2">
      <w:pPr>
        <w:pStyle w:val="SingleTxt"/>
        <w:rPr>
          <w:b/>
          <w:bCs/>
        </w:rPr>
      </w:pPr>
      <w:r>
        <w:t>19.</w:t>
      </w:r>
      <w:r>
        <w:tab/>
      </w:r>
      <w:r w:rsidRPr="007E3DFC">
        <w:rPr>
          <w:b/>
          <w:bCs/>
        </w:rPr>
        <w:t xml:space="preserve">The Committee recommends that the State party: </w:t>
      </w:r>
    </w:p>
    <w:p w:rsidR="006113B2" w:rsidRPr="007E3DFC" w:rsidRDefault="007E3DFC" w:rsidP="006113B2">
      <w:pPr>
        <w:pStyle w:val="SingleTxt"/>
        <w:rPr>
          <w:b/>
          <w:bCs/>
        </w:rPr>
      </w:pPr>
      <w:r>
        <w:tab/>
      </w:r>
      <w:r w:rsidR="006113B2">
        <w:t>(a)</w:t>
      </w:r>
      <w:r w:rsidR="006113B2">
        <w:tab/>
      </w:r>
      <w:r w:rsidR="006113B2" w:rsidRPr="007E3DFC">
        <w:rPr>
          <w:b/>
          <w:bCs/>
        </w:rPr>
        <w:t xml:space="preserve">Intensify its efforts aimed at dispelling the sexist attitudes and stereotypes displayed by State public authorities in the three branches of government; </w:t>
      </w:r>
    </w:p>
    <w:p w:rsidR="006113B2" w:rsidRPr="007E3DFC" w:rsidRDefault="007E3DFC" w:rsidP="006113B2">
      <w:pPr>
        <w:pStyle w:val="SingleTxt"/>
        <w:rPr>
          <w:b/>
          <w:bCs/>
        </w:rPr>
      </w:pPr>
      <w:r>
        <w:tab/>
      </w:r>
      <w:r w:rsidR="006113B2">
        <w:t>(b)</w:t>
      </w:r>
      <w:r w:rsidR="006113B2">
        <w:tab/>
      </w:r>
      <w:r w:rsidR="006113B2" w:rsidRPr="007E3DFC">
        <w:rPr>
          <w:b/>
          <w:bCs/>
        </w:rPr>
        <w:t xml:space="preserve">Adopt a comprehensive strategy targeting women, men, girls and boys to overcome the machismo culture and the discriminatory stereotypes about the roles and responsibilities of women and men in the family and in society and ensure that this strategy also addresses intersecting forms of discrimination against women, as defined in paragraph 18 of the Committee’s general recommendation No. 28 (2010) on the core obligations of States parties under article 2 of the Convention; </w:t>
      </w:r>
    </w:p>
    <w:p w:rsidR="006113B2" w:rsidRDefault="007E3DFC" w:rsidP="006113B2">
      <w:pPr>
        <w:pStyle w:val="SingleTxt"/>
      </w:pPr>
      <w:r>
        <w:tab/>
      </w:r>
      <w:r w:rsidR="006113B2">
        <w:t>(c)</w:t>
      </w:r>
      <w:r w:rsidR="006113B2">
        <w:tab/>
      </w:r>
      <w:r w:rsidR="006113B2" w:rsidRPr="007E3DFC">
        <w:rPr>
          <w:b/>
          <w:bCs/>
        </w:rPr>
        <w:t>Strengthen cooperation with civil society organizations in combating discriminatory stereotypes through campaigns to raise public awareness, such as the #Ni Una Menos campaign;</w:t>
      </w:r>
      <w:r w:rsidR="006113B2">
        <w:t xml:space="preserve"> </w:t>
      </w:r>
    </w:p>
    <w:p w:rsidR="006113B2" w:rsidRPr="007E3DFC" w:rsidRDefault="007E3DFC" w:rsidP="006113B2">
      <w:pPr>
        <w:pStyle w:val="SingleTxt"/>
        <w:rPr>
          <w:b/>
          <w:bCs/>
        </w:rPr>
      </w:pPr>
      <w:r>
        <w:tab/>
      </w:r>
      <w:r w:rsidR="006113B2">
        <w:t>(d)</w:t>
      </w:r>
      <w:r w:rsidR="006113B2">
        <w:tab/>
      </w:r>
      <w:r w:rsidR="006113B2" w:rsidRPr="007E3DFC">
        <w:rPr>
          <w:b/>
          <w:bCs/>
        </w:rPr>
        <w:t>Amend Act No. 26.522 of 10 October 2009 on audiovisual communication services in order to empower the Ombudsperson to sanction violations of the provisions regulating gender stereotypes and sexism in the media.</w:t>
      </w:r>
      <w:r>
        <w:rPr>
          <w:b/>
          <w:bCs/>
        </w:rPr>
        <w:t xml:space="preserve"> </w:t>
      </w:r>
    </w:p>
    <w:p w:rsidR="007E3DFC" w:rsidRPr="007E3DFC" w:rsidRDefault="007E3DFC" w:rsidP="007E3DFC">
      <w:pPr>
        <w:pStyle w:val="SingleTxt"/>
        <w:spacing w:after="0" w:line="120" w:lineRule="exact"/>
        <w:rPr>
          <w:sz w:val="10"/>
        </w:rPr>
      </w:pPr>
    </w:p>
    <w:p w:rsidR="006113B2" w:rsidRDefault="006113B2" w:rsidP="007E3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r w:rsidR="007E3DFC">
        <w:t xml:space="preserve"> </w:t>
      </w:r>
    </w:p>
    <w:p w:rsidR="007E3DFC" w:rsidRPr="007E3DFC" w:rsidRDefault="007E3DFC" w:rsidP="007E3DFC">
      <w:pPr>
        <w:pStyle w:val="SingleTxt"/>
        <w:spacing w:after="0" w:line="120" w:lineRule="exact"/>
        <w:rPr>
          <w:sz w:val="10"/>
        </w:rPr>
      </w:pPr>
    </w:p>
    <w:p w:rsidR="006113B2" w:rsidRDefault="006113B2" w:rsidP="006113B2">
      <w:pPr>
        <w:pStyle w:val="SingleTxt"/>
      </w:pPr>
      <w:r>
        <w:t>20.</w:t>
      </w:r>
      <w:r>
        <w:tab/>
        <w:t>The Committee welcomes the National Action Plan for the Prevention and Eradication of Violence against Women and Assistance to Victims (2017-2019). The Committee also welcomes the measures taken by the State party to enhance the collection of data on gender-based violence through its National Institute of Statistics and Censuses, in addition to the establishment of shelters for women who are victims of gender-based violence and their families by virtue of the framework protocol for shelter facilities. Nevertheless, the Committee is concerned at:</w:t>
      </w:r>
      <w:r w:rsidR="007E3DFC">
        <w:t xml:space="preserve"> </w:t>
      </w:r>
    </w:p>
    <w:p w:rsidR="006113B2" w:rsidRDefault="007E3DFC" w:rsidP="006113B2">
      <w:pPr>
        <w:pStyle w:val="SingleTxt"/>
      </w:pPr>
      <w:r>
        <w:tab/>
      </w:r>
      <w:r w:rsidR="006113B2">
        <w:t>(a)</w:t>
      </w:r>
      <w:r w:rsidR="006113B2">
        <w:tab/>
        <w:t>The persistence of gender-based violence against women in the State party, including physical, psychological, sexual and economic violence in both the private and the public spheres;</w:t>
      </w:r>
      <w:r>
        <w:t xml:space="preserve"> </w:t>
      </w:r>
    </w:p>
    <w:p w:rsidR="006113B2" w:rsidRDefault="007E3DFC" w:rsidP="006113B2">
      <w:pPr>
        <w:pStyle w:val="SingleTxt"/>
      </w:pPr>
      <w:r>
        <w:tab/>
      </w:r>
      <w:r w:rsidR="006113B2">
        <w:t>(b)</w:t>
      </w:r>
      <w:r w:rsidR="006113B2">
        <w:tab/>
        <w:t>The reports of an increasing number of cases of femicide in the State party;</w:t>
      </w:r>
      <w:r>
        <w:t xml:space="preserve"> </w:t>
      </w:r>
    </w:p>
    <w:p w:rsidR="006113B2" w:rsidRDefault="007E3DFC" w:rsidP="006113B2">
      <w:pPr>
        <w:pStyle w:val="SingleTxt"/>
      </w:pPr>
      <w:r>
        <w:tab/>
      </w:r>
      <w:r w:rsidR="006113B2">
        <w:t>(c)</w:t>
      </w:r>
      <w:r w:rsidR="006113B2">
        <w:tab/>
        <w:t xml:space="preserve">The regional disparities in the provision of redress for victims of gender-based violence, including with regard to the number of shelters, access to psychosocial counselling, legal aid and reparation; </w:t>
      </w:r>
    </w:p>
    <w:p w:rsidR="006113B2" w:rsidRDefault="007E3DFC" w:rsidP="006113B2">
      <w:pPr>
        <w:pStyle w:val="SingleTxt"/>
      </w:pPr>
      <w:r>
        <w:tab/>
      </w:r>
      <w:r w:rsidR="006113B2">
        <w:t>(d)</w:t>
      </w:r>
      <w:r w:rsidR="006113B2">
        <w:tab/>
        <w:t xml:space="preserve">The lack of information on the accessibility of shelters for older women, women belonging to ethnic minorities, migrant and refugee women and women with disabilities; </w:t>
      </w:r>
    </w:p>
    <w:p w:rsidR="006113B2" w:rsidRDefault="007E3DFC" w:rsidP="006113B2">
      <w:pPr>
        <w:pStyle w:val="SingleTxt"/>
      </w:pPr>
      <w:r>
        <w:tab/>
      </w:r>
      <w:r w:rsidR="006113B2">
        <w:t>(e)</w:t>
      </w:r>
      <w:r w:rsidR="006113B2">
        <w:tab/>
        <w:t>The hate crimes against lesbian, bisexual, transgender and intersex persons, including reports of harassment by the police, murders of transgender women and the killing of lesbian, bisexual, transgender and intersex activists, and the absence of statistical data on the number of complaints about such crimes, investigations, prosecutions and convictions of perpetrators, as well as on redress provided to victims.</w:t>
      </w:r>
      <w:r>
        <w:t xml:space="preserve"> </w:t>
      </w:r>
    </w:p>
    <w:p w:rsidR="006113B2" w:rsidRPr="007E3DFC" w:rsidRDefault="006113B2" w:rsidP="006113B2">
      <w:pPr>
        <w:pStyle w:val="SingleTxt"/>
        <w:rPr>
          <w:b/>
          <w:bCs/>
        </w:rPr>
      </w:pPr>
      <w:r>
        <w:t>21.</w:t>
      </w:r>
      <w:r>
        <w:tab/>
      </w:r>
      <w:r w:rsidRPr="007E3DFC">
        <w:rPr>
          <w:b/>
          <w:bCs/>
        </w:rPr>
        <w:t xml:space="preserve">The Committee recommends that the State party: </w:t>
      </w:r>
    </w:p>
    <w:p w:rsidR="006113B2" w:rsidRPr="007E3DFC" w:rsidRDefault="007E3DFC" w:rsidP="006113B2">
      <w:pPr>
        <w:pStyle w:val="SingleTxt"/>
        <w:rPr>
          <w:b/>
          <w:bCs/>
        </w:rPr>
      </w:pPr>
      <w:r>
        <w:tab/>
      </w:r>
      <w:r w:rsidR="006113B2">
        <w:t>(a)</w:t>
      </w:r>
      <w:r w:rsidR="006113B2">
        <w:tab/>
      </w:r>
      <w:r w:rsidR="006113B2" w:rsidRPr="007E3DFC">
        <w:rPr>
          <w:b/>
          <w:bCs/>
        </w:rPr>
        <w:t xml:space="preserve">Allocate adequate budgetary resources for the effective implementation of the National Action Plan for the Prevention and Eradication of Violence against Women and Assistance to Victims (2017-2019); </w:t>
      </w:r>
    </w:p>
    <w:p w:rsidR="006113B2" w:rsidRPr="007E3DFC" w:rsidRDefault="007E3DFC" w:rsidP="006113B2">
      <w:pPr>
        <w:pStyle w:val="SingleTxt"/>
        <w:rPr>
          <w:b/>
          <w:bCs/>
        </w:rPr>
      </w:pPr>
      <w:r>
        <w:tab/>
      </w:r>
      <w:r w:rsidR="006113B2">
        <w:t>(b)</w:t>
      </w:r>
      <w:r w:rsidR="006113B2">
        <w:tab/>
      </w:r>
      <w:r w:rsidR="006113B2" w:rsidRPr="007E3DFC">
        <w:rPr>
          <w:b/>
          <w:bCs/>
        </w:rPr>
        <w:t>Enhance the prevention of femicides and ensure the investigation, prosecution and conviction of perpetrators of femicide;</w:t>
      </w:r>
      <w:r>
        <w:rPr>
          <w:b/>
          <w:bCs/>
        </w:rPr>
        <w:t xml:space="preserve"> </w:t>
      </w:r>
    </w:p>
    <w:p w:rsidR="006113B2" w:rsidRPr="007E3DFC" w:rsidRDefault="007E3DFC" w:rsidP="006113B2">
      <w:pPr>
        <w:pStyle w:val="SingleTxt"/>
        <w:rPr>
          <w:b/>
          <w:bCs/>
        </w:rPr>
      </w:pPr>
      <w:r>
        <w:tab/>
      </w:r>
      <w:r w:rsidR="006113B2">
        <w:t>(c)</w:t>
      </w:r>
      <w:r w:rsidR="006113B2">
        <w:tab/>
      </w:r>
      <w:r w:rsidR="006113B2" w:rsidRPr="007E3DFC">
        <w:rPr>
          <w:b/>
          <w:bCs/>
        </w:rPr>
        <w:t xml:space="preserve">Ensure the provision of technical and financial resources to the Unified Register of Cases of Violence against Women to generate up-to-date statistical data, disaggregated by sex, age, ethnicity and relationship between the victim and the perpetrator, on the number of reported cases of gender-based violence against women, investigations, prosecutions and convictions, as well as on redress provided to victims and their families; </w:t>
      </w:r>
    </w:p>
    <w:p w:rsidR="006113B2" w:rsidRPr="007E3DFC" w:rsidRDefault="007E3DFC" w:rsidP="006113B2">
      <w:pPr>
        <w:pStyle w:val="SingleTxt"/>
        <w:rPr>
          <w:b/>
          <w:bCs/>
        </w:rPr>
      </w:pPr>
      <w:r>
        <w:tab/>
      </w:r>
      <w:r w:rsidR="006113B2">
        <w:t>(d)</w:t>
      </w:r>
      <w:r w:rsidR="006113B2">
        <w:tab/>
      </w:r>
      <w:r w:rsidR="006113B2" w:rsidRPr="007E3DFC">
        <w:rPr>
          <w:b/>
          <w:bCs/>
        </w:rPr>
        <w:t xml:space="preserve">Ensure that shelters for women who are victims of violence provide legal and psychological counselling, rehabilitation and other support services and are accessible for women from ethnic minorities, women with disabilities and migrant and refugee women; </w:t>
      </w:r>
    </w:p>
    <w:p w:rsidR="006113B2" w:rsidRPr="007E3DFC" w:rsidRDefault="007E3DFC" w:rsidP="006113B2">
      <w:pPr>
        <w:pStyle w:val="SingleTxt"/>
        <w:rPr>
          <w:b/>
          <w:bCs/>
        </w:rPr>
      </w:pPr>
      <w:r>
        <w:tab/>
      </w:r>
      <w:r w:rsidR="006113B2">
        <w:t>(e)</w:t>
      </w:r>
      <w:r w:rsidR="006113B2">
        <w:tab/>
      </w:r>
      <w:r w:rsidR="006113B2" w:rsidRPr="007E3DFC">
        <w:rPr>
          <w:b/>
          <w:bCs/>
        </w:rPr>
        <w:t xml:space="preserve">Set up a trust fund, financed from public and private sources, to provide compensation and other forms of reparation, as well as legal aid, to women who are victims of gender-based violence; </w:t>
      </w:r>
    </w:p>
    <w:p w:rsidR="006113B2" w:rsidRPr="007E3DFC" w:rsidRDefault="007E3DFC" w:rsidP="006113B2">
      <w:pPr>
        <w:pStyle w:val="SingleTxt"/>
        <w:rPr>
          <w:b/>
          <w:bCs/>
        </w:rPr>
      </w:pPr>
      <w:r>
        <w:tab/>
      </w:r>
      <w:r w:rsidR="006113B2">
        <w:t>(f)</w:t>
      </w:r>
      <w:r w:rsidR="006113B2">
        <w:tab/>
      </w:r>
      <w:r w:rsidR="006113B2" w:rsidRPr="007E3DFC">
        <w:rPr>
          <w:b/>
          <w:bCs/>
        </w:rPr>
        <w:t xml:space="preserve">Adopt criteria and guidelines for the provision of legal, psychosocial and economic assistance that is victim-oriented, that recognizes the special needs of women with disabilities and that is culturally appropriate for indigenous women; </w:t>
      </w:r>
    </w:p>
    <w:p w:rsidR="006113B2" w:rsidRPr="007E3DFC" w:rsidRDefault="007E3DFC" w:rsidP="006113B2">
      <w:pPr>
        <w:pStyle w:val="SingleTxt"/>
        <w:rPr>
          <w:b/>
          <w:bCs/>
        </w:rPr>
      </w:pPr>
      <w:r>
        <w:tab/>
      </w:r>
      <w:r w:rsidR="006113B2">
        <w:t>(g)</w:t>
      </w:r>
      <w:r w:rsidR="006113B2">
        <w:tab/>
      </w:r>
      <w:r w:rsidR="006113B2" w:rsidRPr="007E3DFC">
        <w:rPr>
          <w:b/>
          <w:bCs/>
        </w:rPr>
        <w:t xml:space="preserve">Denounce attacks on the human dignity and integrity of lesbian, bisexual, transgender and intersex persons, including by raising public awareness of their rights in partnership with civil society, and adopt measures to prevent hate crimes and ensure investigations, prosecutions, convictions and reparations. </w:t>
      </w:r>
    </w:p>
    <w:p w:rsidR="007E3DFC" w:rsidRPr="007E3DFC" w:rsidRDefault="007E3DFC" w:rsidP="007E3DFC">
      <w:pPr>
        <w:pStyle w:val="SingleTxt"/>
        <w:spacing w:after="0" w:line="120" w:lineRule="exact"/>
        <w:rPr>
          <w:sz w:val="10"/>
        </w:rPr>
      </w:pPr>
    </w:p>
    <w:p w:rsidR="006113B2" w:rsidRDefault="006113B2" w:rsidP="007E3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r w:rsidR="007E3DFC">
        <w:t xml:space="preserve"> </w:t>
      </w:r>
    </w:p>
    <w:p w:rsidR="007E3DFC" w:rsidRPr="007E3DFC" w:rsidRDefault="007E3DFC" w:rsidP="007E3DFC">
      <w:pPr>
        <w:pStyle w:val="SingleTxt"/>
        <w:spacing w:after="0" w:line="120" w:lineRule="exact"/>
        <w:rPr>
          <w:sz w:val="10"/>
        </w:rPr>
      </w:pPr>
    </w:p>
    <w:p w:rsidR="006113B2" w:rsidRDefault="006113B2" w:rsidP="006113B2">
      <w:pPr>
        <w:pStyle w:val="SingleTxt"/>
      </w:pPr>
      <w:r>
        <w:t>22.</w:t>
      </w:r>
      <w:r>
        <w:tab/>
        <w:t>The Committee notes that the State party has strengthened its policy and institutional framework for combating trafficking in persons by adopting a national programme in this regard. Nevertheless, the Committee notes with concern:</w:t>
      </w:r>
      <w:r w:rsidR="007E3DFC">
        <w:t xml:space="preserve"> </w:t>
      </w:r>
    </w:p>
    <w:p w:rsidR="006113B2" w:rsidRDefault="007E3DFC" w:rsidP="006113B2">
      <w:pPr>
        <w:pStyle w:val="SingleTxt"/>
      </w:pPr>
      <w:r>
        <w:tab/>
      </w:r>
      <w:r w:rsidR="006113B2">
        <w:t>(a)</w:t>
      </w:r>
      <w:r w:rsidR="006113B2">
        <w:tab/>
        <w:t>That the State party is used as a country of origin, transit country and country of destination for trafficking in women, mainly women from Bolivia (Plurinational State of), Brazil, the Dominican Republic, Paraguay and Peru;</w:t>
      </w:r>
      <w:r>
        <w:t xml:space="preserve"> </w:t>
      </w:r>
    </w:p>
    <w:p w:rsidR="006113B2" w:rsidRDefault="007E3DFC" w:rsidP="006113B2">
      <w:pPr>
        <w:pStyle w:val="SingleTxt"/>
      </w:pPr>
      <w:r>
        <w:tab/>
      </w:r>
      <w:r w:rsidR="006113B2">
        <w:t>(b)</w:t>
      </w:r>
      <w:r w:rsidR="006113B2">
        <w:tab/>
        <w:t>The lack of harmonization of provincial and federal legislation criminalizing trafficking in persons for purposes of forced labour and forced prostitution, which causes delays in prosecuting and sentencing traffickers;</w:t>
      </w:r>
      <w:r>
        <w:t xml:space="preserve"> </w:t>
      </w:r>
    </w:p>
    <w:p w:rsidR="006113B2" w:rsidRDefault="007E3DFC" w:rsidP="006113B2">
      <w:pPr>
        <w:pStyle w:val="SingleTxt"/>
      </w:pPr>
      <w:r>
        <w:tab/>
      </w:r>
      <w:r w:rsidR="006113B2">
        <w:t>(c)</w:t>
      </w:r>
      <w:r w:rsidR="006113B2">
        <w:tab/>
        <w:t xml:space="preserve">The lack of information on a gender-sensitive approach in the identification of victims of trafficking and forms of exploitation; </w:t>
      </w:r>
    </w:p>
    <w:p w:rsidR="006113B2" w:rsidRDefault="007E3DFC" w:rsidP="006113B2">
      <w:pPr>
        <w:pStyle w:val="SingleTxt"/>
      </w:pPr>
      <w:r>
        <w:tab/>
      </w:r>
      <w:r w:rsidR="006113B2">
        <w:t>(d)</w:t>
      </w:r>
      <w:r w:rsidR="006113B2">
        <w:tab/>
        <w:t xml:space="preserve">The reported cases of complicity of public officials in cases of sex trafficking and exploitation of prostitution; </w:t>
      </w:r>
    </w:p>
    <w:p w:rsidR="006113B2" w:rsidRDefault="007E3DFC" w:rsidP="006113B2">
      <w:pPr>
        <w:pStyle w:val="SingleTxt"/>
      </w:pPr>
      <w:r>
        <w:tab/>
      </w:r>
      <w:r w:rsidR="006113B2">
        <w:t>(e)</w:t>
      </w:r>
      <w:r w:rsidR="006113B2">
        <w:tab/>
        <w:t>The existence of girls in prostitution, in addition to the lack of effective prevention policies and measures to investigate, prosecute and convict all perpetrators involved in the prostitution of girls.</w:t>
      </w:r>
      <w:r>
        <w:t xml:space="preserve"> </w:t>
      </w:r>
    </w:p>
    <w:p w:rsidR="006113B2" w:rsidRPr="007E3DFC" w:rsidRDefault="006113B2" w:rsidP="006113B2">
      <w:pPr>
        <w:pStyle w:val="SingleTxt"/>
        <w:rPr>
          <w:b/>
          <w:bCs/>
        </w:rPr>
      </w:pPr>
      <w:r>
        <w:t>23.</w:t>
      </w:r>
      <w:r>
        <w:tab/>
      </w:r>
      <w:r w:rsidRPr="007E3DFC">
        <w:rPr>
          <w:b/>
          <w:bCs/>
        </w:rPr>
        <w:t>The Committee recommends that the State party:</w:t>
      </w:r>
      <w:r w:rsidR="007E3DFC">
        <w:rPr>
          <w:b/>
          <w:bCs/>
        </w:rPr>
        <w:t xml:space="preserve"> </w:t>
      </w:r>
    </w:p>
    <w:p w:rsidR="006113B2" w:rsidRPr="007E3DFC" w:rsidRDefault="007E3DFC" w:rsidP="006113B2">
      <w:pPr>
        <w:pStyle w:val="SingleTxt"/>
        <w:rPr>
          <w:b/>
          <w:bCs/>
        </w:rPr>
      </w:pPr>
      <w:r>
        <w:tab/>
      </w:r>
      <w:r w:rsidR="006113B2">
        <w:t>(a)</w:t>
      </w:r>
      <w:r w:rsidR="006113B2">
        <w:tab/>
      </w:r>
      <w:r w:rsidR="006113B2" w:rsidRPr="007E3DFC">
        <w:rPr>
          <w:b/>
          <w:bCs/>
        </w:rPr>
        <w:t>Effectively implement the National Programme to Combat Trafficking and Exploitation and Protect and Assist the Victims Thereof and collect and analyse disaggregated data on both internal and cross-border trafficking in and exploitation of women in prostitution;</w:t>
      </w:r>
      <w:r>
        <w:rPr>
          <w:b/>
          <w:bCs/>
        </w:rPr>
        <w:t xml:space="preserve"> </w:t>
      </w:r>
    </w:p>
    <w:p w:rsidR="006113B2" w:rsidRPr="007E3DFC" w:rsidRDefault="007E3DFC" w:rsidP="006113B2">
      <w:pPr>
        <w:pStyle w:val="SingleTxt"/>
        <w:rPr>
          <w:b/>
          <w:bCs/>
        </w:rPr>
      </w:pPr>
      <w:r>
        <w:tab/>
      </w:r>
      <w:r w:rsidR="006113B2">
        <w:t>(b)</w:t>
      </w:r>
      <w:r w:rsidR="006113B2">
        <w:tab/>
      </w:r>
      <w:r w:rsidR="006113B2" w:rsidRPr="007E3DFC">
        <w:rPr>
          <w:b/>
          <w:bCs/>
        </w:rPr>
        <w:t>Expeditiously harmonize legislation criminalizing trafficking at all levels of jurisdiction and align provincial and municipal norms and practices with federal and international standards concerning trafficking in persons and exploitation of prostitution;</w:t>
      </w:r>
      <w:r>
        <w:rPr>
          <w:b/>
          <w:bCs/>
        </w:rPr>
        <w:t xml:space="preserve"> </w:t>
      </w:r>
    </w:p>
    <w:p w:rsidR="006113B2" w:rsidRPr="007E3DFC" w:rsidRDefault="007E3DFC" w:rsidP="006113B2">
      <w:pPr>
        <w:pStyle w:val="SingleTxt"/>
        <w:rPr>
          <w:b/>
          <w:bCs/>
        </w:rPr>
      </w:pPr>
      <w:r>
        <w:tab/>
      </w:r>
      <w:r w:rsidR="006113B2">
        <w:t>(c)</w:t>
      </w:r>
      <w:r w:rsidR="006113B2">
        <w:tab/>
      </w:r>
      <w:r w:rsidR="006113B2" w:rsidRPr="007E3DFC">
        <w:rPr>
          <w:b/>
          <w:bCs/>
        </w:rPr>
        <w:t>Build the capacity of the judiciary and the police to conduct, in a gender-sensitive manner, investigations of cases involving trafficking and exploitation of prostitution, strictly apply existing criminal law provisions to prosecute and adequately punish perpetrators and intensify efforts aimed at bilateral, regional and international cooperation to prevent trafficking, including by exchanging information and harmonizing legal procedures to prosecute traffickers, especially in States of origin;</w:t>
      </w:r>
      <w:r>
        <w:rPr>
          <w:b/>
          <w:bCs/>
        </w:rPr>
        <w:t xml:space="preserve"> </w:t>
      </w:r>
    </w:p>
    <w:p w:rsidR="006113B2" w:rsidRPr="007E3DFC" w:rsidRDefault="007E3DFC" w:rsidP="006113B2">
      <w:pPr>
        <w:pStyle w:val="SingleTxt"/>
        <w:rPr>
          <w:b/>
          <w:bCs/>
        </w:rPr>
      </w:pPr>
      <w:r>
        <w:tab/>
      </w:r>
      <w:r w:rsidR="006113B2">
        <w:t>(d)</w:t>
      </w:r>
      <w:r w:rsidR="006113B2">
        <w:tab/>
      </w:r>
      <w:r w:rsidR="006113B2" w:rsidRPr="007E3DFC">
        <w:rPr>
          <w:b/>
          <w:bCs/>
        </w:rPr>
        <w:t xml:space="preserve">Establish a referral and identification mechanism, increase funding for shelters and provide counselling, rehabilitation services and psychosocial assistance for women and girls who are victims of trafficking and exploitation of prostitution; </w:t>
      </w:r>
    </w:p>
    <w:p w:rsidR="006113B2" w:rsidRPr="004663E4" w:rsidRDefault="007E3DFC" w:rsidP="004663E4">
      <w:pPr>
        <w:pStyle w:val="SingleTxt"/>
        <w:rPr>
          <w:b/>
          <w:bCs/>
        </w:rPr>
      </w:pPr>
      <w:r>
        <w:tab/>
      </w:r>
      <w:r w:rsidR="006113B2">
        <w:t>(e)</w:t>
      </w:r>
      <w:r w:rsidR="006113B2">
        <w:tab/>
      </w:r>
      <w:r w:rsidR="006113B2" w:rsidRPr="007E3DFC">
        <w:rPr>
          <w:b/>
          <w:bCs/>
        </w:rPr>
        <w:t xml:space="preserve">Combat the entry of girls into prostitution and their exploitation, including by addressing poverty as one of its causes, and investigate, prosecute and convict all perpetrators involved, including those on the demand side. </w:t>
      </w:r>
    </w:p>
    <w:p w:rsidR="006113B2" w:rsidRDefault="006113B2" w:rsidP="006113B2">
      <w:pPr>
        <w:pStyle w:val="SingleTxt"/>
      </w:pPr>
      <w:r>
        <w:t>24.</w:t>
      </w:r>
      <w:r>
        <w:tab/>
        <w:t>The Committee is further concerned about the insufficient structural measures for promoting the economic empowerment of women and girls, given that that economic empowerment could prevent their engagement in prostitution as their main income-generating activity, and about the absence of exit programmes for women who wish to leave prostitution.</w:t>
      </w:r>
      <w:r w:rsidR="004663E4">
        <w:t xml:space="preserve"> </w:t>
      </w:r>
    </w:p>
    <w:p w:rsidR="006113B2" w:rsidRPr="004663E4" w:rsidRDefault="006113B2" w:rsidP="006113B2">
      <w:pPr>
        <w:pStyle w:val="SingleTxt"/>
        <w:rPr>
          <w:b/>
          <w:bCs/>
        </w:rPr>
      </w:pPr>
      <w:r>
        <w:t>25.</w:t>
      </w:r>
      <w:r>
        <w:tab/>
      </w:r>
      <w:r w:rsidRPr="004663E4">
        <w:rPr>
          <w:b/>
          <w:bCs/>
        </w:rPr>
        <w:t>The Committee recommends that the economic empowerment of women be enhanced by strengthening income-generating opportunities and that exit programmes be provided for women who wish to leave prostitution.</w:t>
      </w:r>
      <w:r w:rsidR="004663E4">
        <w:rPr>
          <w:b/>
          <w:bCs/>
        </w:rPr>
        <w:t xml:space="preserve"> </w:t>
      </w:r>
    </w:p>
    <w:p w:rsidR="004663E4" w:rsidRPr="004663E4" w:rsidRDefault="004663E4" w:rsidP="004663E4">
      <w:pPr>
        <w:pStyle w:val="SingleTxt"/>
        <w:spacing w:after="0" w:line="120" w:lineRule="exact"/>
        <w:rPr>
          <w:sz w:val="10"/>
        </w:rPr>
      </w:pPr>
    </w:p>
    <w:p w:rsidR="006113B2" w:rsidRDefault="006113B2" w:rsidP="00466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r w:rsidR="004663E4">
        <w:t xml:space="preserve"> </w:t>
      </w:r>
    </w:p>
    <w:p w:rsidR="004663E4" w:rsidRPr="004663E4" w:rsidRDefault="004663E4" w:rsidP="004663E4">
      <w:pPr>
        <w:pStyle w:val="SingleTxt"/>
        <w:spacing w:after="0" w:line="120" w:lineRule="exact"/>
        <w:rPr>
          <w:sz w:val="10"/>
          <w:lang w:val="en-US"/>
        </w:rPr>
      </w:pPr>
    </w:p>
    <w:p w:rsidR="006113B2" w:rsidRDefault="006113B2" w:rsidP="006113B2">
      <w:pPr>
        <w:pStyle w:val="SingleTxt"/>
      </w:pPr>
      <w:r>
        <w:t>26.</w:t>
      </w:r>
      <w:r>
        <w:tab/>
        <w:t>The Committee takes note of the advances in the representation of women in several areas, including in the National Congress and the judiciary. The Committee welcomes the draft legislation approved by the Senate that establishes gender parity for appointments at the national level. The Committee also welcomes the approval by the Chamber of Deputies of the draft bill establishing parity for political party lists, beginning in 2017. It also observes that some provinces, including Córdoba, Santiago del Estero, Río Negro and Buenos Aires, have adopted legislation requiring such parity. Nevertheless, the Committee remains concerned about:</w:t>
      </w:r>
      <w:r w:rsidR="004663E4">
        <w:t xml:space="preserve"> </w:t>
      </w:r>
    </w:p>
    <w:p w:rsidR="006113B2" w:rsidRDefault="004663E4" w:rsidP="006113B2">
      <w:pPr>
        <w:pStyle w:val="SingleTxt"/>
      </w:pPr>
      <w:r>
        <w:tab/>
      </w:r>
      <w:r w:rsidR="006113B2">
        <w:t>(a)</w:t>
      </w:r>
      <w:r w:rsidR="006113B2">
        <w:tab/>
        <w:t xml:space="preserve">The underrepresentation of women in trade unions, in the executive branch, especially in decision-making positions, and in the private sector and as heads of provincial and municipal administrations; </w:t>
      </w:r>
    </w:p>
    <w:p w:rsidR="006113B2" w:rsidRDefault="004663E4" w:rsidP="006113B2">
      <w:pPr>
        <w:pStyle w:val="SingleTxt"/>
      </w:pPr>
      <w:r>
        <w:tab/>
      </w:r>
      <w:r w:rsidR="006113B2">
        <w:t>(b)</w:t>
      </w:r>
      <w:r w:rsidR="006113B2">
        <w:tab/>
        <w:t>Barriers faced by women in political and public life, such as unequal distribution of child-raising and household tasks between women and men, violence and harassment against women engaged in political life and patriarchal structures within political parties.</w:t>
      </w:r>
      <w:r>
        <w:t xml:space="preserve"> </w:t>
      </w:r>
    </w:p>
    <w:p w:rsidR="006113B2" w:rsidRPr="004663E4" w:rsidRDefault="006113B2" w:rsidP="006113B2">
      <w:pPr>
        <w:pStyle w:val="SingleTxt"/>
        <w:rPr>
          <w:b/>
          <w:bCs/>
        </w:rPr>
      </w:pPr>
      <w:r>
        <w:t>27.</w:t>
      </w:r>
      <w:r>
        <w:tab/>
      </w:r>
      <w:r w:rsidRPr="004663E4">
        <w:rPr>
          <w:b/>
          <w:bCs/>
        </w:rPr>
        <w:t>The Committee recommends that the State party:</w:t>
      </w:r>
      <w:r w:rsidR="004663E4">
        <w:rPr>
          <w:b/>
          <w:bCs/>
        </w:rPr>
        <w:t xml:space="preserve"> </w:t>
      </w:r>
    </w:p>
    <w:p w:rsidR="006113B2" w:rsidRPr="004663E4" w:rsidRDefault="004663E4" w:rsidP="006113B2">
      <w:pPr>
        <w:pStyle w:val="SingleTxt"/>
        <w:rPr>
          <w:b/>
          <w:bCs/>
        </w:rPr>
      </w:pPr>
      <w:r>
        <w:tab/>
      </w:r>
      <w:r w:rsidR="006113B2">
        <w:t>(a)</w:t>
      </w:r>
      <w:r w:rsidR="006113B2">
        <w:tab/>
      </w:r>
      <w:r w:rsidR="006113B2" w:rsidRPr="004663E4">
        <w:rPr>
          <w:b/>
          <w:bCs/>
        </w:rPr>
        <w:t xml:space="preserve">Approve the draft bills establishing gender parity in the executive branch (No. </w:t>
      </w:r>
      <w:r w:rsidR="006113B2" w:rsidRPr="00872773">
        <w:rPr>
          <w:b/>
          <w:bCs/>
        </w:rPr>
        <w:t>485/15</w:t>
      </w:r>
      <w:r w:rsidR="006113B2" w:rsidRPr="004663E4">
        <w:rPr>
          <w:b/>
          <w:bCs/>
        </w:rPr>
        <w:t xml:space="preserve">), in the Supreme Court (Nos. 474-D-2015, 169-D-2016, 403-D-2016, 905-D-2016 and 1091-D-2016) and in elective positions (Nos. 1655-D-2015, 1198/16, 1192/16, 1063/16, 1032/16 and </w:t>
      </w:r>
      <w:r w:rsidR="006113B2" w:rsidRPr="00872773">
        <w:rPr>
          <w:b/>
          <w:bCs/>
        </w:rPr>
        <w:t>488/16</w:t>
      </w:r>
      <w:r w:rsidR="006113B2" w:rsidRPr="004663E4">
        <w:rPr>
          <w:b/>
          <w:bCs/>
        </w:rPr>
        <w:t xml:space="preserve">); </w:t>
      </w:r>
    </w:p>
    <w:p w:rsidR="006113B2" w:rsidRPr="004663E4" w:rsidRDefault="004663E4" w:rsidP="006113B2">
      <w:pPr>
        <w:pStyle w:val="SingleTxt"/>
        <w:rPr>
          <w:b/>
          <w:bCs/>
        </w:rPr>
      </w:pPr>
      <w:r>
        <w:tab/>
      </w:r>
      <w:r w:rsidR="006113B2">
        <w:t>(b)</w:t>
      </w:r>
      <w:r w:rsidR="006113B2">
        <w:tab/>
      </w:r>
      <w:r w:rsidR="006113B2" w:rsidRPr="004663E4">
        <w:rPr>
          <w:b/>
          <w:bCs/>
        </w:rPr>
        <w:t>Take measures to implement Act No. 25.674 of 28 November 2002 establishing a “female union quota” in order to ensure the representation of women in trade union positions and in the private sector;</w:t>
      </w:r>
      <w:r>
        <w:rPr>
          <w:b/>
          <w:bCs/>
        </w:rPr>
        <w:t xml:space="preserve"> </w:t>
      </w:r>
    </w:p>
    <w:p w:rsidR="006113B2" w:rsidRPr="004663E4" w:rsidRDefault="004663E4" w:rsidP="006113B2">
      <w:pPr>
        <w:pStyle w:val="SingleTxt"/>
        <w:rPr>
          <w:b/>
          <w:bCs/>
        </w:rPr>
      </w:pPr>
      <w:r>
        <w:tab/>
      </w:r>
      <w:r w:rsidR="006113B2">
        <w:t>(c)</w:t>
      </w:r>
      <w:r w:rsidR="006113B2">
        <w:tab/>
      </w:r>
      <w:r w:rsidR="006113B2" w:rsidRPr="004663E4">
        <w:rPr>
          <w:b/>
          <w:bCs/>
        </w:rPr>
        <w:t>Take measures to accelerate the full and equal participation of women in elected and appointed bodies of the provincial and municipal administrations by removing barriers faced by women in political and public lif</w:t>
      </w:r>
      <w:r>
        <w:rPr>
          <w:b/>
          <w:bCs/>
        </w:rPr>
        <w:t xml:space="preserve">e; </w:t>
      </w:r>
    </w:p>
    <w:p w:rsidR="006113B2" w:rsidRPr="004663E4" w:rsidRDefault="004663E4" w:rsidP="006113B2">
      <w:pPr>
        <w:pStyle w:val="SingleTxt"/>
        <w:rPr>
          <w:b/>
          <w:bCs/>
        </w:rPr>
      </w:pPr>
      <w:r>
        <w:tab/>
      </w:r>
      <w:r w:rsidR="006113B2">
        <w:t>(d)</w:t>
      </w:r>
      <w:r w:rsidR="006113B2">
        <w:tab/>
      </w:r>
      <w:r w:rsidR="006113B2" w:rsidRPr="004663E4">
        <w:rPr>
          <w:b/>
          <w:bCs/>
        </w:rPr>
        <w:t xml:space="preserve">Intensify awareness-raising campaigns for politicians, journalists, teachers and the general public to enhance the understanding that the full, equal, free and democratic participation of women on an equal basis with men in political and public life is a requirement for the full implementation of women’s human rights; </w:t>
      </w:r>
    </w:p>
    <w:p w:rsidR="006113B2" w:rsidRPr="004663E4" w:rsidRDefault="004663E4" w:rsidP="006113B2">
      <w:pPr>
        <w:pStyle w:val="SingleTxt"/>
        <w:rPr>
          <w:b/>
          <w:bCs/>
        </w:rPr>
      </w:pPr>
      <w:r>
        <w:tab/>
      </w:r>
      <w:r w:rsidR="006113B2">
        <w:t>(e)</w:t>
      </w:r>
      <w:r w:rsidR="006113B2">
        <w:tab/>
      </w:r>
      <w:r w:rsidR="006113B2" w:rsidRPr="004663E4">
        <w:rPr>
          <w:b/>
          <w:bCs/>
        </w:rPr>
        <w:t xml:space="preserve">Adopt measures to promote women candidates, such as financial support for campaigning, building capacity in campaign strategies, leadership and negotiation skills for women. </w:t>
      </w:r>
    </w:p>
    <w:p w:rsidR="004663E4" w:rsidRPr="004663E4" w:rsidRDefault="004663E4" w:rsidP="004663E4">
      <w:pPr>
        <w:pStyle w:val="SingleTxt"/>
        <w:spacing w:after="0" w:line="120" w:lineRule="exact"/>
        <w:rPr>
          <w:sz w:val="10"/>
        </w:rPr>
      </w:pPr>
    </w:p>
    <w:p w:rsidR="006113B2" w:rsidRDefault="006113B2" w:rsidP="00466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r w:rsidR="004663E4">
        <w:t xml:space="preserve"> </w:t>
      </w:r>
    </w:p>
    <w:p w:rsidR="004663E4" w:rsidRPr="004663E4" w:rsidRDefault="004663E4" w:rsidP="004663E4">
      <w:pPr>
        <w:pStyle w:val="SingleTxt"/>
        <w:spacing w:after="0" w:line="120" w:lineRule="exact"/>
        <w:rPr>
          <w:sz w:val="10"/>
        </w:rPr>
      </w:pPr>
    </w:p>
    <w:p w:rsidR="006113B2" w:rsidRDefault="006113B2" w:rsidP="006113B2">
      <w:pPr>
        <w:pStyle w:val="SingleTxt"/>
      </w:pPr>
      <w:r>
        <w:t>28.</w:t>
      </w:r>
      <w:r>
        <w:tab/>
        <w:t>The Committee commends the State party on the high literacy rate of 98 per cent for women and men above 15 years of age and takes note of the measures in the framework of the Progresar and the Conectar Igualdad programmes. Nevertheless, the Committee notes with concern:</w:t>
      </w:r>
      <w:r w:rsidR="004663E4">
        <w:t xml:space="preserve"> </w:t>
      </w:r>
    </w:p>
    <w:p w:rsidR="006113B2" w:rsidRDefault="004663E4" w:rsidP="006113B2">
      <w:pPr>
        <w:pStyle w:val="SingleTxt"/>
      </w:pPr>
      <w:r>
        <w:tab/>
      </w:r>
      <w:r w:rsidR="006113B2">
        <w:t>(a)</w:t>
      </w:r>
      <w:r w:rsidR="006113B2">
        <w:tab/>
        <w:t>The high number of girls dropping out of school owing to early pregnancy and the limited implementation of the National Comprehensive Sex Education Programme in the provinces;</w:t>
      </w:r>
      <w:r>
        <w:t xml:space="preserve"> </w:t>
      </w:r>
    </w:p>
    <w:p w:rsidR="006113B2" w:rsidRDefault="004663E4" w:rsidP="006113B2">
      <w:pPr>
        <w:pStyle w:val="SingleTxt"/>
      </w:pPr>
      <w:r>
        <w:tab/>
      </w:r>
      <w:r w:rsidR="006113B2">
        <w:t>(b)</w:t>
      </w:r>
      <w:r w:rsidR="006113B2">
        <w:tab/>
        <w:t>The underrepresentation of women and girls in traditionally male-dominated fields of study, such as mathematics, engineering and new information technologies;</w:t>
      </w:r>
      <w:r>
        <w:t xml:space="preserve"> </w:t>
      </w:r>
    </w:p>
    <w:p w:rsidR="006113B2" w:rsidRDefault="004663E4" w:rsidP="006113B2">
      <w:pPr>
        <w:pStyle w:val="SingleTxt"/>
      </w:pPr>
      <w:r>
        <w:tab/>
      </w:r>
      <w:r w:rsidR="006113B2">
        <w:t>(c)</w:t>
      </w:r>
      <w:r w:rsidR="006113B2">
        <w:tab/>
        <w:t>The low enrolment and the resulting high illiteracy rates among indigenous women and girls, owing to competing household and caretaking obligations, their recruitment as workers in hotels or as sex workers, and priority being accorded to the schooling of boys.</w:t>
      </w:r>
      <w:r>
        <w:t xml:space="preserve"> </w:t>
      </w:r>
    </w:p>
    <w:p w:rsidR="006113B2" w:rsidRPr="004663E4" w:rsidRDefault="006113B2" w:rsidP="006113B2">
      <w:pPr>
        <w:pStyle w:val="SingleTxt"/>
        <w:rPr>
          <w:b/>
          <w:bCs/>
        </w:rPr>
      </w:pPr>
      <w:r>
        <w:t>29.</w:t>
      </w:r>
      <w:r>
        <w:tab/>
      </w:r>
      <w:r w:rsidRPr="004663E4">
        <w:rPr>
          <w:b/>
          <w:bCs/>
        </w:rPr>
        <w:t>The Committee recommends that the State party:</w:t>
      </w:r>
      <w:r w:rsidR="004663E4" w:rsidRPr="004663E4">
        <w:rPr>
          <w:b/>
          <w:bCs/>
        </w:rPr>
        <w:t xml:space="preserve"> </w:t>
      </w:r>
    </w:p>
    <w:p w:rsidR="006113B2" w:rsidRPr="004663E4" w:rsidRDefault="004663E4" w:rsidP="006113B2">
      <w:pPr>
        <w:pStyle w:val="SingleTxt"/>
        <w:rPr>
          <w:b/>
          <w:bCs/>
        </w:rPr>
      </w:pPr>
      <w:r>
        <w:tab/>
      </w:r>
      <w:r w:rsidR="006113B2">
        <w:t>(a)</w:t>
      </w:r>
      <w:r w:rsidR="006113B2">
        <w:tab/>
      </w:r>
      <w:r w:rsidR="006113B2" w:rsidRPr="004663E4">
        <w:rPr>
          <w:b/>
          <w:bCs/>
        </w:rPr>
        <w:t>Ensure the implementation of Act No. 26.150 of 23 October 2006, creating the National Comprehensive Sex Education Programme in all provinces and its incorporation into the regular school curriculum, as well as the training of teachers to deliver the programme in an age-appropriate manner at all levels of education, aimed at promoting responsible sexual behaviour and preventing adolescent pregnancy and sexually transmitted diseases;</w:t>
      </w:r>
      <w:r>
        <w:rPr>
          <w:b/>
          <w:bCs/>
        </w:rPr>
        <w:t xml:space="preserve"> </w:t>
      </w:r>
    </w:p>
    <w:p w:rsidR="006113B2" w:rsidRPr="004663E4" w:rsidRDefault="004663E4" w:rsidP="006113B2">
      <w:pPr>
        <w:pStyle w:val="SingleTxt"/>
        <w:rPr>
          <w:b/>
          <w:bCs/>
        </w:rPr>
      </w:pPr>
      <w:r>
        <w:tab/>
      </w:r>
      <w:r w:rsidR="006113B2">
        <w:t>(b)</w:t>
      </w:r>
      <w:r w:rsidR="006113B2">
        <w:tab/>
      </w:r>
      <w:r w:rsidR="006113B2" w:rsidRPr="004663E4">
        <w:rPr>
          <w:b/>
          <w:bCs/>
        </w:rPr>
        <w:t>Facilitate re-entry into school for young mothers, including by granting scholarships;</w:t>
      </w:r>
      <w:r>
        <w:rPr>
          <w:b/>
          <w:bCs/>
        </w:rPr>
        <w:t xml:space="preserve"> </w:t>
      </w:r>
    </w:p>
    <w:p w:rsidR="006113B2" w:rsidRPr="004663E4" w:rsidRDefault="004663E4" w:rsidP="006113B2">
      <w:pPr>
        <w:pStyle w:val="SingleTxt"/>
        <w:rPr>
          <w:b/>
          <w:bCs/>
        </w:rPr>
      </w:pPr>
      <w:r>
        <w:tab/>
      </w:r>
      <w:r w:rsidR="006113B2">
        <w:t>(c)</w:t>
      </w:r>
      <w:r w:rsidR="006113B2">
        <w:tab/>
      </w:r>
      <w:r w:rsidR="006113B2" w:rsidRPr="004663E4">
        <w:rPr>
          <w:b/>
          <w:bCs/>
        </w:rPr>
        <w:t xml:space="preserve">Promote women’s and girls’ choice of non-traditional fields of study and career paths, such as mathematics, engineering and new information technologies, and other technical-vocational areas, including by providing career counselling and guidance; </w:t>
      </w:r>
    </w:p>
    <w:p w:rsidR="006113B2" w:rsidRPr="004663E4" w:rsidRDefault="004663E4" w:rsidP="006113B2">
      <w:pPr>
        <w:pStyle w:val="SingleTxt"/>
        <w:rPr>
          <w:b/>
          <w:bCs/>
        </w:rPr>
      </w:pPr>
      <w:r>
        <w:tab/>
      </w:r>
      <w:r w:rsidR="006113B2">
        <w:t>(d)</w:t>
      </w:r>
      <w:r w:rsidR="006113B2">
        <w:tab/>
      </w:r>
      <w:r w:rsidR="006113B2" w:rsidRPr="004663E4">
        <w:rPr>
          <w:b/>
          <w:bCs/>
        </w:rPr>
        <w:t>Adopt and implement targeted measures, including temporary special measures in line with article 4 (1) of the Convention and the Committee’s general recommendation No. 25, to accelerate equal access to all levels of education by indigenous girls and women and enhance school infrastructure in rural and remote areas to facilitate access to education.</w:t>
      </w:r>
      <w:r>
        <w:rPr>
          <w:b/>
          <w:bCs/>
        </w:rPr>
        <w:t xml:space="preserve"> </w:t>
      </w:r>
    </w:p>
    <w:p w:rsidR="004663E4" w:rsidRPr="004663E4" w:rsidRDefault="004663E4" w:rsidP="004663E4">
      <w:pPr>
        <w:pStyle w:val="SingleTxt"/>
        <w:spacing w:after="0" w:line="120" w:lineRule="exact"/>
        <w:rPr>
          <w:sz w:val="10"/>
        </w:rPr>
      </w:pPr>
    </w:p>
    <w:p w:rsidR="006113B2" w:rsidRDefault="006113B2" w:rsidP="00466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r w:rsidR="004663E4">
        <w:t xml:space="preserve"> </w:t>
      </w:r>
    </w:p>
    <w:p w:rsidR="004663E4" w:rsidRPr="004663E4" w:rsidRDefault="004663E4" w:rsidP="004663E4">
      <w:pPr>
        <w:pStyle w:val="SingleTxt"/>
        <w:spacing w:after="0" w:line="120" w:lineRule="exact"/>
        <w:rPr>
          <w:sz w:val="10"/>
        </w:rPr>
      </w:pPr>
    </w:p>
    <w:p w:rsidR="006113B2" w:rsidRDefault="006113B2" w:rsidP="006113B2">
      <w:pPr>
        <w:pStyle w:val="SingleTxt"/>
      </w:pPr>
      <w:r>
        <w:t>30.</w:t>
      </w:r>
      <w:r>
        <w:tab/>
        <w:t>The Committee is concerned about:</w:t>
      </w:r>
      <w:r w:rsidR="004663E4">
        <w:t xml:space="preserve"> </w:t>
      </w:r>
    </w:p>
    <w:p w:rsidR="006113B2" w:rsidRDefault="004663E4" w:rsidP="006113B2">
      <w:pPr>
        <w:pStyle w:val="SingleTxt"/>
      </w:pPr>
      <w:r>
        <w:tab/>
      </w:r>
      <w:r w:rsidR="006113B2">
        <w:t>(a)</w:t>
      </w:r>
      <w:r w:rsidR="006113B2">
        <w:tab/>
        <w:t>The persistent gender wage gap, especially in the private sector, which affects women with high lev</w:t>
      </w:r>
      <w:r>
        <w:t xml:space="preserve">els of education in particular; </w:t>
      </w:r>
    </w:p>
    <w:p w:rsidR="006113B2" w:rsidRDefault="004663E4" w:rsidP="006113B2">
      <w:pPr>
        <w:pStyle w:val="SingleTxt"/>
      </w:pPr>
      <w:r>
        <w:tab/>
      </w:r>
      <w:r w:rsidR="006113B2">
        <w:t>(b)</w:t>
      </w:r>
      <w:r w:rsidR="006113B2">
        <w:tab/>
        <w:t>The unemployment and concentration of women, in particular migrant women, in the informal sector of the economy;</w:t>
      </w:r>
      <w:r>
        <w:t xml:space="preserve"> </w:t>
      </w:r>
    </w:p>
    <w:p w:rsidR="006113B2" w:rsidRDefault="004663E4" w:rsidP="006113B2">
      <w:pPr>
        <w:pStyle w:val="SingleTxt"/>
      </w:pPr>
      <w:r>
        <w:tab/>
      </w:r>
      <w:r w:rsidR="006113B2">
        <w:t>(c)</w:t>
      </w:r>
      <w:r w:rsidR="006113B2">
        <w:tab/>
        <w:t>The lack of sex-disaggregated data on domestic work and the absence of monitoring mechanisms to oversee the working conditions of women domestic workers in compliance with mandatory laws;</w:t>
      </w:r>
      <w:r>
        <w:t xml:space="preserve"> </w:t>
      </w:r>
    </w:p>
    <w:p w:rsidR="006113B2" w:rsidRDefault="004663E4" w:rsidP="006113B2">
      <w:pPr>
        <w:pStyle w:val="SingleTxt"/>
      </w:pPr>
      <w:r>
        <w:tab/>
      </w:r>
      <w:r w:rsidR="006113B2">
        <w:t>(d)</w:t>
      </w:r>
      <w:r w:rsidR="006113B2">
        <w:tab/>
        <w:t>Women’s limited access to decision-making positions in private companies and the lack of measures in place to facilitate the conciliation of family and work life;</w:t>
      </w:r>
      <w:r>
        <w:t xml:space="preserve"> </w:t>
      </w:r>
    </w:p>
    <w:p w:rsidR="006113B2" w:rsidRDefault="004663E4" w:rsidP="006113B2">
      <w:pPr>
        <w:pStyle w:val="SingleTxt"/>
      </w:pPr>
      <w:r>
        <w:tab/>
      </w:r>
      <w:r w:rsidR="006113B2">
        <w:t>(e)</w:t>
      </w:r>
      <w:r w:rsidR="006113B2">
        <w:tab/>
        <w:t>The persistent exploitation of child labour in the State party, including in domestic work and in private sector businesses (e.g., bars and restaurants), and the lack of information about strategies at the provincial and municipal levels to combat child labour;</w:t>
      </w:r>
      <w:r>
        <w:t xml:space="preserve"> </w:t>
      </w:r>
    </w:p>
    <w:p w:rsidR="006113B2" w:rsidRDefault="004663E4" w:rsidP="006113B2">
      <w:pPr>
        <w:pStyle w:val="SingleTxt"/>
      </w:pPr>
      <w:r>
        <w:tab/>
      </w:r>
      <w:r w:rsidR="006113B2">
        <w:t>(f)</w:t>
      </w:r>
      <w:r w:rsidR="006113B2">
        <w:tab/>
        <w:t>The limited access to employment opportunities for women experiencing intersecting discrimination and social stigmatization, such as transgender women.</w:t>
      </w:r>
      <w:r>
        <w:t xml:space="preserve"> </w:t>
      </w:r>
    </w:p>
    <w:p w:rsidR="006113B2" w:rsidRDefault="006113B2" w:rsidP="00356AB9">
      <w:pPr>
        <w:pStyle w:val="SingleTxt"/>
        <w:keepNext/>
      </w:pPr>
      <w:r>
        <w:t>31.</w:t>
      </w:r>
      <w:r>
        <w:tab/>
      </w:r>
      <w:r w:rsidRPr="004663E4">
        <w:rPr>
          <w:b/>
          <w:bCs/>
        </w:rPr>
        <w:t>The Committee recommends that the State party:</w:t>
      </w:r>
      <w:r w:rsidR="004663E4">
        <w:t xml:space="preserve"> </w:t>
      </w:r>
    </w:p>
    <w:p w:rsidR="006113B2" w:rsidRPr="004663E4" w:rsidRDefault="004663E4" w:rsidP="006113B2">
      <w:pPr>
        <w:pStyle w:val="SingleTxt"/>
        <w:rPr>
          <w:b/>
          <w:bCs/>
        </w:rPr>
      </w:pPr>
      <w:r>
        <w:tab/>
      </w:r>
      <w:r w:rsidR="006113B2">
        <w:t>(a)</w:t>
      </w:r>
      <w:r w:rsidR="006113B2">
        <w:tab/>
      </w:r>
      <w:r w:rsidR="006113B2" w:rsidRPr="004663E4">
        <w:rPr>
          <w:b/>
          <w:bCs/>
        </w:rPr>
        <w:t>Apply the principle of equal pay for work of equal value, together with gender-neutral analytical job classification, evaluation methods and regular pay surveys;</w:t>
      </w:r>
      <w:r>
        <w:rPr>
          <w:b/>
          <w:bCs/>
        </w:rPr>
        <w:t xml:space="preserve"> </w:t>
      </w:r>
    </w:p>
    <w:p w:rsidR="006113B2" w:rsidRPr="004663E4" w:rsidRDefault="004663E4" w:rsidP="006113B2">
      <w:pPr>
        <w:pStyle w:val="SingleTxt"/>
        <w:rPr>
          <w:b/>
          <w:bCs/>
        </w:rPr>
      </w:pPr>
      <w:r>
        <w:tab/>
      </w:r>
      <w:r w:rsidR="006113B2">
        <w:t>(b)</w:t>
      </w:r>
      <w:r w:rsidR="006113B2">
        <w:tab/>
      </w:r>
      <w:r w:rsidR="006113B2" w:rsidRPr="004663E4">
        <w:rPr>
          <w:b/>
          <w:bCs/>
        </w:rPr>
        <w:t xml:space="preserve">Create more opportunities for women, including migrant women, to gain access to formal employment, in particular by promoting the equal sharing of domestic and family responsibilities between men and women, providing sufficient and adequate childcare facilities and strengthening incentives for men to exercise their right to parental leave, and adopt a time-bound plan to implement the Transition from the Informal to the Formal Economy Recommendation, 2015 (No. 204), of the International Labour Organization, with a view to facilitating women’s access to the formal economy; </w:t>
      </w:r>
    </w:p>
    <w:p w:rsidR="006113B2" w:rsidRDefault="004663E4" w:rsidP="006113B2">
      <w:pPr>
        <w:pStyle w:val="SingleTxt"/>
      </w:pPr>
      <w:r>
        <w:tab/>
      </w:r>
      <w:r w:rsidR="006113B2">
        <w:t>(c)</w:t>
      </w:r>
      <w:r w:rsidR="006113B2">
        <w:tab/>
      </w:r>
      <w:r w:rsidR="006113B2" w:rsidRPr="004663E4">
        <w:rPr>
          <w:b/>
          <w:bCs/>
        </w:rPr>
        <w:t>Monitor the working conditions of women domestic workers, including through regular inspections of private households, and ensure that women domestic workers are covered by social security schemes;</w:t>
      </w:r>
      <w:r w:rsidR="006113B2">
        <w:t xml:space="preserve"> </w:t>
      </w:r>
    </w:p>
    <w:p w:rsidR="006113B2" w:rsidRDefault="004663E4" w:rsidP="006113B2">
      <w:pPr>
        <w:pStyle w:val="SingleTxt"/>
      </w:pPr>
      <w:r>
        <w:tab/>
      </w:r>
      <w:r w:rsidR="006113B2">
        <w:t>(d)</w:t>
      </w:r>
      <w:r w:rsidR="006113B2">
        <w:tab/>
      </w:r>
      <w:r w:rsidR="006113B2" w:rsidRPr="00285506">
        <w:rPr>
          <w:b/>
          <w:bCs/>
        </w:rPr>
        <w:t>Collect information on the representation of women in the private sector, design strategies to promote women in decision-making positions by training them in management skills and adopt legislative and non-legislative measures to facilitate the conciliation of work and care responsibilities, such as promoting flexitime arrangements;</w:t>
      </w:r>
      <w:r w:rsidR="00285506">
        <w:rPr>
          <w:b/>
          <w:bCs/>
        </w:rPr>
        <w:t xml:space="preserve"> </w:t>
      </w:r>
    </w:p>
    <w:p w:rsidR="006113B2" w:rsidRDefault="00285506" w:rsidP="006113B2">
      <w:pPr>
        <w:pStyle w:val="SingleTxt"/>
      </w:pPr>
      <w:r>
        <w:tab/>
      </w:r>
      <w:r w:rsidR="006113B2">
        <w:t>(e)</w:t>
      </w:r>
      <w:r w:rsidR="006113B2">
        <w:tab/>
      </w:r>
      <w:r w:rsidR="006113B2" w:rsidRPr="00285506">
        <w:rPr>
          <w:b/>
          <w:bCs/>
        </w:rPr>
        <w:t>Undertake a new survey on child labour, strictly enforce legislation on the minimum age of work and conduct awareness-raising campaigns to tackle child labour, in particular the domestic work of girls;</w:t>
      </w:r>
      <w:r w:rsidR="006113B2">
        <w:t xml:space="preserve"> </w:t>
      </w:r>
    </w:p>
    <w:p w:rsidR="006113B2" w:rsidRDefault="00285506" w:rsidP="006113B2">
      <w:pPr>
        <w:pStyle w:val="SingleTxt"/>
      </w:pPr>
      <w:r>
        <w:tab/>
      </w:r>
      <w:r w:rsidR="006113B2">
        <w:t>(f)</w:t>
      </w:r>
      <w:r w:rsidR="006113B2">
        <w:tab/>
      </w:r>
      <w:r w:rsidR="006113B2" w:rsidRPr="00285506">
        <w:rPr>
          <w:b/>
          <w:bCs/>
        </w:rPr>
        <w:t>Accelerate the adoption of programmes at the national, provincial and municipal levels to promote access to employment opportunities for women who experience intersecting social stigma and discrimination;</w:t>
      </w:r>
      <w:r w:rsidR="006113B2">
        <w:t xml:space="preserve"> </w:t>
      </w:r>
    </w:p>
    <w:p w:rsidR="006113B2" w:rsidRDefault="00285506" w:rsidP="006113B2">
      <w:pPr>
        <w:pStyle w:val="SingleTxt"/>
      </w:pPr>
      <w:r>
        <w:tab/>
      </w:r>
      <w:r w:rsidR="006113B2">
        <w:t>(g)</w:t>
      </w:r>
      <w:r w:rsidR="006113B2">
        <w:tab/>
      </w:r>
      <w:r w:rsidR="006113B2" w:rsidRPr="00285506">
        <w:rPr>
          <w:b/>
          <w:bCs/>
        </w:rPr>
        <w:t>Spread to other provinces and municipal areas the good practices on employment of transgender women carried out in the Province of Buenos Aires.</w:t>
      </w:r>
      <w:r w:rsidR="006113B2">
        <w:t xml:space="preserve"> </w:t>
      </w:r>
    </w:p>
    <w:p w:rsidR="00285506" w:rsidRPr="00285506" w:rsidRDefault="00285506" w:rsidP="00285506">
      <w:pPr>
        <w:pStyle w:val="SingleTxt"/>
        <w:spacing w:after="0" w:line="120" w:lineRule="exact"/>
        <w:rPr>
          <w:sz w:val="10"/>
        </w:rPr>
      </w:pPr>
    </w:p>
    <w:p w:rsidR="006113B2" w:rsidRDefault="006113B2" w:rsidP="00285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r w:rsidR="00285506">
        <w:t xml:space="preserve"> </w:t>
      </w:r>
    </w:p>
    <w:p w:rsidR="00285506" w:rsidRPr="00285506" w:rsidRDefault="00285506" w:rsidP="00285506">
      <w:pPr>
        <w:pStyle w:val="SingleTxt"/>
        <w:spacing w:after="0" w:line="120" w:lineRule="exact"/>
        <w:rPr>
          <w:sz w:val="10"/>
        </w:rPr>
      </w:pPr>
    </w:p>
    <w:p w:rsidR="006113B2" w:rsidRDefault="006113B2" w:rsidP="006113B2">
      <w:pPr>
        <w:pStyle w:val="SingleTxt"/>
      </w:pPr>
      <w:r>
        <w:t>32.</w:t>
      </w:r>
      <w:r>
        <w:tab/>
        <w:t xml:space="preserve">The Committee acknowledges the measures adopted by the State party in the framework of the National Sexual Health and Responsible Parenthood Programme and welcomes the adoption in 2013 of Act No. 26.862 on assisted fertilization and the adoption in 2015 of a guide for the comprehensive health care of transgender persons. It also notes the action taken to prevent HIV/AIDS and sexually transmitted diseases, including the delivery of antiretroviral medication. Nevertheless, the Committee is deeply concerned about the stagnation of the maternal mortality rate, attributable in part to unsafe abortions, the limited access to legal abortion (contrary to the legislation and the decision taken by the Supreme Court in 2012), the frequent refusal of doctors to perform an abortion based on conscientious objection and cases involving the prosecution of women who have undergone abortions. </w:t>
      </w:r>
    </w:p>
    <w:p w:rsidR="006113B2" w:rsidRPr="00285506" w:rsidRDefault="006113B2" w:rsidP="00356AB9">
      <w:pPr>
        <w:pStyle w:val="SingleTxt"/>
        <w:keepNext/>
        <w:rPr>
          <w:b/>
          <w:bCs/>
        </w:rPr>
      </w:pPr>
      <w:r>
        <w:t>33.</w:t>
      </w:r>
      <w:r>
        <w:tab/>
      </w:r>
      <w:r w:rsidRPr="00285506">
        <w:rPr>
          <w:b/>
          <w:bCs/>
        </w:rPr>
        <w:t>The Committee urges the State party:</w:t>
      </w:r>
      <w:r w:rsidR="00285506">
        <w:rPr>
          <w:b/>
          <w:bCs/>
        </w:rPr>
        <w:t xml:space="preserve"> </w:t>
      </w:r>
    </w:p>
    <w:p w:rsidR="006113B2" w:rsidRPr="00285506" w:rsidRDefault="00285506" w:rsidP="006113B2">
      <w:pPr>
        <w:pStyle w:val="SingleTxt"/>
        <w:rPr>
          <w:b/>
          <w:bCs/>
        </w:rPr>
      </w:pPr>
      <w:r>
        <w:tab/>
      </w:r>
      <w:r w:rsidR="006113B2">
        <w:t>(a)</w:t>
      </w:r>
      <w:r w:rsidR="006113B2">
        <w:tab/>
      </w:r>
      <w:r w:rsidR="006113B2" w:rsidRPr="00285506">
        <w:rPr>
          <w:b/>
          <w:bCs/>
        </w:rPr>
        <w:t>To reduce the maternal mortality rate, ensuring that women have access to appropriate services, including emergency obstetric services, in connection with pregnancy, including antenatal, maternity and postnatal services, and increase the budgetary allocations for the provision of gynaecological and obstetric services in rural and remote areas;</w:t>
      </w:r>
      <w:r>
        <w:rPr>
          <w:b/>
          <w:bCs/>
        </w:rPr>
        <w:t xml:space="preserve"> </w:t>
      </w:r>
    </w:p>
    <w:p w:rsidR="006113B2" w:rsidRPr="00285506" w:rsidRDefault="00285506" w:rsidP="006113B2">
      <w:pPr>
        <w:pStyle w:val="SingleTxt"/>
        <w:rPr>
          <w:b/>
          <w:bCs/>
        </w:rPr>
      </w:pPr>
      <w:r>
        <w:tab/>
      </w:r>
      <w:r w:rsidR="006113B2">
        <w:t xml:space="preserve">(b) </w:t>
      </w:r>
      <w:r>
        <w:tab/>
      </w:r>
      <w:r w:rsidRPr="00285506">
        <w:rPr>
          <w:b/>
          <w:bCs/>
        </w:rPr>
        <w:t xml:space="preserve">To </w:t>
      </w:r>
      <w:r w:rsidR="006113B2" w:rsidRPr="00285506">
        <w:rPr>
          <w:b/>
          <w:bCs/>
        </w:rPr>
        <w:t xml:space="preserve">initiate accountability procedures to ensure that all provinces approve protocols on the practice of non-punishable abortion, in line with the decision of the Supreme Court in 2012 and the national protocol for the comprehensive care of persons entitled to legal interruption of pregnancy; </w:t>
      </w:r>
    </w:p>
    <w:p w:rsidR="006113B2" w:rsidRPr="00285506" w:rsidRDefault="00285506" w:rsidP="006113B2">
      <w:pPr>
        <w:pStyle w:val="SingleTxt"/>
        <w:rPr>
          <w:b/>
          <w:bCs/>
        </w:rPr>
      </w:pPr>
      <w:r>
        <w:tab/>
      </w:r>
      <w:r w:rsidR="006113B2">
        <w:t xml:space="preserve">(c) </w:t>
      </w:r>
      <w:r>
        <w:tab/>
      </w:r>
      <w:r w:rsidRPr="00285506">
        <w:rPr>
          <w:b/>
          <w:bCs/>
        </w:rPr>
        <w:t xml:space="preserve">To </w:t>
      </w:r>
      <w:r w:rsidR="006113B2" w:rsidRPr="00285506">
        <w:rPr>
          <w:b/>
          <w:bCs/>
        </w:rPr>
        <w:t xml:space="preserve">ensure that women have access to safe legal abortion and post-abortion services and define and apply strict justification requirements to prevent the blanket use of conscientious objection by doctors refusing to perform abortions, considering in particular the situation of early pregnancy as a result of rape and incest that may amount to torture; </w:t>
      </w:r>
    </w:p>
    <w:p w:rsidR="006113B2" w:rsidRPr="00285506" w:rsidRDefault="00285506" w:rsidP="006113B2">
      <w:pPr>
        <w:pStyle w:val="SingleTxt"/>
        <w:rPr>
          <w:b/>
          <w:bCs/>
        </w:rPr>
      </w:pPr>
      <w:r>
        <w:tab/>
      </w:r>
      <w:r w:rsidR="006113B2">
        <w:t>(d)</w:t>
      </w:r>
      <w:r w:rsidR="006113B2">
        <w:tab/>
      </w:r>
      <w:r w:rsidR="006113B2" w:rsidRPr="00285506">
        <w:rPr>
          <w:b/>
          <w:bCs/>
        </w:rPr>
        <w:t>To accelerate the adoption of the bill for the voluntary interruption of pregnancy increasing legal access to abortion, not only in cases of rape and risk to the life or health of the pregnant woman but also other circumstances such as incest and when there is a risk of severe fetal impairment.</w:t>
      </w:r>
      <w:r>
        <w:rPr>
          <w:b/>
          <w:bCs/>
        </w:rPr>
        <w:t xml:space="preserve"> </w:t>
      </w:r>
    </w:p>
    <w:p w:rsidR="006113B2" w:rsidRDefault="006113B2" w:rsidP="006113B2">
      <w:pPr>
        <w:pStyle w:val="SingleTxt"/>
      </w:pPr>
      <w:r>
        <w:t>34.</w:t>
      </w:r>
      <w:r>
        <w:tab/>
        <w:t>The Committee is further concerned about:</w:t>
      </w:r>
      <w:r w:rsidR="00285506">
        <w:t xml:space="preserve"> </w:t>
      </w:r>
    </w:p>
    <w:p w:rsidR="006113B2" w:rsidRDefault="00285506" w:rsidP="006113B2">
      <w:pPr>
        <w:pStyle w:val="SingleTxt"/>
      </w:pPr>
      <w:r>
        <w:tab/>
      </w:r>
      <w:r w:rsidR="006113B2">
        <w:t>(a)</w:t>
      </w:r>
      <w:r w:rsidR="006113B2">
        <w:tab/>
        <w:t>The high rate of early pregnancy in the State party;</w:t>
      </w:r>
      <w:r>
        <w:t xml:space="preserve"> </w:t>
      </w:r>
    </w:p>
    <w:p w:rsidR="006113B2" w:rsidRDefault="00285506" w:rsidP="006113B2">
      <w:pPr>
        <w:pStyle w:val="SingleTxt"/>
      </w:pPr>
      <w:r>
        <w:tab/>
      </w:r>
      <w:r w:rsidR="006113B2">
        <w:t>(b)</w:t>
      </w:r>
      <w:r w:rsidR="006113B2">
        <w:tab/>
        <w:t>The limited access to mental health services, in particular for women living in rural areas and women with low incomes, and the regional disparities in the implementation of the Mental Health Act (Act No. 26.657), which provides for the deinstitutionalization, rehabilitation and reintegration of patients into the community;</w:t>
      </w:r>
      <w:r>
        <w:t xml:space="preserve"> </w:t>
      </w:r>
    </w:p>
    <w:p w:rsidR="006113B2" w:rsidRDefault="00285506" w:rsidP="006113B2">
      <w:pPr>
        <w:pStyle w:val="SingleTxt"/>
      </w:pPr>
      <w:r>
        <w:tab/>
      </w:r>
      <w:r w:rsidR="006113B2">
        <w:t>(c)</w:t>
      </w:r>
      <w:r w:rsidR="006113B2">
        <w:tab/>
        <w:t>The absence of specific strategies to ensure access to high-quality health care for older women;</w:t>
      </w:r>
      <w:r>
        <w:t xml:space="preserve"> </w:t>
      </w:r>
    </w:p>
    <w:p w:rsidR="006113B2" w:rsidRDefault="00285506" w:rsidP="006113B2">
      <w:pPr>
        <w:pStyle w:val="SingleTxt"/>
      </w:pPr>
      <w:r>
        <w:tab/>
      </w:r>
      <w:r w:rsidR="006113B2">
        <w:t>(d)</w:t>
      </w:r>
      <w:r w:rsidR="006113B2">
        <w:tab/>
        <w:t xml:space="preserve">The limited access to specialized health services, in particular sexual and reproductive health services, for women with disabilities; </w:t>
      </w:r>
    </w:p>
    <w:p w:rsidR="006113B2" w:rsidRDefault="00285506" w:rsidP="006113B2">
      <w:pPr>
        <w:pStyle w:val="SingleTxt"/>
      </w:pPr>
      <w:r>
        <w:tab/>
      </w:r>
      <w:r w:rsidR="006113B2">
        <w:t>(e)</w:t>
      </w:r>
      <w:r w:rsidR="006113B2">
        <w:tab/>
        <w:t>The high level of tobacco consumption among girls compared with the level among boys.</w:t>
      </w:r>
      <w:r>
        <w:t xml:space="preserve"> </w:t>
      </w:r>
    </w:p>
    <w:p w:rsidR="006113B2" w:rsidRPr="00285506" w:rsidRDefault="006113B2" w:rsidP="006113B2">
      <w:pPr>
        <w:pStyle w:val="SingleTxt"/>
        <w:rPr>
          <w:b/>
          <w:bCs/>
        </w:rPr>
      </w:pPr>
      <w:r>
        <w:t>35.</w:t>
      </w:r>
      <w:r>
        <w:tab/>
      </w:r>
      <w:r w:rsidRPr="00285506">
        <w:rPr>
          <w:b/>
          <w:bCs/>
        </w:rPr>
        <w:t>The Committee recommends that the State party:</w:t>
      </w:r>
      <w:r w:rsidR="00285506" w:rsidRPr="00285506">
        <w:rPr>
          <w:b/>
          <w:bCs/>
        </w:rPr>
        <w:t xml:space="preserve"> </w:t>
      </w:r>
    </w:p>
    <w:p w:rsidR="006113B2" w:rsidRPr="00285506" w:rsidRDefault="00285506" w:rsidP="006113B2">
      <w:pPr>
        <w:pStyle w:val="SingleTxt"/>
        <w:rPr>
          <w:b/>
          <w:bCs/>
        </w:rPr>
      </w:pPr>
      <w:r>
        <w:tab/>
      </w:r>
      <w:r w:rsidR="006113B2">
        <w:t>(a)</w:t>
      </w:r>
      <w:r w:rsidR="006113B2">
        <w:tab/>
      </w:r>
      <w:r w:rsidR="006113B2" w:rsidRPr="00285506">
        <w:rPr>
          <w:b/>
          <w:bCs/>
        </w:rPr>
        <w:t>Ensure access to counselling and education on sexual and reproductive rights for adolescent girls and boys, conduct awareness-raising campaigns about modern contraceptive methods and increase access to safe and affordable contraceptives;</w:t>
      </w:r>
      <w:r>
        <w:rPr>
          <w:b/>
          <w:bCs/>
        </w:rPr>
        <w:t xml:space="preserve"> </w:t>
      </w:r>
    </w:p>
    <w:p w:rsidR="006113B2" w:rsidRPr="00285506" w:rsidRDefault="00285506" w:rsidP="006113B2">
      <w:pPr>
        <w:pStyle w:val="SingleTxt"/>
        <w:rPr>
          <w:b/>
          <w:bCs/>
        </w:rPr>
      </w:pPr>
      <w:r>
        <w:tab/>
      </w:r>
      <w:r w:rsidR="006113B2">
        <w:t>(b)</w:t>
      </w:r>
      <w:r w:rsidR="006113B2">
        <w:tab/>
      </w:r>
      <w:r w:rsidR="006113B2" w:rsidRPr="00285506">
        <w:rPr>
          <w:b/>
          <w:bCs/>
        </w:rPr>
        <w:t>Develop strategies at the local level, in partnership with teachers and civil society, aimed at promoting family planning and overcoming cultural barriers to the use of contraceptives;</w:t>
      </w:r>
      <w:r>
        <w:rPr>
          <w:b/>
          <w:bCs/>
        </w:rPr>
        <w:t xml:space="preserve"> </w:t>
      </w:r>
    </w:p>
    <w:p w:rsidR="006113B2" w:rsidRPr="00285506" w:rsidRDefault="00285506" w:rsidP="006113B2">
      <w:pPr>
        <w:pStyle w:val="SingleTxt"/>
        <w:rPr>
          <w:b/>
          <w:bCs/>
        </w:rPr>
      </w:pPr>
      <w:r>
        <w:tab/>
      </w:r>
      <w:r w:rsidR="006113B2">
        <w:t>(c)</w:t>
      </w:r>
      <w:r w:rsidR="006113B2">
        <w:tab/>
      </w:r>
      <w:r w:rsidR="006113B2" w:rsidRPr="00285506">
        <w:rPr>
          <w:b/>
          <w:bCs/>
        </w:rPr>
        <w:t>Adopt a strategy with time-bound targets and indicators to provide access to mental health services for women throughout the State party and disseminate information about available mental health services;</w:t>
      </w:r>
      <w:r>
        <w:rPr>
          <w:b/>
          <w:bCs/>
        </w:rPr>
        <w:t xml:space="preserve"> </w:t>
      </w:r>
    </w:p>
    <w:p w:rsidR="006113B2" w:rsidRPr="00285506" w:rsidRDefault="00285506" w:rsidP="006113B2">
      <w:pPr>
        <w:pStyle w:val="SingleTxt"/>
        <w:rPr>
          <w:b/>
          <w:bCs/>
        </w:rPr>
      </w:pPr>
      <w:r>
        <w:tab/>
      </w:r>
      <w:r w:rsidR="006113B2">
        <w:t>(d)</w:t>
      </w:r>
      <w:r w:rsidR="006113B2">
        <w:tab/>
      </w:r>
      <w:r w:rsidR="006113B2" w:rsidRPr="00285506">
        <w:rPr>
          <w:b/>
          <w:bCs/>
        </w:rPr>
        <w:t>Design policies and programmes at the national and provincial levels to ensure access to health care for older women;</w:t>
      </w:r>
      <w:r>
        <w:rPr>
          <w:b/>
          <w:bCs/>
        </w:rPr>
        <w:t xml:space="preserve"> </w:t>
      </w:r>
    </w:p>
    <w:p w:rsidR="006113B2" w:rsidRPr="00285506" w:rsidRDefault="00285506" w:rsidP="006113B2">
      <w:pPr>
        <w:pStyle w:val="SingleTxt"/>
        <w:rPr>
          <w:b/>
          <w:bCs/>
        </w:rPr>
      </w:pPr>
      <w:r>
        <w:tab/>
      </w:r>
      <w:r w:rsidR="006113B2">
        <w:t>(e)</w:t>
      </w:r>
      <w:r w:rsidR="006113B2">
        <w:tab/>
      </w:r>
      <w:r w:rsidR="006113B2" w:rsidRPr="00285506">
        <w:rPr>
          <w:b/>
          <w:bCs/>
        </w:rPr>
        <w:t>Ensure that information about the sexual and reproductive health and rights of women with disabilities is available in formats accessible for women with disabilities;</w:t>
      </w:r>
      <w:r>
        <w:rPr>
          <w:b/>
          <w:bCs/>
        </w:rPr>
        <w:t xml:space="preserve"> </w:t>
      </w:r>
    </w:p>
    <w:p w:rsidR="006113B2" w:rsidRPr="00285506" w:rsidRDefault="00285506" w:rsidP="006113B2">
      <w:pPr>
        <w:pStyle w:val="SingleTxt"/>
        <w:rPr>
          <w:b/>
          <w:bCs/>
        </w:rPr>
      </w:pPr>
      <w:r>
        <w:tab/>
      </w:r>
      <w:r w:rsidR="006113B2">
        <w:t>(f)</w:t>
      </w:r>
      <w:r w:rsidR="006113B2">
        <w:tab/>
      </w:r>
      <w:r w:rsidR="006113B2" w:rsidRPr="00285506">
        <w:rPr>
          <w:b/>
          <w:bCs/>
          <w:spacing w:val="2"/>
        </w:rPr>
        <w:t>Take measures to ensure that health services, especially gynaecological</w:t>
      </w:r>
      <w:r w:rsidR="006113B2" w:rsidRPr="00285506">
        <w:rPr>
          <w:b/>
          <w:bCs/>
        </w:rPr>
        <w:t xml:space="preserve"> services, are made accessible for women with disabilities, in particular by investing in health facilities and equipment and by raising awareness among health-care professionals of the rights and dignity of women with disabilities; </w:t>
      </w:r>
    </w:p>
    <w:p w:rsidR="006113B2" w:rsidRPr="00285506" w:rsidRDefault="00285506" w:rsidP="006113B2">
      <w:pPr>
        <w:pStyle w:val="SingleTxt"/>
        <w:rPr>
          <w:b/>
          <w:bCs/>
        </w:rPr>
      </w:pPr>
      <w:r>
        <w:tab/>
      </w:r>
      <w:r w:rsidR="006113B2">
        <w:t>(g)</w:t>
      </w:r>
      <w:r w:rsidR="006113B2">
        <w:tab/>
      </w:r>
      <w:r w:rsidR="006113B2" w:rsidRPr="00285506">
        <w:rPr>
          <w:b/>
          <w:bCs/>
        </w:rPr>
        <w:t>Ratify the World Health Organization Framework Convention on Tobacco Control, reduce the high tobacco consumption among adolescents, in particular girls, and address the health consequences.</w:t>
      </w:r>
      <w:r>
        <w:rPr>
          <w:b/>
          <w:bCs/>
        </w:rPr>
        <w:t xml:space="preserve"> </w:t>
      </w:r>
    </w:p>
    <w:p w:rsidR="00285506" w:rsidRPr="00285506" w:rsidRDefault="00285506" w:rsidP="00285506">
      <w:pPr>
        <w:pStyle w:val="SingleTxt"/>
        <w:spacing w:after="0" w:line="120" w:lineRule="exact"/>
        <w:rPr>
          <w:sz w:val="10"/>
        </w:rPr>
      </w:pPr>
    </w:p>
    <w:p w:rsidR="006113B2" w:rsidRDefault="006113B2" w:rsidP="00285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r w:rsidR="00285506">
        <w:t xml:space="preserve"> </w:t>
      </w:r>
    </w:p>
    <w:p w:rsidR="00285506" w:rsidRPr="00285506" w:rsidRDefault="00285506" w:rsidP="00285506">
      <w:pPr>
        <w:pStyle w:val="SingleTxt"/>
        <w:spacing w:after="0" w:line="120" w:lineRule="exact"/>
        <w:rPr>
          <w:sz w:val="10"/>
        </w:rPr>
      </w:pPr>
    </w:p>
    <w:p w:rsidR="006113B2" w:rsidRDefault="006113B2" w:rsidP="006113B2">
      <w:pPr>
        <w:pStyle w:val="SingleTxt"/>
      </w:pPr>
      <w:r>
        <w:t>36.</w:t>
      </w:r>
      <w:r>
        <w:tab/>
        <w:t xml:space="preserve">The Committee commends the State party for its efforts to develop social policies since its previous concluding observations. Nevertheless, it notes with concern that such policies have had a limited impact on reducing poverty and improving women’s economic livelihood. It is also concerned that the number of female entrepreneurs in the State party has decreased and that only a small percentage of women avail themselves of financial loans for making investments. The Committee is further concerned that women entrepreneurs have only limited access to microcredit. </w:t>
      </w:r>
    </w:p>
    <w:p w:rsidR="006113B2" w:rsidRPr="00285506" w:rsidRDefault="006113B2" w:rsidP="006113B2">
      <w:pPr>
        <w:pStyle w:val="SingleTxt"/>
        <w:rPr>
          <w:b/>
          <w:bCs/>
        </w:rPr>
      </w:pPr>
      <w:r>
        <w:t>37.</w:t>
      </w:r>
      <w:r>
        <w:tab/>
      </w:r>
      <w:r w:rsidRPr="00285506">
        <w:rPr>
          <w:b/>
          <w:bCs/>
        </w:rPr>
        <w:t xml:space="preserve">The Committee recommends that the State party take economic structural measures to reduce poverty and improve women’s economic livelihood. It also recommends taking targeted measures, such as special microcredit and low-interest credit schemes and technical assistance and counselling, to increase women’s access to loans and financial credit and promote their entrepreneurial activities. </w:t>
      </w:r>
    </w:p>
    <w:p w:rsidR="00285506" w:rsidRPr="00285506" w:rsidRDefault="00285506" w:rsidP="00285506">
      <w:pPr>
        <w:pStyle w:val="SingleTxt"/>
        <w:spacing w:after="0" w:line="120" w:lineRule="exact"/>
        <w:rPr>
          <w:sz w:val="10"/>
        </w:rPr>
      </w:pPr>
    </w:p>
    <w:p w:rsidR="006113B2" w:rsidRDefault="006113B2" w:rsidP="00285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rsidR="00285506" w:rsidRPr="00285506" w:rsidRDefault="00285506" w:rsidP="00285506">
      <w:pPr>
        <w:pStyle w:val="SingleTxt"/>
        <w:spacing w:after="0" w:line="120" w:lineRule="exact"/>
        <w:rPr>
          <w:sz w:val="10"/>
        </w:rPr>
      </w:pPr>
    </w:p>
    <w:p w:rsidR="006113B2" w:rsidRDefault="006113B2" w:rsidP="006113B2">
      <w:pPr>
        <w:pStyle w:val="SingleTxt"/>
      </w:pPr>
      <w:r>
        <w:t>38.</w:t>
      </w:r>
      <w:r>
        <w:tab/>
        <w:t>The Committee welcomes the fact that the Rural Land Act (No. 26.727 of 2011) provides for the protection of family farming and biodiversity and that women have equal rights as men to access land, enter into contracts and administer assets. Nevertheless, the Committee is concerned about:</w:t>
      </w:r>
      <w:r w:rsidR="00285506">
        <w:t xml:space="preserve"> </w:t>
      </w:r>
    </w:p>
    <w:p w:rsidR="006113B2" w:rsidRDefault="00285506" w:rsidP="006113B2">
      <w:pPr>
        <w:pStyle w:val="SingleTxt"/>
      </w:pPr>
      <w:r>
        <w:tab/>
      </w:r>
      <w:r w:rsidR="006113B2">
        <w:t>(a)</w:t>
      </w:r>
      <w:r w:rsidR="006113B2">
        <w:tab/>
        <w:t xml:space="preserve">Poverty among rural women and their dependency on public transfers and limited access to justice, education and health services, especially in the most deprived areas; </w:t>
      </w:r>
    </w:p>
    <w:p w:rsidR="006113B2" w:rsidRDefault="00285506" w:rsidP="006113B2">
      <w:pPr>
        <w:pStyle w:val="SingleTxt"/>
      </w:pPr>
      <w:r>
        <w:tab/>
      </w:r>
      <w:r w:rsidR="006113B2">
        <w:t>(b)</w:t>
      </w:r>
      <w:r w:rsidR="006113B2">
        <w:tab/>
        <w:t xml:space="preserve">The negative impact on rural women’s access to land of Executive Decree No. </w:t>
      </w:r>
      <w:r w:rsidR="006113B2" w:rsidRPr="00285506">
        <w:t>820/201</w:t>
      </w:r>
      <w:r w:rsidR="006113B2">
        <w:t>6 of 29 June 2016, removing certain restrictions on the acquisition and leasing of rural land by foreign individuals and legal entities;</w:t>
      </w:r>
      <w:r>
        <w:t xml:space="preserve"> </w:t>
      </w:r>
    </w:p>
    <w:p w:rsidR="006113B2" w:rsidRDefault="00285506" w:rsidP="006113B2">
      <w:pPr>
        <w:pStyle w:val="SingleTxt"/>
      </w:pPr>
      <w:r>
        <w:tab/>
      </w:r>
      <w:r w:rsidR="006113B2">
        <w:t>(c)</w:t>
      </w:r>
      <w:r w:rsidR="006113B2">
        <w:tab/>
        <w:t xml:space="preserve">Rural women’s risk of forced eviction and gender-based and sexual violence and harassment in the context of large-scale economic development projects; </w:t>
      </w:r>
    </w:p>
    <w:p w:rsidR="006113B2" w:rsidRDefault="00285506" w:rsidP="006113B2">
      <w:pPr>
        <w:pStyle w:val="SingleTxt"/>
      </w:pPr>
      <w:r>
        <w:tab/>
      </w:r>
      <w:r w:rsidR="006113B2">
        <w:t>(d)</w:t>
      </w:r>
      <w:r w:rsidR="006113B2">
        <w:tab/>
        <w:t xml:space="preserve">The disproportionate impact of climate change and other natural disasters on rural women. </w:t>
      </w:r>
    </w:p>
    <w:p w:rsidR="006113B2" w:rsidRPr="00285506" w:rsidRDefault="006113B2" w:rsidP="006113B2">
      <w:pPr>
        <w:pStyle w:val="SingleTxt"/>
        <w:rPr>
          <w:b/>
          <w:bCs/>
        </w:rPr>
      </w:pPr>
      <w:r>
        <w:t>39.</w:t>
      </w:r>
      <w:r>
        <w:tab/>
      </w:r>
      <w:r w:rsidRPr="00285506">
        <w:rPr>
          <w:b/>
          <w:bCs/>
        </w:rPr>
        <w:t>The Committee, in line with its general recommendation No. 34 (2015) on the rights of rural women, recommends that the State party:</w:t>
      </w:r>
      <w:r w:rsidR="00285506">
        <w:rPr>
          <w:b/>
          <w:bCs/>
        </w:rPr>
        <w:t xml:space="preserve"> </w:t>
      </w:r>
    </w:p>
    <w:p w:rsidR="006113B2" w:rsidRPr="00285506" w:rsidRDefault="00285506" w:rsidP="006113B2">
      <w:pPr>
        <w:pStyle w:val="SingleTxt"/>
        <w:rPr>
          <w:b/>
          <w:bCs/>
        </w:rPr>
      </w:pPr>
      <w:r>
        <w:tab/>
      </w:r>
      <w:r w:rsidR="006113B2">
        <w:t>(a)</w:t>
      </w:r>
      <w:r w:rsidR="006113B2">
        <w:tab/>
      </w:r>
      <w:r w:rsidR="006113B2" w:rsidRPr="00285506">
        <w:rPr>
          <w:b/>
          <w:bCs/>
        </w:rPr>
        <w:t>Design specific programmes aimed at ensuring sustainable development and combating the poverty situations faced by rural women, through specific resource allocation, employment opportunities, social protection measures and specific education programmes for rural women;</w:t>
      </w:r>
      <w:r>
        <w:rPr>
          <w:b/>
          <w:bCs/>
        </w:rPr>
        <w:t xml:space="preserve"> </w:t>
      </w:r>
    </w:p>
    <w:p w:rsidR="006113B2" w:rsidRPr="00285506" w:rsidRDefault="00285506" w:rsidP="006113B2">
      <w:pPr>
        <w:pStyle w:val="SingleTxt"/>
        <w:rPr>
          <w:b/>
          <w:bCs/>
        </w:rPr>
      </w:pPr>
      <w:r>
        <w:tab/>
      </w:r>
      <w:r w:rsidR="006113B2">
        <w:t>(b)</w:t>
      </w:r>
      <w:r w:rsidR="006113B2">
        <w:tab/>
      </w:r>
      <w:r w:rsidR="006113B2" w:rsidRPr="00285506">
        <w:rPr>
          <w:b/>
          <w:bCs/>
        </w:rPr>
        <w:t>Adopt safeguards and monitor processes for the acquisition and leasing of rural land, with the aim of protecting land ownership by women, and facilitate the participation of women in the revenues of large-scale development projects;</w:t>
      </w:r>
      <w:r>
        <w:rPr>
          <w:b/>
          <w:bCs/>
        </w:rPr>
        <w:t xml:space="preserve"> </w:t>
      </w:r>
    </w:p>
    <w:p w:rsidR="006113B2" w:rsidRPr="00285506" w:rsidRDefault="00285506" w:rsidP="006113B2">
      <w:pPr>
        <w:pStyle w:val="SingleTxt"/>
        <w:rPr>
          <w:b/>
          <w:bCs/>
        </w:rPr>
      </w:pPr>
      <w:r>
        <w:tab/>
      </w:r>
      <w:r w:rsidR="006113B2">
        <w:t>(c)</w:t>
      </w:r>
      <w:r w:rsidR="006113B2">
        <w:tab/>
      </w:r>
      <w:r w:rsidR="006113B2" w:rsidRPr="00285506">
        <w:rPr>
          <w:b/>
          <w:bCs/>
        </w:rPr>
        <w:t xml:space="preserve">Adopt policies to prevent forced eviction and prevent violence, stigmatization and attacks against rural women in the context of large-scale economic development projects; </w:t>
      </w:r>
    </w:p>
    <w:p w:rsidR="006113B2" w:rsidRPr="00285506" w:rsidRDefault="00285506" w:rsidP="006113B2">
      <w:pPr>
        <w:pStyle w:val="SingleTxt"/>
        <w:rPr>
          <w:b/>
          <w:bCs/>
        </w:rPr>
      </w:pPr>
      <w:r>
        <w:tab/>
      </w:r>
      <w:r w:rsidR="006113B2">
        <w:t>(d)</w:t>
      </w:r>
      <w:r w:rsidR="006113B2">
        <w:tab/>
      </w:r>
      <w:r w:rsidR="006113B2" w:rsidRPr="00285506">
        <w:rPr>
          <w:b/>
          <w:bCs/>
        </w:rPr>
        <w:t xml:space="preserve">Ensure that rural women are represented in decision-making processes at all levels in the agricultural sector, including with regard to policies concerning disaster risk reduction, post-disaster management and climate change. </w:t>
      </w:r>
    </w:p>
    <w:p w:rsidR="00285506" w:rsidRPr="00285506" w:rsidRDefault="00285506" w:rsidP="00285506">
      <w:pPr>
        <w:pStyle w:val="SingleTxt"/>
        <w:spacing w:after="0" w:line="120" w:lineRule="exact"/>
        <w:rPr>
          <w:sz w:val="10"/>
        </w:rPr>
      </w:pPr>
    </w:p>
    <w:p w:rsidR="006113B2" w:rsidRDefault="006113B2" w:rsidP="00285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Indigenous women</w:t>
      </w:r>
      <w:r w:rsidR="00285506">
        <w:t xml:space="preserve"> </w:t>
      </w:r>
    </w:p>
    <w:p w:rsidR="00285506" w:rsidRPr="00285506" w:rsidRDefault="00285506" w:rsidP="00285506">
      <w:pPr>
        <w:pStyle w:val="SingleTxt"/>
        <w:spacing w:after="0" w:line="120" w:lineRule="exact"/>
        <w:rPr>
          <w:sz w:val="10"/>
        </w:rPr>
      </w:pPr>
    </w:p>
    <w:p w:rsidR="006113B2" w:rsidRDefault="006113B2" w:rsidP="006113B2">
      <w:pPr>
        <w:pStyle w:val="SingleTxt"/>
      </w:pPr>
      <w:r>
        <w:t>40.</w:t>
      </w:r>
      <w:r>
        <w:tab/>
        <w:t>The Committee notes with concern that indigenous women face intersecting forms of discrimination in the State party, based on their ethnic origin and social status, in addition to racial hate, violence, poverty and marginalization. It is particularly concerned about:</w:t>
      </w:r>
      <w:r w:rsidR="00285506">
        <w:t xml:space="preserve"> </w:t>
      </w:r>
    </w:p>
    <w:p w:rsidR="006113B2" w:rsidRDefault="00285506" w:rsidP="006113B2">
      <w:pPr>
        <w:pStyle w:val="SingleTxt"/>
      </w:pPr>
      <w:r>
        <w:tab/>
      </w:r>
      <w:r w:rsidR="006113B2">
        <w:t>(a)</w:t>
      </w:r>
      <w:r w:rsidR="006113B2">
        <w:tab/>
        <w:t xml:space="preserve">The lack of recognition and protection of land tenure and ownership by indigenous women, forced evictions from indigenous traditional lands in regions such as Gran Chaco and the exclusion of indigenous women from decision-making processes concerning land use; </w:t>
      </w:r>
    </w:p>
    <w:p w:rsidR="006113B2" w:rsidRDefault="00285506" w:rsidP="006113B2">
      <w:pPr>
        <w:pStyle w:val="SingleTxt"/>
      </w:pPr>
      <w:r>
        <w:tab/>
      </w:r>
      <w:r w:rsidR="006113B2">
        <w:t>(b)</w:t>
      </w:r>
      <w:r w:rsidR="006113B2">
        <w:tab/>
        <w:t>The limited access of indigenous women to water, including drinking water, and sanitation owing to lack of infrastructure, in particular in isolated indigenous communities such as the Wichi community in Miraflores (Chaco);</w:t>
      </w:r>
      <w:r>
        <w:t xml:space="preserve"> </w:t>
      </w:r>
    </w:p>
    <w:p w:rsidR="006113B2" w:rsidRDefault="00285506" w:rsidP="006113B2">
      <w:pPr>
        <w:pStyle w:val="SingleTxt"/>
      </w:pPr>
      <w:r>
        <w:tab/>
      </w:r>
      <w:r w:rsidR="006113B2">
        <w:t>(c)</w:t>
      </w:r>
      <w:r w:rsidR="006113B2">
        <w:tab/>
        <w:t xml:space="preserve">The negative impact of the use of pesticides, fertilizers and agrochemicals on the health of indigenous women and girls engaged as agricultural workers; </w:t>
      </w:r>
    </w:p>
    <w:p w:rsidR="006113B2" w:rsidRDefault="00285506" w:rsidP="006113B2">
      <w:pPr>
        <w:pStyle w:val="SingleTxt"/>
      </w:pPr>
      <w:r>
        <w:tab/>
      </w:r>
      <w:r w:rsidR="006113B2">
        <w:t>(d)</w:t>
      </w:r>
      <w:r w:rsidR="006113B2">
        <w:tab/>
        <w:t>The absence of effective consultation and benefit-sharing mechanisms to ensure that indigenous women give their free, prior and informed consent to development projects on their territories.</w:t>
      </w:r>
      <w:r>
        <w:t xml:space="preserve"> </w:t>
      </w:r>
    </w:p>
    <w:p w:rsidR="006113B2" w:rsidRPr="00285506" w:rsidRDefault="006113B2" w:rsidP="00356AB9">
      <w:pPr>
        <w:pStyle w:val="SingleTxt"/>
        <w:keepNext/>
        <w:rPr>
          <w:b/>
          <w:bCs/>
        </w:rPr>
      </w:pPr>
      <w:r>
        <w:t>41.</w:t>
      </w:r>
      <w:r>
        <w:tab/>
      </w:r>
      <w:r w:rsidRPr="00285506">
        <w:rPr>
          <w:b/>
          <w:bCs/>
        </w:rPr>
        <w:t>The Committee recommends that the State party:</w:t>
      </w:r>
      <w:r w:rsidR="00285506">
        <w:rPr>
          <w:b/>
          <w:bCs/>
        </w:rPr>
        <w:t xml:space="preserve"> </w:t>
      </w:r>
    </w:p>
    <w:p w:rsidR="006113B2" w:rsidRPr="00285506" w:rsidRDefault="00285506" w:rsidP="006113B2">
      <w:pPr>
        <w:pStyle w:val="SingleTxt"/>
        <w:rPr>
          <w:b/>
          <w:bCs/>
        </w:rPr>
      </w:pPr>
      <w:r>
        <w:tab/>
      </w:r>
      <w:r w:rsidR="006113B2">
        <w:t>(a)</w:t>
      </w:r>
      <w:r w:rsidR="006113B2">
        <w:tab/>
      </w:r>
      <w:r w:rsidR="006113B2" w:rsidRPr="00285506">
        <w:rPr>
          <w:b/>
          <w:bCs/>
        </w:rPr>
        <w:t>Adopt measures to formally recognize indigenous women’s land tenure and ownership and promote dialogue at the community level aimed at eliminating discriminatory norms and customs that limit the land ownership rights of indigenous women;</w:t>
      </w:r>
      <w:r>
        <w:rPr>
          <w:b/>
          <w:bCs/>
        </w:rPr>
        <w:t xml:space="preserve"> </w:t>
      </w:r>
    </w:p>
    <w:p w:rsidR="006113B2" w:rsidRPr="00285506" w:rsidRDefault="00285506" w:rsidP="006113B2">
      <w:pPr>
        <w:pStyle w:val="SingleTxt"/>
        <w:rPr>
          <w:b/>
          <w:bCs/>
        </w:rPr>
      </w:pPr>
      <w:r>
        <w:tab/>
      </w:r>
      <w:r w:rsidR="006113B2">
        <w:t>(b)</w:t>
      </w:r>
      <w:r w:rsidR="006113B2">
        <w:tab/>
      </w:r>
      <w:r w:rsidR="006113B2" w:rsidRPr="00285506">
        <w:rPr>
          <w:b/>
          <w:bCs/>
        </w:rPr>
        <w:t>Prevent forced evictions of indigenous women by strengthening legal and procedural safeguards and ensure their meaningful participation in decision-making processes regarding the use of traditional indigenous lands;</w:t>
      </w:r>
      <w:r>
        <w:rPr>
          <w:b/>
          <w:bCs/>
        </w:rPr>
        <w:t xml:space="preserve"> </w:t>
      </w:r>
    </w:p>
    <w:p w:rsidR="006113B2" w:rsidRPr="00285506" w:rsidRDefault="00285506" w:rsidP="006113B2">
      <w:pPr>
        <w:pStyle w:val="SingleTxt"/>
        <w:rPr>
          <w:b/>
          <w:bCs/>
        </w:rPr>
      </w:pPr>
      <w:r>
        <w:tab/>
      </w:r>
      <w:r w:rsidR="006113B2">
        <w:t>(c)</w:t>
      </w:r>
      <w:r w:rsidR="006113B2">
        <w:tab/>
      </w:r>
      <w:r w:rsidR="006113B2" w:rsidRPr="00285506">
        <w:rPr>
          <w:b/>
          <w:bCs/>
        </w:rPr>
        <w:t xml:space="preserve">Ensure that indigenous women have adequate access to safe and affordable water for personal and domestic uses, as well as for irrigation; </w:t>
      </w:r>
    </w:p>
    <w:p w:rsidR="006113B2" w:rsidRPr="00285506" w:rsidRDefault="00285506" w:rsidP="006113B2">
      <w:pPr>
        <w:pStyle w:val="SingleTxt"/>
        <w:rPr>
          <w:b/>
          <w:bCs/>
        </w:rPr>
      </w:pPr>
      <w:r>
        <w:tab/>
      </w:r>
      <w:r w:rsidR="006113B2">
        <w:t>(d)</w:t>
      </w:r>
      <w:r w:rsidR="006113B2">
        <w:tab/>
      </w:r>
      <w:r w:rsidR="006113B2" w:rsidRPr="00285506">
        <w:rPr>
          <w:b/>
          <w:bCs/>
        </w:rPr>
        <w:t xml:space="preserve">Review the current negligent handling of complaints filed by indigenous women before the Ministry of Health about the harmful use of pesticides, fertilizers and agrochemicals and ensure that such cases are solved in a timely and appropriate manner, in line with the Committee’s general recommendation No. 34; </w:t>
      </w:r>
    </w:p>
    <w:p w:rsidR="006113B2" w:rsidRPr="00285506" w:rsidRDefault="00285506" w:rsidP="006113B2">
      <w:pPr>
        <w:pStyle w:val="SingleTxt"/>
        <w:rPr>
          <w:b/>
          <w:bCs/>
        </w:rPr>
      </w:pPr>
      <w:r>
        <w:tab/>
      </w:r>
      <w:r w:rsidR="006113B2">
        <w:t>(e)</w:t>
      </w:r>
      <w:r w:rsidR="006113B2">
        <w:tab/>
      </w:r>
      <w:r w:rsidR="006113B2" w:rsidRPr="00285506">
        <w:rPr>
          <w:b/>
          <w:bCs/>
        </w:rPr>
        <w:t>Set up a mandatory and effective consultation and benefit-sharing mechanism to seek the free, prior and informed consent of indigenous women regarding the use of their natural resources and lands.</w:t>
      </w:r>
      <w:r>
        <w:rPr>
          <w:b/>
          <w:bCs/>
        </w:rPr>
        <w:t xml:space="preserve"> </w:t>
      </w:r>
    </w:p>
    <w:p w:rsidR="00285506" w:rsidRPr="00285506" w:rsidRDefault="00285506" w:rsidP="00285506">
      <w:pPr>
        <w:pStyle w:val="SingleTxt"/>
        <w:spacing w:after="0" w:line="120" w:lineRule="exact"/>
        <w:rPr>
          <w:sz w:val="10"/>
        </w:rPr>
      </w:pPr>
    </w:p>
    <w:p w:rsidR="006113B2" w:rsidRDefault="006113B2" w:rsidP="00285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Migrant, refugee and asylum-seeking women</w:t>
      </w:r>
      <w:r w:rsidR="00285506">
        <w:t xml:space="preserve"> </w:t>
      </w:r>
    </w:p>
    <w:p w:rsidR="00285506" w:rsidRPr="00285506" w:rsidRDefault="00285506" w:rsidP="00285506">
      <w:pPr>
        <w:pStyle w:val="SingleTxt"/>
        <w:spacing w:after="0" w:line="120" w:lineRule="exact"/>
        <w:rPr>
          <w:sz w:val="10"/>
          <w:lang w:val="en-US"/>
        </w:rPr>
      </w:pPr>
    </w:p>
    <w:p w:rsidR="006113B2" w:rsidRDefault="006113B2" w:rsidP="006113B2">
      <w:pPr>
        <w:pStyle w:val="SingleTxt"/>
      </w:pPr>
      <w:r>
        <w:t>42.</w:t>
      </w:r>
      <w:r>
        <w:tab/>
        <w:t>The Committee notes the existence of the Migration Act (No. 25.871 of 2003) and the Refugee Act (No. 26.165 of 2006), but is concerned about the absence of programmes aimed at the social and economic integration of migrant, refugee and asylum-seeking women in the State party. It is also concerned about the exclusion in practice of refugee, asylum-seeking and undocumented migrant women from social protection, such as the universal child allowance and disability-related entitlements, and from education and health-care services.</w:t>
      </w:r>
      <w:r w:rsidR="00285506">
        <w:t xml:space="preserve"> </w:t>
      </w:r>
    </w:p>
    <w:p w:rsidR="006113B2" w:rsidRPr="00285506" w:rsidRDefault="006113B2" w:rsidP="006113B2">
      <w:pPr>
        <w:pStyle w:val="SingleTxt"/>
        <w:rPr>
          <w:b/>
          <w:bCs/>
        </w:rPr>
      </w:pPr>
      <w:r>
        <w:t>43.</w:t>
      </w:r>
      <w:r>
        <w:tab/>
      </w:r>
      <w:r w:rsidRPr="00285506">
        <w:rPr>
          <w:b/>
          <w:bCs/>
        </w:rPr>
        <w:t>The Committee, in line with its general recommendations No. 26 (2008) on women migrant workers and No. 32 (2014) on the gender-related dimensions of refugee status, asylum, nationality and statelessness of women, recommends that the State party enforce the Refugee Act (No. 26.165 of 2006), develop comprehensive programmes to enable refugee asylum-seeking and migrant women to have access to education, employment, social protection and health care and collect sex-disaggregated data on the results of such programmes.</w:t>
      </w:r>
      <w:r w:rsidR="00285506">
        <w:rPr>
          <w:b/>
          <w:bCs/>
        </w:rPr>
        <w:t xml:space="preserve"> </w:t>
      </w:r>
    </w:p>
    <w:p w:rsidR="00285506" w:rsidRPr="00285506" w:rsidRDefault="00285506" w:rsidP="00285506">
      <w:pPr>
        <w:pStyle w:val="SingleTxt"/>
        <w:spacing w:after="0" w:line="120" w:lineRule="exact"/>
        <w:rPr>
          <w:sz w:val="10"/>
        </w:rPr>
      </w:pPr>
    </w:p>
    <w:p w:rsidR="006113B2" w:rsidRDefault="006113B2" w:rsidP="00285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in detention </w:t>
      </w:r>
    </w:p>
    <w:p w:rsidR="00285506" w:rsidRPr="00285506" w:rsidRDefault="00285506" w:rsidP="00285506">
      <w:pPr>
        <w:pStyle w:val="SingleTxt"/>
        <w:spacing w:after="0" w:line="120" w:lineRule="exact"/>
        <w:rPr>
          <w:sz w:val="10"/>
        </w:rPr>
      </w:pPr>
    </w:p>
    <w:p w:rsidR="006113B2" w:rsidRDefault="006113B2" w:rsidP="006113B2">
      <w:pPr>
        <w:pStyle w:val="SingleTxt"/>
      </w:pPr>
      <w:r>
        <w:t>44.</w:t>
      </w:r>
      <w:r>
        <w:tab/>
        <w:t>The Committee takes note of the Gender Programme in the Federal Prison Service, but remains concerned about:</w:t>
      </w:r>
      <w:r w:rsidR="00285506">
        <w:t xml:space="preserve"> </w:t>
      </w:r>
    </w:p>
    <w:p w:rsidR="006113B2" w:rsidRDefault="00285506" w:rsidP="006113B2">
      <w:pPr>
        <w:pStyle w:val="SingleTxt"/>
      </w:pPr>
      <w:r>
        <w:tab/>
      </w:r>
      <w:r w:rsidR="006113B2">
        <w:t>(a)</w:t>
      </w:r>
      <w:r w:rsidR="006113B2">
        <w:tab/>
        <w:t xml:space="preserve">The number </w:t>
      </w:r>
      <w:r>
        <w:t xml:space="preserve">of women in pretrial detention; </w:t>
      </w:r>
    </w:p>
    <w:p w:rsidR="006113B2" w:rsidRDefault="00285506" w:rsidP="006113B2">
      <w:pPr>
        <w:pStyle w:val="SingleTxt"/>
      </w:pPr>
      <w:r>
        <w:tab/>
      </w:r>
      <w:r w:rsidR="006113B2">
        <w:t>(b)</w:t>
      </w:r>
      <w:r w:rsidR="006113B2">
        <w:tab/>
        <w:t>Invasive body searches performed on women in prison and the absence of information about the use of electronic surveillance systems at the provincial level;</w:t>
      </w:r>
      <w:r>
        <w:t xml:space="preserve"> </w:t>
      </w:r>
    </w:p>
    <w:p w:rsidR="006113B2" w:rsidRDefault="00285506" w:rsidP="006113B2">
      <w:pPr>
        <w:pStyle w:val="SingleTxt"/>
      </w:pPr>
      <w:r>
        <w:tab/>
      </w:r>
      <w:r w:rsidR="006113B2">
        <w:t>(c)</w:t>
      </w:r>
      <w:r w:rsidR="006113B2">
        <w:tab/>
        <w:t>Limited access to education, job skills training, work opportunities and health services for women in detention;</w:t>
      </w:r>
      <w:r>
        <w:t xml:space="preserve"> </w:t>
      </w:r>
    </w:p>
    <w:p w:rsidR="006113B2" w:rsidRDefault="00285506" w:rsidP="006113B2">
      <w:pPr>
        <w:pStyle w:val="SingleTxt"/>
      </w:pPr>
      <w:r>
        <w:tab/>
      </w:r>
      <w:r w:rsidR="006113B2">
        <w:t>(d)</w:t>
      </w:r>
      <w:r w:rsidR="006113B2">
        <w:tab/>
        <w:t xml:space="preserve">Reports of ill-treatment of women in detention, including physical and psychological violence inflicted by penitentiary officers and solitary confinement; </w:t>
      </w:r>
    </w:p>
    <w:p w:rsidR="006113B2" w:rsidRDefault="00285506" w:rsidP="006113B2">
      <w:pPr>
        <w:pStyle w:val="SingleTxt"/>
      </w:pPr>
      <w:r>
        <w:tab/>
      </w:r>
      <w:r w:rsidR="006113B2">
        <w:t>(e)</w:t>
      </w:r>
      <w:r w:rsidR="006113B2">
        <w:tab/>
        <w:t>Delays in the implementation of Act No. 26.472 of 12 January 2009 on alternatives to detention for pregnant women an</w:t>
      </w:r>
      <w:r>
        <w:t>d mothers with children under 5 </w:t>
      </w:r>
      <w:r w:rsidR="006113B2">
        <w:t>years of age.</w:t>
      </w:r>
      <w:r>
        <w:t xml:space="preserve"> </w:t>
      </w:r>
    </w:p>
    <w:p w:rsidR="006113B2" w:rsidRPr="00285506" w:rsidRDefault="006113B2" w:rsidP="006113B2">
      <w:pPr>
        <w:pStyle w:val="SingleTxt"/>
        <w:rPr>
          <w:b/>
          <w:bCs/>
        </w:rPr>
      </w:pPr>
      <w:r>
        <w:t>45.</w:t>
      </w:r>
      <w:r>
        <w:tab/>
      </w:r>
      <w:r w:rsidRPr="00285506">
        <w:rPr>
          <w:b/>
          <w:bCs/>
        </w:rPr>
        <w:t xml:space="preserve">The Committee recalls the United Nations Rules for the Treatment of Women Prisoners and Non-custodial Measures for Women Offenders (the Bangkok Rules) (General Assembly resolution </w:t>
      </w:r>
      <w:hyperlink r:id="rId22" w:history="1">
        <w:r w:rsidRPr="00285506">
          <w:rPr>
            <w:rStyle w:val="Hyperlink"/>
            <w:b/>
            <w:bCs/>
          </w:rPr>
          <w:t>65/229</w:t>
        </w:r>
      </w:hyperlink>
      <w:r w:rsidRPr="00285506">
        <w:rPr>
          <w:b/>
          <w:bCs/>
        </w:rPr>
        <w:t>, annex) and recommends that the State party:</w:t>
      </w:r>
      <w:r w:rsidR="00285506">
        <w:rPr>
          <w:b/>
          <w:bCs/>
        </w:rPr>
        <w:t xml:space="preserve"> </w:t>
      </w:r>
    </w:p>
    <w:p w:rsidR="006113B2" w:rsidRPr="00285506" w:rsidRDefault="00285506" w:rsidP="006113B2">
      <w:pPr>
        <w:pStyle w:val="SingleTxt"/>
        <w:rPr>
          <w:b/>
          <w:bCs/>
        </w:rPr>
      </w:pPr>
      <w:r>
        <w:tab/>
      </w:r>
      <w:r w:rsidR="006113B2">
        <w:t>(a)</w:t>
      </w:r>
      <w:r w:rsidR="006113B2">
        <w:tab/>
      </w:r>
      <w:r w:rsidR="006113B2" w:rsidRPr="00285506">
        <w:rPr>
          <w:b/>
          <w:bCs/>
        </w:rPr>
        <w:t xml:space="preserve">Take measures to limit the use of pretrial detention of women, including by widening the recourse to precautionary measures; </w:t>
      </w:r>
    </w:p>
    <w:p w:rsidR="006113B2" w:rsidRPr="00285506" w:rsidRDefault="00285506" w:rsidP="006113B2">
      <w:pPr>
        <w:pStyle w:val="SingleTxt"/>
        <w:rPr>
          <w:b/>
          <w:bCs/>
        </w:rPr>
      </w:pPr>
      <w:r>
        <w:tab/>
      </w:r>
      <w:r w:rsidR="006113B2">
        <w:t>(b)</w:t>
      </w:r>
      <w:r w:rsidR="006113B2">
        <w:tab/>
      </w:r>
      <w:r w:rsidR="006113B2" w:rsidRPr="00285506">
        <w:rPr>
          <w:b/>
          <w:bCs/>
        </w:rPr>
        <w:t xml:space="preserve">Prohibit invasive physical searches of women by penitentiary officers and develop for prison staff mandatory capacity-building programmes on gender equality and women’s dignity and rights; </w:t>
      </w:r>
    </w:p>
    <w:p w:rsidR="006113B2" w:rsidRPr="00285506" w:rsidRDefault="00285506" w:rsidP="006113B2">
      <w:pPr>
        <w:pStyle w:val="SingleTxt"/>
        <w:rPr>
          <w:b/>
          <w:bCs/>
        </w:rPr>
      </w:pPr>
      <w:r>
        <w:tab/>
      </w:r>
      <w:r w:rsidR="006113B2">
        <w:t>(c)</w:t>
      </w:r>
      <w:r w:rsidR="006113B2">
        <w:tab/>
      </w:r>
      <w:r w:rsidR="006113B2" w:rsidRPr="00285506">
        <w:rPr>
          <w:b/>
          <w:bCs/>
        </w:rPr>
        <w:t>Allocate human, technical and financial resources aimed at expanding the coverage of education, employment programmes and health services to include women in pretrial detention;</w:t>
      </w:r>
      <w:r>
        <w:rPr>
          <w:b/>
          <w:bCs/>
        </w:rPr>
        <w:t xml:space="preserve"> </w:t>
      </w:r>
    </w:p>
    <w:p w:rsidR="006113B2" w:rsidRPr="00285506" w:rsidRDefault="00285506" w:rsidP="006113B2">
      <w:pPr>
        <w:pStyle w:val="SingleTxt"/>
        <w:rPr>
          <w:b/>
          <w:bCs/>
        </w:rPr>
      </w:pPr>
      <w:r>
        <w:tab/>
      </w:r>
      <w:r w:rsidR="006113B2">
        <w:t>(d)</w:t>
      </w:r>
      <w:r w:rsidR="006113B2">
        <w:tab/>
      </w:r>
      <w:r w:rsidR="006113B2" w:rsidRPr="00285506">
        <w:rPr>
          <w:b/>
          <w:bCs/>
        </w:rPr>
        <w:t>Accord priority to the implementation of the recommendations made by the Subcommittee on Prevention of Torture and Other Cruel, Inhuman or Degrading Treatment or Punishment (</w:t>
      </w:r>
      <w:hyperlink r:id="rId23" w:history="1">
        <w:r w:rsidR="006113B2" w:rsidRPr="00285506">
          <w:rPr>
            <w:rStyle w:val="Hyperlink"/>
            <w:b/>
            <w:bCs/>
          </w:rPr>
          <w:t>CAT/OP/ARG/1</w:t>
        </w:r>
      </w:hyperlink>
      <w:r w:rsidR="006113B2" w:rsidRPr="00285506">
        <w:rPr>
          <w:b/>
          <w:bCs/>
        </w:rPr>
        <w:t xml:space="preserve">) and accelerate the investigation of alleged cases of ill-treatment and other cases of gender-based violence against women in detention; </w:t>
      </w:r>
    </w:p>
    <w:p w:rsidR="006113B2" w:rsidRPr="00285506" w:rsidRDefault="00285506" w:rsidP="006113B2">
      <w:pPr>
        <w:pStyle w:val="SingleTxt"/>
        <w:rPr>
          <w:b/>
          <w:bCs/>
        </w:rPr>
      </w:pPr>
      <w:r>
        <w:tab/>
      </w:r>
      <w:r w:rsidR="006113B2">
        <w:t>(e)</w:t>
      </w:r>
      <w:r w:rsidR="006113B2">
        <w:tab/>
      </w:r>
      <w:r w:rsidR="006113B2" w:rsidRPr="00285506">
        <w:rPr>
          <w:b/>
          <w:bCs/>
        </w:rPr>
        <w:t xml:space="preserve">Accelerate the implementation of Act No. 26.472 of 12 January 2009 and provide alternatives to detention for pregnant women and mothers with young children, taking into account the best interest of the child. </w:t>
      </w:r>
    </w:p>
    <w:p w:rsidR="00285506" w:rsidRPr="00285506" w:rsidRDefault="00285506" w:rsidP="00285506">
      <w:pPr>
        <w:pStyle w:val="SingleTxt"/>
        <w:spacing w:after="0" w:line="120" w:lineRule="exact"/>
        <w:rPr>
          <w:sz w:val="10"/>
        </w:rPr>
      </w:pPr>
    </w:p>
    <w:p w:rsidR="006113B2" w:rsidRDefault="006113B2" w:rsidP="00285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in marriage and family relations</w:t>
      </w:r>
      <w:r w:rsidR="00285506">
        <w:t xml:space="preserve"> </w:t>
      </w:r>
    </w:p>
    <w:p w:rsidR="00285506" w:rsidRPr="00285506" w:rsidRDefault="00285506" w:rsidP="00285506">
      <w:pPr>
        <w:pStyle w:val="SingleTxt"/>
        <w:spacing w:after="0" w:line="120" w:lineRule="exact"/>
        <w:rPr>
          <w:sz w:val="10"/>
          <w:lang w:val="en-US"/>
        </w:rPr>
      </w:pPr>
    </w:p>
    <w:p w:rsidR="006113B2" w:rsidRDefault="006113B2" w:rsidP="006113B2">
      <w:pPr>
        <w:pStyle w:val="SingleTxt"/>
      </w:pPr>
      <w:r>
        <w:t>46.</w:t>
      </w:r>
      <w:r>
        <w:tab/>
        <w:t xml:space="preserve">The Committee notes that the Civil and Commercial Code (Act No. 26.994 of 1 October 2014) reform recognizes equal rights of women and men in relation to marriage. Nevertheless, the Committee notes with concern the absence of gender-based criteria and legal advice to apply provisions under the new Civil and Commercial Code (art. 440), allowing the marriage of persons under 18 years of age based on the authorization of judicial authorities, and the decisions on financial compensation for economically disadvantaged spouses during divorce proceedings. </w:t>
      </w:r>
    </w:p>
    <w:p w:rsidR="006113B2" w:rsidRPr="00285506" w:rsidRDefault="006113B2" w:rsidP="006113B2">
      <w:pPr>
        <w:pStyle w:val="SingleTxt"/>
        <w:rPr>
          <w:b/>
          <w:bCs/>
        </w:rPr>
      </w:pPr>
      <w:r>
        <w:t>47.</w:t>
      </w:r>
      <w:r>
        <w:tab/>
      </w:r>
      <w:r w:rsidRPr="00285506">
        <w:rPr>
          <w:b/>
          <w:bCs/>
        </w:rPr>
        <w:t xml:space="preserve">The Committee recommends that the State party collect disaggregated statistical data on marriages of adolescents over 16 and under 18 years of age and define clear criteria to assess applications for judicial authorization of such marriages. It also recommends that the State party adopt guidelines on the compensation of the economically disadvantaged spouse for use in divorce proceedings, in line with the Committee’s general recommendation No. 29 (2013) on the economic consequences of marriage, family relations and their dissolution, and ensure that women without sufficient means have access to free legal aid during divorce proceedings. </w:t>
      </w:r>
    </w:p>
    <w:p w:rsidR="00285506" w:rsidRPr="00285506" w:rsidRDefault="00285506" w:rsidP="00285506">
      <w:pPr>
        <w:pStyle w:val="SingleTxt"/>
        <w:spacing w:after="0" w:line="120" w:lineRule="exact"/>
        <w:rPr>
          <w:sz w:val="10"/>
        </w:rPr>
      </w:pPr>
    </w:p>
    <w:p w:rsidR="006113B2" w:rsidRDefault="006113B2" w:rsidP="00356AB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and analysis </w:t>
      </w:r>
    </w:p>
    <w:p w:rsidR="00285506" w:rsidRPr="00285506" w:rsidRDefault="00285506" w:rsidP="00356AB9">
      <w:pPr>
        <w:pStyle w:val="SingleTxt"/>
        <w:keepNext/>
        <w:spacing w:after="0" w:line="120" w:lineRule="exact"/>
        <w:rPr>
          <w:sz w:val="10"/>
        </w:rPr>
      </w:pPr>
    </w:p>
    <w:p w:rsidR="006113B2" w:rsidRDefault="006113B2" w:rsidP="006113B2">
      <w:pPr>
        <w:pStyle w:val="SingleTxt"/>
      </w:pPr>
      <w:r>
        <w:t>48.</w:t>
      </w:r>
      <w:r>
        <w:tab/>
        <w:t xml:space="preserve">The Committee notes with concern the insufficient updated disaggregated information and data on the situation of women facing intersecting forms of discrimination based on their sex and age, ethnic origin or socioeconomic, migrant, asylum-seeking, refugee or disability-related status, as well as on sexual orientation and gender identity. </w:t>
      </w:r>
    </w:p>
    <w:p w:rsidR="006113B2" w:rsidRPr="00285506" w:rsidRDefault="006113B2" w:rsidP="006113B2">
      <w:pPr>
        <w:pStyle w:val="SingleTxt"/>
        <w:rPr>
          <w:b/>
          <w:bCs/>
        </w:rPr>
      </w:pPr>
      <w:r>
        <w:t>49.</w:t>
      </w:r>
      <w:r>
        <w:tab/>
      </w:r>
      <w:r w:rsidRPr="00285506">
        <w:rPr>
          <w:b/>
          <w:bCs/>
        </w:rPr>
        <w:t xml:space="preserve">The Committee recommends that the State party collect statistical data disaggregated by sex, age, ethnic origin and migrant, asylum-seeking, refugee and disability status, as well as by sexual orientation and gender identity, in all areas of the Convention, including education, employment and health, and in the public and private spheres. The State party should use the findings to identify areas of discrimination and as a baseline for developing its policies. </w:t>
      </w:r>
    </w:p>
    <w:p w:rsidR="00285506" w:rsidRPr="00285506" w:rsidRDefault="00285506" w:rsidP="00285506">
      <w:pPr>
        <w:pStyle w:val="SingleTxt"/>
        <w:spacing w:after="0" w:line="120" w:lineRule="exact"/>
        <w:rPr>
          <w:sz w:val="10"/>
        </w:rPr>
      </w:pPr>
    </w:p>
    <w:p w:rsidR="00872773" w:rsidRDefault="00872773" w:rsidP="00872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rsidR="00872773" w:rsidRPr="00872773" w:rsidRDefault="00872773" w:rsidP="00872773">
      <w:pPr>
        <w:pStyle w:val="SingleTxt"/>
        <w:spacing w:after="0" w:line="120" w:lineRule="exact"/>
        <w:rPr>
          <w:sz w:val="10"/>
          <w:lang w:val="en-US"/>
        </w:rPr>
      </w:pPr>
    </w:p>
    <w:p w:rsidR="00872773" w:rsidRPr="00AE4682" w:rsidRDefault="00872773" w:rsidP="00872773">
      <w:pPr>
        <w:pStyle w:val="SingleTxt"/>
        <w:rPr>
          <w:b/>
          <w:lang w:val="en-US"/>
        </w:rPr>
      </w:pPr>
      <w:r>
        <w:rPr>
          <w:lang w:val="en-US"/>
        </w:rPr>
        <w:t>50.</w:t>
      </w:r>
      <w:r>
        <w:rPr>
          <w:lang w:val="en-US"/>
        </w:rPr>
        <w:tab/>
      </w:r>
      <w:r w:rsidRPr="00AE4682">
        <w:rPr>
          <w:b/>
          <w:lang w:val="en-US"/>
        </w:rPr>
        <w:t xml:space="preserve">The Committee calls upon the State party to utilize the Beijing Declaration and Platform for Action, in its efforts to implement the provisions </w:t>
      </w:r>
      <w:r w:rsidR="00582139" w:rsidRPr="00AE4682">
        <w:rPr>
          <w:b/>
          <w:lang w:val="en-US"/>
        </w:rPr>
        <w:t>of</w:t>
      </w:r>
      <w:r w:rsidRPr="00AE4682">
        <w:rPr>
          <w:b/>
          <w:lang w:val="en-US"/>
        </w:rPr>
        <w:t xml:space="preserve"> the Convention.</w:t>
      </w:r>
    </w:p>
    <w:p w:rsidR="00872773" w:rsidRPr="00872773" w:rsidRDefault="00872773" w:rsidP="00872773">
      <w:pPr>
        <w:pStyle w:val="SingleTxt"/>
        <w:spacing w:after="0" w:line="120" w:lineRule="exact"/>
        <w:rPr>
          <w:sz w:val="10"/>
          <w:lang w:val="en-US"/>
        </w:rPr>
      </w:pPr>
    </w:p>
    <w:p w:rsidR="00872773" w:rsidRDefault="00872773" w:rsidP="00872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Agenda for Sustainable Development</w:t>
      </w:r>
    </w:p>
    <w:p w:rsidR="00872773" w:rsidRPr="00872773" w:rsidRDefault="00872773" w:rsidP="00872773">
      <w:pPr>
        <w:pStyle w:val="SingleTxt"/>
        <w:spacing w:after="0" w:line="120" w:lineRule="exact"/>
        <w:rPr>
          <w:sz w:val="10"/>
          <w:lang w:val="en-US"/>
        </w:rPr>
      </w:pPr>
    </w:p>
    <w:p w:rsidR="00872773" w:rsidRPr="00AE4682" w:rsidRDefault="00872773" w:rsidP="00872773">
      <w:pPr>
        <w:pStyle w:val="SingleTxt"/>
        <w:rPr>
          <w:b/>
          <w:lang w:val="en-US"/>
        </w:rPr>
      </w:pPr>
      <w:r>
        <w:rPr>
          <w:lang w:val="en-US"/>
        </w:rPr>
        <w:t>51.</w:t>
      </w:r>
      <w:r>
        <w:rPr>
          <w:lang w:val="en-US"/>
        </w:rPr>
        <w:tab/>
      </w:r>
      <w:r w:rsidRPr="00AE4682">
        <w:rPr>
          <w:b/>
          <w:lang w:val="en-US"/>
        </w:rPr>
        <w:t xml:space="preserve">The </w:t>
      </w:r>
      <w:r w:rsidR="00582139" w:rsidRPr="00AE4682">
        <w:rPr>
          <w:b/>
          <w:lang w:val="en-US"/>
        </w:rPr>
        <w:t>Committee</w:t>
      </w:r>
      <w:r w:rsidRPr="00AE4682">
        <w:rPr>
          <w:b/>
          <w:lang w:val="en-US"/>
        </w:rPr>
        <w:t xml:space="preserve"> calls for the realization of substantive gender equality, in accordance with the provisions of the Convention, throughout the process of implementation of the 2030 Agenda for Sustainable Development.</w:t>
      </w:r>
    </w:p>
    <w:p w:rsidR="00872773" w:rsidRPr="00872773" w:rsidRDefault="00872773" w:rsidP="00872773">
      <w:pPr>
        <w:pStyle w:val="SingleTxt"/>
        <w:spacing w:after="0" w:line="120" w:lineRule="exact"/>
        <w:rPr>
          <w:sz w:val="10"/>
          <w:lang w:val="en-US"/>
        </w:rPr>
      </w:pPr>
    </w:p>
    <w:p w:rsidR="006113B2" w:rsidRDefault="006113B2" w:rsidP="00285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r w:rsidR="00285506">
        <w:t xml:space="preserve"> </w:t>
      </w:r>
    </w:p>
    <w:p w:rsidR="00285506" w:rsidRPr="00285506" w:rsidRDefault="00285506" w:rsidP="00285506">
      <w:pPr>
        <w:pStyle w:val="SingleTxt"/>
        <w:spacing w:after="0" w:line="120" w:lineRule="exact"/>
        <w:rPr>
          <w:sz w:val="10"/>
        </w:rPr>
      </w:pPr>
    </w:p>
    <w:p w:rsidR="006113B2" w:rsidRPr="00285506" w:rsidRDefault="006113B2" w:rsidP="006113B2">
      <w:pPr>
        <w:pStyle w:val="SingleTxt"/>
        <w:rPr>
          <w:b/>
          <w:bCs/>
        </w:rPr>
      </w:pPr>
      <w:r>
        <w:t>5</w:t>
      </w:r>
      <w:r w:rsidR="00872773">
        <w:t>2</w:t>
      </w:r>
      <w:r>
        <w:t>.</w:t>
      </w:r>
      <w:r>
        <w:tab/>
      </w:r>
      <w:r w:rsidRPr="00285506">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r w:rsidR="00285506">
        <w:rPr>
          <w:b/>
          <w:bCs/>
        </w:rPr>
        <w:t xml:space="preserve"> </w:t>
      </w:r>
    </w:p>
    <w:p w:rsidR="00285506" w:rsidRPr="00285506" w:rsidRDefault="00285506" w:rsidP="00285506">
      <w:pPr>
        <w:pStyle w:val="SingleTxt"/>
        <w:spacing w:after="0" w:line="120" w:lineRule="exact"/>
        <w:rPr>
          <w:sz w:val="10"/>
        </w:rPr>
      </w:pPr>
    </w:p>
    <w:p w:rsidR="006113B2" w:rsidRDefault="006113B2" w:rsidP="00285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r w:rsidR="00285506">
        <w:t xml:space="preserve"> </w:t>
      </w:r>
    </w:p>
    <w:p w:rsidR="00285506" w:rsidRPr="00285506" w:rsidRDefault="00285506" w:rsidP="00285506">
      <w:pPr>
        <w:pStyle w:val="SingleTxt"/>
        <w:spacing w:after="0" w:line="120" w:lineRule="exact"/>
        <w:rPr>
          <w:sz w:val="10"/>
          <w:lang w:val="en-US"/>
        </w:rPr>
      </w:pPr>
    </w:p>
    <w:p w:rsidR="006113B2" w:rsidRPr="00285506" w:rsidRDefault="006113B2" w:rsidP="006113B2">
      <w:pPr>
        <w:pStyle w:val="SingleTxt"/>
        <w:rPr>
          <w:b/>
          <w:bCs/>
        </w:rPr>
      </w:pPr>
      <w:r>
        <w:t>5</w:t>
      </w:r>
      <w:r w:rsidR="00872773">
        <w:t>3</w:t>
      </w:r>
      <w:r>
        <w:t>.</w:t>
      </w:r>
      <w:r>
        <w:tab/>
      </w:r>
      <w:r w:rsidRPr="00285506">
        <w:rPr>
          <w:b/>
          <w:bCs/>
        </w:rPr>
        <w:t xml:space="preserve">The Committee requests the State party to provide, within two years, written information on the steps taken to implement the recommendations contained in paragraphs 27 (a), 33 (b) and (d) and 41 (d) above. </w:t>
      </w:r>
    </w:p>
    <w:p w:rsidR="00285506" w:rsidRPr="00285506" w:rsidRDefault="00285506" w:rsidP="00285506">
      <w:pPr>
        <w:pStyle w:val="SingleTxt"/>
        <w:spacing w:after="0" w:line="120" w:lineRule="exact"/>
        <w:rPr>
          <w:sz w:val="10"/>
        </w:rPr>
      </w:pPr>
    </w:p>
    <w:p w:rsidR="006113B2" w:rsidRDefault="006113B2" w:rsidP="00285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rsidR="00285506" w:rsidRPr="00285506" w:rsidRDefault="00285506" w:rsidP="00285506">
      <w:pPr>
        <w:pStyle w:val="SingleTxt"/>
        <w:spacing w:after="0" w:line="120" w:lineRule="exact"/>
        <w:rPr>
          <w:sz w:val="10"/>
        </w:rPr>
      </w:pPr>
    </w:p>
    <w:p w:rsidR="006113B2" w:rsidRPr="00285506" w:rsidRDefault="006113B2" w:rsidP="006113B2">
      <w:pPr>
        <w:pStyle w:val="SingleTxt"/>
        <w:rPr>
          <w:b/>
          <w:bCs/>
        </w:rPr>
      </w:pPr>
      <w:r>
        <w:t>5</w:t>
      </w:r>
      <w:r w:rsidR="00872773">
        <w:t>4</w:t>
      </w:r>
      <w:r>
        <w:t>.</w:t>
      </w:r>
      <w:r>
        <w:tab/>
      </w:r>
      <w:r w:rsidRPr="00285506">
        <w:rPr>
          <w:b/>
          <w:bCs/>
        </w:rPr>
        <w:t xml:space="preserve">The Committee invites the State party to submit its eighth periodic report in July 2020. In case of delay, the report should cover the entire period up to the time of its submission. </w:t>
      </w:r>
    </w:p>
    <w:p w:rsidR="006113B2" w:rsidRPr="00285506" w:rsidRDefault="006113B2" w:rsidP="006113B2">
      <w:pPr>
        <w:pStyle w:val="SingleTxt"/>
        <w:rPr>
          <w:b/>
          <w:bCs/>
        </w:rPr>
      </w:pPr>
      <w:r>
        <w:t>5</w:t>
      </w:r>
      <w:r w:rsidR="00872773">
        <w:t>5</w:t>
      </w:r>
      <w:r>
        <w:t>.</w:t>
      </w:r>
      <w:r>
        <w:tab/>
      </w:r>
      <w:r w:rsidRPr="00285506">
        <w:rPr>
          <w:b/>
          <w:bCs/>
        </w:rPr>
        <w:t xml:space="preserve">The Committee requests the State party to follow the harmonized guidelines on reporting under the international human rights treaties, including guidelines on a common core document and treaty-specific documents (see </w:t>
      </w:r>
      <w:hyperlink r:id="rId24" w:history="1">
        <w:r w:rsidRPr="00285506">
          <w:rPr>
            <w:rStyle w:val="Hyperlink"/>
            <w:b/>
            <w:bCs/>
          </w:rPr>
          <w:t>HRI/GEN/2/Rev.6</w:t>
        </w:r>
      </w:hyperlink>
      <w:r w:rsidRPr="00285506">
        <w:rPr>
          <w:b/>
          <w:bCs/>
        </w:rPr>
        <w:t>, chap. I).</w:t>
      </w:r>
    </w:p>
    <w:p w:rsidR="006113B2" w:rsidRPr="006113B2" w:rsidRDefault="00356AB9" w:rsidP="006113B2">
      <w:pPr>
        <w:pStyle w:val="SingleTxt"/>
      </w:pPr>
      <w:r>
        <w:rPr>
          <w:noProof/>
          <w:w w:val="100"/>
          <w:lang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113B2" w:rsidRPr="006113B2" w:rsidSect="00B849E3">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3T16:31:00Z" w:initials="Start">
    <w:p w:rsidR="007E3DFC" w:rsidRDefault="007E3DF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NO&gt;&gt;N1640215E&lt;&lt;ODS JOB NO&gt;&gt;</w:t>
      </w:r>
    </w:p>
    <w:p w:rsidR="007E3DFC" w:rsidRDefault="007E3DFC">
      <w:pPr>
        <w:pStyle w:val="CommentText"/>
      </w:pPr>
      <w:r>
        <w:t>&lt;&lt;ODS DOC SYMBOL1&gt;&gt;CEDAW/C/ARG/CO/7&lt;&lt;ODS DOC SYMBOL1&gt;&gt;</w:t>
      </w:r>
    </w:p>
    <w:p w:rsidR="007E3DFC" w:rsidRDefault="007E3D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DFC" w:rsidRDefault="007E3DFC" w:rsidP="000548B1">
      <w:pPr>
        <w:spacing w:line="240" w:lineRule="auto"/>
      </w:pPr>
      <w:r>
        <w:separator/>
      </w:r>
    </w:p>
  </w:endnote>
  <w:endnote w:type="continuationSeparator" w:id="0">
    <w:p w:rsidR="007E3DFC" w:rsidRDefault="007E3DFC" w:rsidP="000548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E3DFC" w:rsidTr="00B849E3">
      <w:tc>
        <w:tcPr>
          <w:tcW w:w="5028" w:type="dxa"/>
          <w:shd w:val="clear" w:color="auto" w:fill="auto"/>
        </w:tcPr>
        <w:p w:rsidR="007E3DFC" w:rsidRPr="00B849E3" w:rsidRDefault="007E3DFC" w:rsidP="00B849E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490D">
            <w:rPr>
              <w:b w:val="0"/>
              <w:w w:val="103"/>
              <w:sz w:val="14"/>
            </w:rPr>
            <w:t>16-20836</w:t>
          </w:r>
          <w:r>
            <w:rPr>
              <w:b w:val="0"/>
              <w:w w:val="103"/>
              <w:sz w:val="14"/>
            </w:rPr>
            <w:fldChar w:fldCharType="end"/>
          </w:r>
        </w:p>
      </w:tc>
      <w:tc>
        <w:tcPr>
          <w:tcW w:w="5028" w:type="dxa"/>
          <w:shd w:val="clear" w:color="auto" w:fill="auto"/>
        </w:tcPr>
        <w:p w:rsidR="007E3DFC" w:rsidRPr="00B849E3" w:rsidRDefault="007E3DFC" w:rsidP="00B849E3">
          <w:pPr>
            <w:pStyle w:val="Footer"/>
            <w:rPr>
              <w:w w:val="103"/>
            </w:rPr>
          </w:pPr>
          <w:r>
            <w:rPr>
              <w:w w:val="103"/>
            </w:rPr>
            <w:fldChar w:fldCharType="begin"/>
          </w:r>
          <w:r>
            <w:rPr>
              <w:w w:val="103"/>
            </w:rPr>
            <w:instrText xml:space="preserve"> PAGE  \* Arabic  \* MERGEFORMAT </w:instrText>
          </w:r>
          <w:r>
            <w:rPr>
              <w:w w:val="103"/>
            </w:rPr>
            <w:fldChar w:fldCharType="separate"/>
          </w:r>
          <w:r w:rsidR="00C7168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71687">
            <w:rPr>
              <w:w w:val="103"/>
            </w:rPr>
            <w:t>2</w:t>
          </w:r>
          <w:r>
            <w:rPr>
              <w:w w:val="103"/>
            </w:rPr>
            <w:fldChar w:fldCharType="end"/>
          </w:r>
        </w:p>
      </w:tc>
    </w:tr>
  </w:tbl>
  <w:p w:rsidR="007E3DFC" w:rsidRPr="00B849E3" w:rsidRDefault="007E3DFC" w:rsidP="00B849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E3DFC" w:rsidTr="00B849E3">
      <w:tc>
        <w:tcPr>
          <w:tcW w:w="5028" w:type="dxa"/>
          <w:shd w:val="clear" w:color="auto" w:fill="auto"/>
        </w:tcPr>
        <w:p w:rsidR="007E3DFC" w:rsidRPr="00B849E3" w:rsidRDefault="007E3DFC" w:rsidP="00B849E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4490D">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4490D">
            <w:rPr>
              <w:w w:val="103"/>
            </w:rPr>
            <w:t>18</w:t>
          </w:r>
          <w:r>
            <w:rPr>
              <w:w w:val="103"/>
            </w:rPr>
            <w:fldChar w:fldCharType="end"/>
          </w:r>
        </w:p>
      </w:tc>
      <w:tc>
        <w:tcPr>
          <w:tcW w:w="5028" w:type="dxa"/>
          <w:shd w:val="clear" w:color="auto" w:fill="auto"/>
        </w:tcPr>
        <w:p w:rsidR="007E3DFC" w:rsidRPr="00B849E3" w:rsidRDefault="007E3DFC" w:rsidP="00B849E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490D">
            <w:rPr>
              <w:b w:val="0"/>
              <w:w w:val="103"/>
              <w:sz w:val="14"/>
            </w:rPr>
            <w:t>16-20836</w:t>
          </w:r>
          <w:r>
            <w:rPr>
              <w:b w:val="0"/>
              <w:w w:val="103"/>
              <w:sz w:val="14"/>
            </w:rPr>
            <w:fldChar w:fldCharType="end"/>
          </w:r>
        </w:p>
      </w:tc>
    </w:tr>
  </w:tbl>
  <w:p w:rsidR="007E3DFC" w:rsidRPr="00B849E3" w:rsidRDefault="007E3DFC" w:rsidP="00B849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7E3DFC" w:rsidTr="00B849E3">
      <w:tc>
        <w:tcPr>
          <w:tcW w:w="3801" w:type="dxa"/>
        </w:tcPr>
        <w:p w:rsidR="007E3DFC" w:rsidRDefault="007E3DFC" w:rsidP="006113B2">
          <w:pPr>
            <w:pStyle w:val="ReleaseDate"/>
          </w:pPr>
          <w:r>
            <w:rPr>
              <w:noProof/>
              <w:lang w:eastAsia="en-GB"/>
            </w:rPr>
            <w:drawing>
              <wp:anchor distT="0" distB="0" distL="114300" distR="114300" simplePos="0" relativeHeight="251658240" behindDoc="0" locked="0" layoutInCell="1" allowOverlap="1" wp14:anchorId="240B11A3" wp14:editId="57B06ECF">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ARG/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G/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16-20836 (E)    1</w:t>
          </w:r>
          <w:r w:rsidR="00872773">
            <w:t>4</w:t>
          </w:r>
          <w:r>
            <w:t xml:space="preserve">1216    </w:t>
          </w:r>
        </w:p>
        <w:p w:rsidR="007E3DFC" w:rsidRPr="00B849E3" w:rsidRDefault="007E3DFC" w:rsidP="00B849E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*1620836*</w:t>
          </w:r>
        </w:p>
      </w:tc>
      <w:tc>
        <w:tcPr>
          <w:tcW w:w="5028" w:type="dxa"/>
        </w:tcPr>
        <w:p w:rsidR="007E3DFC" w:rsidRDefault="007E3DFC" w:rsidP="00B849E3">
          <w:pPr>
            <w:pStyle w:val="Footer"/>
            <w:jc w:val="right"/>
            <w:rPr>
              <w:b w:val="0"/>
              <w:sz w:val="20"/>
            </w:rPr>
          </w:pPr>
          <w:r>
            <w:rPr>
              <w:b w:val="0"/>
              <w:sz w:val="20"/>
              <w:lang w:val="en-GB" w:eastAsia="en-GB"/>
            </w:rPr>
            <w:drawing>
              <wp:inline distT="0" distB="0" distL="0" distR="0" wp14:anchorId="2275D3C0" wp14:editId="1D49304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E3DFC" w:rsidRPr="00B849E3" w:rsidRDefault="007E3DFC" w:rsidP="00B849E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DFC" w:rsidRPr="006113B2" w:rsidRDefault="007E3DFC" w:rsidP="006113B2">
      <w:pPr>
        <w:pStyle w:val="Footer"/>
        <w:spacing w:after="80"/>
        <w:ind w:left="792"/>
        <w:rPr>
          <w:sz w:val="16"/>
        </w:rPr>
      </w:pPr>
      <w:r w:rsidRPr="006113B2">
        <w:rPr>
          <w:sz w:val="16"/>
        </w:rPr>
        <w:t>__________________</w:t>
      </w:r>
    </w:p>
  </w:footnote>
  <w:footnote w:type="continuationSeparator" w:id="0">
    <w:p w:rsidR="007E3DFC" w:rsidRPr="006113B2" w:rsidRDefault="007E3DFC" w:rsidP="006113B2">
      <w:pPr>
        <w:pStyle w:val="Footer"/>
        <w:spacing w:after="80"/>
        <w:ind w:left="792"/>
        <w:rPr>
          <w:sz w:val="16"/>
        </w:rPr>
      </w:pPr>
      <w:r w:rsidRPr="006113B2">
        <w:rPr>
          <w:sz w:val="16"/>
        </w:rPr>
        <w:t>__________________</w:t>
      </w:r>
    </w:p>
  </w:footnote>
  <w:footnote w:id="1">
    <w:p w:rsidR="007E3DFC" w:rsidRPr="006113B2" w:rsidRDefault="007E3DFC" w:rsidP="006113B2">
      <w:pPr>
        <w:pStyle w:val="FootnoteText"/>
        <w:tabs>
          <w:tab w:val="clear" w:pos="418"/>
          <w:tab w:val="right" w:pos="1195"/>
          <w:tab w:val="left" w:pos="1267"/>
          <w:tab w:val="left" w:pos="1742"/>
          <w:tab w:val="left" w:pos="2218"/>
          <w:tab w:val="left" w:pos="2693"/>
        </w:tabs>
        <w:ind w:left="1267" w:right="1260" w:hanging="432"/>
        <w:rPr>
          <w:lang w:val="en-US"/>
        </w:rPr>
      </w:pPr>
      <w:r>
        <w:rPr>
          <w:rStyle w:val="FootnoteReference"/>
        </w:rPr>
        <w:tab/>
      </w:r>
      <w:r w:rsidRPr="006113B2">
        <w:rPr>
          <w:rStyle w:val="FootnoteReference"/>
          <w:vertAlign w:val="baseline"/>
        </w:rPr>
        <w:t>*</w:t>
      </w:r>
      <w:r w:rsidRPr="006113B2">
        <w:t xml:space="preserve"> </w:t>
      </w:r>
      <w:r w:rsidRPr="006113B2">
        <w:tab/>
        <w:t>Adopted by the Committee at its sixty-fifth session (24 October-18 November 2016).</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E3DFC" w:rsidTr="00B849E3">
      <w:trPr>
        <w:trHeight w:hRule="exact" w:val="864"/>
      </w:trPr>
      <w:tc>
        <w:tcPr>
          <w:tcW w:w="4838" w:type="dxa"/>
          <w:shd w:val="clear" w:color="auto" w:fill="auto"/>
          <w:vAlign w:val="bottom"/>
        </w:tcPr>
        <w:p w:rsidR="007E3DFC" w:rsidRPr="00B849E3" w:rsidRDefault="007E3DFC" w:rsidP="00B849E3">
          <w:pPr>
            <w:pStyle w:val="Header"/>
            <w:spacing w:after="80"/>
            <w:rPr>
              <w:b/>
            </w:rPr>
          </w:pPr>
          <w:r>
            <w:rPr>
              <w:b/>
            </w:rPr>
            <w:fldChar w:fldCharType="begin"/>
          </w:r>
          <w:r>
            <w:rPr>
              <w:b/>
            </w:rPr>
            <w:instrText xml:space="preserve"> DOCVARIABLE "sss1" \* MERGEFORMAT </w:instrText>
          </w:r>
          <w:r>
            <w:rPr>
              <w:b/>
            </w:rPr>
            <w:fldChar w:fldCharType="separate"/>
          </w:r>
          <w:r w:rsidR="00C4490D">
            <w:rPr>
              <w:b/>
            </w:rPr>
            <w:t>CEDAW/C/ARG/CO/7</w:t>
          </w:r>
          <w:r>
            <w:rPr>
              <w:b/>
            </w:rPr>
            <w:fldChar w:fldCharType="end"/>
          </w:r>
        </w:p>
      </w:tc>
      <w:tc>
        <w:tcPr>
          <w:tcW w:w="5028" w:type="dxa"/>
          <w:shd w:val="clear" w:color="auto" w:fill="auto"/>
          <w:vAlign w:val="bottom"/>
        </w:tcPr>
        <w:p w:rsidR="007E3DFC" w:rsidRDefault="007E3DFC" w:rsidP="00B849E3">
          <w:pPr>
            <w:pStyle w:val="Header"/>
          </w:pPr>
        </w:p>
      </w:tc>
    </w:tr>
  </w:tbl>
  <w:p w:rsidR="007E3DFC" w:rsidRPr="00B849E3" w:rsidRDefault="007E3DFC" w:rsidP="00B849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E3DFC" w:rsidTr="00B849E3">
      <w:trPr>
        <w:trHeight w:hRule="exact" w:val="864"/>
      </w:trPr>
      <w:tc>
        <w:tcPr>
          <w:tcW w:w="4838" w:type="dxa"/>
          <w:shd w:val="clear" w:color="auto" w:fill="auto"/>
          <w:vAlign w:val="bottom"/>
        </w:tcPr>
        <w:p w:rsidR="007E3DFC" w:rsidRDefault="007E3DFC" w:rsidP="00B849E3">
          <w:pPr>
            <w:pStyle w:val="Header"/>
          </w:pPr>
        </w:p>
      </w:tc>
      <w:tc>
        <w:tcPr>
          <w:tcW w:w="5028" w:type="dxa"/>
          <w:shd w:val="clear" w:color="auto" w:fill="auto"/>
          <w:vAlign w:val="bottom"/>
        </w:tcPr>
        <w:p w:rsidR="007E3DFC" w:rsidRPr="00B849E3" w:rsidRDefault="007E3DFC" w:rsidP="00B849E3">
          <w:pPr>
            <w:pStyle w:val="Header"/>
            <w:spacing w:after="80"/>
            <w:jc w:val="right"/>
            <w:rPr>
              <w:b/>
            </w:rPr>
          </w:pPr>
          <w:r>
            <w:rPr>
              <w:b/>
            </w:rPr>
            <w:fldChar w:fldCharType="begin"/>
          </w:r>
          <w:r>
            <w:rPr>
              <w:b/>
            </w:rPr>
            <w:instrText xml:space="preserve"> DOCVARIABLE "sss1" \* MERGEFORMAT </w:instrText>
          </w:r>
          <w:r>
            <w:rPr>
              <w:b/>
            </w:rPr>
            <w:fldChar w:fldCharType="separate"/>
          </w:r>
          <w:r w:rsidR="00C4490D">
            <w:rPr>
              <w:b/>
            </w:rPr>
            <w:t>CEDAW/C/ARG/CO/7</w:t>
          </w:r>
          <w:r>
            <w:rPr>
              <w:b/>
            </w:rPr>
            <w:fldChar w:fldCharType="end"/>
          </w:r>
        </w:p>
      </w:tc>
    </w:tr>
  </w:tbl>
  <w:p w:rsidR="007E3DFC" w:rsidRPr="00B849E3" w:rsidRDefault="007E3DFC" w:rsidP="00B849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E3DFC" w:rsidTr="00B849E3">
      <w:trPr>
        <w:trHeight w:hRule="exact" w:val="864"/>
      </w:trPr>
      <w:tc>
        <w:tcPr>
          <w:tcW w:w="1267" w:type="dxa"/>
          <w:tcBorders>
            <w:bottom w:val="single" w:sz="4" w:space="0" w:color="auto"/>
          </w:tcBorders>
          <w:shd w:val="clear" w:color="auto" w:fill="auto"/>
          <w:vAlign w:val="bottom"/>
        </w:tcPr>
        <w:p w:rsidR="007E3DFC" w:rsidRDefault="007E3DFC" w:rsidP="00B849E3">
          <w:pPr>
            <w:pStyle w:val="Header"/>
            <w:spacing w:after="120"/>
          </w:pPr>
        </w:p>
      </w:tc>
      <w:tc>
        <w:tcPr>
          <w:tcW w:w="1872" w:type="dxa"/>
          <w:tcBorders>
            <w:bottom w:val="single" w:sz="4" w:space="0" w:color="auto"/>
          </w:tcBorders>
          <w:shd w:val="clear" w:color="auto" w:fill="auto"/>
          <w:vAlign w:val="bottom"/>
        </w:tcPr>
        <w:p w:rsidR="007E3DFC" w:rsidRPr="00B849E3" w:rsidRDefault="007E3DFC" w:rsidP="00B849E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E3DFC" w:rsidRDefault="007E3DFC" w:rsidP="00B849E3">
          <w:pPr>
            <w:pStyle w:val="Header"/>
            <w:spacing w:after="120"/>
          </w:pPr>
        </w:p>
      </w:tc>
      <w:tc>
        <w:tcPr>
          <w:tcW w:w="6523" w:type="dxa"/>
          <w:gridSpan w:val="4"/>
          <w:tcBorders>
            <w:bottom w:val="single" w:sz="4" w:space="0" w:color="auto"/>
          </w:tcBorders>
          <w:shd w:val="clear" w:color="auto" w:fill="auto"/>
          <w:vAlign w:val="bottom"/>
        </w:tcPr>
        <w:p w:rsidR="007E3DFC" w:rsidRPr="00B849E3" w:rsidRDefault="007E3DFC" w:rsidP="00B849E3">
          <w:pPr>
            <w:spacing w:after="80" w:line="240" w:lineRule="auto"/>
            <w:jc w:val="right"/>
            <w:rPr>
              <w:position w:val="-4"/>
            </w:rPr>
          </w:pPr>
          <w:r>
            <w:rPr>
              <w:position w:val="-4"/>
              <w:sz w:val="40"/>
            </w:rPr>
            <w:t>CEDAW</w:t>
          </w:r>
          <w:r>
            <w:rPr>
              <w:position w:val="-4"/>
            </w:rPr>
            <w:t>/C/ARG/CO/7</w:t>
          </w:r>
        </w:p>
      </w:tc>
    </w:tr>
    <w:tr w:rsidR="007E3DFC" w:rsidRPr="00B849E3" w:rsidTr="00B849E3">
      <w:trPr>
        <w:gridAfter w:val="1"/>
        <w:wAfter w:w="28" w:type="dxa"/>
        <w:trHeight w:hRule="exact" w:val="2880"/>
      </w:trPr>
      <w:tc>
        <w:tcPr>
          <w:tcW w:w="1267" w:type="dxa"/>
          <w:tcBorders>
            <w:top w:val="single" w:sz="4" w:space="0" w:color="auto"/>
            <w:bottom w:val="single" w:sz="12" w:space="0" w:color="auto"/>
          </w:tcBorders>
          <w:shd w:val="clear" w:color="auto" w:fill="auto"/>
        </w:tcPr>
        <w:p w:rsidR="007E3DFC" w:rsidRPr="00B849E3" w:rsidRDefault="007E3DFC" w:rsidP="00B849E3">
          <w:pPr>
            <w:pStyle w:val="Header"/>
            <w:spacing w:before="120"/>
            <w:jc w:val="center"/>
          </w:pPr>
          <w:r>
            <w:t xml:space="preserve"> </w:t>
          </w:r>
          <w:r>
            <w:rPr>
              <w:lang w:val="en-GB" w:eastAsia="en-GB"/>
            </w:rPr>
            <w:drawing>
              <wp:inline distT="0" distB="0" distL="0" distR="0" wp14:anchorId="3AF15912" wp14:editId="57F2CD2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E3DFC" w:rsidRPr="00B849E3" w:rsidRDefault="007E3DFC" w:rsidP="00B849E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7E3DFC" w:rsidRPr="00B849E3" w:rsidRDefault="007E3DFC" w:rsidP="00B849E3">
          <w:pPr>
            <w:pStyle w:val="Header"/>
            <w:spacing w:before="109"/>
          </w:pPr>
        </w:p>
      </w:tc>
      <w:tc>
        <w:tcPr>
          <w:tcW w:w="3140" w:type="dxa"/>
          <w:tcBorders>
            <w:top w:val="single" w:sz="4" w:space="0" w:color="auto"/>
            <w:bottom w:val="single" w:sz="12" w:space="0" w:color="auto"/>
          </w:tcBorders>
          <w:shd w:val="clear" w:color="auto" w:fill="auto"/>
        </w:tcPr>
        <w:p w:rsidR="007E3DFC" w:rsidRDefault="007E3DFC" w:rsidP="00B849E3">
          <w:pPr>
            <w:pStyle w:val="Distribution"/>
            <w:rPr>
              <w:color w:val="010000"/>
            </w:rPr>
          </w:pPr>
          <w:r>
            <w:rPr>
              <w:color w:val="010000"/>
            </w:rPr>
            <w:t>Distr.: General</w:t>
          </w:r>
        </w:p>
        <w:p w:rsidR="007E3DFC" w:rsidRDefault="007E3DFC" w:rsidP="00B849E3">
          <w:pPr>
            <w:pStyle w:val="Publication"/>
            <w:rPr>
              <w:color w:val="010000"/>
            </w:rPr>
          </w:pPr>
          <w:r>
            <w:rPr>
              <w:color w:val="010000"/>
            </w:rPr>
            <w:t>25 November 2016</w:t>
          </w:r>
        </w:p>
        <w:p w:rsidR="007E3DFC" w:rsidRDefault="007E3DFC" w:rsidP="00B849E3"/>
        <w:p w:rsidR="007E3DFC" w:rsidRDefault="007E3DFC" w:rsidP="00B849E3">
          <w:pPr>
            <w:pStyle w:val="Original"/>
            <w:rPr>
              <w:color w:val="010000"/>
            </w:rPr>
          </w:pPr>
          <w:r>
            <w:rPr>
              <w:color w:val="010000"/>
            </w:rPr>
            <w:t>Original: English</w:t>
          </w:r>
        </w:p>
        <w:p w:rsidR="007E3DFC" w:rsidRPr="00B849E3" w:rsidRDefault="007E3DFC" w:rsidP="00B849E3"/>
      </w:tc>
    </w:tr>
  </w:tbl>
  <w:p w:rsidR="007E3DFC" w:rsidRPr="00B849E3" w:rsidRDefault="007E3DFC" w:rsidP="00B849E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6*"/>
    <w:docVar w:name="CreationDt" w:val="13/12/2016 4:31: PM"/>
    <w:docVar w:name="DocCategory" w:val="Doc"/>
    <w:docVar w:name="DocType" w:val="Final"/>
    <w:docVar w:name="DutyStation" w:val="New York"/>
    <w:docVar w:name="FooterJN" w:val="16-20836"/>
    <w:docVar w:name="jobn" w:val="16-20836 (E)"/>
    <w:docVar w:name="jobnDT" w:val="16-20836 (E)   131216"/>
    <w:docVar w:name="jobnDTDT" w:val="16-20836 (E)   131216   131216"/>
    <w:docVar w:name="JobNo" w:val="1620836E"/>
    <w:docVar w:name="JobNo2" w:val="1640215E"/>
    <w:docVar w:name="LocalDrive" w:val="0"/>
    <w:docVar w:name="OandT" w:val="scc"/>
    <w:docVar w:name="sss1" w:val="CEDAW/C/ARG/CO/7"/>
    <w:docVar w:name="sss2" w:val="-"/>
    <w:docVar w:name="Symbol1" w:val="CEDAW/C/ARG/CO/7"/>
    <w:docVar w:name="Symbol2" w:val="-"/>
  </w:docVars>
  <w:rsids>
    <w:rsidRoot w:val="00F72CAE"/>
    <w:rsid w:val="00023C01"/>
    <w:rsid w:val="00025162"/>
    <w:rsid w:val="00026F36"/>
    <w:rsid w:val="00027285"/>
    <w:rsid w:val="000548B1"/>
    <w:rsid w:val="000D7549"/>
    <w:rsid w:val="00140E08"/>
    <w:rsid w:val="001A6784"/>
    <w:rsid w:val="001D051A"/>
    <w:rsid w:val="001E371D"/>
    <w:rsid w:val="001E5104"/>
    <w:rsid w:val="001F28DA"/>
    <w:rsid w:val="00200F9B"/>
    <w:rsid w:val="00215E9E"/>
    <w:rsid w:val="002708A2"/>
    <w:rsid w:val="002732E8"/>
    <w:rsid w:val="00285506"/>
    <w:rsid w:val="00295F35"/>
    <w:rsid w:val="002D4A7B"/>
    <w:rsid w:val="00306E9F"/>
    <w:rsid w:val="00356AB9"/>
    <w:rsid w:val="00384D2F"/>
    <w:rsid w:val="003B7D3A"/>
    <w:rsid w:val="003C2B3D"/>
    <w:rsid w:val="003E23A8"/>
    <w:rsid w:val="00422616"/>
    <w:rsid w:val="00435CFC"/>
    <w:rsid w:val="00436DF4"/>
    <w:rsid w:val="00450A05"/>
    <w:rsid w:val="00464ED1"/>
    <w:rsid w:val="004663E4"/>
    <w:rsid w:val="004741D4"/>
    <w:rsid w:val="0047615F"/>
    <w:rsid w:val="0048213A"/>
    <w:rsid w:val="004A0083"/>
    <w:rsid w:val="004E339B"/>
    <w:rsid w:val="00502B27"/>
    <w:rsid w:val="00526CAE"/>
    <w:rsid w:val="005305E3"/>
    <w:rsid w:val="005330B4"/>
    <w:rsid w:val="00582139"/>
    <w:rsid w:val="00591617"/>
    <w:rsid w:val="005930C9"/>
    <w:rsid w:val="005D3979"/>
    <w:rsid w:val="005E0A8E"/>
    <w:rsid w:val="006113B2"/>
    <w:rsid w:val="00637ACC"/>
    <w:rsid w:val="00652C6D"/>
    <w:rsid w:val="006715AF"/>
    <w:rsid w:val="006864AA"/>
    <w:rsid w:val="006A44BD"/>
    <w:rsid w:val="006A6D78"/>
    <w:rsid w:val="006B3E3B"/>
    <w:rsid w:val="006F61C2"/>
    <w:rsid w:val="0076719C"/>
    <w:rsid w:val="007857F3"/>
    <w:rsid w:val="00791D5D"/>
    <w:rsid w:val="007B1D8D"/>
    <w:rsid w:val="007E3DFC"/>
    <w:rsid w:val="0084284A"/>
    <w:rsid w:val="0084643C"/>
    <w:rsid w:val="008719A4"/>
    <w:rsid w:val="00872773"/>
    <w:rsid w:val="008903A9"/>
    <w:rsid w:val="009620BF"/>
    <w:rsid w:val="0096288A"/>
    <w:rsid w:val="009905DD"/>
    <w:rsid w:val="009B1E48"/>
    <w:rsid w:val="009C502F"/>
    <w:rsid w:val="009E30E1"/>
    <w:rsid w:val="00A104F7"/>
    <w:rsid w:val="00A10BA1"/>
    <w:rsid w:val="00A91EBA"/>
    <w:rsid w:val="00A97F63"/>
    <w:rsid w:val="00AA07EB"/>
    <w:rsid w:val="00AA49E5"/>
    <w:rsid w:val="00AB66D5"/>
    <w:rsid w:val="00AE4682"/>
    <w:rsid w:val="00AF7333"/>
    <w:rsid w:val="00B41909"/>
    <w:rsid w:val="00B83DAF"/>
    <w:rsid w:val="00B849E3"/>
    <w:rsid w:val="00B92BEE"/>
    <w:rsid w:val="00BA6617"/>
    <w:rsid w:val="00BC1B90"/>
    <w:rsid w:val="00C23C4C"/>
    <w:rsid w:val="00C35A1F"/>
    <w:rsid w:val="00C4490D"/>
    <w:rsid w:val="00C71687"/>
    <w:rsid w:val="00C940D4"/>
    <w:rsid w:val="00CC77FF"/>
    <w:rsid w:val="00CC783B"/>
    <w:rsid w:val="00CE3B8C"/>
    <w:rsid w:val="00CF253F"/>
    <w:rsid w:val="00D055EA"/>
    <w:rsid w:val="00D5252D"/>
    <w:rsid w:val="00D5595B"/>
    <w:rsid w:val="00DE1D0F"/>
    <w:rsid w:val="00DE4E9A"/>
    <w:rsid w:val="00E00DFD"/>
    <w:rsid w:val="00E02F5C"/>
    <w:rsid w:val="00E10384"/>
    <w:rsid w:val="00E11A06"/>
    <w:rsid w:val="00E21707"/>
    <w:rsid w:val="00E27116"/>
    <w:rsid w:val="00E85476"/>
    <w:rsid w:val="00EB1F9C"/>
    <w:rsid w:val="00EC05A0"/>
    <w:rsid w:val="00ED4167"/>
    <w:rsid w:val="00EE7763"/>
    <w:rsid w:val="00EF53E1"/>
    <w:rsid w:val="00F6452D"/>
    <w:rsid w:val="00F72CAE"/>
    <w:rsid w:val="00FB0E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D3A"/>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3B7D3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B7D3A"/>
    <w:rPr>
      <w:rFonts w:ascii="Times New Roman" w:eastAsiaTheme="minorHAnsi" w:hAnsi="Times New Roman" w:cs="Times New Roman"/>
      <w:noProof/>
      <w:sz w:val="17"/>
      <w:szCs w:val="20"/>
      <w:lang w:val="en-US" w:eastAsia="en-US"/>
    </w:rPr>
  </w:style>
  <w:style w:type="paragraph" w:styleId="Footer">
    <w:name w:val="footer"/>
    <w:link w:val="FooterChar"/>
    <w:rsid w:val="003B7D3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B7D3A"/>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3B7D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B7D3A"/>
    <w:pPr>
      <w:spacing w:line="300" w:lineRule="exact"/>
      <w:ind w:left="0" w:right="0" w:firstLine="0"/>
    </w:pPr>
    <w:rPr>
      <w:spacing w:val="-2"/>
      <w:sz w:val="28"/>
    </w:rPr>
  </w:style>
  <w:style w:type="paragraph" w:customStyle="1" w:styleId="HM">
    <w:name w:val="_ H __M"/>
    <w:basedOn w:val="HCh"/>
    <w:next w:val="Normal"/>
    <w:rsid w:val="003B7D3A"/>
    <w:pPr>
      <w:spacing w:line="360" w:lineRule="exact"/>
    </w:pPr>
    <w:rPr>
      <w:spacing w:val="-3"/>
      <w:w w:val="99"/>
      <w:sz w:val="34"/>
    </w:rPr>
  </w:style>
  <w:style w:type="paragraph" w:customStyle="1" w:styleId="H23">
    <w:name w:val="_ H_2/3"/>
    <w:basedOn w:val="Normal"/>
    <w:next w:val="SingleTxt"/>
    <w:rsid w:val="003B7D3A"/>
    <w:rPr>
      <w:b/>
      <w:lang w:val="en-US"/>
    </w:rPr>
  </w:style>
  <w:style w:type="paragraph" w:customStyle="1" w:styleId="H4">
    <w:name w:val="_ H_4"/>
    <w:basedOn w:val="Normal"/>
    <w:next w:val="Normal"/>
    <w:rsid w:val="003B7D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B7D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B7D3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B7D3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B7D3A"/>
    <w:pPr>
      <w:spacing w:line="540" w:lineRule="exact"/>
    </w:pPr>
    <w:rPr>
      <w:spacing w:val="-8"/>
      <w:w w:val="96"/>
      <w:sz w:val="57"/>
    </w:rPr>
  </w:style>
  <w:style w:type="paragraph" w:customStyle="1" w:styleId="SS">
    <w:name w:val="__S_S"/>
    <w:basedOn w:val="HCh"/>
    <w:next w:val="Normal"/>
    <w:rsid w:val="003B7D3A"/>
    <w:pPr>
      <w:ind w:left="1267" w:right="1267"/>
    </w:pPr>
  </w:style>
  <w:style w:type="paragraph" w:customStyle="1" w:styleId="SingleTxt">
    <w:name w:val="__Single Txt"/>
    <w:basedOn w:val="Normal"/>
    <w:rsid w:val="003B7D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B7D3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3B7D3A"/>
    <w:pPr>
      <w:keepNext w:val="0"/>
      <w:keepLines w:val="0"/>
    </w:pPr>
  </w:style>
  <w:style w:type="paragraph" w:customStyle="1" w:styleId="AgendaTitleH2">
    <w:name w:val="Agenda_Title_H2"/>
    <w:basedOn w:val="TitleH1"/>
    <w:next w:val="Normal"/>
    <w:qFormat/>
    <w:rsid w:val="003B7D3A"/>
    <w:pPr>
      <w:keepNext/>
      <w:keepLines/>
      <w:spacing w:line="240" w:lineRule="exact"/>
      <w:ind w:left="0" w:firstLine="0"/>
      <w:outlineLvl w:val="1"/>
    </w:pPr>
    <w:rPr>
      <w:sz w:val="20"/>
    </w:rPr>
  </w:style>
  <w:style w:type="paragraph" w:styleId="BalloonText">
    <w:name w:val="Balloon Text"/>
    <w:basedOn w:val="Normal"/>
    <w:link w:val="BalloonTextChar"/>
    <w:semiHidden/>
    <w:rsid w:val="003B7D3A"/>
    <w:rPr>
      <w:rFonts w:ascii="Tahoma" w:hAnsi="Tahoma" w:cs="Tahoma"/>
      <w:sz w:val="16"/>
      <w:szCs w:val="16"/>
    </w:rPr>
  </w:style>
  <w:style w:type="character" w:customStyle="1" w:styleId="BalloonTextChar">
    <w:name w:val="Balloon Text Char"/>
    <w:basedOn w:val="DefaultParagraphFont"/>
    <w:link w:val="BalloonText"/>
    <w:semiHidden/>
    <w:rsid w:val="003B7D3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B7D3A"/>
    <w:pPr>
      <w:numPr>
        <w:numId w:val="3"/>
      </w:numPr>
      <w:spacing w:after="120" w:line="240" w:lineRule="atLeast"/>
      <w:ind w:right="1267"/>
      <w:jc w:val="both"/>
    </w:pPr>
  </w:style>
  <w:style w:type="paragraph" w:customStyle="1" w:styleId="Bullet3">
    <w:name w:val="Bullet 3"/>
    <w:basedOn w:val="SingleTxt"/>
    <w:qFormat/>
    <w:rsid w:val="003B7D3A"/>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3B7D3A"/>
    <w:rPr>
      <w:sz w:val="6"/>
    </w:rPr>
  </w:style>
  <w:style w:type="paragraph" w:customStyle="1" w:styleId="Distribution">
    <w:name w:val="Distribution"/>
    <w:next w:val="Normal"/>
    <w:rsid w:val="003B7D3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B7D3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B7D3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B7D3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B7D3A"/>
  </w:style>
  <w:style w:type="character" w:customStyle="1" w:styleId="EndnoteTextChar">
    <w:name w:val="Endnote Text Char"/>
    <w:basedOn w:val="DefaultParagraphFont"/>
    <w:link w:val="EndnoteText"/>
    <w:semiHidden/>
    <w:rsid w:val="003B7D3A"/>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3B7D3A"/>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3B7D3A"/>
    <w:rPr>
      <w:color w:val="0000FF"/>
      <w:u w:val="none"/>
    </w:rPr>
  </w:style>
  <w:style w:type="character" w:styleId="LineNumber">
    <w:name w:val="line number"/>
    <w:rsid w:val="003B7D3A"/>
    <w:rPr>
      <w:sz w:val="14"/>
    </w:rPr>
  </w:style>
  <w:style w:type="paragraph" w:customStyle="1" w:styleId="Original">
    <w:name w:val="Original"/>
    <w:next w:val="Normal"/>
    <w:rsid w:val="003B7D3A"/>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3B7D3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B7D3A"/>
    <w:rPr>
      <w:rFonts w:ascii="Courier New" w:eastAsia="Times New Roman" w:hAnsi="Courier New" w:cs="Times New Roman"/>
      <w:sz w:val="20"/>
      <w:szCs w:val="20"/>
      <w:lang w:val="en-US" w:eastAsia="en-GB"/>
    </w:rPr>
  </w:style>
  <w:style w:type="paragraph" w:customStyle="1" w:styleId="Publication">
    <w:name w:val="Publication"/>
    <w:next w:val="Normal"/>
    <w:rsid w:val="003B7D3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3B7D3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B7D3A"/>
  </w:style>
  <w:style w:type="paragraph" w:customStyle="1" w:styleId="Small">
    <w:name w:val="Small"/>
    <w:basedOn w:val="Normal"/>
    <w:next w:val="Normal"/>
    <w:rsid w:val="003B7D3A"/>
    <w:pPr>
      <w:tabs>
        <w:tab w:val="right" w:pos="9965"/>
      </w:tabs>
      <w:spacing w:line="210" w:lineRule="exact"/>
    </w:pPr>
    <w:rPr>
      <w:spacing w:val="5"/>
      <w:w w:val="104"/>
      <w:sz w:val="17"/>
    </w:rPr>
  </w:style>
  <w:style w:type="paragraph" w:customStyle="1" w:styleId="SmallX">
    <w:name w:val="SmallX"/>
    <w:basedOn w:val="Small"/>
    <w:next w:val="Normal"/>
    <w:rsid w:val="003B7D3A"/>
    <w:pPr>
      <w:spacing w:line="180" w:lineRule="exact"/>
      <w:jc w:val="right"/>
    </w:pPr>
    <w:rPr>
      <w:spacing w:val="6"/>
      <w:w w:val="106"/>
      <w:sz w:val="14"/>
    </w:rPr>
  </w:style>
  <w:style w:type="table" w:styleId="TableGrid">
    <w:name w:val="Table Grid"/>
    <w:basedOn w:val="TableNormal"/>
    <w:rsid w:val="003B7D3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3B7D3A"/>
    <w:pPr>
      <w:ind w:left="1267" w:right="1267" w:hanging="1267"/>
    </w:pPr>
  </w:style>
  <w:style w:type="paragraph" w:customStyle="1" w:styleId="TitleH2">
    <w:name w:val="Title_H2"/>
    <w:basedOn w:val="H23"/>
    <w:qFormat/>
    <w:rsid w:val="003B7D3A"/>
  </w:style>
  <w:style w:type="paragraph" w:customStyle="1" w:styleId="XLarge">
    <w:name w:val="XLarge"/>
    <w:basedOn w:val="HM"/>
    <w:rsid w:val="003B7D3A"/>
    <w:pPr>
      <w:spacing w:line="390" w:lineRule="exact"/>
    </w:pPr>
    <w:rPr>
      <w:spacing w:val="-4"/>
      <w:w w:val="98"/>
      <w:sz w:val="40"/>
    </w:rPr>
  </w:style>
  <w:style w:type="paragraph" w:styleId="CommentText">
    <w:name w:val="annotation text"/>
    <w:basedOn w:val="Normal"/>
    <w:link w:val="CommentTextChar"/>
    <w:uiPriority w:val="99"/>
    <w:semiHidden/>
    <w:unhideWhenUsed/>
    <w:rsid w:val="00B849E3"/>
    <w:pPr>
      <w:spacing w:line="240" w:lineRule="auto"/>
    </w:pPr>
  </w:style>
  <w:style w:type="character" w:customStyle="1" w:styleId="CommentTextChar">
    <w:name w:val="Comment Text Char"/>
    <w:basedOn w:val="DefaultParagraphFont"/>
    <w:link w:val="CommentText"/>
    <w:uiPriority w:val="99"/>
    <w:semiHidden/>
    <w:rsid w:val="00B849E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849E3"/>
    <w:rPr>
      <w:b/>
      <w:bCs/>
    </w:rPr>
  </w:style>
  <w:style w:type="character" w:customStyle="1" w:styleId="CommentSubjectChar">
    <w:name w:val="Comment Subject Char"/>
    <w:basedOn w:val="CommentTextChar"/>
    <w:link w:val="CommentSubject"/>
    <w:uiPriority w:val="99"/>
    <w:semiHidden/>
    <w:rsid w:val="00B849E3"/>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6113B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D3A"/>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3B7D3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B7D3A"/>
    <w:rPr>
      <w:rFonts w:ascii="Times New Roman" w:eastAsiaTheme="minorHAnsi" w:hAnsi="Times New Roman" w:cs="Times New Roman"/>
      <w:noProof/>
      <w:sz w:val="17"/>
      <w:szCs w:val="20"/>
      <w:lang w:val="en-US" w:eastAsia="en-US"/>
    </w:rPr>
  </w:style>
  <w:style w:type="paragraph" w:styleId="Footer">
    <w:name w:val="footer"/>
    <w:link w:val="FooterChar"/>
    <w:rsid w:val="003B7D3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B7D3A"/>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3B7D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B7D3A"/>
    <w:pPr>
      <w:spacing w:line="300" w:lineRule="exact"/>
      <w:ind w:left="0" w:right="0" w:firstLine="0"/>
    </w:pPr>
    <w:rPr>
      <w:spacing w:val="-2"/>
      <w:sz w:val="28"/>
    </w:rPr>
  </w:style>
  <w:style w:type="paragraph" w:customStyle="1" w:styleId="HM">
    <w:name w:val="_ H __M"/>
    <w:basedOn w:val="HCh"/>
    <w:next w:val="Normal"/>
    <w:rsid w:val="003B7D3A"/>
    <w:pPr>
      <w:spacing w:line="360" w:lineRule="exact"/>
    </w:pPr>
    <w:rPr>
      <w:spacing w:val="-3"/>
      <w:w w:val="99"/>
      <w:sz w:val="34"/>
    </w:rPr>
  </w:style>
  <w:style w:type="paragraph" w:customStyle="1" w:styleId="H23">
    <w:name w:val="_ H_2/3"/>
    <w:basedOn w:val="Normal"/>
    <w:next w:val="SingleTxt"/>
    <w:rsid w:val="003B7D3A"/>
    <w:rPr>
      <w:b/>
      <w:lang w:val="en-US"/>
    </w:rPr>
  </w:style>
  <w:style w:type="paragraph" w:customStyle="1" w:styleId="H4">
    <w:name w:val="_ H_4"/>
    <w:basedOn w:val="Normal"/>
    <w:next w:val="Normal"/>
    <w:rsid w:val="003B7D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B7D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B7D3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B7D3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B7D3A"/>
    <w:pPr>
      <w:spacing w:line="540" w:lineRule="exact"/>
    </w:pPr>
    <w:rPr>
      <w:spacing w:val="-8"/>
      <w:w w:val="96"/>
      <w:sz w:val="57"/>
    </w:rPr>
  </w:style>
  <w:style w:type="paragraph" w:customStyle="1" w:styleId="SS">
    <w:name w:val="__S_S"/>
    <w:basedOn w:val="HCh"/>
    <w:next w:val="Normal"/>
    <w:rsid w:val="003B7D3A"/>
    <w:pPr>
      <w:ind w:left="1267" w:right="1267"/>
    </w:pPr>
  </w:style>
  <w:style w:type="paragraph" w:customStyle="1" w:styleId="SingleTxt">
    <w:name w:val="__Single Txt"/>
    <w:basedOn w:val="Normal"/>
    <w:rsid w:val="003B7D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B7D3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3B7D3A"/>
    <w:pPr>
      <w:keepNext w:val="0"/>
      <w:keepLines w:val="0"/>
    </w:pPr>
  </w:style>
  <w:style w:type="paragraph" w:customStyle="1" w:styleId="AgendaTitleH2">
    <w:name w:val="Agenda_Title_H2"/>
    <w:basedOn w:val="TitleH1"/>
    <w:next w:val="Normal"/>
    <w:qFormat/>
    <w:rsid w:val="003B7D3A"/>
    <w:pPr>
      <w:keepNext/>
      <w:keepLines/>
      <w:spacing w:line="240" w:lineRule="exact"/>
      <w:ind w:left="0" w:firstLine="0"/>
      <w:outlineLvl w:val="1"/>
    </w:pPr>
    <w:rPr>
      <w:sz w:val="20"/>
    </w:rPr>
  </w:style>
  <w:style w:type="paragraph" w:styleId="BalloonText">
    <w:name w:val="Balloon Text"/>
    <w:basedOn w:val="Normal"/>
    <w:link w:val="BalloonTextChar"/>
    <w:semiHidden/>
    <w:rsid w:val="003B7D3A"/>
    <w:rPr>
      <w:rFonts w:ascii="Tahoma" w:hAnsi="Tahoma" w:cs="Tahoma"/>
      <w:sz w:val="16"/>
      <w:szCs w:val="16"/>
    </w:rPr>
  </w:style>
  <w:style w:type="character" w:customStyle="1" w:styleId="BalloonTextChar">
    <w:name w:val="Balloon Text Char"/>
    <w:basedOn w:val="DefaultParagraphFont"/>
    <w:link w:val="BalloonText"/>
    <w:semiHidden/>
    <w:rsid w:val="003B7D3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B7D3A"/>
    <w:pPr>
      <w:numPr>
        <w:numId w:val="3"/>
      </w:numPr>
      <w:spacing w:after="120" w:line="240" w:lineRule="atLeast"/>
      <w:ind w:right="1267"/>
      <w:jc w:val="both"/>
    </w:pPr>
  </w:style>
  <w:style w:type="paragraph" w:customStyle="1" w:styleId="Bullet3">
    <w:name w:val="Bullet 3"/>
    <w:basedOn w:val="SingleTxt"/>
    <w:qFormat/>
    <w:rsid w:val="003B7D3A"/>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3B7D3A"/>
    <w:rPr>
      <w:sz w:val="6"/>
    </w:rPr>
  </w:style>
  <w:style w:type="paragraph" w:customStyle="1" w:styleId="Distribution">
    <w:name w:val="Distribution"/>
    <w:next w:val="Normal"/>
    <w:rsid w:val="003B7D3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B7D3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B7D3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B7D3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B7D3A"/>
  </w:style>
  <w:style w:type="character" w:customStyle="1" w:styleId="EndnoteTextChar">
    <w:name w:val="Endnote Text Char"/>
    <w:basedOn w:val="DefaultParagraphFont"/>
    <w:link w:val="EndnoteText"/>
    <w:semiHidden/>
    <w:rsid w:val="003B7D3A"/>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3B7D3A"/>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3B7D3A"/>
    <w:rPr>
      <w:color w:val="0000FF"/>
      <w:u w:val="none"/>
    </w:rPr>
  </w:style>
  <w:style w:type="character" w:styleId="LineNumber">
    <w:name w:val="line number"/>
    <w:rsid w:val="003B7D3A"/>
    <w:rPr>
      <w:sz w:val="14"/>
    </w:rPr>
  </w:style>
  <w:style w:type="paragraph" w:customStyle="1" w:styleId="Original">
    <w:name w:val="Original"/>
    <w:next w:val="Normal"/>
    <w:rsid w:val="003B7D3A"/>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3B7D3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B7D3A"/>
    <w:rPr>
      <w:rFonts w:ascii="Courier New" w:eastAsia="Times New Roman" w:hAnsi="Courier New" w:cs="Times New Roman"/>
      <w:sz w:val="20"/>
      <w:szCs w:val="20"/>
      <w:lang w:val="en-US" w:eastAsia="en-GB"/>
    </w:rPr>
  </w:style>
  <w:style w:type="paragraph" w:customStyle="1" w:styleId="Publication">
    <w:name w:val="Publication"/>
    <w:next w:val="Normal"/>
    <w:rsid w:val="003B7D3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3B7D3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B7D3A"/>
  </w:style>
  <w:style w:type="paragraph" w:customStyle="1" w:styleId="Small">
    <w:name w:val="Small"/>
    <w:basedOn w:val="Normal"/>
    <w:next w:val="Normal"/>
    <w:rsid w:val="003B7D3A"/>
    <w:pPr>
      <w:tabs>
        <w:tab w:val="right" w:pos="9965"/>
      </w:tabs>
      <w:spacing w:line="210" w:lineRule="exact"/>
    </w:pPr>
    <w:rPr>
      <w:spacing w:val="5"/>
      <w:w w:val="104"/>
      <w:sz w:val="17"/>
    </w:rPr>
  </w:style>
  <w:style w:type="paragraph" w:customStyle="1" w:styleId="SmallX">
    <w:name w:val="SmallX"/>
    <w:basedOn w:val="Small"/>
    <w:next w:val="Normal"/>
    <w:rsid w:val="003B7D3A"/>
    <w:pPr>
      <w:spacing w:line="180" w:lineRule="exact"/>
      <w:jc w:val="right"/>
    </w:pPr>
    <w:rPr>
      <w:spacing w:val="6"/>
      <w:w w:val="106"/>
      <w:sz w:val="14"/>
    </w:rPr>
  </w:style>
  <w:style w:type="table" w:styleId="TableGrid">
    <w:name w:val="Table Grid"/>
    <w:basedOn w:val="TableNormal"/>
    <w:rsid w:val="003B7D3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3B7D3A"/>
    <w:pPr>
      <w:ind w:left="1267" w:right="1267" w:hanging="1267"/>
    </w:pPr>
  </w:style>
  <w:style w:type="paragraph" w:customStyle="1" w:styleId="TitleH2">
    <w:name w:val="Title_H2"/>
    <w:basedOn w:val="H23"/>
    <w:qFormat/>
    <w:rsid w:val="003B7D3A"/>
  </w:style>
  <w:style w:type="paragraph" w:customStyle="1" w:styleId="XLarge">
    <w:name w:val="XLarge"/>
    <w:basedOn w:val="HM"/>
    <w:rsid w:val="003B7D3A"/>
    <w:pPr>
      <w:spacing w:line="390" w:lineRule="exact"/>
    </w:pPr>
    <w:rPr>
      <w:spacing w:val="-4"/>
      <w:w w:val="98"/>
      <w:sz w:val="40"/>
    </w:rPr>
  </w:style>
  <w:style w:type="paragraph" w:styleId="CommentText">
    <w:name w:val="annotation text"/>
    <w:basedOn w:val="Normal"/>
    <w:link w:val="CommentTextChar"/>
    <w:uiPriority w:val="99"/>
    <w:semiHidden/>
    <w:unhideWhenUsed/>
    <w:rsid w:val="00B849E3"/>
    <w:pPr>
      <w:spacing w:line="240" w:lineRule="auto"/>
    </w:pPr>
  </w:style>
  <w:style w:type="character" w:customStyle="1" w:styleId="CommentTextChar">
    <w:name w:val="Comment Text Char"/>
    <w:basedOn w:val="DefaultParagraphFont"/>
    <w:link w:val="CommentText"/>
    <w:uiPriority w:val="99"/>
    <w:semiHidden/>
    <w:rsid w:val="00B849E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849E3"/>
    <w:rPr>
      <w:b/>
      <w:bCs/>
    </w:rPr>
  </w:style>
  <w:style w:type="character" w:customStyle="1" w:styleId="CommentSubjectChar">
    <w:name w:val="Comment Subject Char"/>
    <w:basedOn w:val="CommentTextChar"/>
    <w:link w:val="CommentSubject"/>
    <w:uiPriority w:val="99"/>
    <w:semiHidden/>
    <w:rsid w:val="00B849E3"/>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6113B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ARG/Q/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CEDAW/C/ARG/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44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ARG/7" TargetMode="External"/><Relationship Id="rId20" Type="http://schemas.openxmlformats.org/officeDocument/2006/relationships/hyperlink" Target="http://undocs.org/CEDAW/C/ARG/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AT/OP/ARG/1" TargetMode="External"/><Relationship Id="rId10" Type="http://schemas.openxmlformats.org/officeDocument/2006/relationships/header" Target="header2.xml"/><Relationship Id="rId19" Type="http://schemas.openxmlformats.org/officeDocument/2006/relationships/hyperlink" Target="http://undocs.org/CEDAW/C/ARG/Q/7/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ES/65/22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82289-E665-48DF-8EA5-3DAF0CD4D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3</Pages>
  <Words>7167</Words>
  <Characters>40855</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47927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cp:lastPrinted>2016-12-14T17:21:00Z</cp:lastPrinted>
  <dcterms:created xsi:type="dcterms:W3CDTF">2016-12-14T16:39:00Z</dcterms:created>
  <dcterms:modified xsi:type="dcterms:W3CDTF">2016-12-14T22:09:00Z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1620836</vt:lpwstr>
  </property>
  <property fmtid="{D5CDD505-2E9C-101B-9397-08002B2CF9AE}" pid="3" name="ODSRefJobNo">
    <vt:lpwstr>1640215E</vt:lpwstr>
  </property>
  <property fmtid="{D5CDD505-2E9C-101B-9397-08002B2CF9AE}" pid="4" name="Symbol1">
    <vt:lpwstr>CEDAW/C/ARG/CO/7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131216</vt:lpwstr>
  </property>
  <property fmtid="{D5CDD505-2E9C-101B-9397-08002B2CF9AE}" pid="11" name="Comment">
    <vt:lpwstr/>
  </property>
  <property fmtid="{D5CDD505-2E9C-101B-9397-08002B2CF9AE}" pid="12" name="DraftPages">
    <vt:lpwstr>18</vt:lpwstr>
  </property>
  <property fmtid="{D5CDD505-2E9C-101B-9397-08002B2CF9AE}" pid="13" name="Operator">
    <vt:lpwstr>JR (f)</vt:lpwstr>
  </property>
</Properties>
</file>