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3FC" w:rsidRDefault="007A53FC" w:rsidP="007A53FC">
      <w:pPr>
        <w:spacing w:line="60" w:lineRule="exact"/>
        <w:rPr>
          <w:sz w:val="6"/>
        </w:rPr>
        <w:sectPr w:rsidR="007A53FC" w:rsidSect="007A53F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A53FC" w:rsidRDefault="007A53FC" w:rsidP="007A53FC">
      <w:pPr>
        <w:spacing w:line="60" w:lineRule="exact"/>
        <w:rPr>
          <w:sz w:val="6"/>
        </w:rPr>
      </w:pPr>
    </w:p>
    <w:p w:rsidR="00697FD7" w:rsidRDefault="00697FD7" w:rsidP="00697FD7">
      <w:pPr>
        <w:spacing w:line="60" w:lineRule="exact"/>
        <w:rPr>
          <w:sz w:val="6"/>
        </w:rPr>
        <w:sectPr w:rsidR="00697FD7" w:rsidSect="00697FD7">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space="425"/>
          <w:titlePg/>
          <w:docGrid w:linePitch="312"/>
        </w:sectPr>
      </w:pPr>
    </w:p>
    <w:p w:rsidR="00697FD7" w:rsidRDefault="00697FD7" w:rsidP="00697FD7">
      <w:pPr>
        <w:spacing w:line="60" w:lineRule="exact"/>
        <w:rPr>
          <w:sz w:val="6"/>
        </w:rPr>
      </w:pPr>
    </w:p>
    <w:p w:rsidR="00697FD7" w:rsidRPr="007D7297" w:rsidRDefault="00697FD7" w:rsidP="00697FD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7D7297">
        <w:rPr>
          <w:rFonts w:hint="eastAsia"/>
        </w:rPr>
        <w:t>消除对妇女歧视委员会</w:t>
      </w:r>
    </w:p>
    <w:p w:rsidR="00697FD7" w:rsidRPr="007D7297" w:rsidRDefault="00697FD7" w:rsidP="00697FD7">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ascii="SimHei" w:eastAsia="SimHei" w:hint="eastAsia"/>
        </w:rPr>
      </w:pPr>
      <w:r w:rsidRPr="007D7297">
        <w:rPr>
          <w:rFonts w:ascii="SimHei" w:eastAsia="SimHei" w:hint="eastAsia"/>
        </w:rPr>
        <w:t>第四十五届会议</w:t>
      </w:r>
    </w:p>
    <w:p w:rsidR="00697FD7" w:rsidRPr="007D7297" w:rsidRDefault="00697FD7" w:rsidP="00697FD7">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7D7297">
        <w:rPr>
          <w:rFonts w:hint="eastAsia"/>
        </w:rPr>
        <w:t>2010年1月18日至2月5日</w:t>
      </w:r>
    </w:p>
    <w:p w:rsidR="00697FD7" w:rsidRPr="00026588" w:rsidRDefault="00697FD7" w:rsidP="00697FD7">
      <w:pPr>
        <w:pStyle w:val="SingleTxt"/>
        <w:spacing w:after="0" w:line="120" w:lineRule="exact"/>
        <w:ind w:right="0"/>
        <w:rPr>
          <w:rFonts w:hint="eastAsia"/>
          <w:sz w:val="10"/>
        </w:rPr>
      </w:pPr>
    </w:p>
    <w:p w:rsidR="00697FD7" w:rsidRPr="00026588" w:rsidRDefault="00697FD7" w:rsidP="00697FD7">
      <w:pPr>
        <w:pStyle w:val="SingleTxt"/>
        <w:spacing w:after="0" w:line="120" w:lineRule="exact"/>
        <w:ind w:right="0"/>
        <w:rPr>
          <w:rFonts w:hint="eastAsia"/>
          <w:sz w:val="10"/>
        </w:rPr>
      </w:pPr>
    </w:p>
    <w:p w:rsidR="00697FD7" w:rsidRPr="00026588" w:rsidRDefault="00697FD7" w:rsidP="00697FD7">
      <w:pPr>
        <w:pStyle w:val="SingleTxt"/>
        <w:spacing w:after="0" w:line="120" w:lineRule="exact"/>
        <w:ind w:right="0"/>
        <w:rPr>
          <w:rFonts w:hint="eastAsia"/>
          <w:sz w:val="10"/>
        </w:rPr>
      </w:pPr>
    </w:p>
    <w:p w:rsidR="00697FD7" w:rsidRPr="007D7297" w:rsidRDefault="00697FD7" w:rsidP="00697F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7D7297">
        <w:rPr>
          <w:rFonts w:hint="eastAsia"/>
        </w:rPr>
        <w:t>消除对妇女歧视委员会的结论意见</w:t>
      </w:r>
    </w:p>
    <w:p w:rsidR="00697FD7" w:rsidRPr="00026588" w:rsidRDefault="00697FD7" w:rsidP="00697FD7">
      <w:pPr>
        <w:pStyle w:val="SingleTxt"/>
        <w:spacing w:after="0" w:line="120" w:lineRule="exact"/>
        <w:ind w:right="0"/>
        <w:rPr>
          <w:rFonts w:hint="eastAsia"/>
          <w:sz w:val="10"/>
        </w:rPr>
      </w:pP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马拉维</w:t>
      </w:r>
    </w:p>
    <w:p w:rsidR="00697FD7" w:rsidRPr="00026588" w:rsidRDefault="00697FD7" w:rsidP="00697FD7">
      <w:pPr>
        <w:pStyle w:val="SingleTxt"/>
        <w:spacing w:after="0" w:line="120" w:lineRule="exact"/>
        <w:ind w:right="0"/>
        <w:rPr>
          <w:rFonts w:hint="eastAsia"/>
          <w:sz w:val="10"/>
        </w:rPr>
      </w:pP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1.</w:t>
      </w:r>
      <w:r>
        <w:rPr>
          <w:rFonts w:hint="eastAsia"/>
        </w:rPr>
        <w:tab/>
      </w:r>
      <w:r w:rsidRPr="00167BA6">
        <w:rPr>
          <w:rFonts w:hint="eastAsia"/>
          <w:spacing w:val="2"/>
        </w:rPr>
        <w:t>委员会20</w:t>
      </w:r>
      <w:r w:rsidR="00BB4FB7">
        <w:rPr>
          <w:rFonts w:hint="eastAsia"/>
          <w:spacing w:val="2"/>
        </w:rPr>
        <w:t>10</w:t>
      </w:r>
      <w:r w:rsidRPr="00167BA6">
        <w:rPr>
          <w:rFonts w:hint="eastAsia"/>
          <w:spacing w:val="2"/>
        </w:rPr>
        <w:t>年1月22日第911和第912次会议(见CEDAW/C/SR.911和CEDAW/C/SR.912)审议了马拉维第六次定期报告(CEDAW/C/MWI/Q/6)。委员会的议题和问题清单载于CEDAW/C/MWI/Q/6，马拉维的答复载于CEDAW/C/MWI/Q/</w:t>
      </w:r>
      <w:r>
        <w:rPr>
          <w:rFonts w:hint="eastAsia"/>
        </w:rPr>
        <w:t>6/</w:t>
      </w:r>
      <w:r>
        <w:br/>
      </w:r>
      <w:r>
        <w:rPr>
          <w:rFonts w:hint="eastAsia"/>
        </w:rPr>
        <w:t>Add.1。</w:t>
      </w:r>
    </w:p>
    <w:p w:rsidR="00697FD7" w:rsidRPr="00026588"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026588">
        <w:rPr>
          <w:rFonts w:hint="eastAsia"/>
        </w:rPr>
        <w:t>导言</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2.</w:t>
      </w:r>
      <w:r>
        <w:rPr>
          <w:rFonts w:hint="eastAsia"/>
        </w:rPr>
        <w:tab/>
        <w:t>委员会对缔约国提交第六次定期报告表示赞赏，该报告遵循了委员会编写报告的准则，并提供了关于妇女在马拉维情况的明确见解。委员会还赞赏缔约国提交了对委员会会前工作组所提议题和问题清单的书面答复，并赞赏缔约国对委员会口头提出的问题所作的口头说明和答复。</w:t>
      </w:r>
    </w:p>
    <w:p w:rsidR="00697FD7" w:rsidRDefault="00697FD7" w:rsidP="00697FD7">
      <w:pPr>
        <w:pStyle w:val="SingleTxt"/>
        <w:rPr>
          <w:rFonts w:hint="eastAsia"/>
        </w:rPr>
      </w:pPr>
      <w:r>
        <w:rPr>
          <w:rFonts w:hint="eastAsia"/>
        </w:rPr>
        <w:t>3.</w:t>
      </w:r>
      <w:r>
        <w:rPr>
          <w:rFonts w:hint="eastAsia"/>
        </w:rPr>
        <w:tab/>
        <w:t>委员会</w:t>
      </w:r>
      <w:r w:rsidR="00EB6289">
        <w:rPr>
          <w:rFonts w:hint="eastAsia"/>
        </w:rPr>
        <w:t>赞扬</w:t>
      </w:r>
      <w:r>
        <w:rPr>
          <w:rFonts w:hint="eastAsia"/>
        </w:rPr>
        <w:t>缔约国派遣由主管性别、儿童和社区发展事务秘书率领的</w:t>
      </w:r>
      <w:r w:rsidR="00EB6289">
        <w:rPr>
          <w:rFonts w:hint="eastAsia"/>
        </w:rPr>
        <w:t>高级</w:t>
      </w:r>
      <w:r>
        <w:rPr>
          <w:rFonts w:hint="eastAsia"/>
        </w:rPr>
        <w:t>代表团，其中包括来自教育部、卫生部、司法部和马拉维法律委员会的官员。此外，委员会承认，直接参与公约执行工作的代表团出席会议，有助于更全面地评估缔约国妇女权利的状况。</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积极方面</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4.</w:t>
      </w:r>
      <w:r>
        <w:rPr>
          <w:rFonts w:hint="eastAsia"/>
        </w:rPr>
        <w:tab/>
        <w:t>委员会赞赏地注意到缔约国及时提交第六次定期报告，该报告是在一个由政府机构和民间社会参与的过程中编制的，其中包括各种网络和代表妇女利益的组织。</w:t>
      </w:r>
    </w:p>
    <w:p w:rsidR="00697FD7" w:rsidRDefault="00697FD7" w:rsidP="00697FD7">
      <w:pPr>
        <w:pStyle w:val="SingleTxt"/>
        <w:rPr>
          <w:rFonts w:hint="eastAsia"/>
        </w:rPr>
      </w:pPr>
      <w:r>
        <w:rPr>
          <w:rFonts w:hint="eastAsia"/>
        </w:rPr>
        <w:t>5.</w:t>
      </w:r>
      <w:r>
        <w:rPr>
          <w:rFonts w:hint="eastAsia"/>
        </w:rPr>
        <w:tab/>
        <w:t>委员会欣见缔约国报告进行自我批评，不仅提到已取得的进展，而且还指出所遇到的困难，并提出采取进一步行动的建议。</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主要关切领域和建议</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6.</w:t>
      </w:r>
      <w:r>
        <w:rPr>
          <w:rFonts w:hint="eastAsia"/>
        </w:rPr>
        <w:tab/>
      </w:r>
      <w:r w:rsidRPr="007D7297">
        <w:rPr>
          <w:rFonts w:ascii="SimHei" w:eastAsia="SimHei" w:hint="eastAsia"/>
        </w:rPr>
        <w:t>委员会提请注意，缔约国有义务系统、持续地执行《公约》各项规定，同时认为，在提交下次定期报告之前，缔约国必须优先注意本结论意见提出的各项关切和建议。因此，委员会吁请缔约国将执行活动的重点放在这些领域上，并在下次定期报告中汇报所采取的行动和取得的成果。委员会还吁请缔约国将本结论意见发交各相关部委</w:t>
      </w:r>
      <w:r w:rsidR="00EB6289">
        <w:rPr>
          <w:rFonts w:ascii="SimHei" w:eastAsia="SimHei" w:hint="eastAsia"/>
        </w:rPr>
        <w:t>和</w:t>
      </w:r>
      <w:r w:rsidRPr="007D7297">
        <w:rPr>
          <w:rFonts w:ascii="SimHei" w:eastAsia="SimHei" w:hint="eastAsia"/>
        </w:rPr>
        <w:t>其他各级政府机构、议会和司法机构，以确保这些意见得到充分执行</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议会</w:t>
      </w:r>
    </w:p>
    <w:p w:rsidR="00942C93" w:rsidRPr="00942C93" w:rsidRDefault="00942C93" w:rsidP="00942C93">
      <w:pPr>
        <w:pStyle w:val="SingleTxt"/>
        <w:spacing w:after="0" w:line="120" w:lineRule="exact"/>
        <w:rPr>
          <w:rFonts w:hint="eastAsia"/>
          <w:sz w:val="10"/>
        </w:rPr>
      </w:pPr>
    </w:p>
    <w:p w:rsidR="00697FD7" w:rsidRDefault="00697FD7" w:rsidP="00697FD7">
      <w:pPr>
        <w:pStyle w:val="SingleTxt"/>
        <w:rPr>
          <w:rFonts w:hint="eastAsia"/>
        </w:rPr>
      </w:pPr>
      <w:r>
        <w:rPr>
          <w:rFonts w:hint="eastAsia"/>
        </w:rPr>
        <w:t>7.</w:t>
      </w:r>
      <w:r>
        <w:rPr>
          <w:rFonts w:hint="eastAsia"/>
        </w:rPr>
        <w:tab/>
      </w:r>
      <w:r w:rsidRPr="007D7297">
        <w:rPr>
          <w:rFonts w:ascii="SimHei" w:eastAsia="SimHei" w:hint="eastAsia"/>
        </w:rPr>
        <w:t>委员会重申，政府对全面执行《公约》规定的缔约国义务负有首要责任，尤其要为此承担问责责任，同时委员会强调《公约》对政府各部门都具有约束力，并邀请缔约国鼓励其议会酌情根据其任务规定和程序，就本结论意见的执行和《公约》规定的政府下一个报告过程采取必要措施</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上一次的结论意见</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8.</w:t>
      </w:r>
      <w:r>
        <w:rPr>
          <w:rFonts w:hint="eastAsia"/>
        </w:rPr>
        <w:tab/>
        <w:t>委员会感到遗憾的是，2006年结论意见(CEDAW/C/MWI/CO/5)提出的大部分问题和所提的建议没有得到充分的处理，其中包括那些与性别平等问题有关法案尚未通过、歧视性法律、持久定型观念和传统有害习俗、妇女担任决策职位人数少、产妇死亡率高和妇女劳动力市场状况等有关的问题和建议。</w:t>
      </w:r>
    </w:p>
    <w:p w:rsidR="00697FD7" w:rsidRDefault="00697FD7" w:rsidP="00697FD7">
      <w:pPr>
        <w:pStyle w:val="SingleTxt"/>
        <w:rPr>
          <w:rFonts w:hint="eastAsia"/>
        </w:rPr>
      </w:pPr>
      <w:r>
        <w:rPr>
          <w:rFonts w:hint="eastAsia"/>
        </w:rPr>
        <w:t>9.</w:t>
      </w:r>
      <w:r>
        <w:rPr>
          <w:rFonts w:hint="eastAsia"/>
        </w:rPr>
        <w:tab/>
      </w:r>
      <w:r w:rsidRPr="000D373A">
        <w:rPr>
          <w:rFonts w:ascii="SimHei" w:eastAsia="SimHei" w:hint="eastAsia"/>
        </w:rPr>
        <w:t>委员会敦促缔约国尽一切努力处理上一次建议中尚未执行的部分，以及在本结论意见中所载的问题</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《公约》法律地位、平等原则、歧视定义和歧视性法律</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10.</w:t>
      </w:r>
      <w:r>
        <w:rPr>
          <w:rFonts w:hint="eastAsia"/>
        </w:rPr>
        <w:tab/>
        <w:t>委员会仍然关切的是，尽管缔约国于1987年批准了《公约》，但尚未纳入马拉维国内法。委员会强调指出，无论是通过什么制度将国际公约纳入国内法律秩序(单轨制或双规制)，缔约国在法律上有义务遵守已批准或加入的国际公约，并在其国内法律秩序中全面落实该公约。</w:t>
      </w:r>
    </w:p>
    <w:p w:rsidR="00697FD7" w:rsidRDefault="00697FD7" w:rsidP="00697FD7">
      <w:pPr>
        <w:pStyle w:val="SingleTxt"/>
        <w:rPr>
          <w:rFonts w:hint="eastAsia"/>
        </w:rPr>
      </w:pPr>
      <w:r>
        <w:rPr>
          <w:rFonts w:hint="eastAsia"/>
        </w:rPr>
        <w:t>11.</w:t>
      </w:r>
      <w:r>
        <w:rPr>
          <w:rFonts w:hint="eastAsia"/>
        </w:rPr>
        <w:tab/>
      </w:r>
      <w:r w:rsidRPr="000D373A">
        <w:rPr>
          <w:rFonts w:ascii="SimHei" w:eastAsia="SimHei" w:hint="eastAsia"/>
        </w:rPr>
        <w:t>委员会敦促缔约国立即采取措施，确保《公约》在其国内法中具有充分法律效力；</w:t>
      </w:r>
      <w:r w:rsidR="00EB6289">
        <w:rPr>
          <w:rFonts w:ascii="SimHei" w:eastAsia="SimHei" w:hint="eastAsia"/>
        </w:rPr>
        <w:t>确保</w:t>
      </w:r>
      <w:r w:rsidRPr="000D373A">
        <w:rPr>
          <w:rFonts w:ascii="SimHei" w:eastAsia="SimHei" w:hint="eastAsia"/>
        </w:rPr>
        <w:t>《公约》规定的权利</w:t>
      </w:r>
      <w:r w:rsidR="00EB6289">
        <w:rPr>
          <w:rFonts w:ascii="SimHei" w:eastAsia="SimHei" w:hint="eastAsia"/>
        </w:rPr>
        <w:t>问题</w:t>
      </w:r>
      <w:r w:rsidRPr="000D373A">
        <w:rPr>
          <w:rFonts w:ascii="SimHei" w:eastAsia="SimHei" w:hint="eastAsia"/>
        </w:rPr>
        <w:t>能在法院审理；而且，</w:t>
      </w:r>
      <w:r w:rsidR="00EB6289">
        <w:rPr>
          <w:rFonts w:ascii="SimHei" w:eastAsia="SimHei" w:hint="eastAsia"/>
        </w:rPr>
        <w:t>根据</w:t>
      </w:r>
      <w:r w:rsidRPr="000D373A">
        <w:rPr>
          <w:rFonts w:ascii="SimHei" w:eastAsia="SimHei" w:hint="eastAsia"/>
        </w:rPr>
        <w:t>《公约》规定的权利</w:t>
      </w:r>
      <w:r w:rsidR="00EB6289">
        <w:rPr>
          <w:rFonts w:ascii="SimHei" w:eastAsia="SimHei" w:hint="eastAsia"/>
        </w:rPr>
        <w:t>应向</w:t>
      </w:r>
      <w:r w:rsidRPr="000D373A">
        <w:rPr>
          <w:rFonts w:ascii="SimHei" w:eastAsia="SimHei" w:hint="eastAsia"/>
        </w:rPr>
        <w:t>受到侵犯的受害者</w:t>
      </w:r>
      <w:r w:rsidR="00EB6289">
        <w:rPr>
          <w:rFonts w:ascii="SimHei" w:eastAsia="SimHei" w:hint="eastAsia"/>
        </w:rPr>
        <w:t>提供</w:t>
      </w:r>
      <w:r w:rsidRPr="000D373A">
        <w:rPr>
          <w:rFonts w:ascii="SimHei" w:eastAsia="SimHei" w:hint="eastAsia"/>
        </w:rPr>
        <w:t>有效的补救措施</w:t>
      </w:r>
      <w:r>
        <w:rPr>
          <w:rFonts w:hint="eastAsia"/>
        </w:rPr>
        <w:t>。</w:t>
      </w:r>
    </w:p>
    <w:p w:rsidR="00697FD7" w:rsidRDefault="00697FD7" w:rsidP="00697FD7">
      <w:pPr>
        <w:pStyle w:val="SingleTxt"/>
        <w:rPr>
          <w:rFonts w:hint="eastAsia"/>
        </w:rPr>
      </w:pPr>
      <w:r>
        <w:rPr>
          <w:rFonts w:hint="eastAsia"/>
        </w:rPr>
        <w:t>12.</w:t>
      </w:r>
      <w:r>
        <w:rPr>
          <w:rFonts w:hint="eastAsia"/>
        </w:rPr>
        <w:tab/>
        <w:t>委员会注意到为查明对妇女歧视的法律所采取的许多措施，但委员会感到关切的是，在目的和结果两方面均歧视妇女的成文法和习惯法依然在实施中。委员会还感到关切的是，脆弱的公共法律援助部门使妇女更难以诉求司法，而且使得《公约》规定的妇女权利更难以实施。</w:t>
      </w:r>
    </w:p>
    <w:p w:rsidR="00697FD7" w:rsidRDefault="00697FD7" w:rsidP="00697FD7">
      <w:pPr>
        <w:pStyle w:val="SingleTxt"/>
        <w:rPr>
          <w:rFonts w:hint="eastAsia"/>
        </w:rPr>
      </w:pPr>
      <w:r>
        <w:rPr>
          <w:rFonts w:hint="eastAsia"/>
        </w:rPr>
        <w:t>13.</w:t>
      </w:r>
      <w:r>
        <w:rPr>
          <w:rFonts w:hint="eastAsia"/>
        </w:rPr>
        <w:tab/>
      </w:r>
      <w:r w:rsidRPr="000D373A">
        <w:rPr>
          <w:rFonts w:ascii="SimHei" w:eastAsia="SimHei" w:hint="eastAsia"/>
        </w:rPr>
        <w:t>委员会敦促缔约国确保优先修订或废除所有歧视性法律，包括习惯法，并使之符合《公约》以及委员会一般性建议。委员会还请缔约国消除妇女在诉诸司法方面可能面临的所有障碍，并采取适当措施向妇女进行普法教育，提高她们对自己的权利的认识，</w:t>
      </w:r>
      <w:r w:rsidR="00EB6289">
        <w:rPr>
          <w:rFonts w:ascii="SimHei" w:eastAsia="SimHei" w:hint="eastAsia"/>
        </w:rPr>
        <w:t>包括通过法庭寻求法律补救的权利。在这方面，委员会敦促缔约国向</w:t>
      </w:r>
      <w:r w:rsidRPr="000D373A">
        <w:rPr>
          <w:rFonts w:ascii="SimHei" w:eastAsia="SimHei" w:hint="eastAsia"/>
        </w:rPr>
        <w:t>法律援助部门提供充足的人力和财力资源</w:t>
      </w:r>
      <w:r>
        <w:rPr>
          <w:rFonts w:hint="eastAsia"/>
        </w:rPr>
        <w:t>。</w:t>
      </w:r>
    </w:p>
    <w:p w:rsidR="00697FD7" w:rsidRDefault="00697FD7" w:rsidP="00697FD7">
      <w:pPr>
        <w:pStyle w:val="SingleTxt"/>
        <w:rPr>
          <w:rFonts w:hint="eastAsia"/>
        </w:rPr>
      </w:pPr>
      <w:r>
        <w:rPr>
          <w:rFonts w:hint="eastAsia"/>
        </w:rPr>
        <w:t>14.</w:t>
      </w:r>
      <w:r>
        <w:rPr>
          <w:rFonts w:hint="eastAsia"/>
        </w:rPr>
        <w:tab/>
        <w:t>委员会感到遗憾的是，许多法案迟迟未颁布，</w:t>
      </w:r>
      <w:r w:rsidR="00BB4FB7">
        <w:rPr>
          <w:rFonts w:hint="eastAsia"/>
        </w:rPr>
        <w:t>特别是</w:t>
      </w:r>
      <w:r>
        <w:rPr>
          <w:rFonts w:hint="eastAsia"/>
        </w:rPr>
        <w:t>性别平等法案、死者遗产(遗嘱、继承和保护)法案，以及结婚、离婚和家庭关系法案等。</w:t>
      </w:r>
    </w:p>
    <w:p w:rsidR="00697FD7" w:rsidRDefault="00697FD7" w:rsidP="00697FD7">
      <w:pPr>
        <w:pStyle w:val="SingleTxt"/>
        <w:rPr>
          <w:rFonts w:hint="eastAsia"/>
        </w:rPr>
      </w:pPr>
      <w:r>
        <w:rPr>
          <w:rFonts w:hint="eastAsia"/>
        </w:rPr>
        <w:t>15.</w:t>
      </w:r>
      <w:r>
        <w:rPr>
          <w:rFonts w:hint="eastAsia"/>
        </w:rPr>
        <w:tab/>
      </w:r>
      <w:r w:rsidRPr="000D373A">
        <w:rPr>
          <w:rFonts w:ascii="SimHei" w:eastAsia="SimHei" w:hint="eastAsia"/>
        </w:rPr>
        <w:t>委员会呼吁采取一切必要措施，加快颁布这些法案，即两性平等法案、死者遗产</w:t>
      </w:r>
      <w:r>
        <w:rPr>
          <w:rFonts w:ascii="SimHei" w:eastAsia="SimHei" w:hint="eastAsia"/>
        </w:rPr>
        <w:t>(</w:t>
      </w:r>
      <w:r w:rsidRPr="000D373A">
        <w:rPr>
          <w:rFonts w:ascii="SimHei" w:eastAsia="SimHei" w:hint="eastAsia"/>
        </w:rPr>
        <w:t>遗嘱、继承和保护</w:t>
      </w:r>
      <w:r>
        <w:rPr>
          <w:rFonts w:ascii="SimHei" w:eastAsia="SimHei" w:hint="eastAsia"/>
        </w:rPr>
        <w:t>)</w:t>
      </w:r>
      <w:r w:rsidRPr="000D373A">
        <w:rPr>
          <w:rFonts w:ascii="SimHei" w:eastAsia="SimHei" w:hint="eastAsia"/>
        </w:rPr>
        <w:t>法案，以及结婚、离婚和家庭关系法案，并在法律审查程序的框架内确保妇女享有形式和实质方面的平等</w:t>
      </w:r>
      <w:r>
        <w:rPr>
          <w:rFonts w:hint="eastAsia"/>
        </w:rPr>
        <w:t>。</w:t>
      </w:r>
    </w:p>
    <w:p w:rsidR="00697FD7" w:rsidRDefault="00697FD7" w:rsidP="00697FD7">
      <w:pPr>
        <w:pStyle w:val="SingleTxt"/>
        <w:rPr>
          <w:rFonts w:hint="eastAsia"/>
        </w:rPr>
      </w:pPr>
      <w:r>
        <w:rPr>
          <w:rFonts w:hint="eastAsia"/>
        </w:rPr>
        <w:t>16.</w:t>
      </w:r>
      <w:r>
        <w:rPr>
          <w:rFonts w:hint="eastAsia"/>
        </w:rPr>
        <w:tab/>
        <w:t>委员会对于缔约国公众不太了解《公约》的规定感到关切。</w:t>
      </w:r>
    </w:p>
    <w:p w:rsidR="00697FD7" w:rsidRDefault="00697FD7" w:rsidP="00697FD7">
      <w:pPr>
        <w:pStyle w:val="SingleTxt"/>
        <w:rPr>
          <w:rFonts w:hint="eastAsia"/>
        </w:rPr>
      </w:pPr>
      <w:r>
        <w:rPr>
          <w:rFonts w:hint="eastAsia"/>
        </w:rPr>
        <w:t>17.</w:t>
      </w:r>
      <w:r>
        <w:rPr>
          <w:rFonts w:hint="eastAsia"/>
        </w:rPr>
        <w:tab/>
      </w:r>
      <w:r w:rsidRPr="000D373A">
        <w:rPr>
          <w:rFonts w:ascii="SimHei" w:eastAsia="SimHei" w:hint="eastAsia"/>
        </w:rPr>
        <w:t>委员会建议缔约国向公众广泛宣传《公约》，提高公众对妇女人权的认识，提高立法者和一般公众对优先进行立法改革的紧迫性的认识，促进实现法律上的男女平等。委员会还敦促缔约国确保《公约》和相关国内法成为对包括法官、律师和检察官在内的司法人员</w:t>
      </w:r>
      <w:r w:rsidR="00EB6289">
        <w:rPr>
          <w:rFonts w:ascii="SimHei" w:eastAsia="SimHei" w:hint="eastAsia"/>
        </w:rPr>
        <w:t>、</w:t>
      </w:r>
      <w:r w:rsidRPr="000D373A">
        <w:rPr>
          <w:rFonts w:ascii="SimHei" w:eastAsia="SimHei" w:hint="eastAsia"/>
        </w:rPr>
        <w:t>执法人员、地方官员、主管以及其他传统社区领导人进行的普法教育及培训的一部分，以形成一种支持妇女平等和不受歧视的法律文化</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提高妇女地位国家机制</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18.</w:t>
      </w:r>
      <w:r>
        <w:rPr>
          <w:rFonts w:hint="eastAsia"/>
        </w:rPr>
        <w:tab/>
        <w:t>委员会赞赏地注意到性别、儿童和社区发展事务部为提高妇女地位开展的活动，但委员会仍然感到关切的是，该部缺乏足够的人力和财政资源，无法有效协调政府所有部门和各级政府实施性别平等主流化战略。委员会还关切的是，国家性别平等政策修订草案尚未获得通过。</w:t>
      </w:r>
    </w:p>
    <w:p w:rsidR="00697FD7" w:rsidRDefault="00697FD7" w:rsidP="00697FD7">
      <w:pPr>
        <w:pStyle w:val="SingleTxt"/>
        <w:rPr>
          <w:rFonts w:hint="eastAsia"/>
        </w:rPr>
      </w:pPr>
      <w:r>
        <w:rPr>
          <w:rFonts w:hint="eastAsia"/>
        </w:rPr>
        <w:t>19.</w:t>
      </w:r>
      <w:r>
        <w:rPr>
          <w:rFonts w:hint="eastAsia"/>
        </w:rPr>
        <w:tab/>
      </w:r>
      <w:r w:rsidRPr="000D373A">
        <w:rPr>
          <w:rFonts w:ascii="SimHei" w:eastAsia="SimHei" w:hint="eastAsia"/>
        </w:rPr>
        <w:t>委员会建议缔约国加强性别、儿童和社区发展事务部，并提供必要的人力和财政资源，以便有效地协调政府所有部委和各级政府所用部门实施《公约》和采用性别平等主流化战略。委员会还呼吁缔约国通过并立即执行经修订的国家性别平等政策。委员会还敦促缔约国通过具体的基准和时限要求有系统地监测，其两性平等主流化工作的效果，并在其下一次报告中向委员会汇报所取得的成就、遇到的障碍以及为克服这些障碍采取的步骤</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定型观念和文化习俗</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20.</w:t>
      </w:r>
      <w:r>
        <w:rPr>
          <w:rFonts w:hint="eastAsia"/>
        </w:rPr>
        <w:tab/>
        <w:t>如上一次结论意见一样，委员会仍然感到关切的是，有害的陈规陋习、男尊女卑的思想以及关于妇女和男子在社会所有领域的角色、责任和身份方面的根深蒂固的定型观念依然存在。委员会感到关切的是，这种规范、习俗和做法成为继续歧视妇女、对妇女采取暴力行为和继续包括早婚和逼婚以及马拉维人权委员会在2006年开展的调查所发现的其他做法在内的陋习的借口。委员会感到遗憾的是，缔约国没有采取持续的、有系统策略来改变或者消除这类有害的陈规陋习、男尊女卑的思想以及定型观念。</w:t>
      </w:r>
    </w:p>
    <w:p w:rsidR="00697FD7" w:rsidRDefault="00697FD7" w:rsidP="00697FD7">
      <w:pPr>
        <w:pStyle w:val="SingleTxt"/>
        <w:rPr>
          <w:rFonts w:hint="eastAsia"/>
        </w:rPr>
      </w:pPr>
      <w:r>
        <w:rPr>
          <w:rFonts w:hint="eastAsia"/>
        </w:rPr>
        <w:t>21.</w:t>
      </w:r>
      <w:r>
        <w:rPr>
          <w:rFonts w:hint="eastAsia"/>
        </w:rPr>
        <w:tab/>
      </w:r>
      <w:r w:rsidRPr="000D373A">
        <w:rPr>
          <w:rFonts w:ascii="SimHei" w:eastAsia="SimHei" w:hint="eastAsia"/>
        </w:rPr>
        <w:t>委员会敦促缔约国认识到文化是国家生活以及社会结构的一个动态层面，随着时间的推移会受到很多影响，因此，会发生变化。委员会敦促缔约国立即拟定一项包括明确的目标和时间表的综合性战略，以改变或消除伤害和歧视妇女的文化陋习和定型观念，促进妇女根据《公约》第2</w:t>
      </w:r>
      <w:r w:rsidR="00BB4FB7">
        <w:rPr>
          <w:rFonts w:ascii="Times New Roman" w:eastAsia="SimHei"/>
        </w:rPr>
        <w:t>(f)</w:t>
      </w:r>
      <w:r w:rsidR="00BB4FB7">
        <w:rPr>
          <w:rFonts w:ascii="Times New Roman" w:eastAsia="SimHei" w:hint="eastAsia"/>
        </w:rPr>
        <w:t>条</w:t>
      </w:r>
      <w:r w:rsidRPr="000D373A">
        <w:rPr>
          <w:rFonts w:ascii="SimHei" w:eastAsia="SimHei" w:hint="eastAsia"/>
        </w:rPr>
        <w:t>和第5</w:t>
      </w:r>
      <w:r w:rsidR="00BB4FB7">
        <w:rPr>
          <w:rFonts w:ascii="Times New Roman" w:eastAsia="SimHei"/>
        </w:rPr>
        <w:t>(a)</w:t>
      </w:r>
      <w:r w:rsidRPr="000D373A">
        <w:rPr>
          <w:rFonts w:ascii="SimHei" w:eastAsia="SimHei" w:hint="eastAsia"/>
        </w:rPr>
        <w:t>条充分享受人权。该战略应当包括通过相关的为通过的法案，以及专门为包括政府官员、主管以及其他传统领导人和社区领导人在内的社会各阶层妇女和男子制定的教育以及提高认识方案。委员会还鼓励缔约国建立各种监测机制，定期评估为实现既定的目标所取得的进展</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暴力侵害妇女行为</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22.</w:t>
      </w:r>
      <w:r>
        <w:rPr>
          <w:rFonts w:hint="eastAsia"/>
        </w:rPr>
        <w:tab/>
        <w:t>委员会重申对缔约国普遍存在的暴力侵害妇女行为深表关切。尽管通过了《防止家庭暴力法》，委员会仍然感到关切的是，暴力受害者得不到适当的服务和保护，包括受害者得不到报告机制，而且没有开展宣传运动来提高关于妇女权利的教育。</w:t>
      </w:r>
    </w:p>
    <w:p w:rsidR="00697FD7" w:rsidRDefault="00697FD7" w:rsidP="00697FD7">
      <w:pPr>
        <w:pStyle w:val="SingleTxt"/>
        <w:rPr>
          <w:rFonts w:hint="eastAsia"/>
        </w:rPr>
      </w:pPr>
      <w:r>
        <w:rPr>
          <w:rFonts w:hint="eastAsia"/>
        </w:rPr>
        <w:t>23.</w:t>
      </w:r>
      <w:r>
        <w:rPr>
          <w:rFonts w:hint="eastAsia"/>
        </w:rPr>
        <w:tab/>
      </w:r>
      <w:r w:rsidRPr="000D373A">
        <w:rPr>
          <w:rFonts w:ascii="SimHei" w:eastAsia="SimHei" w:hint="eastAsia"/>
        </w:rPr>
        <w:t>委员会敦促缔约国加强努力，有效实施现有立法措施，并处理对妇女的一切形式暴力行为，包括家庭暴力，同时考虑到委员会第19号一般性建议，并敦促缔约国开展教育和宣传方案，包括通过媒体传达对妇女一切形式的暴力</w:t>
      </w:r>
      <w:r>
        <w:rPr>
          <w:rFonts w:ascii="SimHei" w:eastAsia="SimHei" w:hint="eastAsia"/>
        </w:rPr>
        <w:t>(</w:t>
      </w:r>
      <w:r w:rsidRPr="000D373A">
        <w:rPr>
          <w:rFonts w:ascii="SimHei" w:eastAsia="SimHei" w:hint="eastAsia"/>
        </w:rPr>
        <w:t>包括家庭暴力</w:t>
      </w:r>
      <w:r>
        <w:rPr>
          <w:rFonts w:ascii="SimHei" w:eastAsia="SimHei" w:hint="eastAsia"/>
        </w:rPr>
        <w:t>)</w:t>
      </w:r>
      <w:r w:rsidRPr="000D373A">
        <w:rPr>
          <w:rFonts w:ascii="SimHei" w:eastAsia="SimHei" w:hint="eastAsia"/>
        </w:rPr>
        <w:t>都是不可接受的信息</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贩运 </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24.</w:t>
      </w:r>
      <w:r>
        <w:rPr>
          <w:rFonts w:hint="eastAsia"/>
        </w:rPr>
        <w:tab/>
        <w:t>委员会重申其对该国境内外贩运问题的严重性表示关切。委员会还感到关切的是，妇女和女孩遭受性剥削的程度严重，包括卖淫，以及有关这些问题的统计数据有限。</w:t>
      </w:r>
    </w:p>
    <w:p w:rsidR="00697FD7" w:rsidRDefault="00697FD7" w:rsidP="00697FD7">
      <w:pPr>
        <w:pStyle w:val="SingleTxt"/>
        <w:rPr>
          <w:rFonts w:hint="eastAsia"/>
        </w:rPr>
      </w:pPr>
      <w:r>
        <w:rPr>
          <w:rFonts w:hint="eastAsia"/>
        </w:rPr>
        <w:t>25.</w:t>
      </w:r>
      <w:r>
        <w:rPr>
          <w:rFonts w:hint="eastAsia"/>
        </w:rPr>
        <w:tab/>
      </w:r>
      <w:r w:rsidRPr="000D373A">
        <w:rPr>
          <w:rFonts w:ascii="SimHei" w:eastAsia="SimHei" w:hint="eastAsia"/>
        </w:rPr>
        <w:t>委员会建议缔约国采取必要的立法措施，包括有效起诉和惩罚贩运者。委员会还建议缔约国加强向受害妇女提供援助和支持，并通过处理贩运人口活动的根源问题和改善妇女的经济状况，来消除妇女易受剥削和贩运的原因，以加强防止贩运的努力。委员会还建议缔约国考虑加强同该地区各国的合作，以防止和打击贩卖妇女和女童现象，并对马拉维普遍存在的贩运问题进行研究</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参与政治和公共生活</w:t>
      </w:r>
    </w:p>
    <w:p w:rsidR="00697FD7" w:rsidRPr="00026588" w:rsidRDefault="00697FD7" w:rsidP="00697FD7">
      <w:pPr>
        <w:pStyle w:val="SingleTxt"/>
        <w:spacing w:after="0" w:line="120" w:lineRule="exact"/>
        <w:ind w:right="0"/>
        <w:rPr>
          <w:rFonts w:hint="eastAsia"/>
          <w:sz w:val="10"/>
        </w:rPr>
      </w:pPr>
    </w:p>
    <w:p w:rsidR="00697FD7" w:rsidRDefault="00697FD7" w:rsidP="00697FD7">
      <w:pPr>
        <w:pStyle w:val="SingleTxt"/>
        <w:rPr>
          <w:rFonts w:hint="eastAsia"/>
        </w:rPr>
      </w:pPr>
      <w:r>
        <w:rPr>
          <w:rFonts w:hint="eastAsia"/>
        </w:rPr>
        <w:t>26.</w:t>
      </w:r>
      <w:r>
        <w:rPr>
          <w:rFonts w:hint="eastAsia"/>
        </w:rPr>
        <w:tab/>
        <w:t>委员会注意到为确保妇女参与各级公共和政治生活所做的努力，包括提名一位妇女担任副总统的努力，以及增加议会和地方政府中的妇女代表的国家方案(又称男女代表各占一半的运动)，委员会感到关切的是，妇女参与各级决策的人数很少，而且为解决该问题的根源，包括普遍的社会和文化态度问题所采取的步骤有限。</w:t>
      </w:r>
    </w:p>
    <w:p w:rsidR="00697FD7" w:rsidRDefault="00697FD7" w:rsidP="00697FD7">
      <w:pPr>
        <w:pStyle w:val="SingleTxt"/>
        <w:rPr>
          <w:rFonts w:hint="eastAsia"/>
        </w:rPr>
      </w:pPr>
      <w:r>
        <w:rPr>
          <w:rFonts w:hint="eastAsia"/>
        </w:rPr>
        <w:t>27.</w:t>
      </w:r>
      <w:r>
        <w:rPr>
          <w:rFonts w:hint="eastAsia"/>
        </w:rPr>
        <w:tab/>
      </w:r>
      <w:r w:rsidRPr="000D373A">
        <w:rPr>
          <w:rFonts w:ascii="SimHei" w:eastAsia="SimHei" w:hint="eastAsia"/>
        </w:rPr>
        <w:t>委员会敦促缔约国加强努力，根据《公约》第7和第8条的规定，并考虑到委员会第23号一般性建议，另外通过根据《公约》第4条第1款的规定和委员会第25号一般性建议，采取暂行特别措施，更快地增加妇女在政府各部门和各级中所占的比重</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国籍</w:t>
      </w:r>
    </w:p>
    <w:p w:rsidR="00697FD7" w:rsidRPr="00026588" w:rsidRDefault="00697FD7" w:rsidP="00697FD7">
      <w:pPr>
        <w:pStyle w:val="SingleTxt"/>
        <w:spacing w:after="0" w:line="120" w:lineRule="exact"/>
        <w:rPr>
          <w:rFonts w:hint="eastAsia"/>
          <w:sz w:val="10"/>
        </w:rPr>
      </w:pPr>
    </w:p>
    <w:p w:rsidR="00697FD7" w:rsidRDefault="00697FD7" w:rsidP="00697FD7">
      <w:pPr>
        <w:pStyle w:val="SingleTxt"/>
        <w:rPr>
          <w:rFonts w:hint="eastAsia"/>
        </w:rPr>
      </w:pPr>
      <w:r>
        <w:rPr>
          <w:rFonts w:hint="eastAsia"/>
        </w:rPr>
        <w:t>28.</w:t>
      </w:r>
      <w:r>
        <w:rPr>
          <w:rFonts w:hint="eastAsia"/>
        </w:rPr>
        <w:tab/>
        <w:t>委员会重申上一次结论意见</w:t>
      </w:r>
      <w:r w:rsidR="00EB6289">
        <w:rPr>
          <w:rFonts w:hint="eastAsia"/>
        </w:rPr>
        <w:t>(CEDAW</w:t>
      </w:r>
      <w:r w:rsidR="00EB6289">
        <w:t>/C/MWI/CO/5</w:t>
      </w:r>
      <w:r w:rsidR="005F4B68">
        <w:rPr>
          <w:rFonts w:hint="eastAsia"/>
        </w:rPr>
        <w:t>，</w:t>
      </w:r>
      <w:r w:rsidR="00EB6289">
        <w:rPr>
          <w:rFonts w:hint="eastAsia"/>
        </w:rPr>
        <w:t>第13段)</w:t>
      </w:r>
      <w:r>
        <w:rPr>
          <w:rFonts w:hint="eastAsia"/>
        </w:rPr>
        <w:t>对</w:t>
      </w:r>
      <w:r w:rsidR="00A911B3">
        <w:rPr>
          <w:rFonts w:hint="eastAsia"/>
        </w:rPr>
        <w:t>《宪法》与</w:t>
      </w:r>
      <w:r>
        <w:rPr>
          <w:rFonts w:hint="eastAsia"/>
        </w:rPr>
        <w:t>《公民法》</w:t>
      </w:r>
      <w:r w:rsidR="00A911B3">
        <w:rPr>
          <w:rFonts w:hint="eastAsia"/>
        </w:rPr>
        <w:t>和</w:t>
      </w:r>
      <w:r>
        <w:rPr>
          <w:rFonts w:hint="eastAsia"/>
        </w:rPr>
        <w:t>《移民法》之间的矛盾所表示的关切，</w:t>
      </w:r>
      <w:r w:rsidR="00A911B3">
        <w:rPr>
          <w:rFonts w:hint="eastAsia"/>
        </w:rPr>
        <w:t>《公民法》和《移民法》</w:t>
      </w:r>
      <w:r>
        <w:rPr>
          <w:rFonts w:hint="eastAsia"/>
        </w:rPr>
        <w:t>规定一旦与非马拉维男子结婚，马拉维妇女便丧失国籍</w:t>
      </w:r>
      <w:r w:rsidR="00A911B3">
        <w:rPr>
          <w:rFonts w:hint="eastAsia"/>
        </w:rPr>
        <w:t>，并且</w:t>
      </w:r>
      <w:r>
        <w:rPr>
          <w:rFonts w:hint="eastAsia"/>
        </w:rPr>
        <w:t>除非在丈夫的监护下，不允许已婚妇女移民。</w:t>
      </w:r>
    </w:p>
    <w:p w:rsidR="00697FD7" w:rsidRDefault="00697FD7" w:rsidP="00697FD7">
      <w:pPr>
        <w:pStyle w:val="SingleTxt"/>
        <w:rPr>
          <w:rFonts w:hint="eastAsia"/>
        </w:rPr>
      </w:pPr>
      <w:r>
        <w:rPr>
          <w:rFonts w:hint="eastAsia"/>
        </w:rPr>
        <w:t>29.</w:t>
      </w:r>
      <w:r>
        <w:rPr>
          <w:rFonts w:hint="eastAsia"/>
        </w:rPr>
        <w:tab/>
      </w:r>
      <w:r w:rsidRPr="006D0DD7">
        <w:rPr>
          <w:rFonts w:ascii="SimHei" w:eastAsia="SimHei" w:hint="eastAsia"/>
        </w:rPr>
        <w:t>委员会敦促缔约国在目前正在进行的法律改革过程中，根据《公约》第9条的规定，废除与国籍有关的所有歧视性法律</w:t>
      </w:r>
      <w:r>
        <w:rPr>
          <w:rFonts w:hint="eastAsia"/>
        </w:rPr>
        <w:t>。</w:t>
      </w:r>
    </w:p>
    <w:p w:rsidR="00697FD7" w:rsidRDefault="00697FD7" w:rsidP="0069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教育 </w:t>
      </w:r>
    </w:p>
    <w:p w:rsidR="00697FD7" w:rsidRPr="00DB5449" w:rsidRDefault="00697FD7" w:rsidP="00697FD7">
      <w:pPr>
        <w:pStyle w:val="SingleTxt"/>
        <w:spacing w:after="0" w:line="120" w:lineRule="exact"/>
        <w:rPr>
          <w:rFonts w:hint="eastAsia"/>
          <w:sz w:val="10"/>
        </w:rPr>
      </w:pPr>
    </w:p>
    <w:p w:rsidR="00697FD7" w:rsidRDefault="00697FD7" w:rsidP="00697FD7">
      <w:pPr>
        <w:pStyle w:val="SingleTxt"/>
        <w:rPr>
          <w:rFonts w:hint="eastAsia"/>
        </w:rPr>
      </w:pPr>
      <w:r>
        <w:rPr>
          <w:rFonts w:hint="eastAsia"/>
        </w:rPr>
        <w:t>30.</w:t>
      </w:r>
      <w:r>
        <w:rPr>
          <w:rFonts w:hint="eastAsia"/>
        </w:rPr>
        <w:tab/>
        <w:t>委员会一方面承认为增加学校的女童入学率和保留率所作的不断努力以及在减少中小学入学率的性别差距方面取得的进展，另一方面关注在优质教育方面持续存在的结构性和其他障碍，它们尤其阻碍对女童和青年妇女的教育。这些障碍除其他外，还包括缺乏有形基础设施以及受过训练和合格的教师人数有限。该委员会还关注的是女童在学校持续遭到性虐待和性骚扰；早婚和强迫婚姻等有害传统习俗对女童教育的负面影响；以及怀孕少女</w:t>
      </w:r>
      <w:r w:rsidR="00A911B3">
        <w:rPr>
          <w:rFonts w:hint="eastAsia"/>
        </w:rPr>
        <w:t>行使</w:t>
      </w:r>
      <w:r>
        <w:rPr>
          <w:rFonts w:hint="eastAsia"/>
        </w:rPr>
        <w:t xml:space="preserve">受教育权利的能力持续受到阻碍。 </w:t>
      </w:r>
    </w:p>
    <w:p w:rsidR="00697FD7" w:rsidRDefault="00697FD7" w:rsidP="00697FD7">
      <w:pPr>
        <w:pStyle w:val="SingleTxt"/>
        <w:rPr>
          <w:rFonts w:hint="eastAsia"/>
        </w:rPr>
      </w:pPr>
      <w:r>
        <w:rPr>
          <w:rFonts w:hint="eastAsia"/>
        </w:rPr>
        <w:t>31.</w:t>
      </w:r>
      <w:r>
        <w:rPr>
          <w:rFonts w:hint="eastAsia"/>
        </w:rPr>
        <w:tab/>
      </w:r>
      <w:r w:rsidRPr="00B83EDD">
        <w:rPr>
          <w:rFonts w:ascii="SimHei" w:eastAsia="SimHei" w:hint="eastAsia"/>
        </w:rPr>
        <w:t>委员会建议缔约国采取措施，改善教育基础设施，特别是农村地区的教育基础设施，并提高对教育重要性的认识，将其视为一项人权，视为妇女赋权的基础。委员会建议缔约国采取措施，确保女童和妇女平等地获得各级教育和在学校保留女童，包括根据《公约》第4条第1款和委员会第25号一般性建议采取暂行特别措施。它敦促缔约国</w:t>
      </w:r>
      <w:r w:rsidR="00A911B3">
        <w:rPr>
          <w:rFonts w:ascii="SimHei" w:eastAsia="SimHei" w:hint="eastAsia"/>
        </w:rPr>
        <w:t>强制执行</w:t>
      </w:r>
      <w:r w:rsidRPr="00B83EDD">
        <w:rPr>
          <w:rFonts w:ascii="SimHei" w:eastAsia="SimHei" w:hint="eastAsia"/>
        </w:rPr>
        <w:t>对学校性虐待和性骚扰的零容忍</w:t>
      </w:r>
      <w:r w:rsidR="00F01ACF">
        <w:rPr>
          <w:rFonts w:ascii="SimHei" w:eastAsia="SimHei" w:hint="eastAsia"/>
        </w:rPr>
        <w:t>政策</w:t>
      </w:r>
      <w:r w:rsidRPr="00B83EDD">
        <w:rPr>
          <w:rFonts w:ascii="SimHei" w:eastAsia="SimHei" w:hint="eastAsia"/>
        </w:rPr>
        <w:t>和</w:t>
      </w:r>
      <w:r w:rsidR="00F01ACF">
        <w:rPr>
          <w:rFonts w:ascii="SimHei" w:eastAsia="SimHei" w:hint="eastAsia"/>
        </w:rPr>
        <w:t>确保</w:t>
      </w:r>
      <w:r w:rsidR="00F01ACF" w:rsidRPr="00B83EDD">
        <w:rPr>
          <w:rFonts w:ascii="SimHei" w:eastAsia="SimHei" w:hint="eastAsia"/>
        </w:rPr>
        <w:t>肇事者</w:t>
      </w:r>
      <w:r w:rsidR="00F01ACF">
        <w:rPr>
          <w:rFonts w:ascii="SimHei" w:eastAsia="SimHei" w:hint="eastAsia"/>
        </w:rPr>
        <w:t>受到</w:t>
      </w:r>
      <w:r w:rsidRPr="00B83EDD">
        <w:rPr>
          <w:rFonts w:ascii="SimHei" w:eastAsia="SimHei" w:hint="eastAsia"/>
        </w:rPr>
        <w:t>相应处罚</w:t>
      </w:r>
      <w:r w:rsidR="00F01ACF">
        <w:rPr>
          <w:rFonts w:ascii="SimHei" w:eastAsia="SimHei" w:hint="eastAsia"/>
        </w:rPr>
        <w:t>。</w:t>
      </w:r>
      <w:r w:rsidRPr="00B83EDD">
        <w:rPr>
          <w:rFonts w:ascii="SimHei" w:eastAsia="SimHei" w:hint="eastAsia"/>
        </w:rPr>
        <w:t>委员会鼓励缔约国采取步骤，改变阻碍女童和妇女受教育的传统态度</w:t>
      </w:r>
      <w:r w:rsidR="004438AC">
        <w:rPr>
          <w:rFonts w:ascii="Times New Roman" w:eastAsia="SimHei" w:hint="eastAsia"/>
        </w:rPr>
        <w:t>、</w:t>
      </w:r>
      <w:r w:rsidR="004438AC">
        <w:rPr>
          <w:rFonts w:ascii="SimHei" w:eastAsia="SimHei" w:hint="eastAsia"/>
        </w:rPr>
        <w:t>加强关于怀孕少女和年轻母亲重新入学的政策</w:t>
      </w:r>
      <w:r w:rsidRPr="00B83EDD">
        <w:rPr>
          <w:rFonts w:ascii="SimHei" w:eastAsia="SimHei" w:hint="eastAsia"/>
        </w:rPr>
        <w:t>和从教育课程中消除歧视妇女的陈规定型观念。委员会呼吁缔约国大力努力，通过实施正规和非正规教育的综合方案并通过成人教育和培训，提高女童和妇女的识字水平。</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就业和增强妇女经济能力 </w:t>
      </w:r>
    </w:p>
    <w:p w:rsidR="00697FD7" w:rsidRDefault="00697FD7" w:rsidP="00697FD7">
      <w:pPr>
        <w:pStyle w:val="SingleTxt"/>
        <w:rPr>
          <w:rFonts w:hint="eastAsia"/>
        </w:rPr>
      </w:pPr>
      <w:r>
        <w:rPr>
          <w:rFonts w:hint="eastAsia"/>
        </w:rPr>
        <w:t>32.</w:t>
      </w:r>
      <w:r>
        <w:rPr>
          <w:rFonts w:hint="eastAsia"/>
        </w:rPr>
        <w:tab/>
        <w:t xml:space="preserve">委员会一方面承认缔约国为增强妇女经济能力和获得就业机会所进行的努力，另一方面仍然关注在招聘、同值工作同等报酬、保护生育以及性骚扰方面存在的公营部门和私营部门就业中直接和间接歧视妇女的习俗。 </w:t>
      </w:r>
    </w:p>
    <w:p w:rsidR="00697FD7" w:rsidRDefault="00697FD7" w:rsidP="00697FD7">
      <w:pPr>
        <w:pStyle w:val="SingleTxt"/>
        <w:rPr>
          <w:rFonts w:hint="eastAsia"/>
        </w:rPr>
      </w:pPr>
      <w:r>
        <w:rPr>
          <w:rFonts w:hint="eastAsia"/>
        </w:rPr>
        <w:t>33.</w:t>
      </w:r>
      <w:r>
        <w:rPr>
          <w:rFonts w:hint="eastAsia"/>
        </w:rPr>
        <w:tab/>
      </w:r>
      <w:r w:rsidRPr="00B83EDD">
        <w:rPr>
          <w:rFonts w:ascii="SimHei" w:eastAsia="SimHei" w:hint="eastAsia"/>
        </w:rPr>
        <w:t>委员会呼吁缔约国毫不拖延地采取具体措施，包括执法机制，以确保妇女在就业和充分及平等地参加劳动力市场方面享有平等权利。这应包括对同工同酬和同值工作同等报酬的法律保障、更好地实施保护妇女免遭生育歧视的法律以及根据《公约》第4条第1款和委员会第25号一般性建议采取暂行特别措施。该委员会还敦促缔约国颁布禁止性骚扰的立法。</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卫生 </w:t>
      </w:r>
    </w:p>
    <w:p w:rsidR="00697FD7" w:rsidRPr="00DB5449" w:rsidRDefault="00697FD7" w:rsidP="005A3F1F">
      <w:pPr>
        <w:pStyle w:val="SingleTxt"/>
        <w:spacing w:line="340" w:lineRule="exact"/>
        <w:rPr>
          <w:rFonts w:hint="eastAsia"/>
          <w:spacing w:val="2"/>
        </w:rPr>
      </w:pPr>
      <w:r>
        <w:rPr>
          <w:rFonts w:hint="eastAsia"/>
        </w:rPr>
        <w:t>34.</w:t>
      </w:r>
      <w:r>
        <w:rPr>
          <w:rFonts w:hint="eastAsia"/>
        </w:rPr>
        <w:tab/>
      </w:r>
      <w:r w:rsidRPr="00DB5449">
        <w:rPr>
          <w:rFonts w:hint="eastAsia"/>
          <w:spacing w:val="2"/>
        </w:rPr>
        <w:t xml:space="preserve">委员会关注的是，根据《公约》第12条执行保健政策和确保妇女充分享有权利的资源和能力都有限。委员会还关注的是妇女和女童、特别是农村地区的妇女和女童不能获得性健康和生殖健康服务，包括得不到熟练的助产服务和适当的产后护理，并且少女怀孕率很高。委员会关切地注意到禁止传统接生员的做法。 </w:t>
      </w:r>
    </w:p>
    <w:p w:rsidR="00697FD7" w:rsidRDefault="00697FD7" w:rsidP="005A3F1F">
      <w:pPr>
        <w:pStyle w:val="SingleTxt"/>
        <w:spacing w:line="340" w:lineRule="exact"/>
        <w:rPr>
          <w:rFonts w:hint="eastAsia"/>
        </w:rPr>
      </w:pPr>
      <w:r>
        <w:rPr>
          <w:rFonts w:hint="eastAsia"/>
        </w:rPr>
        <w:t>35.</w:t>
      </w:r>
      <w:r>
        <w:rPr>
          <w:rFonts w:hint="eastAsia"/>
        </w:rPr>
        <w:tab/>
      </w:r>
      <w:r w:rsidRPr="00B83EDD">
        <w:rPr>
          <w:rFonts w:ascii="SimHei" w:eastAsia="SimHei" w:hint="eastAsia"/>
        </w:rPr>
        <w:t>委员会鼓励缔约国继续努力，在平等和公平的基础上加强提供包括心理健康在内的基本保健和医疗服务的能力并增加妇女和女童获得这些服务的机会。它敦促缔约国尽一切努力，让妇女更多地了解和获得保健设施服务和合格医务人员医疗援助，特别是农村地区的助产服务和产后护理。委员会建议缔约国重新考虑禁止传统接生员的做法和重视她们的作用，向她们提供适当的训练。</w:t>
      </w:r>
      <w:r>
        <w:rPr>
          <w:rFonts w:hint="eastAsia"/>
        </w:rPr>
        <w:t xml:space="preserve"> </w:t>
      </w:r>
    </w:p>
    <w:p w:rsidR="00697FD7" w:rsidRDefault="00697FD7" w:rsidP="005A3F1F">
      <w:pPr>
        <w:pStyle w:val="SingleTxt"/>
        <w:spacing w:line="340" w:lineRule="exact"/>
        <w:rPr>
          <w:rFonts w:hint="eastAsia"/>
        </w:rPr>
      </w:pPr>
      <w:r>
        <w:rPr>
          <w:rFonts w:hint="eastAsia"/>
        </w:rPr>
        <w:t>36.</w:t>
      </w:r>
      <w:r>
        <w:rPr>
          <w:rFonts w:hint="eastAsia"/>
        </w:rPr>
        <w:tab/>
        <w:t xml:space="preserve">委员会重申以前对孕产妇死亡率高的关注，特别是不安全人工流产造成的死亡人数。委员会感到遗憾的是产妇保健政策没有足够地重视不安全人工流产引起的并发症。 </w:t>
      </w:r>
    </w:p>
    <w:p w:rsidR="00697FD7" w:rsidRDefault="00697FD7" w:rsidP="005A3F1F">
      <w:pPr>
        <w:pStyle w:val="SingleTxt"/>
        <w:spacing w:line="340" w:lineRule="exact"/>
        <w:rPr>
          <w:rFonts w:hint="eastAsia"/>
        </w:rPr>
      </w:pPr>
      <w:r>
        <w:rPr>
          <w:rFonts w:hint="eastAsia"/>
        </w:rPr>
        <w:t>37.</w:t>
      </w:r>
      <w:r>
        <w:rPr>
          <w:rFonts w:hint="eastAsia"/>
        </w:rPr>
        <w:tab/>
      </w:r>
      <w:r w:rsidRPr="00B83EDD">
        <w:rPr>
          <w:rFonts w:ascii="SimHei" w:eastAsia="SimHei" w:hint="eastAsia"/>
        </w:rPr>
        <w:t>委员会呼吁缔约国通过查明和消除孕产妇死亡原因，采取降低孕产妇死亡率的措施。委员会还建议缔约国根据委员会第24号一般性建议，审查有关人工流产的法律，以取消对人工流产妇女的惩罚性规定，向她们提供治疗不安全人工流产并发症的优质服务途径，并降低孕产妇死亡率。</w:t>
      </w:r>
      <w:r>
        <w:rPr>
          <w:rFonts w:hint="eastAsia"/>
        </w:rPr>
        <w:t xml:space="preserve"> </w:t>
      </w:r>
    </w:p>
    <w:p w:rsidR="00697FD7" w:rsidRDefault="00697FD7" w:rsidP="005A3F1F">
      <w:pPr>
        <w:pStyle w:val="SingleTxt"/>
        <w:spacing w:line="340" w:lineRule="exact"/>
        <w:rPr>
          <w:rFonts w:hint="eastAsia"/>
        </w:rPr>
      </w:pPr>
      <w:r>
        <w:rPr>
          <w:rFonts w:hint="eastAsia"/>
        </w:rPr>
        <w:t>38.</w:t>
      </w:r>
      <w:r>
        <w:rPr>
          <w:rFonts w:hint="eastAsia"/>
        </w:rPr>
        <w:tab/>
        <w:t>委员会深为关切的是该国妇女和女童的艾滋病毒/艾滋病感染率很高。委员会注意到该缔约国在审定一项管制传统民俗医士行医的国家政策，同时继续关注一些传统民俗医士开处方把与少女性交作为防止艾滋病毒感染的灵丹妙药的现象。委员会赞赏关于艾滋病毒/</w:t>
      </w:r>
      <w:r w:rsidR="00BB4FB7">
        <w:rPr>
          <w:rFonts w:hint="eastAsia"/>
        </w:rPr>
        <w:t>艾滋病管理法案草案的广泛协商进程，同时关注的是</w:t>
      </w:r>
      <w:r>
        <w:rPr>
          <w:rFonts w:hint="eastAsia"/>
        </w:rPr>
        <w:t>对包括性工作者在内的重点人口实行强制性检验</w:t>
      </w:r>
      <w:r w:rsidR="00BB4FB7">
        <w:rPr>
          <w:rFonts w:hint="eastAsia"/>
        </w:rPr>
        <w:t>可能造成歧视</w:t>
      </w:r>
      <w:r>
        <w:rPr>
          <w:rFonts w:hint="eastAsia"/>
        </w:rPr>
        <w:t xml:space="preserve">。 </w:t>
      </w:r>
    </w:p>
    <w:p w:rsidR="00697FD7" w:rsidRDefault="00697FD7" w:rsidP="005A3F1F">
      <w:pPr>
        <w:pStyle w:val="SingleTxt"/>
        <w:spacing w:line="340" w:lineRule="exact"/>
        <w:rPr>
          <w:rFonts w:hint="eastAsia"/>
        </w:rPr>
      </w:pPr>
      <w:r>
        <w:rPr>
          <w:rFonts w:hint="eastAsia"/>
        </w:rPr>
        <w:t>39.</w:t>
      </w:r>
      <w:r>
        <w:rPr>
          <w:rFonts w:hint="eastAsia"/>
        </w:rPr>
        <w:tab/>
      </w:r>
      <w:r w:rsidRPr="00B83EDD">
        <w:rPr>
          <w:rFonts w:ascii="SimHei" w:eastAsia="SimHei" w:hint="eastAsia"/>
        </w:rPr>
        <w:t>委</w:t>
      </w:r>
      <w:r w:rsidRPr="00DB5449">
        <w:rPr>
          <w:rFonts w:ascii="SimHei" w:eastAsia="SimHei" w:hint="eastAsia"/>
          <w:spacing w:val="2"/>
        </w:rPr>
        <w:t>员会建议缔约国确保把人权原则和国际标准列入艾滋病毒/艾滋病管理法案草案，列入艾滋病毒/艾滋病预防政策的编写和实施工作。在这方面，委员会建议缔约国寻求世界卫生组织和联合国艾滋病毒/艾滋病联合规划署的技术援</w:t>
      </w:r>
      <w:r w:rsidR="00BB4FB7">
        <w:rPr>
          <w:rFonts w:ascii="SimHei" w:eastAsia="SimHei" w:hint="eastAsia"/>
          <w:spacing w:val="2"/>
        </w:rPr>
        <w:t>助。委员会要求缔约国提供有关管制传统民俗医士的国家政策的信息，并</w:t>
      </w:r>
      <w:r w:rsidRPr="00DB5449">
        <w:rPr>
          <w:rFonts w:ascii="SimHei" w:eastAsia="SimHei" w:hint="eastAsia"/>
          <w:spacing w:val="2"/>
        </w:rPr>
        <w:t>对开处方把与少女性交作为防止艾滋病毒感染的灵丹妙药的</w:t>
      </w:r>
      <w:r w:rsidR="00BB4FB7" w:rsidRPr="00DB5449">
        <w:rPr>
          <w:rFonts w:ascii="SimHei" w:eastAsia="SimHei" w:hint="eastAsia"/>
          <w:spacing w:val="2"/>
        </w:rPr>
        <w:t>传统民俗医士</w:t>
      </w:r>
      <w:r w:rsidR="00BB4FB7">
        <w:rPr>
          <w:rFonts w:ascii="SimHei" w:eastAsia="SimHei" w:hint="eastAsia"/>
          <w:spacing w:val="2"/>
        </w:rPr>
        <w:t>提起诉讼</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农村妇女 </w:t>
      </w:r>
    </w:p>
    <w:p w:rsidR="00697FD7" w:rsidRPr="00670122" w:rsidRDefault="00697FD7" w:rsidP="00697FD7">
      <w:pPr>
        <w:pStyle w:val="SingleTxt"/>
        <w:rPr>
          <w:rFonts w:hint="eastAsia"/>
          <w:spacing w:val="2"/>
        </w:rPr>
      </w:pPr>
      <w:r w:rsidRPr="00670122">
        <w:rPr>
          <w:rFonts w:hint="eastAsia"/>
          <w:spacing w:val="2"/>
        </w:rPr>
        <w:t>40.</w:t>
      </w:r>
      <w:r w:rsidRPr="00670122">
        <w:rPr>
          <w:rFonts w:hint="eastAsia"/>
          <w:spacing w:val="2"/>
        </w:rPr>
        <w:tab/>
        <w:t>委员会关注的是农村地区妇女不安定的局势，她们占缔约国妇女的大多数，但是却在缺乏适当的保健服务、教育、土地所有权和继承权、经济机会和社会福利等方面受到不相称的影响。委员会再次表示以前对农村妇女根据《公约》获得诉诸法律机会和行使其权利的关注。它</w:t>
      </w:r>
      <w:r w:rsidR="00BB4FB7" w:rsidRPr="00670122">
        <w:rPr>
          <w:rFonts w:hint="eastAsia"/>
          <w:spacing w:val="2"/>
        </w:rPr>
        <w:t>还</w:t>
      </w:r>
      <w:r w:rsidRPr="00670122">
        <w:rPr>
          <w:rFonts w:hint="eastAsia"/>
          <w:spacing w:val="2"/>
        </w:rPr>
        <w:t xml:space="preserve">特别关注的是，农村地区侵犯妇女和女童的人权和消极影响其平等和进步的有害传统习俗流行和传统习惯持续存在。 </w:t>
      </w:r>
    </w:p>
    <w:p w:rsidR="00697FD7" w:rsidRDefault="00697FD7" w:rsidP="00697FD7">
      <w:pPr>
        <w:pStyle w:val="SingleTxt"/>
        <w:rPr>
          <w:rFonts w:hint="eastAsia"/>
        </w:rPr>
      </w:pPr>
      <w:r>
        <w:rPr>
          <w:rFonts w:hint="eastAsia"/>
        </w:rPr>
        <w:t>41.</w:t>
      </w:r>
      <w:r>
        <w:rPr>
          <w:rFonts w:hint="eastAsia"/>
        </w:rPr>
        <w:tab/>
      </w:r>
      <w:r w:rsidRPr="00B83EDD">
        <w:rPr>
          <w:rFonts w:ascii="SimHei" w:eastAsia="SimHei" w:hint="eastAsia"/>
        </w:rPr>
        <w:t>委员会敦促缔约国采取适当措施，以消除对农村妇女各种形式的歧视和消除有害传统习俗以及为其辩护和使其长存的传统习惯。委员会重申其建议，即缔约国应特别注意农村妇女的需要，确保她们参与决策过程，包括社区的决策过程和发展规划，并在与男子和城市妇女平等和公平的基础上，均等地获得基本服务、基础设施和经济机会，包括创收项目和信贷服务。委员会敦促缔约国消除农村妇女在获得诉诸法律机会方面可能面临的各种障碍</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家庭关系 </w:t>
      </w:r>
    </w:p>
    <w:p w:rsidR="00697FD7" w:rsidRPr="00670122" w:rsidRDefault="00697FD7" w:rsidP="00697FD7">
      <w:pPr>
        <w:pStyle w:val="SingleTxt"/>
        <w:rPr>
          <w:rFonts w:hint="eastAsia"/>
          <w:spacing w:val="2"/>
        </w:rPr>
      </w:pPr>
      <w:r w:rsidRPr="00670122">
        <w:rPr>
          <w:rFonts w:hint="eastAsia"/>
          <w:spacing w:val="2"/>
        </w:rPr>
        <w:t>42.</w:t>
      </w:r>
      <w:r w:rsidRPr="00670122">
        <w:rPr>
          <w:rFonts w:hint="eastAsia"/>
          <w:spacing w:val="2"/>
        </w:rPr>
        <w:tab/>
        <w:t xml:space="preserve">委员会关注的是，缔约国存在多种婚姻制度和在管理婚姻和家庭关系的法律中长期存在歧视性条款。它特别关注的是，习惯法允许一夫多妻制。委员会重申其关注，最低结婚年龄不明确就是允许童婚。委员会还关切的是，高级法院对离婚法的解释没有考虑到妇女的非财政贡献，从而造成离婚中的财产分配不平等。委员会关注的是，尽管把霸占财产定为犯罪行为，但是这种做法可能会继续下去。 </w:t>
      </w:r>
    </w:p>
    <w:p w:rsidR="00697FD7" w:rsidRDefault="00697FD7" w:rsidP="00697FD7">
      <w:pPr>
        <w:pStyle w:val="SingleTxt"/>
        <w:rPr>
          <w:rFonts w:hint="eastAsia"/>
        </w:rPr>
      </w:pPr>
      <w:r>
        <w:rPr>
          <w:rFonts w:hint="eastAsia"/>
        </w:rPr>
        <w:t>43.</w:t>
      </w:r>
      <w:r>
        <w:rPr>
          <w:rFonts w:hint="eastAsia"/>
        </w:rPr>
        <w:tab/>
      </w:r>
      <w:r w:rsidRPr="00B83EDD">
        <w:rPr>
          <w:rFonts w:ascii="SimHei" w:eastAsia="SimHei" w:hint="eastAsia"/>
        </w:rPr>
        <w:t>委员会敦促缔约国确保《婚姻、离婚和家庭关系法案》符合《公约》第15条和第16条的规定并加快通过该法案，使其成为法律。委员会呼吁缔约国按照委员会第21号一般性建议的要求，执行旨在消除一夫多妻制的措施以及把最低结婚年龄定在18岁。委员会还敦促缔约国采取措施，确保根据《公约》第16条的规定，离婚双方平等和公平地分配财产。委员会还敦促缔约国执行关于霸占财产</w:t>
      </w:r>
      <w:r w:rsidR="00BB4FB7">
        <w:rPr>
          <w:rFonts w:ascii="SimHei" w:eastAsia="SimHei" w:hint="eastAsia"/>
        </w:rPr>
        <w:t>属于犯罪</w:t>
      </w:r>
      <w:r w:rsidRPr="00B83EDD">
        <w:rPr>
          <w:rFonts w:ascii="SimHei" w:eastAsia="SimHei" w:hint="eastAsia"/>
        </w:rPr>
        <w:t>的立法</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数据收集和分析 </w:t>
      </w:r>
    </w:p>
    <w:p w:rsidR="00697FD7" w:rsidRDefault="00697FD7" w:rsidP="00697FD7">
      <w:pPr>
        <w:pStyle w:val="SingleTxt"/>
        <w:rPr>
          <w:rFonts w:hint="eastAsia"/>
        </w:rPr>
      </w:pPr>
      <w:r>
        <w:rPr>
          <w:rFonts w:hint="eastAsia"/>
        </w:rPr>
        <w:t>44.</w:t>
      </w:r>
      <w:r>
        <w:rPr>
          <w:rFonts w:hint="eastAsia"/>
        </w:rPr>
        <w:tab/>
        <w:t xml:space="preserve">委员会注意到最近为改善按性别分列数据的收集所作的种种努力，但委员会关注的是，在《公约》所涉若干领域缺乏按性别分列的数据或数据有限。制订目标明确的决策、系统地监测和评估妇女事实上平等取得的进展以及在《公约》所涉各个领域准确地评估随着时间推移妇女的状况和趋势，都需要这些数据。 </w:t>
      </w:r>
    </w:p>
    <w:p w:rsidR="00697FD7" w:rsidRDefault="00697FD7" w:rsidP="00697FD7">
      <w:pPr>
        <w:pStyle w:val="SingleTxt"/>
        <w:rPr>
          <w:rFonts w:hint="eastAsia"/>
        </w:rPr>
      </w:pPr>
      <w:r>
        <w:rPr>
          <w:rFonts w:hint="eastAsia"/>
        </w:rPr>
        <w:t>45.</w:t>
      </w:r>
      <w:r>
        <w:rPr>
          <w:rFonts w:hint="eastAsia"/>
        </w:rPr>
        <w:tab/>
      </w:r>
      <w:r w:rsidRPr="00B83EDD">
        <w:rPr>
          <w:rFonts w:ascii="SimHei" w:eastAsia="SimHei" w:hint="eastAsia"/>
        </w:rPr>
        <w:t>委员会呼吁缔约国优先和系统地收集按性别分列的综合数据、评估妇女状况趋势的可衡量指标以及妇女事实上平等取得的进展情况，并要求其注意这方面的</w:t>
      </w:r>
      <w:r w:rsidR="00BB4FB7">
        <w:rPr>
          <w:rFonts w:ascii="SimHei" w:eastAsia="SimHei" w:hint="eastAsia"/>
        </w:rPr>
        <w:t>委员会</w:t>
      </w:r>
      <w:r w:rsidRPr="00B83EDD">
        <w:rPr>
          <w:rFonts w:ascii="SimHei" w:eastAsia="SimHei" w:hint="eastAsia"/>
        </w:rPr>
        <w:t>第9号一般性建议。委员会请缔约国在必要时，寻求发展这些数据收集和分析工作的国际援助，并确保按照数据用户的需要开展这些工作。委员会要求，在下次定期报告中列入按性别和城乡地区分列的统计数据和分析，说明各项措施的影响和取得的成果</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 xml:space="preserve">《北京宣言》和《行动纲要》 </w:t>
      </w:r>
    </w:p>
    <w:p w:rsidR="00697FD7" w:rsidRDefault="00697FD7" w:rsidP="00697FD7">
      <w:pPr>
        <w:pStyle w:val="SingleTxt"/>
        <w:rPr>
          <w:rFonts w:hint="eastAsia"/>
        </w:rPr>
      </w:pPr>
      <w:r>
        <w:rPr>
          <w:rFonts w:hint="eastAsia"/>
        </w:rPr>
        <w:t>46.</w:t>
      </w:r>
      <w:r>
        <w:rPr>
          <w:rFonts w:hint="eastAsia"/>
        </w:rPr>
        <w:tab/>
      </w:r>
      <w:r w:rsidRPr="00B83EDD">
        <w:rPr>
          <w:rFonts w:ascii="SimHei" w:eastAsia="SimHei" w:hint="eastAsia"/>
        </w:rPr>
        <w:t>委员会敦促缔约国在履行《公约》规定的义务时，充分利用强化了本《公约》有关规定的《北京宣言》和《行动纲要》，并请缔约国在下次定期报告中列入有关信息</w:t>
      </w:r>
      <w:r>
        <w:rPr>
          <w:rFonts w:hint="eastAsia"/>
        </w:rPr>
        <w:t>。</w:t>
      </w:r>
    </w:p>
    <w:p w:rsidR="00697FD7" w:rsidRPr="00B83EDD" w:rsidRDefault="00697FD7" w:rsidP="00697FD7">
      <w:pPr>
        <w:pStyle w:val="SingleTxt"/>
        <w:rPr>
          <w:rFonts w:ascii="SimHei" w:eastAsia="SimHei" w:hint="eastAsia"/>
        </w:rPr>
      </w:pPr>
      <w:r w:rsidRPr="00B83EDD">
        <w:rPr>
          <w:rFonts w:ascii="SimHei" w:eastAsia="SimHei" w:hint="eastAsia"/>
        </w:rPr>
        <w:t xml:space="preserve">千年发展目标 </w:t>
      </w:r>
    </w:p>
    <w:p w:rsidR="00697FD7" w:rsidRDefault="00697FD7" w:rsidP="00697FD7">
      <w:pPr>
        <w:pStyle w:val="SingleTxt"/>
        <w:rPr>
          <w:rFonts w:hint="eastAsia"/>
        </w:rPr>
      </w:pPr>
      <w:r>
        <w:rPr>
          <w:rFonts w:hint="eastAsia"/>
        </w:rPr>
        <w:t>47.</w:t>
      </w:r>
      <w:r>
        <w:rPr>
          <w:rFonts w:hint="eastAsia"/>
        </w:rPr>
        <w:tab/>
      </w:r>
      <w:r w:rsidRPr="00B83EDD">
        <w:rPr>
          <w:rFonts w:ascii="SimHei" w:eastAsia="SimHei" w:hint="eastAsia"/>
        </w:rPr>
        <w:t>委员会强调，充分和有效地执行《公约》是实现千年发展目标不可或缺的一个方面。它要求在实现千年发展目标的一切努力中纳入两性平等观点和明确体现《公约》的各项规定，并请缔约国在下次定期报告中列入有关信息</w:t>
      </w:r>
      <w:r>
        <w:rPr>
          <w:rFonts w:hint="eastAsia"/>
        </w:rPr>
        <w:t xml:space="preserve">。 </w:t>
      </w:r>
    </w:p>
    <w:p w:rsidR="00697FD7" w:rsidRPr="00B83EDD" w:rsidRDefault="00697FD7" w:rsidP="00697FD7">
      <w:pPr>
        <w:pStyle w:val="SingleTxt"/>
        <w:rPr>
          <w:rFonts w:ascii="SimHei" w:eastAsia="SimHei" w:hint="eastAsia"/>
        </w:rPr>
      </w:pPr>
      <w:r w:rsidRPr="00B83EDD">
        <w:rPr>
          <w:rFonts w:ascii="SimHei" w:eastAsia="SimHei" w:hint="eastAsia"/>
        </w:rPr>
        <w:t>批准其他条约</w:t>
      </w:r>
    </w:p>
    <w:p w:rsidR="00697FD7" w:rsidRDefault="00697FD7" w:rsidP="00697FD7">
      <w:pPr>
        <w:pStyle w:val="SingleTxt"/>
        <w:rPr>
          <w:rFonts w:hint="eastAsia"/>
        </w:rPr>
      </w:pPr>
      <w:r>
        <w:rPr>
          <w:rFonts w:hint="eastAsia"/>
        </w:rPr>
        <w:t>48.</w:t>
      </w:r>
      <w:r w:rsidR="00BB4FB7">
        <w:rPr>
          <w:rFonts w:hint="eastAsia"/>
        </w:rPr>
        <w:tab/>
      </w:r>
      <w:r w:rsidRPr="000F2614">
        <w:rPr>
          <w:rFonts w:ascii="SimHei" w:eastAsia="SimHei" w:hint="eastAsia"/>
        </w:rPr>
        <w:t>委员会注意到，各国遵守九项主要的国际人权文书</w:t>
      </w:r>
      <w:r w:rsidRPr="00BB4FB7">
        <w:rPr>
          <w:rStyle w:val="FootnoteReference"/>
          <w:rFonts w:ascii="SimHei" w:eastAsia="SimHei"/>
        </w:rPr>
        <w:footnoteReference w:id="1"/>
      </w:r>
      <w:r w:rsidRPr="000F2614">
        <w:rPr>
          <w:rFonts w:ascii="SimHei" w:eastAsia="SimHei" w:hint="eastAsia"/>
        </w:rPr>
        <w:t xml:space="preserve"> 扩大了妇女在生活各个方面享有人权和基本自由的范围。因此，委员会鼓励缔约国批准它尚未加入的条约，即《保护所有移徙工人及其家庭成员权利国际公约》和《保护所有人免遭强迫失踪国际公约》。</w:t>
      </w:r>
      <w:r>
        <w:rPr>
          <w:rFonts w:hint="eastAsia"/>
        </w:rPr>
        <w:t xml:space="preserve"> </w:t>
      </w:r>
    </w:p>
    <w:p w:rsidR="00697FD7" w:rsidRPr="000F2614" w:rsidRDefault="00697FD7" w:rsidP="00697FD7">
      <w:pPr>
        <w:pStyle w:val="SingleTxt"/>
        <w:rPr>
          <w:rFonts w:ascii="SimHei" w:eastAsia="SimHei" w:hint="eastAsia"/>
        </w:rPr>
      </w:pPr>
      <w:r w:rsidRPr="000F2614">
        <w:rPr>
          <w:rFonts w:ascii="SimHei" w:eastAsia="SimHei" w:hint="eastAsia"/>
        </w:rPr>
        <w:t xml:space="preserve">分发结论性意见 </w:t>
      </w:r>
    </w:p>
    <w:p w:rsidR="00697FD7" w:rsidRDefault="00697FD7" w:rsidP="00697FD7">
      <w:pPr>
        <w:pStyle w:val="SingleTxt"/>
        <w:rPr>
          <w:rFonts w:hint="eastAsia"/>
        </w:rPr>
      </w:pPr>
      <w:r>
        <w:rPr>
          <w:rFonts w:hint="eastAsia"/>
        </w:rPr>
        <w:t>49.</w:t>
      </w:r>
      <w:r>
        <w:rPr>
          <w:rFonts w:hint="eastAsia"/>
        </w:rPr>
        <w:tab/>
      </w:r>
      <w:r w:rsidRPr="000F2614">
        <w:rPr>
          <w:rFonts w:ascii="SimHei" w:eastAsia="SimHei" w:hint="eastAsia"/>
        </w:rPr>
        <w:t>委员会要求在马拉维广为散发本结论性意见，以便使人民，包括政府官员、政治家、议员、妇女组织和人权组织了解已经采取的措施，确保妇女法律上和事实上的平等以及在这方面需要采取的进一步步骤。它要求缔约国特别是对妇女组织和人权组织继续加强宣传《公约》、《公约任择议定书》、委员会一般性建议、《北京宣言》、《行动纲要》和题为“2000年妇女：二十一世纪两性平等、发展与和平”的大会第二十三届特别会议成果。</w:t>
      </w:r>
      <w:r>
        <w:rPr>
          <w:rFonts w:hint="eastAsia"/>
        </w:rPr>
        <w:t xml:space="preserve"> </w:t>
      </w:r>
    </w:p>
    <w:p w:rsidR="00697FD7" w:rsidRPr="000F2614" w:rsidRDefault="00697FD7" w:rsidP="00697FD7">
      <w:pPr>
        <w:pStyle w:val="SingleTxt"/>
        <w:rPr>
          <w:rFonts w:ascii="SimHei" w:eastAsia="SimHei" w:hint="eastAsia"/>
        </w:rPr>
      </w:pPr>
      <w:r w:rsidRPr="000F2614">
        <w:rPr>
          <w:rFonts w:ascii="SimHei" w:eastAsia="SimHei" w:hint="eastAsia"/>
        </w:rPr>
        <w:t xml:space="preserve">《公约任择议定书》 </w:t>
      </w:r>
    </w:p>
    <w:p w:rsidR="00697FD7" w:rsidRDefault="00697FD7" w:rsidP="00697FD7">
      <w:pPr>
        <w:pStyle w:val="SingleTxt"/>
        <w:rPr>
          <w:rFonts w:hint="eastAsia"/>
        </w:rPr>
      </w:pPr>
      <w:r>
        <w:rPr>
          <w:rFonts w:hint="eastAsia"/>
        </w:rPr>
        <w:t>50.</w:t>
      </w:r>
      <w:r>
        <w:rPr>
          <w:rFonts w:hint="eastAsia"/>
        </w:rPr>
        <w:tab/>
      </w:r>
      <w:r w:rsidRPr="000F2614">
        <w:rPr>
          <w:rFonts w:ascii="SimHei" w:eastAsia="SimHei" w:hint="eastAsia"/>
        </w:rPr>
        <w:t>委员会鼓励缔约国批准2000年签署的《公约任择议定书》</w:t>
      </w:r>
      <w:r>
        <w:rPr>
          <w:rFonts w:hint="eastAsia"/>
        </w:rPr>
        <w:t xml:space="preserve">。 </w:t>
      </w:r>
    </w:p>
    <w:p w:rsidR="00697FD7" w:rsidRPr="000F2614" w:rsidRDefault="00697FD7" w:rsidP="00697FD7">
      <w:pPr>
        <w:pStyle w:val="SingleTxt"/>
        <w:rPr>
          <w:rFonts w:ascii="SimHei" w:eastAsia="SimHei" w:hint="eastAsia"/>
        </w:rPr>
      </w:pPr>
      <w:r w:rsidRPr="000F2614">
        <w:rPr>
          <w:rFonts w:ascii="SimHei" w:eastAsia="SimHei" w:hint="eastAsia"/>
        </w:rPr>
        <w:t>第20条第1款</w:t>
      </w:r>
    </w:p>
    <w:p w:rsidR="00697FD7" w:rsidRDefault="00697FD7" w:rsidP="00697FD7">
      <w:pPr>
        <w:pStyle w:val="SingleTxt"/>
      </w:pPr>
      <w:r>
        <w:rPr>
          <w:rFonts w:hint="eastAsia"/>
        </w:rPr>
        <w:t>51.</w:t>
      </w:r>
      <w:r>
        <w:rPr>
          <w:rFonts w:hint="eastAsia"/>
        </w:rPr>
        <w:tab/>
      </w:r>
      <w:r w:rsidRPr="000F2614">
        <w:rPr>
          <w:rFonts w:ascii="SimHei" w:eastAsia="SimHei" w:hint="eastAsia"/>
        </w:rPr>
        <w:t>委员会鼓励缔约国尽快接受《公约》关于委员会会议时间的第20条第1款的修正案</w:t>
      </w:r>
      <w:r>
        <w:rPr>
          <w:rFonts w:hint="eastAsia"/>
        </w:rPr>
        <w:t xml:space="preserve">。 </w:t>
      </w:r>
    </w:p>
    <w:p w:rsidR="00697FD7" w:rsidRPr="000F2614" w:rsidRDefault="00697FD7" w:rsidP="00697FD7">
      <w:pPr>
        <w:pStyle w:val="SingleTxt"/>
        <w:rPr>
          <w:rFonts w:ascii="SimHei" w:eastAsia="SimHei" w:hint="eastAsia"/>
        </w:rPr>
      </w:pPr>
      <w:r w:rsidRPr="000F2614">
        <w:rPr>
          <w:rFonts w:ascii="SimHei" w:eastAsia="SimHei" w:hint="eastAsia"/>
        </w:rPr>
        <w:t>结论性意见的后续行动</w:t>
      </w:r>
    </w:p>
    <w:p w:rsidR="00697FD7" w:rsidRDefault="00697FD7" w:rsidP="00697FD7">
      <w:pPr>
        <w:pStyle w:val="SingleTxt"/>
        <w:rPr>
          <w:rFonts w:hint="eastAsia"/>
        </w:rPr>
      </w:pPr>
      <w:r>
        <w:rPr>
          <w:rFonts w:hint="eastAsia"/>
        </w:rPr>
        <w:t>52.</w:t>
      </w:r>
      <w:r>
        <w:rPr>
          <w:rFonts w:hint="eastAsia"/>
        </w:rPr>
        <w:tab/>
      </w:r>
      <w:r w:rsidRPr="000F2614">
        <w:rPr>
          <w:rFonts w:ascii="SimHei" w:eastAsia="SimHei" w:hint="eastAsia"/>
        </w:rPr>
        <w:t>委员会要求缔约国在两年内提供为执行上文第15段和第37段的建议所采取步骤的书面信息</w:t>
      </w:r>
      <w:r>
        <w:rPr>
          <w:rFonts w:hint="eastAsia"/>
        </w:rPr>
        <w:t xml:space="preserve">。 </w:t>
      </w:r>
    </w:p>
    <w:p w:rsidR="00697FD7" w:rsidRPr="000F2614" w:rsidRDefault="00697FD7" w:rsidP="00697FD7">
      <w:pPr>
        <w:pStyle w:val="SingleTxt"/>
        <w:rPr>
          <w:rFonts w:ascii="SimHei" w:eastAsia="SimHei" w:hint="eastAsia"/>
        </w:rPr>
      </w:pPr>
      <w:r w:rsidRPr="000F2614">
        <w:rPr>
          <w:rFonts w:ascii="SimHei" w:eastAsia="SimHei" w:hint="eastAsia"/>
        </w:rPr>
        <w:t xml:space="preserve">技术援助 </w:t>
      </w:r>
    </w:p>
    <w:p w:rsidR="00697FD7" w:rsidRDefault="00697FD7" w:rsidP="00697FD7">
      <w:pPr>
        <w:pStyle w:val="SingleTxt"/>
        <w:rPr>
          <w:rFonts w:hint="eastAsia"/>
        </w:rPr>
      </w:pPr>
      <w:r>
        <w:rPr>
          <w:rFonts w:hint="eastAsia"/>
        </w:rPr>
        <w:t>53.</w:t>
      </w:r>
      <w:r>
        <w:rPr>
          <w:rFonts w:hint="eastAsia"/>
        </w:rPr>
        <w:tab/>
      </w:r>
      <w:r w:rsidRPr="000F2614">
        <w:rPr>
          <w:rFonts w:ascii="SimHei" w:eastAsia="SimHei" w:hint="eastAsia"/>
        </w:rPr>
        <w:t>委员会建议缔约国加强与联合国系统各专门机构和方案的合作，其中包括联合国人口基金、联合国儿童基金会、联合国艾滋病毒/艾滋病联合规划署和联合国人权事务高级专员办事处</w:t>
      </w:r>
      <w:r>
        <w:rPr>
          <w:rFonts w:hint="eastAsia"/>
        </w:rPr>
        <w:t xml:space="preserve">。 </w:t>
      </w:r>
    </w:p>
    <w:p w:rsidR="00697FD7" w:rsidRPr="000F2614" w:rsidRDefault="00F01ACF" w:rsidP="00697FD7">
      <w:pPr>
        <w:pStyle w:val="SingleTxt"/>
        <w:rPr>
          <w:rFonts w:ascii="SimHei" w:eastAsia="SimHei" w:hint="eastAsia"/>
        </w:rPr>
      </w:pPr>
      <w:r>
        <w:rPr>
          <w:rFonts w:ascii="SimHei" w:eastAsia="SimHei" w:hint="eastAsia"/>
        </w:rPr>
        <w:t>下次报告</w:t>
      </w:r>
      <w:r w:rsidR="00697FD7" w:rsidRPr="000F2614">
        <w:rPr>
          <w:rFonts w:ascii="SimHei" w:eastAsia="SimHei" w:hint="eastAsia"/>
        </w:rPr>
        <w:t>日期</w:t>
      </w:r>
      <w:r>
        <w:rPr>
          <w:rFonts w:ascii="SimHei" w:eastAsia="SimHei" w:hint="eastAsia"/>
        </w:rPr>
        <w:t>和报告编写准则</w:t>
      </w:r>
      <w:r w:rsidR="00697FD7" w:rsidRPr="000F2614">
        <w:rPr>
          <w:rFonts w:ascii="SimHei" w:eastAsia="SimHei" w:hint="eastAsia"/>
        </w:rPr>
        <w:t xml:space="preserve"> </w:t>
      </w:r>
    </w:p>
    <w:p w:rsidR="00697FD7" w:rsidRDefault="00697FD7" w:rsidP="00697FD7">
      <w:pPr>
        <w:pStyle w:val="SingleTxt"/>
        <w:rPr>
          <w:rFonts w:hint="eastAsia"/>
        </w:rPr>
      </w:pPr>
      <w:r>
        <w:rPr>
          <w:rFonts w:hint="eastAsia"/>
        </w:rPr>
        <w:t>54.</w:t>
      </w:r>
      <w:r>
        <w:rPr>
          <w:rFonts w:hint="eastAsia"/>
        </w:rPr>
        <w:tab/>
      </w:r>
      <w:r w:rsidRPr="000F2614">
        <w:rPr>
          <w:rFonts w:ascii="SimHei" w:eastAsia="SimHei" w:hint="eastAsia"/>
        </w:rPr>
        <w:t>委员会要求缔约国在根据《公约》第18条提出的下次定期报告中答复本结论意见表示的关切问题。委员会请缔约国在2014年2月提交</w:t>
      </w:r>
      <w:r w:rsidR="00BB4FB7">
        <w:rPr>
          <w:rFonts w:ascii="SimHei" w:eastAsia="SimHei" w:hint="eastAsia"/>
        </w:rPr>
        <w:t>下份</w:t>
      </w:r>
      <w:r w:rsidRPr="000F2614">
        <w:rPr>
          <w:rFonts w:ascii="SimHei" w:eastAsia="SimHei" w:hint="eastAsia"/>
        </w:rPr>
        <w:t>定期报告</w:t>
      </w:r>
      <w:r>
        <w:rPr>
          <w:rFonts w:hint="eastAsia"/>
        </w:rPr>
        <w:t xml:space="preserve">。 </w:t>
      </w:r>
    </w:p>
    <w:p w:rsidR="00697FD7" w:rsidRDefault="00BB4FB7" w:rsidP="004A6DFD">
      <w:pPr>
        <w:pStyle w:val="SingleTxt"/>
        <w:rPr>
          <w:rFonts w:hint="eastAsia"/>
          <w:sz w:val="20"/>
        </w:rPr>
      </w:pPr>
      <w:r>
        <w:rPr>
          <w:sz w:val="20"/>
        </w:rPr>
        <w:t>55.</w:t>
      </w:r>
      <w:r>
        <w:rPr>
          <w:sz w:val="20"/>
        </w:rPr>
        <w:tab/>
      </w:r>
      <w:r>
        <w:rPr>
          <w:rFonts w:hint="eastAsia"/>
          <w:sz w:val="20"/>
        </w:rPr>
        <w:t>委员会请缔约国遵循2006年6</w:t>
      </w:r>
      <w:r w:rsidR="00F01ACF">
        <w:rPr>
          <w:rFonts w:hint="eastAsia"/>
          <w:sz w:val="20"/>
        </w:rPr>
        <w:t>月人权条约机构第五次委员会间会议核可的</w:t>
      </w:r>
      <w:r>
        <w:rPr>
          <w:rFonts w:hint="eastAsia"/>
          <w:sz w:val="20"/>
        </w:rPr>
        <w:t>根据国际人权条约提交报告的协调准则，</w:t>
      </w:r>
      <w:r w:rsidRPr="00277CAF">
        <w:rPr>
          <w:rFonts w:hint="eastAsia"/>
          <w:sz w:val="20"/>
        </w:rPr>
        <w:t>包括</w:t>
      </w:r>
      <w:r>
        <w:rPr>
          <w:rFonts w:hint="eastAsia"/>
          <w:sz w:val="20"/>
        </w:rPr>
        <w:t>编写核心文件</w:t>
      </w:r>
      <w:r w:rsidR="004A6DFD">
        <w:rPr>
          <w:rFonts w:hint="eastAsia"/>
          <w:sz w:val="20"/>
        </w:rPr>
        <w:t>、提交具体</w:t>
      </w:r>
      <w:r w:rsidR="00942C93" w:rsidRPr="00942C93">
        <w:rPr>
          <w:rFonts w:hint="eastAsia"/>
          <w:sz w:val="20"/>
        </w:rPr>
        <w:t>条</w:t>
      </w:r>
      <w:r w:rsidR="004A6DFD">
        <w:rPr>
          <w:rFonts w:hint="eastAsia"/>
          <w:sz w:val="20"/>
        </w:rPr>
        <w:t>约报告的准则(</w:t>
      </w:r>
      <w:r w:rsidR="004A6DFD">
        <w:rPr>
          <w:sz w:val="20"/>
        </w:rPr>
        <w:t>HRI/MC/2006/3</w:t>
      </w:r>
      <w:r w:rsidR="00F01ACF">
        <w:rPr>
          <w:rFonts w:hint="eastAsia"/>
          <w:sz w:val="20"/>
        </w:rPr>
        <w:t>和C</w:t>
      </w:r>
      <w:r w:rsidR="00F01ACF">
        <w:rPr>
          <w:sz w:val="20"/>
        </w:rPr>
        <w:t>orr.1</w:t>
      </w:r>
      <w:r w:rsidR="004A6DFD">
        <w:rPr>
          <w:sz w:val="20"/>
        </w:rPr>
        <w:t>)。</w:t>
      </w:r>
      <w:r w:rsidR="004A6DFD">
        <w:rPr>
          <w:rFonts w:hint="eastAsia"/>
          <w:sz w:val="20"/>
        </w:rPr>
        <w:t>2008年1月委员会第四十届会议通过的提交具体</w:t>
      </w:r>
      <w:r w:rsidR="00942C93">
        <w:rPr>
          <w:rFonts w:hint="eastAsia"/>
          <w:sz w:val="20"/>
        </w:rPr>
        <w:t>条</w:t>
      </w:r>
      <w:r w:rsidR="004A6DFD">
        <w:rPr>
          <w:rFonts w:hint="eastAsia"/>
          <w:sz w:val="20"/>
        </w:rPr>
        <w:t>约报告的准则，必须结合编写共同核心文件的协调报告准则一起应用。它们共同构成了根据《消除对妇女一切形式歧视公约》提交报告的协调准则。具体条约报告应限于40页，而最新的共同核心文件不应超过60-</w:t>
      </w:r>
      <w:r w:rsidR="004A6DFD">
        <w:rPr>
          <w:sz w:val="20"/>
        </w:rPr>
        <w:t>80</w:t>
      </w:r>
      <w:r w:rsidR="004A6DFD">
        <w:rPr>
          <w:rFonts w:hint="eastAsia"/>
          <w:sz w:val="20"/>
        </w:rPr>
        <w:t>页。</w:t>
      </w:r>
    </w:p>
    <w:p w:rsidR="004A6DFD" w:rsidRPr="004A6DFD" w:rsidRDefault="004A6DFD" w:rsidP="004A6DFD">
      <w:pPr>
        <w:pStyle w:val="SingleTxt"/>
        <w:spacing w:after="0" w:line="240" w:lineRule="auto"/>
        <w:rPr>
          <w:rFonts w:hint="eastAsia"/>
          <w:sz w:val="20"/>
        </w:rPr>
      </w:pPr>
      <w:r>
        <w:rPr>
          <w:rFonts w:hint="eastAsia"/>
          <w:noProof/>
          <w:sz w:val="20"/>
        </w:rPr>
        <w:pict>
          <v:line id="_x0000_s1027" style="position:absolute;left:0;text-align:left;z-index:1;mso-position-horizontal:center" from="0,30pt" to="1in,30pt" strokeweight=".25pt"/>
        </w:pict>
      </w:r>
    </w:p>
    <w:p w:rsidR="00697FD7" w:rsidRDefault="00697FD7" w:rsidP="00697FD7">
      <w:pPr>
        <w:pStyle w:val="SingleTxt"/>
        <w:rPr>
          <w:rFonts w:hint="eastAsia"/>
        </w:rPr>
      </w:pPr>
    </w:p>
    <w:p w:rsidR="00697FD7" w:rsidRPr="00F5180C" w:rsidRDefault="00697FD7" w:rsidP="00697FD7">
      <w:pPr>
        <w:pStyle w:val="SingleTxt"/>
      </w:pPr>
    </w:p>
    <w:p w:rsidR="00EA31C3" w:rsidRPr="007A53FC" w:rsidRDefault="00EA31C3" w:rsidP="007A53FC">
      <w:pPr>
        <w:pStyle w:val="SingleTxt"/>
        <w:rPr>
          <w:rFonts w:hint="eastAsia"/>
        </w:rPr>
      </w:pPr>
    </w:p>
    <w:sectPr w:rsidR="00EA31C3" w:rsidRPr="007A53FC" w:rsidSect="007A53F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18T11:02:00Z" w:initials="Start">
    <w:p w:rsidR="00C7080B" w:rsidRDefault="00C7080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NO&gt;&gt;N1024243C&lt;&lt;ODS JOB NO&gt;&gt;</w:t>
      </w:r>
    </w:p>
    <w:p w:rsidR="00C7080B" w:rsidRDefault="00C7080B">
      <w:pPr>
        <w:pStyle w:val="CommentText"/>
      </w:pPr>
      <w:r>
        <w:t>&lt;&lt;ODS DOC SYMBOL1&gt;&gt;CEDAW/C/MWI/CO/6&lt;&lt;ODS DOC SYMBOL1&gt;&gt;</w:t>
      </w:r>
    </w:p>
    <w:p w:rsidR="00C7080B" w:rsidRDefault="00C708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294" w:rsidRDefault="008B0294">
      <w:r>
        <w:separator/>
      </w:r>
    </w:p>
  </w:endnote>
  <w:endnote w:type="continuationSeparator" w:id="0">
    <w:p w:rsidR="008B0294" w:rsidRDefault="008B0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080B" w:rsidTr="007A53FC">
      <w:tblPrEx>
        <w:tblCellMar>
          <w:top w:w="0" w:type="dxa"/>
          <w:bottom w:w="0" w:type="dxa"/>
        </w:tblCellMar>
      </w:tblPrEx>
      <w:tc>
        <w:tcPr>
          <w:tcW w:w="5033" w:type="dxa"/>
          <w:shd w:val="clear" w:color="auto" w:fill="auto"/>
        </w:tcPr>
        <w:p w:rsidR="00C7080B" w:rsidRPr="007A53FC" w:rsidRDefault="00C7080B" w:rsidP="007A53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B68">
            <w:rPr>
              <w:b w:val="0"/>
              <w:w w:val="103"/>
              <w:sz w:val="14"/>
            </w:rPr>
            <w:t>10-24243 (C)</w:t>
          </w:r>
          <w:r>
            <w:rPr>
              <w:b w:val="0"/>
              <w:w w:val="103"/>
              <w:sz w:val="14"/>
            </w:rPr>
            <w:fldChar w:fldCharType="end"/>
          </w:r>
        </w:p>
      </w:tc>
      <w:tc>
        <w:tcPr>
          <w:tcW w:w="5033" w:type="dxa"/>
          <w:shd w:val="clear" w:color="auto" w:fill="auto"/>
        </w:tcPr>
        <w:p w:rsidR="00C7080B" w:rsidRPr="007A53FC" w:rsidRDefault="00C7080B" w:rsidP="007A53FC">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C7080B" w:rsidRPr="007A53FC" w:rsidRDefault="00C7080B" w:rsidP="007A53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080B" w:rsidTr="007A53FC">
      <w:tblPrEx>
        <w:tblCellMar>
          <w:top w:w="0" w:type="dxa"/>
          <w:bottom w:w="0" w:type="dxa"/>
        </w:tblCellMar>
      </w:tblPrEx>
      <w:tc>
        <w:tcPr>
          <w:tcW w:w="5033" w:type="dxa"/>
          <w:shd w:val="clear" w:color="auto" w:fill="auto"/>
        </w:tcPr>
        <w:p w:rsidR="00C7080B" w:rsidRPr="007A53FC" w:rsidRDefault="00C7080B" w:rsidP="007A53FC">
          <w:pPr>
            <w:pStyle w:val="Footer"/>
            <w:jc w:val="right"/>
          </w:pPr>
          <w:r>
            <w:fldChar w:fldCharType="begin"/>
          </w:r>
          <w:r>
            <w:instrText xml:space="preserve"> PAGE  \* MERGEFORMAT </w:instrText>
          </w:r>
          <w:r>
            <w:fldChar w:fldCharType="separate"/>
          </w:r>
          <w:r>
            <w:t>2</w:t>
          </w:r>
          <w:r>
            <w:fldChar w:fldCharType="end"/>
          </w:r>
        </w:p>
      </w:tc>
      <w:tc>
        <w:tcPr>
          <w:tcW w:w="5033" w:type="dxa"/>
          <w:shd w:val="clear" w:color="auto" w:fill="auto"/>
        </w:tcPr>
        <w:p w:rsidR="00C7080B" w:rsidRPr="007A53FC" w:rsidRDefault="00C7080B" w:rsidP="007A53F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B68">
            <w:rPr>
              <w:b w:val="0"/>
              <w:w w:val="103"/>
              <w:sz w:val="14"/>
            </w:rPr>
            <w:t>10-24243 (C)</w:t>
          </w:r>
          <w:r>
            <w:rPr>
              <w:b w:val="0"/>
              <w:w w:val="103"/>
              <w:sz w:val="14"/>
            </w:rPr>
            <w:fldChar w:fldCharType="end"/>
          </w:r>
        </w:p>
      </w:tc>
    </w:tr>
  </w:tbl>
  <w:p w:rsidR="00C7080B" w:rsidRPr="007A53FC" w:rsidRDefault="00C7080B" w:rsidP="007A53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080B">
      <w:tblPrEx>
        <w:tblCellMar>
          <w:top w:w="0" w:type="dxa"/>
          <w:bottom w:w="0" w:type="dxa"/>
        </w:tblCellMar>
      </w:tblPrEx>
      <w:tc>
        <w:tcPr>
          <w:tcW w:w="5033" w:type="dxa"/>
        </w:tcPr>
        <w:p w:rsidR="00C7080B" w:rsidRDefault="00C7080B" w:rsidP="007A53F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F4B68">
            <w:rPr>
              <w:b w:val="0"/>
              <w:sz w:val="21"/>
            </w:rPr>
            <w:t>10-24243 (C)</w:t>
          </w:r>
          <w:r>
            <w:rPr>
              <w:b w:val="0"/>
              <w:sz w:val="21"/>
            </w:rPr>
            <w:fldChar w:fldCharType="end"/>
          </w:r>
          <w:r>
            <w:rPr>
              <w:b w:val="0"/>
              <w:sz w:val="21"/>
            </w:rPr>
            <w:t xml:space="preserve">    170210    </w:t>
          </w:r>
          <w:r w:rsidR="005F4B68">
            <w:rPr>
              <w:rFonts w:hint="eastAsia"/>
              <w:b w:val="0"/>
              <w:sz w:val="21"/>
            </w:rPr>
            <w:t>25</w:t>
          </w:r>
          <w:r>
            <w:rPr>
              <w:b w:val="0"/>
              <w:sz w:val="21"/>
            </w:rPr>
            <w:t>0210</w:t>
          </w:r>
        </w:p>
        <w:p w:rsidR="00C7080B" w:rsidRPr="007A53FC" w:rsidRDefault="00C7080B" w:rsidP="007A53F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5F4B68">
            <w:rPr>
              <w:rFonts w:ascii="Barcode 3 of 9 by request" w:hAnsi="Barcode 3 of 9 by request"/>
              <w:sz w:val="24"/>
            </w:rPr>
            <w:t>*1024243*</w:t>
          </w:r>
          <w:r>
            <w:rPr>
              <w:rFonts w:ascii="Barcode 3 of 9 by request" w:hAnsi="Barcode 3 of 9 by request" w:hint="eastAsia"/>
              <w:sz w:val="24"/>
            </w:rPr>
            <w:fldChar w:fldCharType="end"/>
          </w:r>
        </w:p>
      </w:tc>
      <w:tc>
        <w:tcPr>
          <w:tcW w:w="5033" w:type="dxa"/>
        </w:tcPr>
        <w:p w:rsidR="00C7080B" w:rsidRDefault="00C7080B" w:rsidP="007A53FC">
          <w:pPr>
            <w:pStyle w:val="Footer"/>
            <w:jc w:val="right"/>
            <w:rPr>
              <w:b w:val="0"/>
              <w:sz w:val="21"/>
            </w:rPr>
          </w:pPr>
          <w:r w:rsidRPr="007A53F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7080B" w:rsidRPr="007A53FC" w:rsidRDefault="00C7080B" w:rsidP="007A53FC">
    <w:pPr>
      <w:pStyle w:val="Footer"/>
      <w:spacing w:line="56" w:lineRule="auto"/>
      <w:jc w:val="left"/>
      <w:rPr>
        <w:b w:val="0"/>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080B" w:rsidTr="00697FD7">
      <w:tblPrEx>
        <w:tblCellMar>
          <w:top w:w="0" w:type="dxa"/>
          <w:bottom w:w="0" w:type="dxa"/>
        </w:tblCellMar>
      </w:tblPrEx>
      <w:tc>
        <w:tcPr>
          <w:tcW w:w="5033" w:type="dxa"/>
          <w:shd w:val="clear" w:color="auto" w:fill="auto"/>
        </w:tcPr>
        <w:p w:rsidR="00C7080B" w:rsidRPr="00F5180C" w:rsidRDefault="00C7080B" w:rsidP="00697F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B68">
            <w:rPr>
              <w:b w:val="0"/>
              <w:w w:val="103"/>
              <w:sz w:val="14"/>
            </w:rPr>
            <w:t>10-24243 (C)</w:t>
          </w:r>
          <w:r>
            <w:rPr>
              <w:b w:val="0"/>
              <w:w w:val="103"/>
              <w:sz w:val="14"/>
            </w:rPr>
            <w:fldChar w:fldCharType="end"/>
          </w:r>
        </w:p>
      </w:tc>
      <w:tc>
        <w:tcPr>
          <w:tcW w:w="5033" w:type="dxa"/>
          <w:shd w:val="clear" w:color="auto" w:fill="auto"/>
        </w:tcPr>
        <w:p w:rsidR="00C7080B" w:rsidRPr="00F5180C" w:rsidRDefault="00C7080B" w:rsidP="00697FD7">
          <w:pPr>
            <w:pStyle w:val="Footer"/>
            <w:jc w:val="left"/>
            <w:rPr>
              <w:w w:val="103"/>
            </w:rPr>
          </w:pPr>
          <w:r>
            <w:rPr>
              <w:w w:val="103"/>
            </w:rPr>
            <w:fldChar w:fldCharType="begin"/>
          </w:r>
          <w:r>
            <w:rPr>
              <w:w w:val="103"/>
            </w:rPr>
            <w:instrText xml:space="preserve"> PAGE  \* MERGEFORMAT </w:instrText>
          </w:r>
          <w:r>
            <w:rPr>
              <w:w w:val="103"/>
            </w:rPr>
            <w:fldChar w:fldCharType="separate"/>
          </w:r>
          <w:r w:rsidR="005F4B68">
            <w:rPr>
              <w:w w:val="103"/>
            </w:rPr>
            <w:t>8</w:t>
          </w:r>
          <w:r>
            <w:rPr>
              <w:w w:val="103"/>
            </w:rPr>
            <w:fldChar w:fldCharType="end"/>
          </w:r>
        </w:p>
      </w:tc>
    </w:tr>
  </w:tbl>
  <w:p w:rsidR="00C7080B" w:rsidRPr="00F5180C" w:rsidRDefault="00C7080B" w:rsidP="00697FD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080B" w:rsidTr="00697FD7">
      <w:tblPrEx>
        <w:tblCellMar>
          <w:top w:w="0" w:type="dxa"/>
          <w:bottom w:w="0" w:type="dxa"/>
        </w:tblCellMar>
      </w:tblPrEx>
      <w:tc>
        <w:tcPr>
          <w:tcW w:w="5033" w:type="dxa"/>
          <w:shd w:val="clear" w:color="auto" w:fill="auto"/>
        </w:tcPr>
        <w:p w:rsidR="00C7080B" w:rsidRPr="00F5180C" w:rsidRDefault="00C7080B" w:rsidP="00697FD7">
          <w:pPr>
            <w:pStyle w:val="Footer"/>
            <w:jc w:val="right"/>
          </w:pPr>
          <w:r>
            <w:fldChar w:fldCharType="begin"/>
          </w:r>
          <w:r>
            <w:instrText xml:space="preserve"> PAGE  \* MERGEFORMAT </w:instrText>
          </w:r>
          <w:r>
            <w:fldChar w:fldCharType="separate"/>
          </w:r>
          <w:r w:rsidR="005F4B68">
            <w:t>5</w:t>
          </w:r>
          <w:r>
            <w:fldChar w:fldCharType="end"/>
          </w:r>
        </w:p>
      </w:tc>
      <w:tc>
        <w:tcPr>
          <w:tcW w:w="5033" w:type="dxa"/>
          <w:shd w:val="clear" w:color="auto" w:fill="auto"/>
        </w:tcPr>
        <w:p w:rsidR="00C7080B" w:rsidRPr="00F5180C" w:rsidRDefault="00C7080B" w:rsidP="00697FD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B68">
            <w:rPr>
              <w:b w:val="0"/>
              <w:w w:val="103"/>
              <w:sz w:val="14"/>
            </w:rPr>
            <w:t>10-24243 (C)</w:t>
          </w:r>
          <w:r>
            <w:rPr>
              <w:b w:val="0"/>
              <w:w w:val="103"/>
              <w:sz w:val="14"/>
            </w:rPr>
            <w:fldChar w:fldCharType="end"/>
          </w:r>
        </w:p>
      </w:tc>
    </w:tr>
  </w:tbl>
  <w:p w:rsidR="00C7080B" w:rsidRPr="00F5180C" w:rsidRDefault="00C7080B" w:rsidP="00697FD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080B">
      <w:tblPrEx>
        <w:tblCellMar>
          <w:top w:w="0" w:type="dxa"/>
          <w:bottom w:w="0" w:type="dxa"/>
        </w:tblCellMar>
      </w:tblPrEx>
      <w:tc>
        <w:tcPr>
          <w:tcW w:w="5033" w:type="dxa"/>
        </w:tcPr>
        <w:p w:rsidR="00C7080B" w:rsidRDefault="00C7080B" w:rsidP="00697FD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F4B68">
            <w:rPr>
              <w:b w:val="0"/>
              <w:sz w:val="21"/>
            </w:rPr>
            <w:t>10-24243 (C)</w:t>
          </w:r>
          <w:r>
            <w:rPr>
              <w:b w:val="0"/>
              <w:sz w:val="21"/>
            </w:rPr>
            <w:fldChar w:fldCharType="end"/>
          </w:r>
          <w:r>
            <w:rPr>
              <w:b w:val="0"/>
              <w:sz w:val="21"/>
            </w:rPr>
            <w:t xml:space="preserve">    010210    010210</w:t>
          </w:r>
        </w:p>
        <w:p w:rsidR="00C7080B" w:rsidRPr="00F5180C" w:rsidRDefault="00C7080B" w:rsidP="00697FD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5F4B68">
            <w:rPr>
              <w:rFonts w:ascii="Barcode 3 of 9 by request" w:hAnsi="Barcode 3 of 9 by request"/>
              <w:sz w:val="24"/>
            </w:rPr>
            <w:t>*1024243*</w:t>
          </w:r>
          <w:r>
            <w:rPr>
              <w:rFonts w:ascii="Barcode 3 of 9 by request" w:hAnsi="Barcode 3 of 9 by request" w:hint="eastAsia"/>
              <w:sz w:val="24"/>
            </w:rPr>
            <w:fldChar w:fldCharType="end"/>
          </w:r>
        </w:p>
      </w:tc>
      <w:tc>
        <w:tcPr>
          <w:tcW w:w="5033" w:type="dxa"/>
        </w:tcPr>
        <w:p w:rsidR="00C7080B" w:rsidRDefault="00C7080B" w:rsidP="00697FD7">
          <w:pPr>
            <w:pStyle w:val="Footer"/>
            <w:jc w:val="right"/>
            <w:rPr>
              <w:b w:val="0"/>
              <w:sz w:val="21"/>
            </w:rPr>
          </w:pPr>
          <w:r w:rsidRPr="00F5180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tc>
    </w:tr>
  </w:tbl>
  <w:p w:rsidR="00C7080B" w:rsidRPr="00F5180C" w:rsidRDefault="00C7080B" w:rsidP="00697FD7">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294" w:rsidRPr="00BB4FB7" w:rsidRDefault="008B0294" w:rsidP="00BB4FB7">
      <w:pPr>
        <w:pStyle w:val="Footer"/>
        <w:spacing w:after="80"/>
        <w:ind w:left="792"/>
        <w:rPr>
          <w:sz w:val="16"/>
        </w:rPr>
      </w:pPr>
      <w:r w:rsidRPr="00BB4FB7">
        <w:rPr>
          <w:sz w:val="16"/>
        </w:rPr>
        <w:t>__________________</w:t>
      </w:r>
    </w:p>
  </w:footnote>
  <w:footnote w:type="continuationSeparator" w:id="0">
    <w:p w:rsidR="008B0294" w:rsidRPr="00BB4FB7" w:rsidRDefault="008B0294" w:rsidP="00BB4FB7">
      <w:pPr>
        <w:pStyle w:val="Footer"/>
        <w:spacing w:after="80"/>
        <w:ind w:left="792"/>
        <w:rPr>
          <w:sz w:val="16"/>
        </w:rPr>
      </w:pPr>
      <w:r w:rsidRPr="00BB4FB7">
        <w:rPr>
          <w:sz w:val="16"/>
        </w:rPr>
        <w:t>__________________</w:t>
      </w:r>
    </w:p>
  </w:footnote>
  <w:footnote w:id="1">
    <w:p w:rsidR="00C7080B" w:rsidRPr="00B83EDD" w:rsidRDefault="00C7080B" w:rsidP="00BB4FB7">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83EDD">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080B" w:rsidTr="007A53FC">
      <w:tblPrEx>
        <w:tblCellMar>
          <w:top w:w="0" w:type="dxa"/>
          <w:bottom w:w="0" w:type="dxa"/>
        </w:tblCellMar>
      </w:tblPrEx>
      <w:trPr>
        <w:trHeight w:hRule="exact" w:val="864"/>
      </w:trPr>
      <w:tc>
        <w:tcPr>
          <w:tcW w:w="4838" w:type="dxa"/>
          <w:shd w:val="clear" w:color="auto" w:fill="auto"/>
          <w:vAlign w:val="bottom"/>
        </w:tcPr>
        <w:p w:rsidR="00C7080B" w:rsidRPr="007A53FC" w:rsidRDefault="00C7080B" w:rsidP="007A53F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F4B68">
            <w:rPr>
              <w:b/>
              <w:sz w:val="17"/>
            </w:rPr>
            <w:t>CEDAW/C/MWI/CO/6</w:t>
          </w:r>
          <w:r>
            <w:rPr>
              <w:b/>
              <w:sz w:val="17"/>
            </w:rPr>
            <w:fldChar w:fldCharType="end"/>
          </w:r>
        </w:p>
      </w:tc>
      <w:tc>
        <w:tcPr>
          <w:tcW w:w="5033" w:type="dxa"/>
          <w:shd w:val="clear" w:color="auto" w:fill="auto"/>
          <w:vAlign w:val="bottom"/>
        </w:tcPr>
        <w:p w:rsidR="00C7080B" w:rsidRDefault="00C7080B" w:rsidP="007A53FC">
          <w:pPr>
            <w:pStyle w:val="Header"/>
          </w:pPr>
        </w:p>
      </w:tc>
    </w:tr>
  </w:tbl>
  <w:p w:rsidR="00C7080B" w:rsidRPr="007A53FC" w:rsidRDefault="00C7080B" w:rsidP="007A53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080B" w:rsidTr="007A53FC">
      <w:tblPrEx>
        <w:tblCellMar>
          <w:top w:w="0" w:type="dxa"/>
          <w:bottom w:w="0" w:type="dxa"/>
        </w:tblCellMar>
      </w:tblPrEx>
      <w:trPr>
        <w:trHeight w:hRule="exact" w:val="864"/>
      </w:trPr>
      <w:tc>
        <w:tcPr>
          <w:tcW w:w="4838" w:type="dxa"/>
          <w:shd w:val="clear" w:color="auto" w:fill="auto"/>
          <w:vAlign w:val="bottom"/>
        </w:tcPr>
        <w:p w:rsidR="00C7080B" w:rsidRDefault="00C7080B" w:rsidP="007A53FC">
          <w:pPr>
            <w:pStyle w:val="Header"/>
          </w:pPr>
        </w:p>
      </w:tc>
      <w:tc>
        <w:tcPr>
          <w:tcW w:w="5033" w:type="dxa"/>
          <w:shd w:val="clear" w:color="auto" w:fill="auto"/>
          <w:vAlign w:val="bottom"/>
        </w:tcPr>
        <w:p w:rsidR="00C7080B" w:rsidRPr="007A53FC" w:rsidRDefault="00C7080B" w:rsidP="007A53F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F4B68">
            <w:rPr>
              <w:b/>
              <w:sz w:val="17"/>
            </w:rPr>
            <w:t>CEDAW/C/MWI/CO/6</w:t>
          </w:r>
          <w:r>
            <w:rPr>
              <w:b/>
              <w:sz w:val="17"/>
            </w:rPr>
            <w:fldChar w:fldCharType="end"/>
          </w:r>
        </w:p>
      </w:tc>
    </w:tr>
  </w:tbl>
  <w:p w:rsidR="00C7080B" w:rsidRPr="007A53FC" w:rsidRDefault="00C7080B" w:rsidP="007A53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7080B" w:rsidTr="007A53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080B" w:rsidRDefault="00C7080B" w:rsidP="007A53FC">
          <w:pPr>
            <w:pStyle w:val="Header"/>
            <w:spacing w:after="120"/>
          </w:pPr>
        </w:p>
      </w:tc>
      <w:tc>
        <w:tcPr>
          <w:tcW w:w="1872" w:type="dxa"/>
          <w:tcBorders>
            <w:bottom w:val="single" w:sz="4" w:space="0" w:color="auto"/>
          </w:tcBorders>
          <w:shd w:val="clear" w:color="auto" w:fill="auto"/>
          <w:vAlign w:val="bottom"/>
        </w:tcPr>
        <w:p w:rsidR="00C7080B" w:rsidRPr="007A53FC" w:rsidRDefault="00C7080B" w:rsidP="007A53F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7080B" w:rsidRDefault="00C7080B" w:rsidP="007A53FC">
          <w:pPr>
            <w:pStyle w:val="Header"/>
            <w:spacing w:after="120"/>
          </w:pPr>
        </w:p>
      </w:tc>
      <w:tc>
        <w:tcPr>
          <w:tcW w:w="6523" w:type="dxa"/>
          <w:gridSpan w:val="3"/>
          <w:tcBorders>
            <w:bottom w:val="single" w:sz="4" w:space="0" w:color="auto"/>
          </w:tcBorders>
          <w:shd w:val="clear" w:color="auto" w:fill="auto"/>
          <w:vAlign w:val="bottom"/>
        </w:tcPr>
        <w:p w:rsidR="00C7080B" w:rsidRPr="007A53FC" w:rsidRDefault="00C7080B" w:rsidP="007A53FC">
          <w:pPr>
            <w:spacing w:after="80" w:line="240" w:lineRule="auto"/>
            <w:jc w:val="right"/>
            <w:rPr>
              <w:rFonts w:ascii="Times New Roman"/>
              <w:position w:val="-4"/>
            </w:rPr>
          </w:pPr>
          <w:r>
            <w:rPr>
              <w:rFonts w:ascii="Times New Roman"/>
              <w:position w:val="-4"/>
              <w:sz w:val="40"/>
            </w:rPr>
            <w:t>CEDAW</w:t>
          </w:r>
          <w:r>
            <w:rPr>
              <w:rFonts w:ascii="Times New Roman"/>
              <w:position w:val="-4"/>
            </w:rPr>
            <w:t>/C/MWI/CO/6</w:t>
          </w:r>
        </w:p>
      </w:tc>
    </w:tr>
    <w:tr w:rsidR="00C7080B" w:rsidRPr="007A53FC" w:rsidTr="007A53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080B" w:rsidRDefault="00C7080B" w:rsidP="007A53F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7080B" w:rsidRPr="007A53FC" w:rsidRDefault="00C7080B" w:rsidP="007A53FC">
          <w:pPr>
            <w:pStyle w:val="Header"/>
            <w:spacing w:before="109"/>
            <w:ind w:left="-72"/>
          </w:pPr>
        </w:p>
      </w:tc>
      <w:tc>
        <w:tcPr>
          <w:tcW w:w="5227" w:type="dxa"/>
          <w:gridSpan w:val="3"/>
          <w:tcBorders>
            <w:top w:val="single" w:sz="4" w:space="0" w:color="auto"/>
            <w:bottom w:val="single" w:sz="12" w:space="0" w:color="auto"/>
          </w:tcBorders>
          <w:shd w:val="clear" w:color="auto" w:fill="auto"/>
        </w:tcPr>
        <w:p w:rsidR="00C7080B" w:rsidRPr="007A53FC" w:rsidRDefault="00C7080B" w:rsidP="007A53F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7080B" w:rsidRPr="007A53FC" w:rsidRDefault="00C7080B" w:rsidP="007A53FC">
          <w:pPr>
            <w:pStyle w:val="Header"/>
            <w:spacing w:before="109"/>
          </w:pPr>
        </w:p>
      </w:tc>
      <w:tc>
        <w:tcPr>
          <w:tcW w:w="3180" w:type="dxa"/>
          <w:gridSpan w:val="2"/>
          <w:tcBorders>
            <w:top w:val="single" w:sz="4" w:space="0" w:color="auto"/>
            <w:bottom w:val="single" w:sz="12" w:space="0" w:color="auto"/>
          </w:tcBorders>
          <w:shd w:val="clear" w:color="auto" w:fill="auto"/>
        </w:tcPr>
        <w:p w:rsidR="00C7080B" w:rsidRDefault="00C7080B" w:rsidP="007A53FC">
          <w:pPr>
            <w:spacing w:before="240" w:line="240" w:lineRule="exact"/>
            <w:rPr>
              <w:rFonts w:ascii="Times New Roman"/>
            </w:rPr>
          </w:pPr>
          <w:r>
            <w:rPr>
              <w:rFonts w:ascii="Times New Roman"/>
            </w:rPr>
            <w:t>Distr.: General</w:t>
          </w:r>
        </w:p>
        <w:p w:rsidR="00C7080B" w:rsidRDefault="00C7080B" w:rsidP="007A53FC">
          <w:pPr>
            <w:spacing w:line="240" w:lineRule="exact"/>
            <w:rPr>
              <w:rFonts w:ascii="Times New Roman"/>
            </w:rPr>
          </w:pPr>
          <w:r>
            <w:rPr>
              <w:rFonts w:ascii="Times New Roman"/>
            </w:rPr>
            <w:t>5 February 2010</w:t>
          </w:r>
        </w:p>
        <w:p w:rsidR="00C7080B" w:rsidRDefault="00C7080B" w:rsidP="007A53FC">
          <w:pPr>
            <w:spacing w:line="240" w:lineRule="exact"/>
            <w:rPr>
              <w:rFonts w:ascii="Times New Roman"/>
            </w:rPr>
          </w:pPr>
          <w:r>
            <w:rPr>
              <w:rFonts w:ascii="Times New Roman"/>
            </w:rPr>
            <w:t>Chinese</w:t>
          </w:r>
        </w:p>
        <w:p w:rsidR="00C7080B" w:rsidRPr="007A53FC" w:rsidRDefault="00C7080B" w:rsidP="007A53FC">
          <w:pPr>
            <w:spacing w:line="240" w:lineRule="exact"/>
            <w:rPr>
              <w:rFonts w:ascii="Times New Roman"/>
            </w:rPr>
          </w:pPr>
          <w:r>
            <w:rPr>
              <w:rFonts w:ascii="Times New Roman"/>
            </w:rPr>
            <w:t>Original: English</w:t>
          </w:r>
        </w:p>
      </w:tc>
    </w:tr>
  </w:tbl>
  <w:p w:rsidR="00C7080B" w:rsidRPr="007A53FC" w:rsidRDefault="00C7080B" w:rsidP="007A53FC">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080B" w:rsidTr="00697FD7">
      <w:tblPrEx>
        <w:tblCellMar>
          <w:top w:w="0" w:type="dxa"/>
          <w:bottom w:w="0" w:type="dxa"/>
        </w:tblCellMar>
      </w:tblPrEx>
      <w:trPr>
        <w:trHeight w:hRule="exact" w:val="864"/>
      </w:trPr>
      <w:tc>
        <w:tcPr>
          <w:tcW w:w="4838" w:type="dxa"/>
          <w:shd w:val="clear" w:color="auto" w:fill="auto"/>
          <w:vAlign w:val="bottom"/>
        </w:tcPr>
        <w:p w:rsidR="00C7080B" w:rsidRPr="00F5180C" w:rsidRDefault="00C7080B" w:rsidP="00697FD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F4B68">
            <w:rPr>
              <w:b/>
              <w:sz w:val="17"/>
            </w:rPr>
            <w:t>CEDAW/C/MWI/CO/6</w:t>
          </w:r>
          <w:r>
            <w:rPr>
              <w:b/>
              <w:sz w:val="17"/>
            </w:rPr>
            <w:fldChar w:fldCharType="end"/>
          </w:r>
        </w:p>
      </w:tc>
      <w:tc>
        <w:tcPr>
          <w:tcW w:w="5033" w:type="dxa"/>
          <w:shd w:val="clear" w:color="auto" w:fill="auto"/>
          <w:vAlign w:val="bottom"/>
        </w:tcPr>
        <w:p w:rsidR="00C7080B" w:rsidRDefault="00C7080B" w:rsidP="00697FD7">
          <w:pPr>
            <w:pStyle w:val="Header"/>
          </w:pPr>
        </w:p>
      </w:tc>
    </w:tr>
  </w:tbl>
  <w:p w:rsidR="00C7080B" w:rsidRPr="00F5180C" w:rsidRDefault="00C7080B" w:rsidP="00697FD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080B" w:rsidTr="00697FD7">
      <w:tblPrEx>
        <w:tblCellMar>
          <w:top w:w="0" w:type="dxa"/>
          <w:bottom w:w="0" w:type="dxa"/>
        </w:tblCellMar>
      </w:tblPrEx>
      <w:trPr>
        <w:trHeight w:hRule="exact" w:val="864"/>
      </w:trPr>
      <w:tc>
        <w:tcPr>
          <w:tcW w:w="4838" w:type="dxa"/>
          <w:shd w:val="clear" w:color="auto" w:fill="auto"/>
          <w:vAlign w:val="bottom"/>
        </w:tcPr>
        <w:p w:rsidR="00C7080B" w:rsidRDefault="00C7080B" w:rsidP="00697FD7">
          <w:pPr>
            <w:pStyle w:val="Header"/>
          </w:pPr>
        </w:p>
      </w:tc>
      <w:tc>
        <w:tcPr>
          <w:tcW w:w="5033" w:type="dxa"/>
          <w:shd w:val="clear" w:color="auto" w:fill="auto"/>
          <w:vAlign w:val="bottom"/>
        </w:tcPr>
        <w:p w:rsidR="00C7080B" w:rsidRPr="00F5180C" w:rsidRDefault="00C7080B" w:rsidP="00697FD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F4B68">
            <w:rPr>
              <w:b/>
              <w:sz w:val="17"/>
            </w:rPr>
            <w:t>CEDAW/C/MWI/CO/6</w:t>
          </w:r>
          <w:r>
            <w:rPr>
              <w:b/>
              <w:sz w:val="17"/>
            </w:rPr>
            <w:fldChar w:fldCharType="end"/>
          </w:r>
        </w:p>
      </w:tc>
    </w:tr>
  </w:tbl>
  <w:p w:rsidR="00C7080B" w:rsidRPr="00F5180C" w:rsidRDefault="00C7080B" w:rsidP="00697FD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7080B" w:rsidTr="00697F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080B" w:rsidRDefault="00C7080B" w:rsidP="00697FD7">
          <w:pPr>
            <w:pStyle w:val="Header"/>
            <w:spacing w:after="120"/>
          </w:pPr>
        </w:p>
      </w:tc>
      <w:tc>
        <w:tcPr>
          <w:tcW w:w="1872" w:type="dxa"/>
          <w:tcBorders>
            <w:bottom w:val="single" w:sz="4" w:space="0" w:color="auto"/>
          </w:tcBorders>
          <w:shd w:val="clear" w:color="auto" w:fill="auto"/>
          <w:vAlign w:val="bottom"/>
        </w:tcPr>
        <w:p w:rsidR="00C7080B" w:rsidRPr="00F5180C" w:rsidRDefault="00C7080B" w:rsidP="00697FD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7080B" w:rsidRDefault="00C7080B" w:rsidP="00697FD7">
          <w:pPr>
            <w:pStyle w:val="Header"/>
            <w:spacing w:after="120"/>
          </w:pPr>
        </w:p>
      </w:tc>
      <w:tc>
        <w:tcPr>
          <w:tcW w:w="6523" w:type="dxa"/>
          <w:gridSpan w:val="3"/>
          <w:tcBorders>
            <w:bottom w:val="single" w:sz="4" w:space="0" w:color="auto"/>
          </w:tcBorders>
          <w:shd w:val="clear" w:color="auto" w:fill="auto"/>
          <w:vAlign w:val="bottom"/>
        </w:tcPr>
        <w:p w:rsidR="00C7080B" w:rsidRPr="00F5180C" w:rsidRDefault="00C7080B" w:rsidP="00697FD7">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/C/MWI/CO/6 </w:t>
          </w:r>
        </w:p>
      </w:tc>
    </w:tr>
    <w:tr w:rsidR="00C7080B" w:rsidRPr="00F5180C" w:rsidTr="00697F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080B" w:rsidRDefault="00C7080B" w:rsidP="00697FD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p w:rsidR="00C7080B" w:rsidRPr="00F5180C" w:rsidRDefault="00C7080B" w:rsidP="00697FD7">
          <w:pPr>
            <w:pStyle w:val="Header"/>
            <w:spacing w:before="109"/>
            <w:ind w:left="-72"/>
          </w:pPr>
        </w:p>
      </w:tc>
      <w:tc>
        <w:tcPr>
          <w:tcW w:w="5227" w:type="dxa"/>
          <w:gridSpan w:val="3"/>
          <w:tcBorders>
            <w:top w:val="single" w:sz="4" w:space="0" w:color="auto"/>
            <w:bottom w:val="single" w:sz="12" w:space="0" w:color="auto"/>
          </w:tcBorders>
          <w:shd w:val="clear" w:color="auto" w:fill="auto"/>
        </w:tcPr>
        <w:p w:rsidR="00C7080B" w:rsidRPr="00F5180C" w:rsidRDefault="00C7080B" w:rsidP="00697FD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7080B" w:rsidRPr="00F5180C" w:rsidRDefault="00C7080B" w:rsidP="00697FD7">
          <w:pPr>
            <w:pStyle w:val="Header"/>
            <w:spacing w:before="109"/>
          </w:pPr>
        </w:p>
      </w:tc>
      <w:tc>
        <w:tcPr>
          <w:tcW w:w="3180" w:type="dxa"/>
          <w:gridSpan w:val="2"/>
          <w:tcBorders>
            <w:top w:val="single" w:sz="4" w:space="0" w:color="auto"/>
            <w:bottom w:val="single" w:sz="12" w:space="0" w:color="auto"/>
          </w:tcBorders>
          <w:shd w:val="clear" w:color="auto" w:fill="auto"/>
        </w:tcPr>
        <w:p w:rsidR="00C7080B" w:rsidRDefault="00C7080B" w:rsidP="00697FD7">
          <w:pPr>
            <w:spacing w:before="240" w:line="240" w:lineRule="exact"/>
            <w:rPr>
              <w:rFonts w:ascii="Times New Roman"/>
            </w:rPr>
          </w:pPr>
          <w:r>
            <w:rPr>
              <w:rFonts w:ascii="Times New Roman"/>
            </w:rPr>
            <w:t>Distr.: General</w:t>
          </w:r>
        </w:p>
        <w:p w:rsidR="00C7080B" w:rsidRDefault="00C7080B" w:rsidP="00697FD7">
          <w:pPr>
            <w:spacing w:line="240" w:lineRule="exact"/>
            <w:rPr>
              <w:rFonts w:ascii="Times New Roman"/>
            </w:rPr>
          </w:pPr>
          <w:r>
            <w:rPr>
              <w:rFonts w:ascii="Times New Roman"/>
            </w:rPr>
            <w:t>28 January 2010</w:t>
          </w:r>
        </w:p>
        <w:p w:rsidR="00C7080B" w:rsidRDefault="00C7080B" w:rsidP="00697FD7">
          <w:pPr>
            <w:spacing w:line="240" w:lineRule="exact"/>
            <w:rPr>
              <w:rFonts w:ascii="Times New Roman"/>
            </w:rPr>
          </w:pPr>
          <w:r>
            <w:rPr>
              <w:rFonts w:ascii="Times New Roman"/>
            </w:rPr>
            <w:t>Chinese</w:t>
          </w:r>
        </w:p>
        <w:p w:rsidR="00C7080B" w:rsidRPr="00F5180C" w:rsidRDefault="00C7080B" w:rsidP="00697FD7">
          <w:pPr>
            <w:spacing w:line="240" w:lineRule="exact"/>
            <w:rPr>
              <w:rFonts w:ascii="Times New Roman"/>
            </w:rPr>
          </w:pPr>
          <w:r>
            <w:rPr>
              <w:rFonts w:ascii="Times New Roman"/>
            </w:rPr>
            <w:t>Original: English</w:t>
          </w:r>
        </w:p>
      </w:tc>
    </w:tr>
  </w:tbl>
  <w:p w:rsidR="00C7080B" w:rsidRPr="00F5180C" w:rsidRDefault="00C7080B" w:rsidP="00697F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43*"/>
    <w:docVar w:name="CreationDt" w:val="18/02/2010 09:16:55"/>
    <w:docVar w:name="DocCategory" w:val="Doc"/>
    <w:docVar w:name="DocType" w:val="Final"/>
    <w:docVar w:name="FooterJN" w:val="10-24243 (C)"/>
    <w:docVar w:name="jobn" w:val="10-24243 (C)"/>
    <w:docVar w:name="jobnDT" w:val="10-24243 (C)   180210"/>
    <w:docVar w:name="jobnDTDT" w:val="10-24243 (C)   180210   180210"/>
    <w:docVar w:name="JobNo" w:val="1024243C"/>
    <w:docVar w:name="OandT" w:val="Hao sl"/>
    <w:docVar w:name="sss1" w:val="CEDAW/C/MWI/CO/6"/>
    <w:docVar w:name="sss2" w:val="-"/>
    <w:docVar w:name="Symbol1" w:val="CEDAW/C/MWI/CO/6"/>
    <w:docVar w:name="Symbol2" w:val="-"/>
  </w:docVars>
  <w:rsids>
    <w:rsidRoot w:val="001401C6"/>
    <w:rsid w:val="0000347C"/>
    <w:rsid w:val="000125BC"/>
    <w:rsid w:val="00021A2B"/>
    <w:rsid w:val="00037B39"/>
    <w:rsid w:val="00044CA4"/>
    <w:rsid w:val="00045EFE"/>
    <w:rsid w:val="0007337D"/>
    <w:rsid w:val="000758DF"/>
    <w:rsid w:val="00076EB8"/>
    <w:rsid w:val="0008518A"/>
    <w:rsid w:val="00095C67"/>
    <w:rsid w:val="000A31F9"/>
    <w:rsid w:val="000C1786"/>
    <w:rsid w:val="000C4DDE"/>
    <w:rsid w:val="000E240F"/>
    <w:rsid w:val="000E49A4"/>
    <w:rsid w:val="000F1058"/>
    <w:rsid w:val="00101C4E"/>
    <w:rsid w:val="001113F8"/>
    <w:rsid w:val="001212F9"/>
    <w:rsid w:val="00121328"/>
    <w:rsid w:val="0012708E"/>
    <w:rsid w:val="001329F7"/>
    <w:rsid w:val="001401C6"/>
    <w:rsid w:val="00141322"/>
    <w:rsid w:val="0015066B"/>
    <w:rsid w:val="00150D3A"/>
    <w:rsid w:val="00153D29"/>
    <w:rsid w:val="00161E69"/>
    <w:rsid w:val="00161F54"/>
    <w:rsid w:val="00170FBE"/>
    <w:rsid w:val="0017506F"/>
    <w:rsid w:val="001905D7"/>
    <w:rsid w:val="001B2814"/>
    <w:rsid w:val="001B4F95"/>
    <w:rsid w:val="001C3F7F"/>
    <w:rsid w:val="001C5166"/>
    <w:rsid w:val="001D0354"/>
    <w:rsid w:val="001E20EC"/>
    <w:rsid w:val="001E4442"/>
    <w:rsid w:val="001E5A51"/>
    <w:rsid w:val="001F03A7"/>
    <w:rsid w:val="001F5C54"/>
    <w:rsid w:val="00207135"/>
    <w:rsid w:val="00231575"/>
    <w:rsid w:val="00247382"/>
    <w:rsid w:val="00252E35"/>
    <w:rsid w:val="00254858"/>
    <w:rsid w:val="00257053"/>
    <w:rsid w:val="00266257"/>
    <w:rsid w:val="00271BE6"/>
    <w:rsid w:val="0027454D"/>
    <w:rsid w:val="00277CAF"/>
    <w:rsid w:val="00280671"/>
    <w:rsid w:val="002814F9"/>
    <w:rsid w:val="00282D17"/>
    <w:rsid w:val="002A3941"/>
    <w:rsid w:val="002A4AEF"/>
    <w:rsid w:val="002B305F"/>
    <w:rsid w:val="002B564F"/>
    <w:rsid w:val="002B5F5D"/>
    <w:rsid w:val="002C2254"/>
    <w:rsid w:val="002C3BC9"/>
    <w:rsid w:val="002C54DB"/>
    <w:rsid w:val="002D039F"/>
    <w:rsid w:val="002D0694"/>
    <w:rsid w:val="002D0B62"/>
    <w:rsid w:val="002D4ACE"/>
    <w:rsid w:val="002D5503"/>
    <w:rsid w:val="002E63F8"/>
    <w:rsid w:val="002E66D5"/>
    <w:rsid w:val="002F41E2"/>
    <w:rsid w:val="00320C99"/>
    <w:rsid w:val="003274A9"/>
    <w:rsid w:val="00331221"/>
    <w:rsid w:val="003649EE"/>
    <w:rsid w:val="0036519F"/>
    <w:rsid w:val="00371BC6"/>
    <w:rsid w:val="00373A15"/>
    <w:rsid w:val="00383ACA"/>
    <w:rsid w:val="00394A02"/>
    <w:rsid w:val="003C7B20"/>
    <w:rsid w:val="003D075F"/>
    <w:rsid w:val="003E4565"/>
    <w:rsid w:val="003E748F"/>
    <w:rsid w:val="003E7612"/>
    <w:rsid w:val="00414423"/>
    <w:rsid w:val="00435440"/>
    <w:rsid w:val="004411AD"/>
    <w:rsid w:val="004424EF"/>
    <w:rsid w:val="004438AC"/>
    <w:rsid w:val="00453BB0"/>
    <w:rsid w:val="00460162"/>
    <w:rsid w:val="004620A8"/>
    <w:rsid w:val="00466BB5"/>
    <w:rsid w:val="004700CF"/>
    <w:rsid w:val="0047287C"/>
    <w:rsid w:val="00487444"/>
    <w:rsid w:val="004A06D1"/>
    <w:rsid w:val="004A11FC"/>
    <w:rsid w:val="004A6DFD"/>
    <w:rsid w:val="004C0224"/>
    <w:rsid w:val="004C053E"/>
    <w:rsid w:val="004C3255"/>
    <w:rsid w:val="004D07E1"/>
    <w:rsid w:val="004D1C19"/>
    <w:rsid w:val="004F29B8"/>
    <w:rsid w:val="004F2A3A"/>
    <w:rsid w:val="0050413E"/>
    <w:rsid w:val="00515657"/>
    <w:rsid w:val="00521275"/>
    <w:rsid w:val="0052216F"/>
    <w:rsid w:val="005232CA"/>
    <w:rsid w:val="00523636"/>
    <w:rsid w:val="005335B9"/>
    <w:rsid w:val="00536CCE"/>
    <w:rsid w:val="005541E4"/>
    <w:rsid w:val="00562FE7"/>
    <w:rsid w:val="0057450D"/>
    <w:rsid w:val="0058302A"/>
    <w:rsid w:val="005A3F1F"/>
    <w:rsid w:val="005B7338"/>
    <w:rsid w:val="005C02AB"/>
    <w:rsid w:val="005C5FC3"/>
    <w:rsid w:val="005D0F04"/>
    <w:rsid w:val="005F12F0"/>
    <w:rsid w:val="005F3273"/>
    <w:rsid w:val="005F34A3"/>
    <w:rsid w:val="005F4B68"/>
    <w:rsid w:val="00610CF2"/>
    <w:rsid w:val="006328DE"/>
    <w:rsid w:val="006353DE"/>
    <w:rsid w:val="006479F1"/>
    <w:rsid w:val="00650BEE"/>
    <w:rsid w:val="006520FA"/>
    <w:rsid w:val="0065377D"/>
    <w:rsid w:val="00666F57"/>
    <w:rsid w:val="00670122"/>
    <w:rsid w:val="006740A7"/>
    <w:rsid w:val="006767D5"/>
    <w:rsid w:val="00691524"/>
    <w:rsid w:val="00697FD7"/>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A53FC"/>
    <w:rsid w:val="007C74B9"/>
    <w:rsid w:val="007D0C3A"/>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B0294"/>
    <w:rsid w:val="008C3296"/>
    <w:rsid w:val="008E2D03"/>
    <w:rsid w:val="008F2BB5"/>
    <w:rsid w:val="008F425D"/>
    <w:rsid w:val="008F5472"/>
    <w:rsid w:val="008F5D0F"/>
    <w:rsid w:val="009122E0"/>
    <w:rsid w:val="00913351"/>
    <w:rsid w:val="00927B99"/>
    <w:rsid w:val="00942C93"/>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192E"/>
    <w:rsid w:val="00A5206D"/>
    <w:rsid w:val="00A72E47"/>
    <w:rsid w:val="00A90956"/>
    <w:rsid w:val="00A911B3"/>
    <w:rsid w:val="00A95404"/>
    <w:rsid w:val="00A968C5"/>
    <w:rsid w:val="00AA3C28"/>
    <w:rsid w:val="00AA759D"/>
    <w:rsid w:val="00AB2786"/>
    <w:rsid w:val="00AD4308"/>
    <w:rsid w:val="00AF2A33"/>
    <w:rsid w:val="00B10FC4"/>
    <w:rsid w:val="00B309DD"/>
    <w:rsid w:val="00B36621"/>
    <w:rsid w:val="00B36D64"/>
    <w:rsid w:val="00B41B48"/>
    <w:rsid w:val="00B56194"/>
    <w:rsid w:val="00B60F41"/>
    <w:rsid w:val="00B61A34"/>
    <w:rsid w:val="00B64E8E"/>
    <w:rsid w:val="00B65E8B"/>
    <w:rsid w:val="00B8025A"/>
    <w:rsid w:val="00B827B1"/>
    <w:rsid w:val="00BA3CE5"/>
    <w:rsid w:val="00BB23A4"/>
    <w:rsid w:val="00BB4FB7"/>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080B"/>
    <w:rsid w:val="00C76854"/>
    <w:rsid w:val="00C8572D"/>
    <w:rsid w:val="00C92AE0"/>
    <w:rsid w:val="00CA450F"/>
    <w:rsid w:val="00CB2B1E"/>
    <w:rsid w:val="00CC3E8B"/>
    <w:rsid w:val="00CC4E84"/>
    <w:rsid w:val="00CD5641"/>
    <w:rsid w:val="00CE64AC"/>
    <w:rsid w:val="00CF7718"/>
    <w:rsid w:val="00D177F1"/>
    <w:rsid w:val="00D221EB"/>
    <w:rsid w:val="00D323B5"/>
    <w:rsid w:val="00D42ACC"/>
    <w:rsid w:val="00D51DC5"/>
    <w:rsid w:val="00D676D7"/>
    <w:rsid w:val="00D71517"/>
    <w:rsid w:val="00D7168D"/>
    <w:rsid w:val="00D874E1"/>
    <w:rsid w:val="00D950E6"/>
    <w:rsid w:val="00D9586D"/>
    <w:rsid w:val="00DA51B2"/>
    <w:rsid w:val="00DB0932"/>
    <w:rsid w:val="00DC2506"/>
    <w:rsid w:val="00DC49FA"/>
    <w:rsid w:val="00DD3D6B"/>
    <w:rsid w:val="00DD4467"/>
    <w:rsid w:val="00DD61C8"/>
    <w:rsid w:val="00DD772B"/>
    <w:rsid w:val="00E041F4"/>
    <w:rsid w:val="00E050BA"/>
    <w:rsid w:val="00E07B44"/>
    <w:rsid w:val="00E25442"/>
    <w:rsid w:val="00E25A1F"/>
    <w:rsid w:val="00E37EEB"/>
    <w:rsid w:val="00E710FB"/>
    <w:rsid w:val="00E806D9"/>
    <w:rsid w:val="00E82CA2"/>
    <w:rsid w:val="00E94E5A"/>
    <w:rsid w:val="00E95594"/>
    <w:rsid w:val="00EA31C3"/>
    <w:rsid w:val="00EB33AC"/>
    <w:rsid w:val="00EB6289"/>
    <w:rsid w:val="00EC6F21"/>
    <w:rsid w:val="00EE0913"/>
    <w:rsid w:val="00F01440"/>
    <w:rsid w:val="00F01ACF"/>
    <w:rsid w:val="00F13305"/>
    <w:rsid w:val="00F40463"/>
    <w:rsid w:val="00F50336"/>
    <w:rsid w:val="00F55E5B"/>
    <w:rsid w:val="00F62E3F"/>
    <w:rsid w:val="00F67F90"/>
    <w:rsid w:val="00F77B3E"/>
    <w:rsid w:val="00F833CB"/>
    <w:rsid w:val="00F87754"/>
    <w:rsid w:val="00F90A4B"/>
    <w:rsid w:val="00F90C56"/>
    <w:rsid w:val="00FB0D3E"/>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3791</Words>
  <Characters>3982</Characters>
  <Application>Microsoft Office Word</Application>
  <DocSecurity>4</DocSecurity>
  <Lines>181</Lines>
  <Paragraphs>111</Paragraphs>
  <ScaleCrop>false</ScaleCrop>
  <Company>United Nations</Company>
  <LinksUpToDate>false</LinksUpToDate>
  <CharactersWithSpaces>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46</cp:revision>
  <cp:lastPrinted>2010-02-22T15:01:00Z</cp:lastPrinted>
  <dcterms:created xsi:type="dcterms:W3CDTF">2010-02-18T08:15:00Z</dcterms:created>
  <dcterms:modified xsi:type="dcterms:W3CDTF">2010-02-22T15:02:00Z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1024243</vt:lpwstr>
  </property>
  <property fmtid="{D5CDD505-2E9C-101B-9397-08002B2CF9AE}" pid="3" name="Symbol1">
    <vt:lpwstr>CEDAW/C/MWI/CO/6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